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ایضاح الدلائل فی شرح الوسائل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17863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2417865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2417867_2142443653">
            <w:r>
              <w:rPr>
                <w:webHidden/>
                <w:rStyle w:val="IndexLink"/>
                <w:rtl w:val="true"/>
              </w:rPr>
              <w:t>كلمة المؤسسة</w:t>
            </w:r>
            <w:r>
              <w:rPr>
                <w:rStyle w:val="IndexLink"/>
                <w:rtl w:val="true"/>
              </w:rPr>
              <w:tab/>
            </w:r>
            <w:r>
              <w:rPr>
                <w:rStyle w:val="IndexLink"/>
              </w:rPr>
              <w:t>15</w:t>
            </w:r>
          </w:hyperlink>
        </w:p>
        <w:p>
          <w:pPr>
            <w:pStyle w:val="Contents2"/>
            <w:tabs>
              <w:tab w:val="clear" w:pos="8743"/>
              <w:tab w:val="right" w:pos="9026" w:leader="dot"/>
            </w:tabs>
            <w:rPr/>
          </w:pPr>
          <w:hyperlink w:anchor="__RefHeading___Toc12417869_2142443653">
            <w:r>
              <w:rPr>
                <w:webHidden/>
                <w:rStyle w:val="IndexLink"/>
                <w:rtl w:val="true"/>
              </w:rPr>
              <w:t>أبواب نواقض الوضو ء</w:t>
            </w:r>
            <w:r>
              <w:rPr>
                <w:rStyle w:val="IndexLink"/>
                <w:rtl w:val="true"/>
              </w:rPr>
              <w:tab/>
            </w:r>
            <w:r>
              <w:rPr>
                <w:rStyle w:val="IndexLink"/>
              </w:rPr>
              <w:t>17</w:t>
            </w:r>
          </w:hyperlink>
        </w:p>
        <w:p>
          <w:pPr>
            <w:pStyle w:val="Contents2"/>
            <w:tabs>
              <w:tab w:val="clear" w:pos="8743"/>
              <w:tab w:val="right" w:pos="9026" w:leader="dot"/>
            </w:tabs>
            <w:rPr/>
          </w:pPr>
          <w:hyperlink w:anchor="__RefHeading___Toc12417871_2142443653">
            <w:r>
              <w:rPr>
                <w:webHidden/>
                <w:rStyle w:val="IndexLink"/>
                <w:rtl w:val="true"/>
              </w:rPr>
              <w:t>الفرق بين الناقض والموجب والسبب</w:t>
            </w:r>
            <w:r>
              <w:rPr>
                <w:rStyle w:val="IndexLink"/>
                <w:rtl w:val="true"/>
              </w:rPr>
              <w:tab/>
            </w:r>
            <w:r>
              <w:rPr>
                <w:rStyle w:val="IndexLink"/>
              </w:rPr>
              <w:t>19</w:t>
            </w:r>
          </w:hyperlink>
        </w:p>
        <w:p>
          <w:pPr>
            <w:pStyle w:val="Contents2"/>
            <w:tabs>
              <w:tab w:val="clear" w:pos="8743"/>
              <w:tab w:val="right" w:pos="9026" w:leader="dot"/>
            </w:tabs>
            <w:rPr/>
          </w:pPr>
          <w:hyperlink w:anchor="__RefHeading___Toc12417873_2142443653">
            <w:r>
              <w:rPr>
                <w:webHidden/>
                <w:rStyle w:val="IndexLink"/>
              </w:rPr>
              <w:t>1</w:t>
            </w:r>
            <w:r>
              <w:rPr>
                <w:rStyle w:val="IndexLink"/>
                <w:rtl w:val="true"/>
              </w:rPr>
              <w:t xml:space="preserve">- </w:t>
            </w:r>
            <w:r>
              <w:rPr>
                <w:rStyle w:val="IndexLink"/>
                <w:rtl w:val="true"/>
              </w:rPr>
              <w:t>بَابُ أَنَّهُ لَا يَنْقُضُ الْوُضُو ءَ إِلَّا الْيَقِينُ بِحُصُولِ الْحَدَثِ دُونَ الظَّنِّ وَالشَّك</w:t>
            </w:r>
            <w:r>
              <w:rPr>
                <w:rStyle w:val="IndexLink"/>
                <w:rtl w:val="true"/>
              </w:rPr>
              <w:tab/>
            </w:r>
            <w:r>
              <w:rPr>
                <w:rStyle w:val="IndexLink"/>
              </w:rPr>
              <w:t>21</w:t>
            </w:r>
          </w:hyperlink>
        </w:p>
        <w:p>
          <w:pPr>
            <w:pStyle w:val="Contents3"/>
            <w:tabs>
              <w:tab w:val="clear" w:pos="8459"/>
              <w:tab w:val="right" w:pos="9026" w:leader="dot"/>
            </w:tabs>
            <w:rPr/>
          </w:pPr>
          <w:hyperlink w:anchor="__RefHeading___Toc12417875_214244365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2417877_2142443653">
            <w:r>
              <w:rPr>
                <w:webHidden/>
                <w:rStyle w:val="IndexLink"/>
                <w:rtl w:val="true"/>
              </w:rPr>
              <w:t>شرح الباب</w:t>
            </w:r>
            <w:r>
              <w:rPr>
                <w:rStyle w:val="IndexLink"/>
                <w:rtl w:val="true"/>
              </w:rPr>
              <w:t>:</w:t>
              <w:tab/>
            </w:r>
            <w:r>
              <w:rPr>
                <w:rStyle w:val="IndexLink"/>
              </w:rPr>
              <w:t>21</w:t>
            </w:r>
          </w:hyperlink>
        </w:p>
        <w:p>
          <w:pPr>
            <w:pStyle w:val="Contents3"/>
            <w:tabs>
              <w:tab w:val="clear" w:pos="8459"/>
              <w:tab w:val="right" w:pos="9026" w:leader="dot"/>
            </w:tabs>
            <w:rPr/>
          </w:pPr>
          <w:hyperlink w:anchor="__RefHeading___Toc12417879_2142443653">
            <w:r>
              <w:rPr>
                <w:webHidden/>
                <w:rStyle w:val="IndexLink"/>
                <w:rtl w:val="true"/>
              </w:rPr>
              <w:t>أقوال الخاصّة</w:t>
            </w:r>
            <w:r>
              <w:rPr>
                <w:rStyle w:val="IndexLink"/>
                <w:rtl w:val="true"/>
              </w:rPr>
              <w:t>:</w:t>
              <w:tab/>
            </w:r>
            <w:r>
              <w:rPr>
                <w:rStyle w:val="IndexLink"/>
              </w:rPr>
              <w:t>22</w:t>
            </w:r>
          </w:hyperlink>
        </w:p>
        <w:p>
          <w:pPr>
            <w:pStyle w:val="Contents3"/>
            <w:tabs>
              <w:tab w:val="clear" w:pos="8459"/>
              <w:tab w:val="right" w:pos="9026" w:leader="dot"/>
            </w:tabs>
            <w:rPr/>
          </w:pPr>
          <w:hyperlink w:anchor="__RefHeading___Toc12417881_2142443653">
            <w:r>
              <w:rPr>
                <w:webHidden/>
                <w:rStyle w:val="IndexLink"/>
                <w:rtl w:val="true"/>
              </w:rPr>
              <w:t>أقوال العامّة</w:t>
            </w:r>
            <w:r>
              <w:rPr>
                <w:rStyle w:val="IndexLink"/>
                <w:rtl w:val="true"/>
              </w:rPr>
              <w:t>:</w:t>
              <w:tab/>
            </w:r>
            <w:r>
              <w:rPr>
                <w:rStyle w:val="IndexLink"/>
              </w:rPr>
              <w:t>23</w:t>
            </w:r>
          </w:hyperlink>
        </w:p>
        <w:p>
          <w:pPr>
            <w:pStyle w:val="Contents3"/>
            <w:tabs>
              <w:tab w:val="clear" w:pos="8459"/>
              <w:tab w:val="right" w:pos="9026" w:leader="dot"/>
            </w:tabs>
            <w:rPr/>
          </w:pPr>
          <w:hyperlink w:anchor="__RefHeading___Toc12417883_2142443653">
            <w:r>
              <w:rPr>
                <w:webHidden/>
                <w:rStyle w:val="IndexLink"/>
                <w:rtl w:val="true"/>
              </w:rPr>
              <w:t>بحث رجالي حول سعد</w:t>
            </w:r>
            <w:r>
              <w:rPr>
                <w:rStyle w:val="IndexLink"/>
                <w:rtl w:val="true"/>
              </w:rPr>
              <w:tab/>
            </w:r>
            <w:r>
              <w:rPr>
                <w:rStyle w:val="IndexLink"/>
              </w:rPr>
              <w:t>43</w:t>
            </w:r>
          </w:hyperlink>
        </w:p>
        <w:p>
          <w:pPr>
            <w:pStyle w:val="Contents3"/>
            <w:tabs>
              <w:tab w:val="clear" w:pos="8459"/>
              <w:tab w:val="right" w:pos="9026" w:leader="dot"/>
            </w:tabs>
            <w:rPr/>
          </w:pPr>
          <w:hyperlink w:anchor="__RefHeading___Toc12417885_2142443653">
            <w:r>
              <w:rPr>
                <w:webHidden/>
                <w:rStyle w:val="IndexLink"/>
                <w:rtl w:val="true"/>
              </w:rPr>
              <w:t>المتحصل من الأحادیث</w:t>
            </w:r>
            <w:r>
              <w:rPr>
                <w:rStyle w:val="IndexLink"/>
                <w:rtl w:val="true"/>
              </w:rPr>
              <w:tab/>
            </w:r>
            <w:r>
              <w:rPr>
                <w:rStyle w:val="IndexLink"/>
              </w:rPr>
              <w:t>47</w:t>
            </w:r>
          </w:hyperlink>
        </w:p>
        <w:p>
          <w:pPr>
            <w:pStyle w:val="Contents2"/>
            <w:tabs>
              <w:tab w:val="clear" w:pos="8743"/>
              <w:tab w:val="right" w:pos="9026" w:leader="dot"/>
            </w:tabs>
            <w:rPr/>
          </w:pPr>
          <w:hyperlink w:anchor="__RefHeading___Toc12417887_2142443653">
            <w:r>
              <w:rPr>
                <w:webHidden/>
                <w:rStyle w:val="IndexLink"/>
              </w:rPr>
              <w:t>2</w:t>
            </w:r>
            <w:r>
              <w:rPr>
                <w:rStyle w:val="IndexLink"/>
                <w:rtl w:val="true"/>
              </w:rPr>
              <w:t xml:space="preserve">- </w:t>
            </w:r>
            <w:r>
              <w:rPr>
                <w:rStyle w:val="IndexLink"/>
                <w:rtl w:val="true"/>
              </w:rPr>
              <w:t>بَابُ أَنَّ البَولَ وَالغَائِطَ وَالرِّيحَ وَالمَنِيَّ وَالجَنَابَة تَنقُضُ الوُضُو ءَ</w:t>
            </w:r>
            <w:r>
              <w:rPr>
                <w:rStyle w:val="IndexLink"/>
                <w:rtl w:val="true"/>
              </w:rPr>
              <w:tab/>
            </w:r>
            <w:r>
              <w:rPr>
                <w:rStyle w:val="IndexLink"/>
              </w:rPr>
              <w:t>49</w:t>
            </w:r>
          </w:hyperlink>
        </w:p>
        <w:p>
          <w:pPr>
            <w:pStyle w:val="Contents3"/>
            <w:tabs>
              <w:tab w:val="clear" w:pos="8459"/>
              <w:tab w:val="right" w:pos="9026" w:leader="dot"/>
            </w:tabs>
            <w:rPr/>
          </w:pPr>
          <w:hyperlink w:anchor="__RefHeading___Toc12417889_2142443653">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12417891_2142443653">
            <w:r>
              <w:rPr>
                <w:webHidden/>
                <w:rStyle w:val="IndexLink"/>
                <w:rtl w:val="true"/>
              </w:rPr>
              <w:t>شرح الباب</w:t>
            </w:r>
            <w:r>
              <w:rPr>
                <w:rStyle w:val="IndexLink"/>
                <w:rtl w:val="true"/>
              </w:rPr>
              <w:t>:</w:t>
              <w:tab/>
            </w:r>
            <w:r>
              <w:rPr>
                <w:rStyle w:val="IndexLink"/>
              </w:rPr>
              <w:t>49</w:t>
            </w:r>
          </w:hyperlink>
        </w:p>
        <w:p>
          <w:pPr>
            <w:pStyle w:val="Contents3"/>
            <w:tabs>
              <w:tab w:val="clear" w:pos="8459"/>
              <w:tab w:val="right" w:pos="9026" w:leader="dot"/>
            </w:tabs>
            <w:rPr/>
          </w:pPr>
          <w:hyperlink w:anchor="__RefHeading___Toc12417893_2142443653">
            <w:r>
              <w:rPr>
                <w:webHidden/>
                <w:rStyle w:val="IndexLink"/>
                <w:rtl w:val="true"/>
              </w:rPr>
              <w:t>أقوال الخاصّة</w:t>
            </w:r>
            <w:r>
              <w:rPr>
                <w:rStyle w:val="IndexLink"/>
                <w:rtl w:val="true"/>
              </w:rPr>
              <w:t>:</w:t>
              <w:tab/>
            </w:r>
            <w:r>
              <w:rPr>
                <w:rStyle w:val="IndexLink"/>
              </w:rPr>
              <w:t>49</w:t>
            </w:r>
          </w:hyperlink>
        </w:p>
        <w:p>
          <w:pPr>
            <w:pStyle w:val="Contents3"/>
            <w:tabs>
              <w:tab w:val="clear" w:pos="8459"/>
              <w:tab w:val="right" w:pos="9026" w:leader="dot"/>
            </w:tabs>
            <w:rPr/>
          </w:pPr>
          <w:hyperlink w:anchor="__RefHeading___Toc12417895_2142443653">
            <w:r>
              <w:rPr>
                <w:webHidden/>
                <w:rStyle w:val="IndexLink"/>
                <w:rtl w:val="true"/>
              </w:rPr>
              <w:t>أقوال العامّة</w:t>
            </w:r>
            <w:r>
              <w:rPr>
                <w:rStyle w:val="IndexLink"/>
                <w:rtl w:val="true"/>
              </w:rPr>
              <w:t>:</w:t>
              <w:tab/>
            </w:r>
            <w:r>
              <w:rPr>
                <w:rStyle w:val="IndexLink"/>
              </w:rPr>
              <w:t>50</w:t>
            </w:r>
          </w:hyperlink>
        </w:p>
        <w:p>
          <w:pPr>
            <w:pStyle w:val="Contents3"/>
            <w:tabs>
              <w:tab w:val="clear" w:pos="8459"/>
              <w:tab w:val="right" w:pos="9026" w:leader="dot"/>
            </w:tabs>
            <w:rPr/>
          </w:pPr>
          <w:hyperlink w:anchor="__RefHeading___Toc12417897_2142443653">
            <w:r>
              <w:rPr>
                <w:webHidden/>
                <w:rStyle w:val="IndexLink"/>
                <w:rtl w:val="true"/>
              </w:rPr>
              <w:t>المتحصل من الأحادیث</w:t>
            </w:r>
            <w:r>
              <w:rPr>
                <w:rStyle w:val="IndexLink"/>
                <w:rtl w:val="true"/>
              </w:rPr>
              <w:tab/>
            </w:r>
            <w:r>
              <w:rPr>
                <w:rStyle w:val="IndexLink"/>
              </w:rPr>
              <w:t>75</w:t>
            </w:r>
          </w:hyperlink>
        </w:p>
        <w:p>
          <w:pPr>
            <w:pStyle w:val="Contents2"/>
            <w:tabs>
              <w:tab w:val="clear" w:pos="8743"/>
              <w:tab w:val="right" w:pos="9026" w:leader="dot"/>
            </w:tabs>
            <w:rPr/>
          </w:pPr>
          <w:hyperlink w:anchor="__RefHeading___Toc12417899_2142443653">
            <w:r>
              <w:rPr>
                <w:webHidden/>
                <w:rStyle w:val="IndexLink"/>
              </w:rPr>
              <w:t>3</w:t>
            </w:r>
            <w:r>
              <w:rPr>
                <w:rStyle w:val="IndexLink"/>
                <w:rtl w:val="true"/>
              </w:rPr>
              <w:t xml:space="preserve">- </w:t>
            </w:r>
            <w:r>
              <w:rPr>
                <w:rStyle w:val="IndexLink"/>
                <w:rtl w:val="true"/>
              </w:rPr>
              <w:t>بَابُ أَنَّ النَّومَ الغَالِبَ عَلَی السَّمعِ يَنقُضُ الوُضُو ءَ عَلَی أَيِّ حَالٍ كَانَ، وَأَنَّهُ لَا يَنقُضُ الوُضُو ءَ شَي ءٌ مِنَ الأَشيَا ءِ غَيرُ الأَحدَاثِ المَنصُوصَةِ</w:t>
            </w:r>
            <w:r>
              <w:rPr>
                <w:rStyle w:val="IndexLink"/>
                <w:rtl w:val="true"/>
              </w:rPr>
              <w:tab/>
            </w:r>
            <w:r>
              <w:rPr>
                <w:rStyle w:val="IndexLink"/>
              </w:rPr>
              <w:t>77</w:t>
            </w:r>
          </w:hyperlink>
        </w:p>
        <w:p>
          <w:pPr>
            <w:pStyle w:val="Contents3"/>
            <w:tabs>
              <w:tab w:val="clear" w:pos="8459"/>
              <w:tab w:val="right" w:pos="9026" w:leader="dot"/>
            </w:tabs>
            <w:rPr/>
          </w:pPr>
          <w:hyperlink w:anchor="__RefHeading___Toc12417901_2142443653">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12417903_2142443653">
            <w:r>
              <w:rPr>
                <w:webHidden/>
                <w:rStyle w:val="IndexLink"/>
                <w:rtl w:val="true"/>
              </w:rPr>
              <w:t>شرح الباب</w:t>
            </w:r>
            <w:r>
              <w:rPr>
                <w:rStyle w:val="IndexLink"/>
                <w:rtl w:val="true"/>
              </w:rPr>
              <w:t>:</w:t>
              <w:tab/>
            </w:r>
            <w:r>
              <w:rPr>
                <w:rStyle w:val="IndexLink"/>
              </w:rPr>
              <w:t>77</w:t>
            </w:r>
          </w:hyperlink>
        </w:p>
        <w:p>
          <w:pPr>
            <w:pStyle w:val="Contents3"/>
            <w:tabs>
              <w:tab w:val="clear" w:pos="8459"/>
              <w:tab w:val="right" w:pos="9026" w:leader="dot"/>
            </w:tabs>
            <w:rPr/>
          </w:pPr>
          <w:hyperlink w:anchor="__RefHeading___Toc12417905_2142443653">
            <w:r>
              <w:rPr>
                <w:webHidden/>
                <w:rStyle w:val="IndexLink"/>
                <w:rtl w:val="true"/>
              </w:rPr>
              <w:t>أقوال الخاصّة</w:t>
            </w:r>
            <w:r>
              <w:rPr>
                <w:rStyle w:val="IndexLink"/>
                <w:rtl w:val="true"/>
              </w:rPr>
              <w:t>:</w:t>
              <w:tab/>
            </w:r>
            <w:r>
              <w:rPr>
                <w:rStyle w:val="IndexLink"/>
              </w:rPr>
              <w:t>77</w:t>
            </w:r>
          </w:hyperlink>
        </w:p>
        <w:p>
          <w:pPr>
            <w:pStyle w:val="Contents3"/>
            <w:tabs>
              <w:tab w:val="clear" w:pos="8459"/>
              <w:tab w:val="right" w:pos="9026" w:leader="dot"/>
            </w:tabs>
            <w:rPr/>
          </w:pPr>
          <w:hyperlink w:anchor="__RefHeading___Toc12417907_2142443653">
            <w:r>
              <w:rPr>
                <w:webHidden/>
                <w:rStyle w:val="IndexLink"/>
                <w:rtl w:val="true"/>
              </w:rPr>
              <w:t>أقوال العامّة</w:t>
            </w:r>
            <w:r>
              <w:rPr>
                <w:rStyle w:val="IndexLink"/>
                <w:rtl w:val="true"/>
              </w:rPr>
              <w:t>:</w:t>
              <w:tab/>
            </w:r>
            <w:r>
              <w:rPr>
                <w:rStyle w:val="IndexLink"/>
              </w:rPr>
              <w:t>78</w:t>
            </w:r>
          </w:hyperlink>
        </w:p>
        <w:p>
          <w:pPr>
            <w:pStyle w:val="Contents3"/>
            <w:tabs>
              <w:tab w:val="clear" w:pos="8459"/>
              <w:tab w:val="right" w:pos="9026" w:leader="dot"/>
            </w:tabs>
            <w:rPr/>
          </w:pPr>
          <w:hyperlink w:anchor="__RefHeading___Toc12417909_2142443653">
            <w:r>
              <w:rPr>
                <w:webHidden/>
                <w:rStyle w:val="IndexLink"/>
                <w:rtl w:val="true"/>
              </w:rPr>
              <w:t>الجمع بين أحاديث الباب</w:t>
            </w:r>
            <w:r>
              <w:rPr>
                <w:rStyle w:val="IndexLink"/>
                <w:rtl w:val="true"/>
              </w:rPr>
              <w:tab/>
            </w:r>
            <w:r>
              <w:rPr>
                <w:rStyle w:val="IndexLink"/>
              </w:rPr>
              <w:t>114</w:t>
            </w:r>
          </w:hyperlink>
        </w:p>
        <w:p>
          <w:pPr>
            <w:pStyle w:val="Contents3"/>
            <w:tabs>
              <w:tab w:val="clear" w:pos="8459"/>
              <w:tab w:val="right" w:pos="9026" w:leader="dot"/>
            </w:tabs>
            <w:rPr/>
          </w:pPr>
          <w:hyperlink w:anchor="__RefHeading___Toc12417911_2142443653">
            <w:r>
              <w:rPr>
                <w:webHidden/>
                <w:rStyle w:val="IndexLink"/>
                <w:rtl w:val="true"/>
              </w:rPr>
              <w:t>والحاصل</w:t>
            </w:r>
            <w:r>
              <w:rPr>
                <w:rStyle w:val="IndexLink"/>
                <w:rtl w:val="true"/>
              </w:rPr>
              <w:t>:</w:t>
              <w:tab/>
            </w:r>
            <w:r>
              <w:rPr>
                <w:rStyle w:val="IndexLink"/>
              </w:rPr>
              <w:t>116</w:t>
            </w:r>
          </w:hyperlink>
        </w:p>
        <w:p>
          <w:pPr>
            <w:pStyle w:val="Contents2"/>
            <w:tabs>
              <w:tab w:val="clear" w:pos="8743"/>
              <w:tab w:val="right" w:pos="9026" w:leader="dot"/>
            </w:tabs>
            <w:rPr/>
          </w:pPr>
          <w:hyperlink w:anchor="__RefHeading___Toc12417913_2142443653">
            <w:r>
              <w:rPr>
                <w:webHidden/>
                <w:rStyle w:val="IndexLink"/>
              </w:rPr>
              <w:t>4</w:t>
            </w:r>
            <w:r>
              <w:rPr>
                <w:rStyle w:val="IndexLink"/>
                <w:rtl w:val="true"/>
              </w:rPr>
              <w:t xml:space="preserve">- </w:t>
            </w:r>
            <w:r>
              <w:rPr>
                <w:rStyle w:val="IndexLink"/>
                <w:rtl w:val="true"/>
              </w:rPr>
              <w:t>بَابُ حُكْمِ مَا أَزَالَ الْعَقْلَ مِنْ إِغْمَا ءٍ وَجُنُونٍ وَسُكْرٍ وَغَيْرِهَا</w:t>
            </w:r>
            <w:r>
              <w:rPr>
                <w:rStyle w:val="IndexLink"/>
                <w:rtl w:val="true"/>
              </w:rPr>
              <w:tab/>
            </w:r>
            <w:r>
              <w:rPr>
                <w:rStyle w:val="IndexLink"/>
              </w:rPr>
              <w:t>117</w:t>
            </w:r>
          </w:hyperlink>
        </w:p>
        <w:p>
          <w:pPr>
            <w:pStyle w:val="Contents3"/>
            <w:tabs>
              <w:tab w:val="clear" w:pos="8459"/>
              <w:tab w:val="right" w:pos="9026" w:leader="dot"/>
            </w:tabs>
            <w:rPr/>
          </w:pPr>
          <w:hyperlink w:anchor="__RefHeading___Toc12417915_2142443653">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2417917_2142443653">
            <w:r>
              <w:rPr>
                <w:webHidden/>
                <w:rStyle w:val="IndexLink"/>
                <w:rtl w:val="true"/>
              </w:rPr>
              <w:t>شرح الباب</w:t>
            </w:r>
            <w:r>
              <w:rPr>
                <w:rStyle w:val="IndexLink"/>
                <w:rtl w:val="true"/>
              </w:rPr>
              <w:t>:</w:t>
              <w:tab/>
            </w:r>
            <w:r>
              <w:rPr>
                <w:rStyle w:val="IndexLink"/>
              </w:rPr>
              <w:t>117</w:t>
            </w:r>
          </w:hyperlink>
        </w:p>
        <w:p>
          <w:pPr>
            <w:pStyle w:val="Contents3"/>
            <w:tabs>
              <w:tab w:val="clear" w:pos="8459"/>
              <w:tab w:val="right" w:pos="9026" w:leader="dot"/>
            </w:tabs>
            <w:rPr/>
          </w:pPr>
          <w:hyperlink w:anchor="__RefHeading___Toc12417919_2142443653">
            <w:r>
              <w:rPr>
                <w:webHidden/>
                <w:rStyle w:val="IndexLink"/>
                <w:rtl w:val="true"/>
              </w:rPr>
              <w:t>أقوال الخاصّة</w:t>
            </w:r>
            <w:r>
              <w:rPr>
                <w:rStyle w:val="IndexLink"/>
                <w:rtl w:val="true"/>
              </w:rPr>
              <w:t>:</w:t>
              <w:tab/>
            </w:r>
            <w:r>
              <w:rPr>
                <w:rStyle w:val="IndexLink"/>
              </w:rPr>
              <w:t>119</w:t>
            </w:r>
          </w:hyperlink>
        </w:p>
        <w:p>
          <w:pPr>
            <w:pStyle w:val="Contents3"/>
            <w:tabs>
              <w:tab w:val="clear" w:pos="8459"/>
              <w:tab w:val="right" w:pos="9026" w:leader="dot"/>
            </w:tabs>
            <w:rPr/>
          </w:pPr>
          <w:hyperlink w:anchor="__RefHeading___Toc12417921_2142443653">
            <w:r>
              <w:rPr>
                <w:webHidden/>
                <w:rStyle w:val="IndexLink"/>
                <w:rtl w:val="true"/>
              </w:rPr>
              <w:t>أقوال العامّة</w:t>
            </w:r>
            <w:r>
              <w:rPr>
                <w:rStyle w:val="IndexLink"/>
                <w:rtl w:val="true"/>
              </w:rPr>
              <w:t>:</w:t>
              <w:tab/>
            </w:r>
            <w:r>
              <w:rPr>
                <w:rStyle w:val="IndexLink"/>
              </w:rPr>
              <w:t>119</w:t>
            </w:r>
          </w:hyperlink>
        </w:p>
        <w:p>
          <w:pPr>
            <w:pStyle w:val="Contents3"/>
            <w:tabs>
              <w:tab w:val="clear" w:pos="8459"/>
              <w:tab w:val="right" w:pos="9026" w:leader="dot"/>
            </w:tabs>
            <w:rPr/>
          </w:pPr>
          <w:hyperlink w:anchor="__RefHeading___Toc12417923_2142443653">
            <w:r>
              <w:rPr>
                <w:webHidden/>
                <w:rStyle w:val="IndexLink"/>
                <w:rtl w:val="true"/>
              </w:rPr>
              <w:t>المتحصل من الأحادیث</w:t>
            </w:r>
            <w:r>
              <w:rPr>
                <w:rStyle w:val="IndexLink"/>
                <w:rtl w:val="true"/>
              </w:rPr>
              <w:tab/>
            </w:r>
            <w:r>
              <w:rPr>
                <w:rStyle w:val="IndexLink"/>
              </w:rPr>
              <w:t>124</w:t>
            </w:r>
          </w:hyperlink>
        </w:p>
        <w:p>
          <w:pPr>
            <w:pStyle w:val="Contents2"/>
            <w:tabs>
              <w:tab w:val="clear" w:pos="8743"/>
              <w:tab w:val="right" w:pos="9026" w:leader="dot"/>
            </w:tabs>
            <w:rPr/>
          </w:pPr>
          <w:hyperlink w:anchor="__RefHeading___Toc12417925_2142443653">
            <w:r>
              <w:rPr>
                <w:webHidden/>
                <w:rStyle w:val="IndexLink"/>
              </w:rPr>
              <w:t>5</w:t>
            </w:r>
            <w:r>
              <w:rPr>
                <w:rStyle w:val="IndexLink"/>
                <w:rtl w:val="true"/>
              </w:rPr>
              <w:t xml:space="preserve">- </w:t>
            </w:r>
            <w:r>
              <w:rPr>
                <w:rStyle w:val="IndexLink"/>
                <w:rtl w:val="true"/>
              </w:rPr>
              <w:t>بَابُ أَنَّ مَا يَخْرُجُ مِنَ الدُّبُرِ مِنْ حَبِّ الْقَرْعِ وَالدِّيدَانِ لَا يَنْقُضُ الْوُضُو ءَ إِلَّا أَنْ يَكُونَ مُتَلَطِّخاً بِالْعَذِرَةِ</w:t>
            </w:r>
            <w:r>
              <w:rPr>
                <w:rStyle w:val="IndexLink"/>
                <w:rtl w:val="true"/>
              </w:rPr>
              <w:tab/>
            </w:r>
            <w:r>
              <w:rPr>
                <w:rStyle w:val="IndexLink"/>
              </w:rPr>
              <w:t>125</w:t>
            </w:r>
          </w:hyperlink>
        </w:p>
        <w:p>
          <w:pPr>
            <w:pStyle w:val="Contents3"/>
            <w:tabs>
              <w:tab w:val="clear" w:pos="8459"/>
              <w:tab w:val="right" w:pos="9026" w:leader="dot"/>
            </w:tabs>
            <w:rPr/>
          </w:pPr>
          <w:hyperlink w:anchor="__RefHeading___Toc12417927_2142443653">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12417929_2142443653">
            <w:r>
              <w:rPr>
                <w:webHidden/>
                <w:rStyle w:val="IndexLink"/>
                <w:rtl w:val="true"/>
              </w:rPr>
              <w:t>شرح الباب</w:t>
            </w:r>
            <w:r>
              <w:rPr>
                <w:rStyle w:val="IndexLink"/>
                <w:rtl w:val="true"/>
              </w:rPr>
              <w:tab/>
            </w:r>
            <w:r>
              <w:rPr>
                <w:rStyle w:val="IndexLink"/>
              </w:rPr>
              <w:t>125</w:t>
            </w:r>
          </w:hyperlink>
        </w:p>
        <w:p>
          <w:pPr>
            <w:pStyle w:val="Contents3"/>
            <w:tabs>
              <w:tab w:val="clear" w:pos="8459"/>
              <w:tab w:val="right" w:pos="9026" w:leader="dot"/>
            </w:tabs>
            <w:rPr/>
          </w:pPr>
          <w:hyperlink w:anchor="__RefHeading___Toc12417931_2142443653">
            <w:r>
              <w:rPr>
                <w:webHidden/>
                <w:rStyle w:val="IndexLink"/>
                <w:rtl w:val="true"/>
              </w:rPr>
              <w:t>أقوال الخاصّة</w:t>
            </w:r>
            <w:r>
              <w:rPr>
                <w:rStyle w:val="IndexLink"/>
                <w:rtl w:val="true"/>
              </w:rPr>
              <w:t>:</w:t>
              <w:tab/>
            </w:r>
            <w:r>
              <w:rPr>
                <w:rStyle w:val="IndexLink"/>
              </w:rPr>
              <w:t>126</w:t>
            </w:r>
          </w:hyperlink>
        </w:p>
        <w:p>
          <w:pPr>
            <w:pStyle w:val="Contents3"/>
            <w:tabs>
              <w:tab w:val="clear" w:pos="8459"/>
              <w:tab w:val="right" w:pos="9026" w:leader="dot"/>
            </w:tabs>
            <w:rPr/>
          </w:pPr>
          <w:hyperlink w:anchor="__RefHeading___Toc12417933_2142443653">
            <w:r>
              <w:rPr>
                <w:webHidden/>
                <w:rStyle w:val="IndexLink"/>
                <w:rtl w:val="true"/>
              </w:rPr>
              <w:t>أقوال العامّة</w:t>
            </w:r>
            <w:r>
              <w:rPr>
                <w:rStyle w:val="IndexLink"/>
                <w:rtl w:val="true"/>
              </w:rPr>
              <w:t>:</w:t>
              <w:tab/>
            </w:r>
            <w:r>
              <w:rPr>
                <w:rStyle w:val="IndexLink"/>
              </w:rPr>
              <w:t>127</w:t>
            </w:r>
          </w:hyperlink>
        </w:p>
        <w:p>
          <w:pPr>
            <w:pStyle w:val="Contents3"/>
            <w:tabs>
              <w:tab w:val="clear" w:pos="8459"/>
              <w:tab w:val="right" w:pos="9026" w:leader="dot"/>
            </w:tabs>
            <w:rPr/>
          </w:pPr>
          <w:hyperlink w:anchor="__RefHeading___Toc12417935_2142443653">
            <w:r>
              <w:rPr>
                <w:webHidden/>
                <w:rStyle w:val="IndexLink"/>
                <w:rtl w:val="true"/>
              </w:rPr>
              <w:t>المتحصل من الأحادیث</w:t>
            </w:r>
            <w:r>
              <w:rPr>
                <w:rStyle w:val="IndexLink"/>
                <w:rtl w:val="true"/>
              </w:rPr>
              <w:tab/>
            </w:r>
            <w:r>
              <w:rPr>
                <w:rStyle w:val="IndexLink"/>
              </w:rPr>
              <w:t>137</w:t>
            </w:r>
          </w:hyperlink>
        </w:p>
        <w:p>
          <w:pPr>
            <w:pStyle w:val="Contents2"/>
            <w:tabs>
              <w:tab w:val="clear" w:pos="8743"/>
              <w:tab w:val="right" w:pos="9026" w:leader="dot"/>
            </w:tabs>
            <w:rPr/>
          </w:pPr>
          <w:hyperlink w:anchor="__RefHeading___Toc12417937_2142443653">
            <w:r>
              <w:rPr>
                <w:webHidden/>
                <w:rStyle w:val="IndexLink"/>
              </w:rPr>
              <w:t>6</w:t>
            </w:r>
            <w:r>
              <w:rPr>
                <w:rStyle w:val="IndexLink"/>
                <w:rtl w:val="true"/>
              </w:rPr>
              <w:t xml:space="preserve">- </w:t>
            </w:r>
            <w:r>
              <w:rPr>
                <w:rStyle w:val="IndexLink"/>
                <w:rtl w:val="true"/>
              </w:rPr>
              <w:t>بَابُ أَنَّ الْقَيْ ءَ وَالْمِدَّةَ</w:t>
            </w:r>
            <w:r>
              <w:rPr>
                <w:rStyle w:val="IndexLink"/>
                <w:rtl w:val="true"/>
              </w:rPr>
              <w:tab/>
            </w:r>
            <w:r>
              <w:rPr>
                <w:rStyle w:val="IndexLink"/>
              </w:rPr>
              <w:t>139</w:t>
            </w:r>
          </w:hyperlink>
        </w:p>
        <w:p>
          <w:pPr>
            <w:pStyle w:val="Contents3"/>
            <w:tabs>
              <w:tab w:val="clear" w:pos="8459"/>
              <w:tab w:val="right" w:pos="9026" w:leader="dot"/>
            </w:tabs>
            <w:rPr/>
          </w:pPr>
          <w:hyperlink w:anchor="__RefHeading___Toc12417939_2142443653">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2417941_2142443653">
            <w:r>
              <w:rPr>
                <w:webHidden/>
                <w:rStyle w:val="IndexLink"/>
                <w:rtl w:val="true"/>
              </w:rPr>
              <w:t>شرح الباب</w:t>
            </w:r>
            <w:r>
              <w:rPr>
                <w:rStyle w:val="IndexLink"/>
                <w:rtl w:val="true"/>
              </w:rPr>
              <w:t>:</w:t>
              <w:tab/>
            </w:r>
            <w:r>
              <w:rPr>
                <w:rStyle w:val="IndexLink"/>
              </w:rPr>
              <w:t>139</w:t>
            </w:r>
          </w:hyperlink>
        </w:p>
        <w:p>
          <w:pPr>
            <w:pStyle w:val="Contents3"/>
            <w:tabs>
              <w:tab w:val="clear" w:pos="8459"/>
              <w:tab w:val="right" w:pos="9026" w:leader="dot"/>
            </w:tabs>
            <w:rPr/>
          </w:pPr>
          <w:hyperlink w:anchor="__RefHeading___Toc12417943_2142443653">
            <w:r>
              <w:rPr>
                <w:webHidden/>
                <w:rStyle w:val="IndexLink"/>
                <w:rtl w:val="true"/>
              </w:rPr>
              <w:t>أقوال الخاصّة</w:t>
            </w:r>
            <w:r>
              <w:rPr>
                <w:rStyle w:val="IndexLink"/>
                <w:rtl w:val="true"/>
              </w:rPr>
              <w:t>:</w:t>
              <w:tab/>
            </w:r>
            <w:r>
              <w:rPr>
                <w:rStyle w:val="IndexLink"/>
              </w:rPr>
              <w:t>140</w:t>
            </w:r>
          </w:hyperlink>
        </w:p>
        <w:p>
          <w:pPr>
            <w:pStyle w:val="Contents3"/>
            <w:tabs>
              <w:tab w:val="clear" w:pos="8459"/>
              <w:tab w:val="right" w:pos="9026" w:leader="dot"/>
            </w:tabs>
            <w:rPr/>
          </w:pPr>
          <w:hyperlink w:anchor="__RefHeading___Toc12417945_2142443653">
            <w:r>
              <w:rPr>
                <w:webHidden/>
                <w:rStyle w:val="IndexLink"/>
                <w:rtl w:val="true"/>
              </w:rPr>
              <w:t>أقوال العامّة</w:t>
            </w:r>
            <w:r>
              <w:rPr>
                <w:rStyle w:val="IndexLink"/>
                <w:rtl w:val="true"/>
              </w:rPr>
              <w:t>:</w:t>
              <w:tab/>
            </w:r>
            <w:r>
              <w:rPr>
                <w:rStyle w:val="IndexLink"/>
              </w:rPr>
              <w:t>141</w:t>
            </w:r>
          </w:hyperlink>
        </w:p>
        <w:p>
          <w:pPr>
            <w:pStyle w:val="Contents3"/>
            <w:tabs>
              <w:tab w:val="clear" w:pos="8459"/>
              <w:tab w:val="right" w:pos="9026" w:leader="dot"/>
            </w:tabs>
            <w:rPr/>
          </w:pPr>
          <w:hyperlink w:anchor="__RefHeading___Toc12417947_2142443653">
            <w:r>
              <w:rPr>
                <w:webHidden/>
                <w:rStyle w:val="IndexLink"/>
                <w:rtl w:val="true"/>
              </w:rPr>
              <w:t>المتحصل من الأحادیث</w:t>
            </w:r>
            <w:r>
              <w:rPr>
                <w:rStyle w:val="IndexLink"/>
                <w:rtl w:val="true"/>
              </w:rPr>
              <w:tab/>
            </w:r>
            <w:r>
              <w:rPr>
                <w:rStyle w:val="IndexLink"/>
              </w:rPr>
              <w:t>167</w:t>
            </w:r>
          </w:hyperlink>
        </w:p>
        <w:p>
          <w:pPr>
            <w:pStyle w:val="Contents2"/>
            <w:tabs>
              <w:tab w:val="clear" w:pos="8743"/>
              <w:tab w:val="right" w:pos="9026" w:leader="dot"/>
            </w:tabs>
            <w:rPr/>
          </w:pPr>
          <w:hyperlink w:anchor="__RefHeading___Toc12417949_2142443653">
            <w:r>
              <w:rPr>
                <w:webHidden/>
                <w:rStyle w:val="IndexLink"/>
              </w:rPr>
              <w:t>7</w:t>
            </w:r>
            <w:r>
              <w:rPr>
                <w:rStyle w:val="IndexLink"/>
                <w:rtl w:val="true"/>
              </w:rPr>
              <w:t xml:space="preserve">- </w:t>
            </w:r>
            <w:r>
              <w:rPr>
                <w:rStyle w:val="IndexLink"/>
                <w:rtl w:val="true"/>
              </w:rPr>
              <w:t>بَابُ أَنَّهُ لَا يَنْقُضُ الْوُضُو ءَ رُعَافٌ وَلَا حِجَامَةٌ وَلَا خُرُوجُ دَمٍ غَيْرُ الْحَيْضِ وَالِاسْتِحَاضَةِ وَالنِّفَاسِ</w:t>
            </w:r>
            <w:r>
              <w:rPr>
                <w:rStyle w:val="IndexLink"/>
                <w:rtl w:val="true"/>
              </w:rPr>
              <w:tab/>
            </w:r>
            <w:r>
              <w:rPr>
                <w:rStyle w:val="IndexLink"/>
              </w:rPr>
              <w:t>169</w:t>
            </w:r>
          </w:hyperlink>
        </w:p>
        <w:p>
          <w:pPr>
            <w:pStyle w:val="Contents3"/>
            <w:tabs>
              <w:tab w:val="clear" w:pos="8459"/>
              <w:tab w:val="right" w:pos="9026" w:leader="dot"/>
            </w:tabs>
            <w:rPr/>
          </w:pPr>
          <w:hyperlink w:anchor="__RefHeading___Toc12417951_2142443653">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12417953_2142443653">
            <w:r>
              <w:rPr>
                <w:webHidden/>
                <w:rStyle w:val="IndexLink"/>
                <w:rtl w:val="true"/>
              </w:rPr>
              <w:t>شرح الباب</w:t>
            </w:r>
            <w:r>
              <w:rPr>
                <w:rStyle w:val="IndexLink"/>
                <w:rtl w:val="true"/>
              </w:rPr>
              <w:t>:</w:t>
              <w:tab/>
            </w:r>
            <w:r>
              <w:rPr>
                <w:rStyle w:val="IndexLink"/>
              </w:rPr>
              <w:t>169</w:t>
            </w:r>
          </w:hyperlink>
        </w:p>
        <w:p>
          <w:pPr>
            <w:pStyle w:val="Contents3"/>
            <w:tabs>
              <w:tab w:val="clear" w:pos="8459"/>
              <w:tab w:val="right" w:pos="9026" w:leader="dot"/>
            </w:tabs>
            <w:rPr/>
          </w:pPr>
          <w:hyperlink w:anchor="__RefHeading___Toc12417955_2142443653">
            <w:r>
              <w:rPr>
                <w:webHidden/>
                <w:rStyle w:val="IndexLink"/>
                <w:rtl w:val="true"/>
              </w:rPr>
              <w:t>أقوال الخاصّة</w:t>
            </w:r>
            <w:r>
              <w:rPr>
                <w:rStyle w:val="IndexLink"/>
                <w:rtl w:val="true"/>
              </w:rPr>
              <w:t>:</w:t>
              <w:tab/>
            </w:r>
            <w:r>
              <w:rPr>
                <w:rStyle w:val="IndexLink"/>
              </w:rPr>
              <w:t>169</w:t>
            </w:r>
          </w:hyperlink>
        </w:p>
        <w:p>
          <w:pPr>
            <w:pStyle w:val="Contents3"/>
            <w:tabs>
              <w:tab w:val="clear" w:pos="8459"/>
              <w:tab w:val="right" w:pos="9026" w:leader="dot"/>
            </w:tabs>
            <w:rPr/>
          </w:pPr>
          <w:hyperlink w:anchor="__RefHeading___Toc12417957_2142443653">
            <w:r>
              <w:rPr>
                <w:webHidden/>
                <w:rStyle w:val="IndexLink"/>
                <w:rtl w:val="true"/>
              </w:rPr>
              <w:t>أقوال العامّة</w:t>
            </w:r>
            <w:r>
              <w:rPr>
                <w:rStyle w:val="IndexLink"/>
                <w:rtl w:val="true"/>
              </w:rPr>
              <w:t>:</w:t>
              <w:tab/>
            </w:r>
            <w:r>
              <w:rPr>
                <w:rStyle w:val="IndexLink"/>
              </w:rPr>
              <w:t>170</w:t>
            </w:r>
          </w:hyperlink>
        </w:p>
        <w:p>
          <w:pPr>
            <w:pStyle w:val="Contents3"/>
            <w:tabs>
              <w:tab w:val="clear" w:pos="8459"/>
              <w:tab w:val="right" w:pos="9026" w:leader="dot"/>
            </w:tabs>
            <w:rPr/>
          </w:pPr>
          <w:hyperlink w:anchor="__RefHeading___Toc12417959_2142443653">
            <w:r>
              <w:rPr>
                <w:webHidden/>
                <w:rStyle w:val="IndexLink"/>
                <w:rtl w:val="true"/>
              </w:rPr>
              <w:t>بحث رجالي حول عبدالأعلي مولی آل سام</w:t>
            </w:r>
            <w:r>
              <w:rPr>
                <w:rStyle w:val="IndexLink"/>
                <w:rtl w:val="true"/>
              </w:rPr>
              <w:tab/>
            </w:r>
            <w:r>
              <w:rPr>
                <w:rStyle w:val="IndexLink"/>
              </w:rPr>
              <w:t>171</w:t>
            </w:r>
          </w:hyperlink>
        </w:p>
        <w:p>
          <w:pPr>
            <w:pStyle w:val="Contents3"/>
            <w:tabs>
              <w:tab w:val="clear" w:pos="8459"/>
              <w:tab w:val="right" w:pos="9026" w:leader="dot"/>
            </w:tabs>
            <w:rPr/>
          </w:pPr>
          <w:hyperlink w:anchor="__RefHeading___Toc12417961_2142443653">
            <w:r>
              <w:rPr>
                <w:webHidden/>
                <w:rStyle w:val="IndexLink"/>
                <w:rtl w:val="true"/>
              </w:rPr>
              <w:t>المتحصل من الأحادیث</w:t>
            </w:r>
            <w:r>
              <w:rPr>
                <w:rStyle w:val="IndexLink"/>
                <w:rtl w:val="true"/>
              </w:rPr>
              <w:tab/>
            </w:r>
            <w:r>
              <w:rPr>
                <w:rStyle w:val="IndexLink"/>
              </w:rPr>
              <w:t>200</w:t>
            </w:r>
          </w:hyperlink>
        </w:p>
        <w:p>
          <w:pPr>
            <w:pStyle w:val="Contents2"/>
            <w:tabs>
              <w:tab w:val="clear" w:pos="8743"/>
              <w:tab w:val="right" w:pos="9026" w:leader="dot"/>
            </w:tabs>
            <w:rPr/>
          </w:pPr>
          <w:hyperlink w:anchor="__RefHeading___Toc12417963_2142443653">
            <w:r>
              <w:rPr>
                <w:webHidden/>
                <w:rStyle w:val="IndexLink"/>
              </w:rPr>
              <w:t>8</w:t>
            </w:r>
            <w:r>
              <w:rPr>
                <w:rStyle w:val="IndexLink"/>
                <w:rtl w:val="true"/>
              </w:rPr>
              <w:t xml:space="preserve">- </w:t>
            </w:r>
            <w:r>
              <w:rPr>
                <w:rStyle w:val="IndexLink"/>
                <w:rtl w:val="true"/>
              </w:rPr>
              <w:t>بَابُ أَنَّ إِنْشَادَ الشِّعْرِ لَا يَنْقُضُ الْوُضُو ءَ</w:t>
            </w:r>
            <w:r>
              <w:rPr>
                <w:rStyle w:val="IndexLink"/>
                <w:rtl w:val="true"/>
              </w:rPr>
              <w:tab/>
            </w:r>
            <w:r>
              <w:rPr>
                <w:rStyle w:val="IndexLink"/>
              </w:rPr>
              <w:t>203</w:t>
            </w:r>
          </w:hyperlink>
        </w:p>
        <w:p>
          <w:pPr>
            <w:pStyle w:val="Contents3"/>
            <w:tabs>
              <w:tab w:val="clear" w:pos="8459"/>
              <w:tab w:val="right" w:pos="9026" w:leader="dot"/>
            </w:tabs>
            <w:rPr/>
          </w:pPr>
          <w:hyperlink w:anchor="__RefHeading___Toc12417965_2142443653">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12417967_2142443653">
            <w:r>
              <w:rPr>
                <w:webHidden/>
                <w:rStyle w:val="IndexLink"/>
                <w:rtl w:val="true"/>
              </w:rPr>
              <w:t>شرح الباب</w:t>
            </w:r>
            <w:r>
              <w:rPr>
                <w:rStyle w:val="IndexLink"/>
                <w:rtl w:val="true"/>
              </w:rPr>
              <w:t>:</w:t>
              <w:tab/>
            </w:r>
            <w:r>
              <w:rPr>
                <w:rStyle w:val="IndexLink"/>
              </w:rPr>
              <w:t>203</w:t>
            </w:r>
          </w:hyperlink>
        </w:p>
        <w:p>
          <w:pPr>
            <w:pStyle w:val="Contents3"/>
            <w:tabs>
              <w:tab w:val="clear" w:pos="8459"/>
              <w:tab w:val="right" w:pos="9026" w:leader="dot"/>
            </w:tabs>
            <w:rPr/>
          </w:pPr>
          <w:hyperlink w:anchor="__RefHeading___Toc12417969_2142443653">
            <w:r>
              <w:rPr>
                <w:webHidden/>
                <w:rStyle w:val="IndexLink"/>
                <w:rtl w:val="true"/>
              </w:rPr>
              <w:t>أقوال الخاصّة</w:t>
            </w:r>
            <w:r>
              <w:rPr>
                <w:rStyle w:val="IndexLink"/>
                <w:rtl w:val="true"/>
              </w:rPr>
              <w:t>:</w:t>
              <w:tab/>
            </w:r>
            <w:r>
              <w:rPr>
                <w:rStyle w:val="IndexLink"/>
              </w:rPr>
              <w:t>204</w:t>
            </w:r>
          </w:hyperlink>
        </w:p>
        <w:p>
          <w:pPr>
            <w:pStyle w:val="Contents3"/>
            <w:tabs>
              <w:tab w:val="clear" w:pos="8459"/>
              <w:tab w:val="right" w:pos="9026" w:leader="dot"/>
            </w:tabs>
            <w:rPr/>
          </w:pPr>
          <w:hyperlink w:anchor="__RefHeading___Toc12417971_2142443653">
            <w:r>
              <w:rPr>
                <w:webHidden/>
                <w:rStyle w:val="IndexLink"/>
                <w:rtl w:val="true"/>
              </w:rPr>
              <w:t>أقوال العامّة</w:t>
            </w:r>
            <w:r>
              <w:rPr>
                <w:rStyle w:val="IndexLink"/>
                <w:rtl w:val="true"/>
              </w:rPr>
              <w:t>:</w:t>
              <w:tab/>
            </w:r>
            <w:r>
              <w:rPr>
                <w:rStyle w:val="IndexLink"/>
              </w:rPr>
              <w:t>205</w:t>
            </w:r>
          </w:hyperlink>
        </w:p>
        <w:p>
          <w:pPr>
            <w:pStyle w:val="Contents3"/>
            <w:tabs>
              <w:tab w:val="clear" w:pos="8459"/>
              <w:tab w:val="right" w:pos="9026" w:leader="dot"/>
            </w:tabs>
            <w:rPr/>
          </w:pPr>
          <w:hyperlink w:anchor="__RefHeading___Toc12417973_2142443653">
            <w:r>
              <w:rPr>
                <w:webHidden/>
                <w:rStyle w:val="IndexLink"/>
                <w:rtl w:val="true"/>
              </w:rPr>
              <w:t>المتحصل من الأحادیث</w:t>
            </w:r>
            <w:r>
              <w:rPr>
                <w:rStyle w:val="IndexLink"/>
                <w:rtl w:val="true"/>
              </w:rPr>
              <w:tab/>
            </w:r>
            <w:r>
              <w:rPr>
                <w:rStyle w:val="IndexLink"/>
              </w:rPr>
              <w:t>210</w:t>
            </w:r>
          </w:hyperlink>
        </w:p>
        <w:p>
          <w:pPr>
            <w:pStyle w:val="Contents2"/>
            <w:tabs>
              <w:tab w:val="clear" w:pos="8743"/>
              <w:tab w:val="right" w:pos="9026" w:leader="dot"/>
            </w:tabs>
            <w:rPr/>
          </w:pPr>
          <w:hyperlink w:anchor="__RefHeading___Toc12417975_2142443653">
            <w:r>
              <w:rPr>
                <w:webHidden/>
                <w:rStyle w:val="IndexLink"/>
              </w:rPr>
              <w:t>9</w:t>
            </w:r>
            <w:r>
              <w:rPr>
                <w:rStyle w:val="IndexLink"/>
                <w:rtl w:val="true"/>
              </w:rPr>
              <w:t xml:space="preserve">- </w:t>
            </w:r>
            <w:r>
              <w:rPr>
                <w:rStyle w:val="IndexLink"/>
                <w:rtl w:val="true"/>
              </w:rPr>
              <w:t>بَابُ أَنَّ الْقُبْلَةَ وَالْمُبَاشَرَةَ وَالْمُضَاجَعَةَ وَمَسَّ الْفَرْجِ مُطْلَقاً وَنَحْوَ ذَلِكَ مِمَّا دُونَ الْجِمَاعِ لَا يَنْقُضُ الْوُضُو ءَ</w:t>
            </w:r>
            <w:r>
              <w:rPr>
                <w:rStyle w:val="IndexLink"/>
                <w:rtl w:val="true"/>
              </w:rPr>
              <w:tab/>
            </w:r>
            <w:r>
              <w:rPr>
                <w:rStyle w:val="IndexLink"/>
              </w:rPr>
              <w:t>211</w:t>
            </w:r>
          </w:hyperlink>
        </w:p>
        <w:p>
          <w:pPr>
            <w:pStyle w:val="Contents3"/>
            <w:tabs>
              <w:tab w:val="clear" w:pos="8459"/>
              <w:tab w:val="right" w:pos="9026" w:leader="dot"/>
            </w:tabs>
            <w:rPr/>
          </w:pPr>
          <w:hyperlink w:anchor="__RefHeading___Toc12417977_2142443653">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12417979_2142443653">
            <w:r>
              <w:rPr>
                <w:webHidden/>
                <w:rStyle w:val="IndexLink"/>
                <w:rtl w:val="true"/>
              </w:rPr>
              <w:t>شرح الباب</w:t>
            </w:r>
            <w:r>
              <w:rPr>
                <w:rStyle w:val="IndexLink"/>
                <w:rtl w:val="true"/>
              </w:rPr>
              <w:t>:</w:t>
              <w:tab/>
            </w:r>
            <w:r>
              <w:rPr>
                <w:rStyle w:val="IndexLink"/>
              </w:rPr>
              <w:t>211</w:t>
            </w:r>
          </w:hyperlink>
        </w:p>
        <w:p>
          <w:pPr>
            <w:pStyle w:val="Contents3"/>
            <w:tabs>
              <w:tab w:val="clear" w:pos="8459"/>
              <w:tab w:val="right" w:pos="9026" w:leader="dot"/>
            </w:tabs>
            <w:rPr/>
          </w:pPr>
          <w:hyperlink w:anchor="__RefHeading___Toc12417981_2142443653">
            <w:r>
              <w:rPr>
                <w:webHidden/>
                <w:rStyle w:val="IndexLink"/>
                <w:rtl w:val="true"/>
              </w:rPr>
              <w:t>أقوال الخاصّة</w:t>
            </w:r>
            <w:r>
              <w:rPr>
                <w:rStyle w:val="IndexLink"/>
                <w:rtl w:val="true"/>
              </w:rPr>
              <w:t>:</w:t>
              <w:tab/>
            </w:r>
            <w:r>
              <w:rPr>
                <w:rStyle w:val="IndexLink"/>
              </w:rPr>
              <w:t>212</w:t>
            </w:r>
          </w:hyperlink>
        </w:p>
        <w:p>
          <w:pPr>
            <w:pStyle w:val="Contents3"/>
            <w:tabs>
              <w:tab w:val="clear" w:pos="8459"/>
              <w:tab w:val="right" w:pos="9026" w:leader="dot"/>
            </w:tabs>
            <w:rPr/>
          </w:pPr>
          <w:hyperlink w:anchor="__RefHeading___Toc12417983_2142443653">
            <w:r>
              <w:rPr>
                <w:webHidden/>
                <w:rStyle w:val="IndexLink"/>
                <w:rtl w:val="true"/>
              </w:rPr>
              <w:t>أقوال العامّة</w:t>
            </w:r>
            <w:r>
              <w:rPr>
                <w:rStyle w:val="IndexLink"/>
                <w:rtl w:val="true"/>
              </w:rPr>
              <w:t>:</w:t>
              <w:tab/>
            </w:r>
            <w:r>
              <w:rPr>
                <w:rStyle w:val="IndexLink"/>
              </w:rPr>
              <w:t>213</w:t>
            </w:r>
          </w:hyperlink>
        </w:p>
        <w:p>
          <w:pPr>
            <w:pStyle w:val="Contents3"/>
            <w:tabs>
              <w:tab w:val="clear" w:pos="8459"/>
              <w:tab w:val="right" w:pos="9026" w:leader="dot"/>
            </w:tabs>
            <w:rPr/>
          </w:pPr>
          <w:hyperlink w:anchor="__RefHeading___Toc12417985_2142443653">
            <w:r>
              <w:rPr>
                <w:webHidden/>
                <w:rStyle w:val="IndexLink"/>
                <w:rtl w:val="true"/>
              </w:rPr>
              <w:t>وأمّا الحلبي فهو مشترك بين أربعة</w:t>
            </w:r>
            <w:r>
              <w:rPr>
                <w:rStyle w:val="IndexLink"/>
                <w:rtl w:val="true"/>
              </w:rPr>
              <w:t>:</w:t>
              <w:tab/>
            </w:r>
            <w:r>
              <w:rPr>
                <w:rStyle w:val="IndexLink"/>
              </w:rPr>
              <w:t>225</w:t>
            </w:r>
          </w:hyperlink>
        </w:p>
        <w:p>
          <w:pPr>
            <w:pStyle w:val="Contents3"/>
            <w:tabs>
              <w:tab w:val="clear" w:pos="8459"/>
              <w:tab w:val="right" w:pos="9026" w:leader="dot"/>
            </w:tabs>
            <w:rPr/>
          </w:pPr>
          <w:hyperlink w:anchor="__RefHeading___Toc12417987_2142443653">
            <w:r>
              <w:rPr>
                <w:webHidden/>
                <w:rStyle w:val="IndexLink"/>
                <w:rtl w:val="true"/>
              </w:rPr>
              <w:t>الجمع بين الأحاديث</w:t>
            </w:r>
            <w:r>
              <w:rPr>
                <w:rStyle w:val="IndexLink"/>
                <w:rtl w:val="true"/>
              </w:rPr>
              <w:t>:</w:t>
              <w:tab/>
            </w:r>
            <w:r>
              <w:rPr>
                <w:rStyle w:val="IndexLink"/>
              </w:rPr>
              <w:t>236</w:t>
            </w:r>
          </w:hyperlink>
        </w:p>
        <w:p>
          <w:pPr>
            <w:pStyle w:val="Contents3"/>
            <w:tabs>
              <w:tab w:val="clear" w:pos="8459"/>
              <w:tab w:val="right" w:pos="9026" w:leader="dot"/>
            </w:tabs>
            <w:rPr/>
          </w:pPr>
          <w:hyperlink w:anchor="__RefHeading___Toc12417989_2142443653">
            <w:r>
              <w:rPr>
                <w:webHidden/>
                <w:rStyle w:val="IndexLink"/>
                <w:rtl w:val="true"/>
              </w:rPr>
              <w:t>سند الحديث</w:t>
            </w:r>
            <w:r>
              <w:rPr>
                <w:rStyle w:val="IndexLink"/>
                <w:rtl w:val="true"/>
              </w:rPr>
              <w:t>:</w:t>
              <w:tab/>
            </w:r>
            <w:r>
              <w:rPr>
                <w:rStyle w:val="IndexLink"/>
              </w:rPr>
              <w:t>240</w:t>
            </w:r>
          </w:hyperlink>
        </w:p>
        <w:p>
          <w:pPr>
            <w:pStyle w:val="Contents3"/>
            <w:tabs>
              <w:tab w:val="clear" w:pos="8459"/>
              <w:tab w:val="right" w:pos="9026" w:leader="dot"/>
            </w:tabs>
            <w:rPr/>
          </w:pPr>
          <w:hyperlink w:anchor="__RefHeading___Toc12417991_2142443653">
            <w:r>
              <w:rPr>
                <w:webHidden/>
                <w:rStyle w:val="IndexLink"/>
                <w:rtl w:val="true"/>
              </w:rPr>
              <w:t>المتحصل من الأحادیث</w:t>
            </w:r>
            <w:r>
              <w:rPr>
                <w:rStyle w:val="IndexLink"/>
                <w:rtl w:val="true"/>
              </w:rPr>
              <w:tab/>
            </w:r>
            <w:r>
              <w:rPr>
                <w:rStyle w:val="IndexLink"/>
              </w:rPr>
              <w:t>246</w:t>
            </w:r>
          </w:hyperlink>
        </w:p>
        <w:p>
          <w:pPr>
            <w:pStyle w:val="Contents2"/>
            <w:tabs>
              <w:tab w:val="clear" w:pos="8743"/>
              <w:tab w:val="right" w:pos="9026" w:leader="dot"/>
            </w:tabs>
            <w:rPr/>
          </w:pPr>
          <w:hyperlink w:anchor="__RefHeading___Toc12417993_2142443653">
            <w:r>
              <w:rPr>
                <w:webHidden/>
                <w:rStyle w:val="IndexLink"/>
              </w:rPr>
              <w:t>10</w:t>
            </w:r>
            <w:r>
              <w:rPr>
                <w:rStyle w:val="IndexLink"/>
                <w:rtl w:val="true"/>
              </w:rPr>
              <w:t xml:space="preserve">- </w:t>
            </w:r>
            <w:r>
              <w:rPr>
                <w:rStyle w:val="IndexLink"/>
                <w:rtl w:val="true"/>
              </w:rPr>
              <w:t>بَابُ أَنَّ مُلَاقَاةَ الْبَوْلِ وَالْغَائِطِ لِلْبَدَنِ لَا يَنْقُضُ الْوُضُو ءَ</w:t>
            </w:r>
            <w:r>
              <w:rPr>
                <w:rStyle w:val="IndexLink"/>
                <w:rtl w:val="true"/>
              </w:rPr>
              <w:tab/>
            </w:r>
            <w:r>
              <w:rPr>
                <w:rStyle w:val="IndexLink"/>
              </w:rPr>
              <w:t>247</w:t>
            </w:r>
          </w:hyperlink>
        </w:p>
        <w:p>
          <w:pPr>
            <w:pStyle w:val="Contents3"/>
            <w:tabs>
              <w:tab w:val="clear" w:pos="8459"/>
              <w:tab w:val="right" w:pos="9026" w:leader="dot"/>
            </w:tabs>
            <w:rPr/>
          </w:pPr>
          <w:hyperlink w:anchor="__RefHeading___Toc12417995_2142443653">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12417997_2142443653">
            <w:r>
              <w:rPr>
                <w:webHidden/>
                <w:rStyle w:val="IndexLink"/>
                <w:rtl w:val="true"/>
              </w:rPr>
              <w:t>شرح الباب</w:t>
            </w:r>
            <w:r>
              <w:rPr>
                <w:rStyle w:val="IndexLink"/>
                <w:rtl w:val="true"/>
              </w:rPr>
              <w:t>:</w:t>
              <w:tab/>
            </w:r>
            <w:r>
              <w:rPr>
                <w:rStyle w:val="IndexLink"/>
              </w:rPr>
              <w:t>247</w:t>
            </w:r>
          </w:hyperlink>
        </w:p>
        <w:p>
          <w:pPr>
            <w:pStyle w:val="Contents2"/>
            <w:tabs>
              <w:tab w:val="clear" w:pos="8743"/>
              <w:tab w:val="right" w:pos="9026" w:leader="dot"/>
            </w:tabs>
            <w:rPr/>
          </w:pPr>
          <w:hyperlink w:anchor="__RefHeading___Toc12417999_2142443653">
            <w:r>
              <w:rPr>
                <w:webHidden/>
                <w:rStyle w:val="IndexLink"/>
              </w:rPr>
              <w:t>11</w:t>
            </w:r>
            <w:r>
              <w:rPr>
                <w:rStyle w:val="IndexLink"/>
                <w:rtl w:val="true"/>
              </w:rPr>
              <w:t xml:space="preserve">- </w:t>
            </w:r>
            <w:r>
              <w:rPr>
                <w:rStyle w:val="IndexLink"/>
                <w:rtl w:val="true"/>
              </w:rPr>
              <w:t>بَابُ أَنَّ لَمْسَ الْكَلْبِ وَالْكَافِرِ لَا يَنْقُضُ الْوُضُو ءَ</w:t>
            </w:r>
            <w:r>
              <w:rPr>
                <w:rStyle w:val="IndexLink"/>
                <w:rtl w:val="true"/>
              </w:rPr>
              <w:tab/>
            </w:r>
            <w:r>
              <w:rPr>
                <w:rStyle w:val="IndexLink"/>
              </w:rPr>
              <w:t>253</w:t>
            </w:r>
          </w:hyperlink>
        </w:p>
        <w:p>
          <w:pPr>
            <w:pStyle w:val="Contents3"/>
            <w:tabs>
              <w:tab w:val="clear" w:pos="8459"/>
              <w:tab w:val="right" w:pos="9026" w:leader="dot"/>
            </w:tabs>
            <w:rPr/>
          </w:pPr>
          <w:hyperlink w:anchor="__RefHeading___Toc12418001_2142443653">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12418003_2142443653">
            <w:r>
              <w:rPr>
                <w:webHidden/>
                <w:rStyle w:val="IndexLink"/>
                <w:rtl w:val="true"/>
              </w:rPr>
              <w:t>شرح الباب</w:t>
            </w:r>
            <w:r>
              <w:rPr>
                <w:rStyle w:val="IndexLink"/>
                <w:rtl w:val="true"/>
              </w:rPr>
              <w:t>:</w:t>
              <w:tab/>
            </w:r>
            <w:r>
              <w:rPr>
                <w:rStyle w:val="IndexLink"/>
              </w:rPr>
              <w:t>253</w:t>
            </w:r>
          </w:hyperlink>
        </w:p>
        <w:p>
          <w:pPr>
            <w:pStyle w:val="Contents3"/>
            <w:tabs>
              <w:tab w:val="clear" w:pos="8459"/>
              <w:tab w:val="right" w:pos="9026" w:leader="dot"/>
            </w:tabs>
            <w:rPr/>
          </w:pPr>
          <w:hyperlink w:anchor="__RefHeading___Toc12418005_2142443653">
            <w:r>
              <w:rPr>
                <w:webHidden/>
                <w:rStyle w:val="IndexLink"/>
                <w:rtl w:val="true"/>
              </w:rPr>
              <w:t>المتحصل من الأحادیث</w:t>
            </w:r>
            <w:r>
              <w:rPr>
                <w:rStyle w:val="IndexLink"/>
                <w:rtl w:val="true"/>
              </w:rPr>
              <w:tab/>
            </w:r>
            <w:r>
              <w:rPr>
                <w:rStyle w:val="IndexLink"/>
              </w:rPr>
              <w:t>260</w:t>
            </w:r>
          </w:hyperlink>
        </w:p>
        <w:p>
          <w:pPr>
            <w:pStyle w:val="Contents2"/>
            <w:tabs>
              <w:tab w:val="clear" w:pos="8743"/>
              <w:tab w:val="right" w:pos="9026" w:leader="dot"/>
            </w:tabs>
            <w:rPr/>
          </w:pPr>
          <w:hyperlink w:anchor="__RefHeading___Toc12418007_2142443653">
            <w:r>
              <w:rPr>
                <w:webHidden/>
                <w:rStyle w:val="IndexLink"/>
              </w:rPr>
              <w:t>12</w:t>
            </w:r>
            <w:r>
              <w:rPr>
                <w:rStyle w:val="IndexLink"/>
                <w:rtl w:val="true"/>
              </w:rPr>
              <w:t>-</w:t>
            </w:r>
            <w:r>
              <w:rPr>
                <w:rStyle w:val="IndexLink"/>
                <w:rtl w:val="true"/>
              </w:rPr>
              <w:t>بَابُ أَنَّ الْمَذْيَ وَالْوَذْيَ وَالْوَدْيَ وَالْإِنْعَاظَ وَالنُّخَامَةَ وَالْبُصَاقَ وَالْمُخَاطَ لَا يَنْقُضُ شَيْ ءٌ مِنْهَا الْوُضُو ءَ لَكِنْ يُسْتَحَبُّ الْوُضُو ءُ مِنَ الْمَذْيِ عَنْ شَهْوَةٍ</w:t>
            </w:r>
            <w:r>
              <w:rPr>
                <w:rStyle w:val="IndexLink"/>
                <w:rtl w:val="true"/>
              </w:rPr>
              <w:tab/>
            </w:r>
            <w:r>
              <w:rPr>
                <w:rStyle w:val="IndexLink"/>
              </w:rPr>
              <w:t>261</w:t>
            </w:r>
          </w:hyperlink>
        </w:p>
        <w:p>
          <w:pPr>
            <w:pStyle w:val="Contents3"/>
            <w:tabs>
              <w:tab w:val="clear" w:pos="8459"/>
              <w:tab w:val="right" w:pos="9026" w:leader="dot"/>
            </w:tabs>
            <w:rPr/>
          </w:pPr>
          <w:hyperlink w:anchor="__RefHeading___Toc12418009_2142443653">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12418011_2142443653">
            <w:r>
              <w:rPr>
                <w:webHidden/>
                <w:rStyle w:val="IndexLink"/>
                <w:rtl w:val="true"/>
              </w:rPr>
              <w:t>شرح الباب</w:t>
            </w:r>
            <w:r>
              <w:rPr>
                <w:rStyle w:val="IndexLink"/>
                <w:rtl w:val="true"/>
              </w:rPr>
              <w:t>:</w:t>
              <w:tab/>
            </w:r>
            <w:r>
              <w:rPr>
                <w:rStyle w:val="IndexLink"/>
              </w:rPr>
              <w:t>261</w:t>
            </w:r>
          </w:hyperlink>
        </w:p>
        <w:p>
          <w:pPr>
            <w:pStyle w:val="Contents3"/>
            <w:tabs>
              <w:tab w:val="clear" w:pos="8459"/>
              <w:tab w:val="right" w:pos="9026" w:leader="dot"/>
            </w:tabs>
            <w:rPr/>
          </w:pPr>
          <w:hyperlink w:anchor="__RefHeading___Toc12418013_2142443653">
            <w:r>
              <w:rPr>
                <w:webHidden/>
                <w:rStyle w:val="IndexLink"/>
                <w:rtl w:val="true"/>
              </w:rPr>
              <w:t>أقوال الخاصّة</w:t>
            </w:r>
            <w:r>
              <w:rPr>
                <w:rStyle w:val="IndexLink"/>
                <w:rtl w:val="true"/>
              </w:rPr>
              <w:t>:</w:t>
              <w:tab/>
            </w:r>
            <w:r>
              <w:rPr>
                <w:rStyle w:val="IndexLink"/>
              </w:rPr>
              <w:t>263</w:t>
            </w:r>
          </w:hyperlink>
        </w:p>
        <w:p>
          <w:pPr>
            <w:pStyle w:val="Contents3"/>
            <w:tabs>
              <w:tab w:val="clear" w:pos="8459"/>
              <w:tab w:val="right" w:pos="9026" w:leader="dot"/>
            </w:tabs>
            <w:rPr/>
          </w:pPr>
          <w:hyperlink w:anchor="__RefHeading___Toc12418015_2142443653">
            <w:r>
              <w:rPr>
                <w:webHidden/>
                <w:rStyle w:val="IndexLink"/>
                <w:rtl w:val="true"/>
              </w:rPr>
              <w:t>أقوال العامّة</w:t>
            </w:r>
            <w:r>
              <w:rPr>
                <w:rStyle w:val="IndexLink"/>
                <w:rtl w:val="true"/>
              </w:rPr>
              <w:t>:</w:t>
              <w:tab/>
            </w:r>
            <w:r>
              <w:rPr>
                <w:rStyle w:val="IndexLink"/>
              </w:rPr>
              <w:t>263</w:t>
            </w:r>
          </w:hyperlink>
        </w:p>
        <w:p>
          <w:pPr>
            <w:pStyle w:val="Contents3"/>
            <w:tabs>
              <w:tab w:val="clear" w:pos="8459"/>
              <w:tab w:val="right" w:pos="9026" w:leader="dot"/>
            </w:tabs>
            <w:rPr/>
          </w:pPr>
          <w:hyperlink w:anchor="__RefHeading___Toc12418017_2142443653">
            <w:r>
              <w:rPr>
                <w:webHidden/>
                <w:rStyle w:val="IndexLink"/>
                <w:rtl w:val="true"/>
              </w:rPr>
              <w:t>الجمع بين الأحاديث</w:t>
            </w:r>
            <w:r>
              <w:rPr>
                <w:rStyle w:val="IndexLink"/>
                <w:rtl w:val="true"/>
              </w:rPr>
              <w:t>:</w:t>
              <w:tab/>
            </w:r>
            <w:r>
              <w:rPr>
                <w:rStyle w:val="IndexLink"/>
              </w:rPr>
              <w:t>297</w:t>
            </w:r>
          </w:hyperlink>
        </w:p>
        <w:p>
          <w:pPr>
            <w:pStyle w:val="Contents3"/>
            <w:tabs>
              <w:tab w:val="clear" w:pos="8459"/>
              <w:tab w:val="right" w:pos="9026" w:leader="dot"/>
            </w:tabs>
            <w:rPr/>
          </w:pPr>
          <w:hyperlink w:anchor="__RefHeading___Toc12418019_2142443653">
            <w:r>
              <w:rPr>
                <w:webHidden/>
                <w:rStyle w:val="IndexLink"/>
                <w:rtl w:val="true"/>
              </w:rPr>
              <w:t>المتحصل من الأحادیث</w:t>
            </w:r>
            <w:r>
              <w:rPr>
                <w:rStyle w:val="IndexLink"/>
                <w:rtl w:val="true"/>
              </w:rPr>
              <w:tab/>
            </w:r>
            <w:r>
              <w:rPr>
                <w:rStyle w:val="IndexLink"/>
              </w:rPr>
              <w:t>302</w:t>
            </w:r>
          </w:hyperlink>
        </w:p>
        <w:p>
          <w:pPr>
            <w:pStyle w:val="Contents3"/>
            <w:tabs>
              <w:tab w:val="clear" w:pos="8459"/>
              <w:tab w:val="right" w:pos="9026" w:leader="dot"/>
            </w:tabs>
            <w:rPr/>
          </w:pPr>
          <w:hyperlink w:anchor="__RefHeading___Toc12418021_2142443653">
            <w:r>
              <w:rPr>
                <w:webHidden/>
                <w:rStyle w:val="IndexLink"/>
                <w:rtl w:val="true"/>
              </w:rPr>
              <w:t>المتحصل من الأحادیث</w:t>
            </w:r>
            <w:r>
              <w:rPr>
                <w:rStyle w:val="IndexLink"/>
                <w:rtl w:val="true"/>
              </w:rPr>
              <w:tab/>
            </w:r>
            <w:r>
              <w:rPr>
                <w:rStyle w:val="IndexLink"/>
              </w:rPr>
              <w:t>302</w:t>
            </w:r>
          </w:hyperlink>
        </w:p>
        <w:p>
          <w:pPr>
            <w:pStyle w:val="Contents2"/>
            <w:tabs>
              <w:tab w:val="clear" w:pos="8743"/>
              <w:tab w:val="right" w:pos="9026" w:leader="dot"/>
            </w:tabs>
            <w:rPr/>
          </w:pPr>
          <w:hyperlink w:anchor="__RefHeading___Toc12418023_2142443653">
            <w:r>
              <w:rPr>
                <w:webHidden/>
                <w:rStyle w:val="IndexLink"/>
              </w:rPr>
              <w:t>13</w:t>
            </w:r>
            <w:r>
              <w:rPr>
                <w:rStyle w:val="IndexLink"/>
                <w:rtl w:val="true"/>
              </w:rPr>
              <w:t xml:space="preserve">- </w:t>
            </w:r>
            <w:r>
              <w:rPr>
                <w:rStyle w:val="IndexLink"/>
                <w:rtl w:val="true"/>
              </w:rPr>
              <w:t>بَابُ حُكْمِ الْبَلَلِ الْمُشْتَبِهِ الْخَارِجِ بَعْدَ الْبَوْلِ وَالْمَنِيِ</w:t>
            </w:r>
            <w:r>
              <w:rPr>
                <w:rStyle w:val="IndexLink"/>
                <w:rtl w:val="true"/>
              </w:rPr>
              <w:tab/>
            </w:r>
            <w:r>
              <w:rPr>
                <w:rStyle w:val="IndexLink"/>
              </w:rPr>
              <w:t>303</w:t>
            </w:r>
          </w:hyperlink>
        </w:p>
        <w:p>
          <w:pPr>
            <w:pStyle w:val="Contents3"/>
            <w:tabs>
              <w:tab w:val="clear" w:pos="8459"/>
              <w:tab w:val="right" w:pos="9026" w:leader="dot"/>
            </w:tabs>
            <w:rPr/>
          </w:pPr>
          <w:hyperlink w:anchor="__RefHeading___Toc12418025_2142443653">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12418027_2142443653">
            <w:r>
              <w:rPr>
                <w:webHidden/>
                <w:rStyle w:val="IndexLink"/>
                <w:rtl w:val="true"/>
              </w:rPr>
              <w:t>شرح الباب</w:t>
            </w:r>
            <w:r>
              <w:rPr>
                <w:rStyle w:val="IndexLink"/>
                <w:rtl w:val="true"/>
              </w:rPr>
              <w:t>:</w:t>
              <w:tab/>
            </w:r>
            <w:r>
              <w:rPr>
                <w:rStyle w:val="IndexLink"/>
              </w:rPr>
              <w:t>303</w:t>
            </w:r>
          </w:hyperlink>
        </w:p>
        <w:p>
          <w:pPr>
            <w:pStyle w:val="Contents3"/>
            <w:tabs>
              <w:tab w:val="clear" w:pos="8459"/>
              <w:tab w:val="right" w:pos="9026" w:leader="dot"/>
            </w:tabs>
            <w:rPr/>
          </w:pPr>
          <w:hyperlink w:anchor="__RefHeading___Toc12418029_2142443653">
            <w:r>
              <w:rPr>
                <w:webHidden/>
                <w:rStyle w:val="IndexLink"/>
                <w:rtl w:val="true"/>
              </w:rPr>
              <w:t>أقوال الخاصّة</w:t>
            </w:r>
            <w:r>
              <w:rPr>
                <w:rStyle w:val="IndexLink"/>
                <w:rtl w:val="true"/>
              </w:rPr>
              <w:t>:</w:t>
              <w:tab/>
            </w:r>
            <w:r>
              <w:rPr>
                <w:rStyle w:val="IndexLink"/>
              </w:rPr>
              <w:t>303</w:t>
            </w:r>
          </w:hyperlink>
        </w:p>
        <w:p>
          <w:pPr>
            <w:pStyle w:val="Contents3"/>
            <w:tabs>
              <w:tab w:val="clear" w:pos="8459"/>
              <w:tab w:val="right" w:pos="9026" w:leader="dot"/>
            </w:tabs>
            <w:rPr/>
          </w:pPr>
          <w:hyperlink w:anchor="__RefHeading___Toc12418031_2142443653">
            <w:r>
              <w:rPr>
                <w:webHidden/>
                <w:rStyle w:val="IndexLink"/>
                <w:rtl w:val="true"/>
              </w:rPr>
              <w:t>أقوال العامّة</w:t>
            </w:r>
            <w:r>
              <w:rPr>
                <w:rStyle w:val="IndexLink"/>
                <w:rtl w:val="true"/>
              </w:rPr>
              <w:t>:</w:t>
              <w:tab/>
            </w:r>
            <w:r>
              <w:rPr>
                <w:rStyle w:val="IndexLink"/>
              </w:rPr>
              <w:t>304</w:t>
            </w:r>
          </w:hyperlink>
        </w:p>
        <w:p>
          <w:pPr>
            <w:pStyle w:val="Contents3"/>
            <w:tabs>
              <w:tab w:val="clear" w:pos="8459"/>
              <w:tab w:val="right" w:pos="9026" w:leader="dot"/>
            </w:tabs>
            <w:rPr/>
          </w:pPr>
          <w:hyperlink w:anchor="__RefHeading___Toc12418033_2142443653">
            <w:r>
              <w:rPr>
                <w:webHidden/>
                <w:rStyle w:val="IndexLink"/>
                <w:rtl w:val="true"/>
              </w:rPr>
              <w:t>كيفيّة استفادة قول المشهور من الأحاديث</w:t>
            </w:r>
            <w:r>
              <w:rPr>
                <w:rStyle w:val="IndexLink"/>
                <w:rtl w:val="true"/>
              </w:rPr>
              <w:t>:</w:t>
              <w:tab/>
            </w:r>
            <w:r>
              <w:rPr>
                <w:rStyle w:val="IndexLink"/>
              </w:rPr>
              <w:t>328</w:t>
            </w:r>
          </w:hyperlink>
        </w:p>
        <w:p>
          <w:pPr>
            <w:pStyle w:val="Contents3"/>
            <w:tabs>
              <w:tab w:val="clear" w:pos="8459"/>
              <w:tab w:val="right" w:pos="9026" w:leader="dot"/>
            </w:tabs>
            <w:rPr/>
          </w:pPr>
          <w:hyperlink w:anchor="__RefHeading___Toc12418035_2142443653">
            <w:r>
              <w:rPr>
                <w:webHidden/>
                <w:rStyle w:val="IndexLink"/>
                <w:rtl w:val="true"/>
              </w:rPr>
              <w:t>المتحصل من الأحادیث</w:t>
            </w:r>
            <w:r>
              <w:rPr>
                <w:rStyle w:val="IndexLink"/>
                <w:rtl w:val="true"/>
              </w:rPr>
              <w:tab/>
            </w:r>
            <w:r>
              <w:rPr>
                <w:rStyle w:val="IndexLink"/>
              </w:rPr>
              <w:t>328</w:t>
            </w:r>
          </w:hyperlink>
        </w:p>
        <w:p>
          <w:pPr>
            <w:pStyle w:val="Contents2"/>
            <w:tabs>
              <w:tab w:val="clear" w:pos="8743"/>
              <w:tab w:val="right" w:pos="9026" w:leader="dot"/>
            </w:tabs>
            <w:rPr/>
          </w:pPr>
          <w:hyperlink w:anchor="__RefHeading___Toc12418037_2142443653">
            <w:r>
              <w:rPr>
                <w:webHidden/>
                <w:rStyle w:val="IndexLink"/>
              </w:rPr>
              <w:t>14</w:t>
            </w:r>
            <w:r>
              <w:rPr>
                <w:rStyle w:val="IndexLink"/>
                <w:rtl w:val="true"/>
              </w:rPr>
              <w:t xml:space="preserve">- </w:t>
            </w:r>
            <w:r>
              <w:rPr>
                <w:rStyle w:val="IndexLink"/>
                <w:rtl w:val="true"/>
              </w:rPr>
              <w:t>بَابُ أَنَّ تَقْلِيمَ الْأَظْفَارِ وَالْحَلْقَ وَنَتْفَ الْإِبْطِ وَأَخْذَ الشَّعْرِ لَا يَنْقُضُ الْوُضُو ءَ وَلَكِنْ يُسْتَحَبُّ مَسْحُ الْمَوْضِعِ بِالْمَا ءِ إِذَا كَانَ بِالْحَدِيدِ</w:t>
            </w:r>
            <w:r>
              <w:rPr>
                <w:rStyle w:val="IndexLink"/>
                <w:rtl w:val="true"/>
              </w:rPr>
              <w:tab/>
            </w:r>
            <w:r>
              <w:rPr>
                <w:rStyle w:val="IndexLink"/>
              </w:rPr>
              <w:t>331</w:t>
            </w:r>
          </w:hyperlink>
        </w:p>
        <w:p>
          <w:pPr>
            <w:pStyle w:val="Contents3"/>
            <w:tabs>
              <w:tab w:val="clear" w:pos="8459"/>
              <w:tab w:val="right" w:pos="9026" w:leader="dot"/>
            </w:tabs>
            <w:rPr/>
          </w:pPr>
          <w:hyperlink w:anchor="__RefHeading___Toc12418039_2142443653">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12418041_2142443653">
            <w:r>
              <w:rPr>
                <w:webHidden/>
                <w:rStyle w:val="IndexLink"/>
                <w:rtl w:val="true"/>
              </w:rPr>
              <w:t>شرح الباب</w:t>
            </w:r>
            <w:r>
              <w:rPr>
                <w:rStyle w:val="IndexLink"/>
                <w:rtl w:val="true"/>
              </w:rPr>
              <w:t>:</w:t>
              <w:tab/>
            </w:r>
            <w:r>
              <w:rPr>
                <w:rStyle w:val="IndexLink"/>
              </w:rPr>
              <w:t>331</w:t>
            </w:r>
          </w:hyperlink>
        </w:p>
        <w:p>
          <w:pPr>
            <w:pStyle w:val="Contents3"/>
            <w:tabs>
              <w:tab w:val="clear" w:pos="8459"/>
              <w:tab w:val="right" w:pos="9026" w:leader="dot"/>
            </w:tabs>
            <w:rPr/>
          </w:pPr>
          <w:hyperlink w:anchor="__RefHeading___Toc12418043_2142443653">
            <w:r>
              <w:rPr>
                <w:webHidden/>
                <w:rStyle w:val="IndexLink"/>
                <w:rtl w:val="true"/>
              </w:rPr>
              <w:t>أقوال الخاصّة</w:t>
            </w:r>
            <w:r>
              <w:rPr>
                <w:rStyle w:val="IndexLink"/>
                <w:rtl w:val="true"/>
              </w:rPr>
              <w:t>:</w:t>
              <w:tab/>
            </w:r>
            <w:r>
              <w:rPr>
                <w:rStyle w:val="IndexLink"/>
              </w:rPr>
              <w:t>332</w:t>
            </w:r>
          </w:hyperlink>
        </w:p>
        <w:p>
          <w:pPr>
            <w:pStyle w:val="Contents3"/>
            <w:tabs>
              <w:tab w:val="clear" w:pos="8459"/>
              <w:tab w:val="right" w:pos="9026" w:leader="dot"/>
            </w:tabs>
            <w:rPr/>
          </w:pPr>
          <w:hyperlink w:anchor="__RefHeading___Toc12418045_2142443653">
            <w:r>
              <w:rPr>
                <w:webHidden/>
                <w:rStyle w:val="IndexLink"/>
                <w:rtl w:val="true"/>
              </w:rPr>
              <w:t>أقوال العامّة</w:t>
            </w:r>
            <w:r>
              <w:rPr>
                <w:rStyle w:val="IndexLink"/>
                <w:rtl w:val="true"/>
              </w:rPr>
              <w:t>:</w:t>
              <w:tab/>
            </w:r>
            <w:r>
              <w:rPr>
                <w:rStyle w:val="IndexLink"/>
              </w:rPr>
              <w:t>332</w:t>
            </w:r>
          </w:hyperlink>
        </w:p>
        <w:p>
          <w:pPr>
            <w:pStyle w:val="Contents3"/>
            <w:tabs>
              <w:tab w:val="clear" w:pos="8459"/>
              <w:tab w:val="right" w:pos="9026" w:leader="dot"/>
            </w:tabs>
            <w:rPr/>
          </w:pPr>
          <w:hyperlink w:anchor="__RefHeading___Toc12418047_2142443653">
            <w:r>
              <w:rPr>
                <w:webHidden/>
                <w:rStyle w:val="IndexLink"/>
                <w:rtl w:val="true"/>
              </w:rPr>
              <w:t>المتحصل من الأحادیث</w:t>
            </w:r>
            <w:r>
              <w:rPr>
                <w:rStyle w:val="IndexLink"/>
                <w:rtl w:val="true"/>
              </w:rPr>
              <w:tab/>
            </w:r>
            <w:r>
              <w:rPr>
                <w:rStyle w:val="IndexLink"/>
              </w:rPr>
              <w:t>347</w:t>
            </w:r>
          </w:hyperlink>
        </w:p>
        <w:p>
          <w:pPr>
            <w:pStyle w:val="Contents2"/>
            <w:tabs>
              <w:tab w:val="clear" w:pos="8743"/>
              <w:tab w:val="right" w:pos="9026" w:leader="dot"/>
            </w:tabs>
            <w:rPr/>
          </w:pPr>
          <w:hyperlink w:anchor="__RefHeading___Toc12418049_2142443653">
            <w:r>
              <w:rPr>
                <w:webHidden/>
                <w:rStyle w:val="IndexLink"/>
              </w:rPr>
              <w:t>15</w:t>
            </w:r>
            <w:r>
              <w:rPr>
                <w:rStyle w:val="IndexLink"/>
                <w:rtl w:val="true"/>
              </w:rPr>
              <w:t xml:space="preserve">- </w:t>
            </w:r>
            <w:r>
              <w:rPr>
                <w:rStyle w:val="IndexLink"/>
                <w:rtl w:val="true"/>
              </w:rPr>
              <w:t>بَابُ أَنَّ أَكْلَ مَا غَيَّرَتِ النَّارُ بَلْ مُطْلَقَ الْأَكْلِ وَالشُّرْبِ وَاسْتِدْخَالَ أَيِّ شَيْ ءٍ كَانَ لَا يَنْقُضُ الْوُضُو ءَ</w:t>
            </w:r>
            <w:r>
              <w:rPr>
                <w:rStyle w:val="IndexLink"/>
                <w:rtl w:val="true"/>
              </w:rPr>
              <w:tab/>
            </w:r>
            <w:r>
              <w:rPr>
                <w:rStyle w:val="IndexLink"/>
              </w:rPr>
              <w:t>349</w:t>
            </w:r>
          </w:hyperlink>
        </w:p>
        <w:p>
          <w:pPr>
            <w:pStyle w:val="Contents3"/>
            <w:tabs>
              <w:tab w:val="clear" w:pos="8459"/>
              <w:tab w:val="right" w:pos="9026" w:leader="dot"/>
            </w:tabs>
            <w:rPr/>
          </w:pPr>
          <w:hyperlink w:anchor="__RefHeading___Toc12418051_2142443653">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12418053_2142443653">
            <w:r>
              <w:rPr>
                <w:webHidden/>
                <w:rStyle w:val="IndexLink"/>
                <w:rtl w:val="true"/>
              </w:rPr>
              <w:t>شرح الباب</w:t>
            </w:r>
            <w:r>
              <w:rPr>
                <w:rStyle w:val="IndexLink"/>
                <w:rtl w:val="true"/>
              </w:rPr>
              <w:t>:</w:t>
              <w:tab/>
            </w:r>
            <w:r>
              <w:rPr>
                <w:rStyle w:val="IndexLink"/>
              </w:rPr>
              <w:t>349</w:t>
            </w:r>
          </w:hyperlink>
        </w:p>
        <w:p>
          <w:pPr>
            <w:pStyle w:val="Contents3"/>
            <w:tabs>
              <w:tab w:val="clear" w:pos="8459"/>
              <w:tab w:val="right" w:pos="9026" w:leader="dot"/>
            </w:tabs>
            <w:rPr/>
          </w:pPr>
          <w:hyperlink w:anchor="__RefHeading___Toc12418055_2142443653">
            <w:r>
              <w:rPr>
                <w:webHidden/>
                <w:rStyle w:val="IndexLink"/>
                <w:rtl w:val="true"/>
              </w:rPr>
              <w:t>أقوال الخاصّة</w:t>
            </w:r>
            <w:r>
              <w:rPr>
                <w:rStyle w:val="IndexLink"/>
                <w:rtl w:val="true"/>
              </w:rPr>
              <w:t>:</w:t>
              <w:tab/>
            </w:r>
            <w:r>
              <w:rPr>
                <w:rStyle w:val="IndexLink"/>
              </w:rPr>
              <w:t>349</w:t>
            </w:r>
          </w:hyperlink>
        </w:p>
        <w:p>
          <w:pPr>
            <w:pStyle w:val="Contents3"/>
            <w:tabs>
              <w:tab w:val="clear" w:pos="8459"/>
              <w:tab w:val="right" w:pos="9026" w:leader="dot"/>
            </w:tabs>
            <w:rPr/>
          </w:pPr>
          <w:hyperlink w:anchor="__RefHeading___Toc12418057_2142443653">
            <w:r>
              <w:rPr>
                <w:webHidden/>
                <w:rStyle w:val="IndexLink"/>
                <w:rtl w:val="true"/>
              </w:rPr>
              <w:t>أقوال العامّة</w:t>
            </w:r>
            <w:r>
              <w:rPr>
                <w:rStyle w:val="IndexLink"/>
                <w:rtl w:val="true"/>
              </w:rPr>
              <w:t>:</w:t>
              <w:tab/>
            </w:r>
            <w:r>
              <w:rPr>
                <w:rStyle w:val="IndexLink"/>
              </w:rPr>
              <w:t>350</w:t>
            </w:r>
          </w:hyperlink>
        </w:p>
        <w:p>
          <w:pPr>
            <w:pStyle w:val="Contents3"/>
            <w:tabs>
              <w:tab w:val="clear" w:pos="8459"/>
              <w:tab w:val="right" w:pos="9026" w:leader="dot"/>
            </w:tabs>
            <w:rPr/>
          </w:pPr>
          <w:hyperlink w:anchor="__RefHeading___Toc12418059_2142443653">
            <w:r>
              <w:rPr>
                <w:webHidden/>
                <w:rStyle w:val="IndexLink"/>
                <w:rtl w:val="true"/>
              </w:rPr>
              <w:t>المتحصل من الأحادیث</w:t>
            </w:r>
            <w:r>
              <w:rPr>
                <w:rStyle w:val="IndexLink"/>
                <w:rtl w:val="true"/>
              </w:rPr>
              <w:tab/>
            </w:r>
            <w:r>
              <w:rPr>
                <w:rStyle w:val="IndexLink"/>
              </w:rPr>
              <w:t>362</w:t>
            </w:r>
          </w:hyperlink>
        </w:p>
        <w:p>
          <w:pPr>
            <w:pStyle w:val="Contents2"/>
            <w:tabs>
              <w:tab w:val="clear" w:pos="8743"/>
              <w:tab w:val="right" w:pos="9026" w:leader="dot"/>
            </w:tabs>
            <w:rPr/>
          </w:pPr>
          <w:hyperlink w:anchor="__RefHeading___Toc12418061_2142443653">
            <w:r>
              <w:rPr>
                <w:webHidden/>
                <w:rStyle w:val="IndexLink"/>
              </w:rPr>
              <w:t>16</w:t>
            </w:r>
            <w:r>
              <w:rPr>
                <w:rStyle w:val="IndexLink"/>
                <w:rtl w:val="true"/>
              </w:rPr>
              <w:t xml:space="preserve">- </w:t>
            </w:r>
            <w:r>
              <w:rPr>
                <w:rStyle w:val="IndexLink"/>
                <w:rtl w:val="true"/>
              </w:rPr>
              <w:t>بَابُ أَنَّ اسْتِدْخَالَ الدَّوَا ءِ وَخُرُوجَ النَّدَى وَالصُّفْرَةِ مِنَ الْمَقْعَدَةِ وَالنَّاصُورِ لَا يَنْقُضُ الْوُضُو ء</w:t>
            </w:r>
            <w:r>
              <w:rPr>
                <w:rStyle w:val="IndexLink"/>
                <w:rtl w:val="true"/>
              </w:rPr>
              <w:tab/>
            </w:r>
            <w:r>
              <w:rPr>
                <w:rStyle w:val="IndexLink"/>
              </w:rPr>
              <w:t>363</w:t>
            </w:r>
          </w:hyperlink>
        </w:p>
        <w:p>
          <w:pPr>
            <w:pStyle w:val="Contents3"/>
            <w:tabs>
              <w:tab w:val="clear" w:pos="8459"/>
              <w:tab w:val="right" w:pos="9026" w:leader="dot"/>
            </w:tabs>
            <w:rPr/>
          </w:pPr>
          <w:hyperlink w:anchor="__RefHeading___Toc12418063_2142443653">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12418065_2142443653">
            <w:r>
              <w:rPr>
                <w:webHidden/>
                <w:rStyle w:val="IndexLink"/>
                <w:rtl w:val="true"/>
              </w:rPr>
              <w:t>أقوال الخاصّة</w:t>
            </w:r>
            <w:r>
              <w:rPr>
                <w:rStyle w:val="IndexLink"/>
                <w:rtl w:val="true"/>
              </w:rPr>
              <w:t>:</w:t>
              <w:tab/>
            </w:r>
            <w:r>
              <w:rPr>
                <w:rStyle w:val="IndexLink"/>
              </w:rPr>
              <w:t>363</w:t>
            </w:r>
          </w:hyperlink>
        </w:p>
        <w:p>
          <w:pPr>
            <w:pStyle w:val="Contents3"/>
            <w:tabs>
              <w:tab w:val="clear" w:pos="8459"/>
              <w:tab w:val="right" w:pos="9026" w:leader="dot"/>
            </w:tabs>
            <w:rPr/>
          </w:pPr>
          <w:hyperlink w:anchor="__RefHeading___Toc12418067_2142443653">
            <w:r>
              <w:rPr>
                <w:webHidden/>
                <w:rStyle w:val="IndexLink"/>
                <w:rtl w:val="true"/>
              </w:rPr>
              <w:t>أقوال العامّة</w:t>
            </w:r>
            <w:r>
              <w:rPr>
                <w:rStyle w:val="IndexLink"/>
                <w:rtl w:val="true"/>
              </w:rPr>
              <w:t>:</w:t>
              <w:tab/>
            </w:r>
            <w:r>
              <w:rPr>
                <w:rStyle w:val="IndexLink"/>
              </w:rPr>
              <w:t>363</w:t>
            </w:r>
          </w:hyperlink>
        </w:p>
        <w:p>
          <w:pPr>
            <w:pStyle w:val="Contents3"/>
            <w:tabs>
              <w:tab w:val="clear" w:pos="8459"/>
              <w:tab w:val="right" w:pos="9026" w:leader="dot"/>
            </w:tabs>
            <w:rPr/>
          </w:pPr>
          <w:hyperlink w:anchor="__RefHeading___Toc12418069_2142443653">
            <w:r>
              <w:rPr>
                <w:webHidden/>
                <w:rStyle w:val="IndexLink"/>
                <w:rtl w:val="true"/>
              </w:rPr>
              <w:t>المتحصل من الأحادیث</w:t>
            </w:r>
            <w:r>
              <w:rPr>
                <w:rStyle w:val="IndexLink"/>
                <w:rtl w:val="true"/>
              </w:rPr>
              <w:tab/>
            </w:r>
            <w:r>
              <w:rPr>
                <w:rStyle w:val="IndexLink"/>
              </w:rPr>
              <w:t>371</w:t>
            </w:r>
          </w:hyperlink>
        </w:p>
        <w:p>
          <w:pPr>
            <w:pStyle w:val="Contents2"/>
            <w:tabs>
              <w:tab w:val="clear" w:pos="8743"/>
              <w:tab w:val="right" w:pos="9026" w:leader="dot"/>
            </w:tabs>
            <w:rPr/>
          </w:pPr>
          <w:hyperlink w:anchor="__RefHeading___Toc12418071_2142443653">
            <w:r>
              <w:rPr>
                <w:webHidden/>
                <w:rStyle w:val="IndexLink"/>
              </w:rPr>
              <w:t>17</w:t>
            </w:r>
            <w:r>
              <w:rPr>
                <w:rStyle w:val="IndexLink"/>
                <w:rtl w:val="true"/>
              </w:rPr>
              <w:t xml:space="preserve">- </w:t>
            </w:r>
            <w:r>
              <w:rPr>
                <w:rStyle w:val="IndexLink"/>
                <w:rtl w:val="true"/>
              </w:rPr>
              <w:t xml:space="preserve">بَابُ أَنَّ قَتْلَ الْبَقَّةِ وَالْبُرْغُوثِ وَالْقَمْلَةِ وَالذُّبَابِ لَا يَنْقُضُ الْوُضُو ءَ وَكَذَا الْكَذِبُ عَلَى اللَّهِ وَعَلَى رَسُولِهِ وَعَلَى الْأَئِمَّةِ </w:t>
            </w:r>
            <w:r>
              <w:rPr>
                <w:rStyle w:val="IndexLink"/>
                <w:rtl w:val="true"/>
              </w:rPr>
              <w:t>(</w:t>
            </w:r>
            <w:r>
              <w:rPr>
                <w:rStyle w:val="IndexLink"/>
                <w:rtl w:val="true"/>
              </w:rPr>
              <w:t>علیهم السلام</w:t>
            </w:r>
            <w:r>
              <w:rPr>
                <w:rStyle w:val="IndexLink"/>
                <w:rtl w:val="true"/>
              </w:rPr>
              <w:t>)</w:t>
              <w:tab/>
            </w:r>
            <w:r>
              <w:rPr>
                <w:rStyle w:val="IndexLink"/>
              </w:rPr>
              <w:t>373</w:t>
            </w:r>
          </w:hyperlink>
        </w:p>
        <w:p>
          <w:pPr>
            <w:pStyle w:val="Contents3"/>
            <w:tabs>
              <w:tab w:val="clear" w:pos="8459"/>
              <w:tab w:val="right" w:pos="9026" w:leader="dot"/>
            </w:tabs>
            <w:rPr/>
          </w:pPr>
          <w:hyperlink w:anchor="__RefHeading___Toc12418073_2142443653">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12418075_2142443653">
            <w:r>
              <w:rPr>
                <w:webHidden/>
                <w:rStyle w:val="IndexLink"/>
                <w:rtl w:val="true"/>
              </w:rPr>
              <w:t>شرح الباب</w:t>
            </w:r>
            <w:r>
              <w:rPr>
                <w:rStyle w:val="IndexLink"/>
                <w:rtl w:val="true"/>
              </w:rPr>
              <w:t>:</w:t>
              <w:tab/>
            </w:r>
            <w:r>
              <w:rPr>
                <w:rStyle w:val="IndexLink"/>
              </w:rPr>
              <w:t>373</w:t>
            </w:r>
          </w:hyperlink>
        </w:p>
        <w:p>
          <w:pPr>
            <w:pStyle w:val="Contents3"/>
            <w:tabs>
              <w:tab w:val="clear" w:pos="8459"/>
              <w:tab w:val="right" w:pos="9026" w:leader="dot"/>
            </w:tabs>
            <w:rPr/>
          </w:pPr>
          <w:hyperlink w:anchor="__RefHeading___Toc12418077_2142443653">
            <w:r>
              <w:rPr>
                <w:webHidden/>
                <w:rStyle w:val="IndexLink"/>
                <w:rtl w:val="true"/>
              </w:rPr>
              <w:t>الأقوال</w:t>
            </w:r>
            <w:r>
              <w:rPr>
                <w:rStyle w:val="IndexLink"/>
                <w:rtl w:val="true"/>
              </w:rPr>
              <w:t>:</w:t>
              <w:tab/>
            </w:r>
            <w:r>
              <w:rPr>
                <w:rStyle w:val="IndexLink"/>
              </w:rPr>
              <w:t>373</w:t>
            </w:r>
          </w:hyperlink>
        </w:p>
        <w:p>
          <w:pPr>
            <w:pStyle w:val="Contents3"/>
            <w:tabs>
              <w:tab w:val="clear" w:pos="8459"/>
              <w:tab w:val="right" w:pos="9026" w:leader="dot"/>
            </w:tabs>
            <w:rPr/>
          </w:pPr>
          <w:hyperlink w:anchor="__RefHeading___Toc12418079_2142443653">
            <w:r>
              <w:rPr>
                <w:webHidden/>
                <w:rStyle w:val="IndexLink"/>
                <w:rtl w:val="true"/>
              </w:rPr>
              <w:t>المتحصل من الأحادیث</w:t>
            </w:r>
            <w:r>
              <w:rPr>
                <w:rStyle w:val="IndexLink"/>
                <w:rtl w:val="true"/>
              </w:rPr>
              <w:tab/>
            </w:r>
            <w:r>
              <w:rPr>
                <w:rStyle w:val="IndexLink"/>
              </w:rPr>
              <w:t>376</w:t>
            </w:r>
          </w:hyperlink>
        </w:p>
        <w:p>
          <w:pPr>
            <w:pStyle w:val="Contents2"/>
            <w:tabs>
              <w:tab w:val="clear" w:pos="8743"/>
              <w:tab w:val="right" w:pos="9026" w:leader="dot"/>
            </w:tabs>
            <w:rPr/>
          </w:pPr>
          <w:hyperlink w:anchor="__RefHeading___Toc12418081_2142443653">
            <w:r>
              <w:rPr>
                <w:webHidden/>
                <w:rStyle w:val="IndexLink"/>
              </w:rPr>
              <w:t>18</w:t>
            </w:r>
            <w:r>
              <w:rPr>
                <w:rStyle w:val="IndexLink"/>
                <w:rtl w:val="true"/>
              </w:rPr>
              <w:t xml:space="preserve">- </w:t>
            </w:r>
            <w:r>
              <w:rPr>
                <w:rStyle w:val="IndexLink"/>
                <w:rtl w:val="true"/>
              </w:rPr>
              <w:t>بَابُ عَدَمِ وُجُوبِ إِعَادَةِ الْوُضُو ءِ عَلَى مَنْ تَرَكَ الِاسْتِنْجَا ءَ وَتَوَضَّأَ وَصَلَّى وَوُجُوبِ إِعَادَةِ الصَّلَاةِ حِينَئِذٍ</w:t>
            </w:r>
            <w:r>
              <w:rPr>
                <w:rStyle w:val="IndexLink"/>
                <w:rtl w:val="true"/>
              </w:rPr>
              <w:tab/>
            </w:r>
            <w:r>
              <w:rPr>
                <w:rStyle w:val="IndexLink"/>
              </w:rPr>
              <w:t>377</w:t>
            </w:r>
          </w:hyperlink>
        </w:p>
        <w:p>
          <w:pPr>
            <w:pStyle w:val="Contents3"/>
            <w:tabs>
              <w:tab w:val="clear" w:pos="8459"/>
              <w:tab w:val="right" w:pos="9026" w:leader="dot"/>
            </w:tabs>
            <w:rPr/>
          </w:pPr>
          <w:hyperlink w:anchor="__RefHeading___Toc12418083_2142443653">
            <w:r>
              <w:rPr>
                <w:webHidden/>
                <w:rStyle w:val="IndexLink"/>
                <w:rtl w:val="true"/>
              </w:rPr>
              <w:t>اشارة</w:t>
            </w:r>
            <w:r>
              <w:rPr>
                <w:rStyle w:val="IndexLink"/>
                <w:rtl w:val="true"/>
              </w:rPr>
              <w:tab/>
            </w:r>
            <w:r>
              <w:rPr>
                <w:rStyle w:val="IndexLink"/>
              </w:rPr>
              <w:t>377</w:t>
            </w:r>
          </w:hyperlink>
        </w:p>
        <w:p>
          <w:pPr>
            <w:pStyle w:val="Contents3"/>
            <w:tabs>
              <w:tab w:val="clear" w:pos="8459"/>
              <w:tab w:val="right" w:pos="9026" w:leader="dot"/>
            </w:tabs>
            <w:rPr/>
          </w:pPr>
          <w:hyperlink w:anchor="__RefHeading___Toc12418085_2142443653">
            <w:r>
              <w:rPr>
                <w:webHidden/>
                <w:rStyle w:val="IndexLink"/>
                <w:rtl w:val="true"/>
              </w:rPr>
              <w:t>شرح الباب</w:t>
            </w:r>
            <w:r>
              <w:rPr>
                <w:rStyle w:val="IndexLink"/>
                <w:rtl w:val="true"/>
              </w:rPr>
              <w:t>:</w:t>
              <w:tab/>
            </w:r>
            <w:r>
              <w:rPr>
                <w:rStyle w:val="IndexLink"/>
              </w:rPr>
              <w:t>377</w:t>
            </w:r>
          </w:hyperlink>
        </w:p>
        <w:p>
          <w:pPr>
            <w:pStyle w:val="Contents3"/>
            <w:tabs>
              <w:tab w:val="clear" w:pos="8459"/>
              <w:tab w:val="right" w:pos="9026" w:leader="dot"/>
            </w:tabs>
            <w:rPr/>
          </w:pPr>
          <w:hyperlink w:anchor="__RefHeading___Toc12418087_2142443653">
            <w:r>
              <w:rPr>
                <w:webHidden/>
                <w:rStyle w:val="IndexLink"/>
                <w:rtl w:val="true"/>
              </w:rPr>
              <w:t>أقوال الخاصّة</w:t>
            </w:r>
            <w:r>
              <w:rPr>
                <w:rStyle w:val="IndexLink"/>
                <w:rtl w:val="true"/>
              </w:rPr>
              <w:t>:</w:t>
              <w:tab/>
            </w:r>
            <w:r>
              <w:rPr>
                <w:rStyle w:val="IndexLink"/>
              </w:rPr>
              <w:t>377</w:t>
            </w:r>
          </w:hyperlink>
        </w:p>
        <w:p>
          <w:pPr>
            <w:pStyle w:val="Contents3"/>
            <w:tabs>
              <w:tab w:val="clear" w:pos="8459"/>
              <w:tab w:val="right" w:pos="9026" w:leader="dot"/>
            </w:tabs>
            <w:rPr/>
          </w:pPr>
          <w:hyperlink w:anchor="__RefHeading___Toc12418089_2142443653">
            <w:r>
              <w:rPr>
                <w:webHidden/>
                <w:rStyle w:val="IndexLink"/>
                <w:rtl w:val="true"/>
              </w:rPr>
              <w:t>أقوال العامّة</w:t>
            </w:r>
            <w:r>
              <w:rPr>
                <w:rStyle w:val="IndexLink"/>
                <w:rtl w:val="true"/>
              </w:rPr>
              <w:t>:</w:t>
              <w:tab/>
            </w:r>
            <w:r>
              <w:rPr>
                <w:rStyle w:val="IndexLink"/>
              </w:rPr>
              <w:t>378</w:t>
            </w:r>
          </w:hyperlink>
        </w:p>
        <w:p>
          <w:pPr>
            <w:pStyle w:val="Contents3"/>
            <w:tabs>
              <w:tab w:val="clear" w:pos="8459"/>
              <w:tab w:val="right" w:pos="9026" w:leader="dot"/>
            </w:tabs>
            <w:rPr/>
          </w:pPr>
          <w:hyperlink w:anchor="__RefHeading___Toc12418091_2142443653">
            <w:r>
              <w:rPr>
                <w:webHidden/>
                <w:rStyle w:val="IndexLink"/>
                <w:rtl w:val="true"/>
              </w:rPr>
              <w:t>المتحصل من الأحادیث</w:t>
            </w:r>
            <w:r>
              <w:rPr>
                <w:rStyle w:val="IndexLink"/>
                <w:rtl w:val="true"/>
              </w:rPr>
              <w:tab/>
            </w:r>
            <w:r>
              <w:rPr>
                <w:rStyle w:val="IndexLink"/>
              </w:rPr>
              <w:t>396</w:t>
            </w:r>
          </w:hyperlink>
        </w:p>
        <w:p>
          <w:pPr>
            <w:pStyle w:val="Contents2"/>
            <w:tabs>
              <w:tab w:val="clear" w:pos="8743"/>
              <w:tab w:val="right" w:pos="9026" w:leader="dot"/>
            </w:tabs>
            <w:rPr/>
          </w:pPr>
          <w:hyperlink w:anchor="__RefHeading___Toc12418093_2142443653">
            <w:r>
              <w:rPr>
                <w:webHidden/>
                <w:rStyle w:val="IndexLink"/>
              </w:rPr>
              <w:t>19</w:t>
            </w:r>
            <w:r>
              <w:rPr>
                <w:rStyle w:val="IndexLink"/>
                <w:rtl w:val="true"/>
              </w:rPr>
              <w:t xml:space="preserve">- </w:t>
            </w:r>
            <w:r>
              <w:rPr>
                <w:rStyle w:val="IndexLink"/>
                <w:rtl w:val="true"/>
              </w:rPr>
              <w:t>بَابُ حُكْمِ صَاحِبِ السَّلَسِ وَالْبَطَنِ</w:t>
            </w:r>
            <w:r>
              <w:rPr>
                <w:rStyle w:val="IndexLink"/>
                <w:rtl w:val="true"/>
              </w:rPr>
              <w:tab/>
            </w:r>
            <w:r>
              <w:rPr>
                <w:rStyle w:val="IndexLink"/>
              </w:rPr>
              <w:t>399</w:t>
            </w:r>
          </w:hyperlink>
        </w:p>
        <w:p>
          <w:pPr>
            <w:pStyle w:val="Contents3"/>
            <w:tabs>
              <w:tab w:val="clear" w:pos="8459"/>
              <w:tab w:val="right" w:pos="9026" w:leader="dot"/>
            </w:tabs>
            <w:rPr/>
          </w:pPr>
          <w:hyperlink w:anchor="__RefHeading___Toc12418095_2142443653">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12418097_2142443653">
            <w:r>
              <w:rPr>
                <w:webHidden/>
                <w:rStyle w:val="IndexLink"/>
                <w:rtl w:val="true"/>
              </w:rPr>
              <w:t>شرح الباب</w:t>
            </w:r>
            <w:r>
              <w:rPr>
                <w:rStyle w:val="IndexLink"/>
                <w:rtl w:val="true"/>
              </w:rPr>
              <w:t>:</w:t>
              <w:tab/>
            </w:r>
            <w:r>
              <w:rPr>
                <w:rStyle w:val="IndexLink"/>
              </w:rPr>
              <w:t>399</w:t>
            </w:r>
          </w:hyperlink>
        </w:p>
        <w:p>
          <w:pPr>
            <w:pStyle w:val="Contents3"/>
            <w:tabs>
              <w:tab w:val="clear" w:pos="8459"/>
              <w:tab w:val="right" w:pos="9026" w:leader="dot"/>
            </w:tabs>
            <w:rPr/>
          </w:pPr>
          <w:hyperlink w:anchor="__RefHeading___Toc12418099_2142443653">
            <w:r>
              <w:rPr>
                <w:webHidden/>
                <w:rStyle w:val="IndexLink"/>
                <w:rtl w:val="true"/>
              </w:rPr>
              <w:t>أقوال الخاصّة</w:t>
            </w:r>
            <w:r>
              <w:rPr>
                <w:rStyle w:val="IndexLink"/>
                <w:rtl w:val="true"/>
              </w:rPr>
              <w:t>:</w:t>
              <w:tab/>
            </w:r>
            <w:r>
              <w:rPr>
                <w:rStyle w:val="IndexLink"/>
              </w:rPr>
              <w:t>399</w:t>
            </w:r>
          </w:hyperlink>
        </w:p>
        <w:p>
          <w:pPr>
            <w:pStyle w:val="Contents3"/>
            <w:tabs>
              <w:tab w:val="clear" w:pos="8459"/>
              <w:tab w:val="right" w:pos="9026" w:leader="dot"/>
            </w:tabs>
            <w:rPr/>
          </w:pPr>
          <w:hyperlink w:anchor="__RefHeading___Toc12418101_2142443653">
            <w:r>
              <w:rPr>
                <w:webHidden/>
                <w:rStyle w:val="IndexLink"/>
                <w:rtl w:val="true"/>
              </w:rPr>
              <w:t>أقوال العامّة</w:t>
            </w:r>
            <w:r>
              <w:rPr>
                <w:rStyle w:val="IndexLink"/>
                <w:rtl w:val="true"/>
              </w:rPr>
              <w:t>:</w:t>
              <w:tab/>
            </w:r>
            <w:r>
              <w:rPr>
                <w:rStyle w:val="IndexLink"/>
              </w:rPr>
              <w:t>400</w:t>
            </w:r>
          </w:hyperlink>
        </w:p>
        <w:p>
          <w:pPr>
            <w:pStyle w:val="Contents3"/>
            <w:tabs>
              <w:tab w:val="clear" w:pos="8459"/>
              <w:tab w:val="right" w:pos="9026" w:leader="dot"/>
            </w:tabs>
            <w:rPr/>
          </w:pPr>
          <w:hyperlink w:anchor="__RefHeading___Toc12418103_2142443653">
            <w:r>
              <w:rPr>
                <w:webHidden/>
                <w:rStyle w:val="IndexLink"/>
                <w:rtl w:val="true"/>
              </w:rPr>
              <w:t>المتحصل من الأحادیث</w:t>
            </w:r>
            <w:r>
              <w:rPr>
                <w:rStyle w:val="IndexLink"/>
                <w:rtl w:val="true"/>
              </w:rPr>
              <w:tab/>
            </w:r>
            <w:r>
              <w:rPr>
                <w:rStyle w:val="IndexLink"/>
              </w:rPr>
              <w:t>413</w:t>
            </w:r>
          </w:hyperlink>
        </w:p>
        <w:p>
          <w:pPr>
            <w:pStyle w:val="Contents3"/>
            <w:tabs>
              <w:tab w:val="clear" w:pos="8459"/>
              <w:tab w:val="right" w:pos="9026" w:leader="dot"/>
            </w:tabs>
            <w:rPr/>
          </w:pPr>
          <w:hyperlink w:anchor="__RefHeading___Toc12418105_2142443653">
            <w:r>
              <w:rPr>
                <w:webHidden/>
                <w:rStyle w:val="IndexLink"/>
                <w:rtl w:val="true"/>
              </w:rPr>
              <w:t>تتميم في حكم دائم الحدث</w:t>
            </w:r>
            <w:r>
              <w:rPr>
                <w:rStyle w:val="IndexLink"/>
                <w:rtl w:val="true"/>
              </w:rPr>
              <w:t>:</w:t>
              <w:tab/>
            </w:r>
            <w:r>
              <w:rPr>
                <w:rStyle w:val="IndexLink"/>
              </w:rPr>
              <w:t>413</w:t>
            </w:r>
          </w:hyperlink>
        </w:p>
        <w:p>
          <w:pPr>
            <w:pStyle w:val="Contents3"/>
            <w:tabs>
              <w:tab w:val="clear" w:pos="8459"/>
              <w:tab w:val="right" w:pos="9026" w:leader="dot"/>
            </w:tabs>
            <w:rPr/>
          </w:pPr>
          <w:hyperlink w:anchor="__RefHeading___Toc12418107_2142443653">
            <w:r>
              <w:rPr>
                <w:webHidden/>
                <w:rStyle w:val="IndexLink"/>
                <w:rtl w:val="true"/>
              </w:rPr>
              <w:t>ثلاثة فروع حول المسلوس و المبطون</w:t>
            </w:r>
            <w:r>
              <w:rPr>
                <w:rStyle w:val="IndexLink"/>
                <w:rtl w:val="true"/>
              </w:rPr>
              <w:t>:</w:t>
              <w:tab/>
            </w:r>
            <w:r>
              <w:rPr>
                <w:rStyle w:val="IndexLink"/>
              </w:rPr>
              <w:t>421</w:t>
            </w:r>
          </w:hyperlink>
        </w:p>
        <w:p>
          <w:pPr>
            <w:pStyle w:val="Contents2"/>
            <w:tabs>
              <w:tab w:val="clear" w:pos="8743"/>
              <w:tab w:val="right" w:pos="9026" w:leader="dot"/>
            </w:tabs>
            <w:rPr/>
          </w:pPr>
          <w:hyperlink w:anchor="__RefHeading___Toc12418109_2142443653">
            <w:r>
              <w:rPr>
                <w:webHidden/>
                <w:rStyle w:val="IndexLink"/>
                <w:rtl w:val="true"/>
              </w:rPr>
              <w:t>أَبْوَابُ أَحْكَامِ الْخَلْوَةِ</w:t>
            </w:r>
            <w:r>
              <w:rPr>
                <w:rStyle w:val="IndexLink"/>
                <w:rtl w:val="true"/>
              </w:rPr>
              <w:tab/>
            </w:r>
            <w:r>
              <w:rPr>
                <w:rStyle w:val="IndexLink"/>
              </w:rPr>
              <w:t>429</w:t>
            </w:r>
          </w:hyperlink>
        </w:p>
        <w:p>
          <w:pPr>
            <w:pStyle w:val="Contents2"/>
            <w:tabs>
              <w:tab w:val="clear" w:pos="8743"/>
              <w:tab w:val="right" w:pos="9026" w:leader="dot"/>
            </w:tabs>
            <w:rPr/>
          </w:pPr>
          <w:hyperlink w:anchor="__RefHeading___Toc12418111_2142443653">
            <w:r>
              <w:rPr>
                <w:webHidden/>
                <w:rStyle w:val="IndexLink"/>
              </w:rPr>
              <w:t>1</w:t>
            </w:r>
            <w:r>
              <w:rPr>
                <w:rStyle w:val="IndexLink"/>
                <w:rtl w:val="true"/>
              </w:rPr>
              <w:t xml:space="preserve">- </w:t>
            </w:r>
            <w:r>
              <w:rPr>
                <w:rStyle w:val="IndexLink"/>
                <w:rtl w:val="true"/>
              </w:rPr>
              <w:t>بَابُ وُجُوبِ سَتْرِ الْعَوْرَةِ وَتَحْرِيمِ النَّظَرِ إِلَى عَوْرَةِ الْمُسْلِمِ غَيْرِ الْمُحَلَّلِ رَجُلًا كَانَ أَوِ امْرَأَة</w:t>
            </w:r>
            <w:r>
              <w:rPr>
                <w:rStyle w:val="IndexLink"/>
                <w:rtl w:val="true"/>
              </w:rPr>
              <w:tab/>
            </w:r>
            <w:r>
              <w:rPr>
                <w:rStyle w:val="IndexLink"/>
              </w:rPr>
              <w:t>433</w:t>
            </w:r>
          </w:hyperlink>
        </w:p>
        <w:p>
          <w:pPr>
            <w:pStyle w:val="Contents3"/>
            <w:tabs>
              <w:tab w:val="clear" w:pos="8459"/>
              <w:tab w:val="right" w:pos="9026" w:leader="dot"/>
            </w:tabs>
            <w:rPr/>
          </w:pPr>
          <w:hyperlink w:anchor="__RefHeading___Toc12418113_2142443653">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12418115_2142443653">
            <w:r>
              <w:rPr>
                <w:webHidden/>
                <w:rStyle w:val="IndexLink"/>
                <w:rtl w:val="true"/>
              </w:rPr>
              <w:t>شرح الباب</w:t>
            </w:r>
            <w:r>
              <w:rPr>
                <w:rStyle w:val="IndexLink"/>
                <w:rtl w:val="true"/>
              </w:rPr>
              <w:t>:</w:t>
              <w:tab/>
            </w:r>
            <w:r>
              <w:rPr>
                <w:rStyle w:val="IndexLink"/>
              </w:rPr>
              <w:t>433</w:t>
            </w:r>
          </w:hyperlink>
        </w:p>
        <w:p>
          <w:pPr>
            <w:pStyle w:val="Contents3"/>
            <w:tabs>
              <w:tab w:val="clear" w:pos="8459"/>
              <w:tab w:val="right" w:pos="9026" w:leader="dot"/>
            </w:tabs>
            <w:rPr/>
          </w:pPr>
          <w:hyperlink w:anchor="__RefHeading___Toc12418117_2142443653">
            <w:r>
              <w:rPr>
                <w:webHidden/>
                <w:rStyle w:val="IndexLink"/>
                <w:rtl w:val="true"/>
              </w:rPr>
              <w:t>أقوال الخاصّة</w:t>
            </w:r>
            <w:r>
              <w:rPr>
                <w:rStyle w:val="IndexLink"/>
                <w:rtl w:val="true"/>
              </w:rPr>
              <w:t>:</w:t>
              <w:tab/>
            </w:r>
            <w:r>
              <w:rPr>
                <w:rStyle w:val="IndexLink"/>
              </w:rPr>
              <w:t>434</w:t>
            </w:r>
          </w:hyperlink>
        </w:p>
        <w:p>
          <w:pPr>
            <w:pStyle w:val="Contents3"/>
            <w:tabs>
              <w:tab w:val="clear" w:pos="8459"/>
              <w:tab w:val="right" w:pos="9026" w:leader="dot"/>
            </w:tabs>
            <w:rPr/>
          </w:pPr>
          <w:hyperlink w:anchor="__RefHeading___Toc12418119_2142443653">
            <w:r>
              <w:rPr>
                <w:webHidden/>
                <w:rStyle w:val="IndexLink"/>
                <w:rtl w:val="true"/>
              </w:rPr>
              <w:t>أقوال العامّة</w:t>
            </w:r>
            <w:r>
              <w:rPr>
                <w:rStyle w:val="IndexLink"/>
                <w:rtl w:val="true"/>
              </w:rPr>
              <w:t>:</w:t>
              <w:tab/>
            </w:r>
            <w:r>
              <w:rPr>
                <w:rStyle w:val="IndexLink"/>
              </w:rPr>
              <w:t>434</w:t>
            </w:r>
          </w:hyperlink>
        </w:p>
        <w:p>
          <w:pPr>
            <w:pStyle w:val="Contents3"/>
            <w:tabs>
              <w:tab w:val="clear" w:pos="8459"/>
              <w:tab w:val="right" w:pos="9026" w:leader="dot"/>
            </w:tabs>
            <w:rPr/>
          </w:pPr>
          <w:hyperlink w:anchor="__RefHeading___Toc12418121_2142443653">
            <w:r>
              <w:rPr>
                <w:webHidden/>
                <w:rStyle w:val="IndexLink"/>
                <w:rtl w:val="true"/>
              </w:rPr>
              <w:t>فروع حول ستر العورة</w:t>
            </w:r>
            <w:r>
              <w:rPr>
                <w:rStyle w:val="IndexLink"/>
                <w:rtl w:val="true"/>
              </w:rPr>
              <w:tab/>
            </w:r>
            <w:r>
              <w:rPr>
                <w:rStyle w:val="IndexLink"/>
              </w:rPr>
              <w:t>450</w:t>
            </w:r>
          </w:hyperlink>
        </w:p>
        <w:p>
          <w:pPr>
            <w:pStyle w:val="Contents2"/>
            <w:tabs>
              <w:tab w:val="clear" w:pos="8743"/>
              <w:tab w:val="right" w:pos="9026" w:leader="dot"/>
            </w:tabs>
            <w:rPr/>
          </w:pPr>
          <w:hyperlink w:anchor="__RefHeading___Toc12418123_2142443653">
            <w:r>
              <w:rPr>
                <w:webHidden/>
                <w:rStyle w:val="IndexLink"/>
              </w:rPr>
              <w:t>2</w:t>
            </w:r>
            <w:r>
              <w:rPr>
                <w:rStyle w:val="IndexLink"/>
                <w:rtl w:val="true"/>
              </w:rPr>
              <w:t xml:space="preserve">- </w:t>
            </w:r>
            <w:r>
              <w:rPr>
                <w:rStyle w:val="IndexLink"/>
                <w:rtl w:val="true"/>
              </w:rPr>
              <w:t>بَابُ عَدَمِ جَوَازِ اسْتِقْبَالِ الْقِبْلَةِ وَاسْتِدْبَارِهَا عِنْدَ التَّخَلِّي وَكَرَاهَةِ اسْتِقْبَالِ الرِّيحِ وَاسْتِدْبَارِهَا وَاسْتِحْبَابِ اسْتِقْبَالِ الْمَشْرِقِ وَالْمَغْرِب</w:t>
            </w:r>
            <w:r>
              <w:rPr>
                <w:rStyle w:val="IndexLink"/>
                <w:rtl w:val="true"/>
              </w:rPr>
              <w:tab/>
            </w:r>
            <w:r>
              <w:rPr>
                <w:rStyle w:val="IndexLink"/>
              </w:rPr>
              <w:t>461</w:t>
            </w:r>
          </w:hyperlink>
        </w:p>
        <w:p>
          <w:pPr>
            <w:pStyle w:val="Contents3"/>
            <w:tabs>
              <w:tab w:val="clear" w:pos="8459"/>
              <w:tab w:val="right" w:pos="9026" w:leader="dot"/>
            </w:tabs>
            <w:rPr/>
          </w:pPr>
          <w:hyperlink w:anchor="__RefHeading___Toc12418125_2142443653">
            <w:r>
              <w:rPr>
                <w:webHidden/>
                <w:rStyle w:val="IndexLink"/>
                <w:rtl w:val="true"/>
              </w:rPr>
              <w:t>اشارة</w:t>
            </w:r>
            <w:r>
              <w:rPr>
                <w:rStyle w:val="IndexLink"/>
                <w:rtl w:val="true"/>
              </w:rPr>
              <w:tab/>
            </w:r>
            <w:r>
              <w:rPr>
                <w:rStyle w:val="IndexLink"/>
              </w:rPr>
              <w:t>461</w:t>
            </w:r>
          </w:hyperlink>
        </w:p>
        <w:p>
          <w:pPr>
            <w:pStyle w:val="Contents3"/>
            <w:tabs>
              <w:tab w:val="clear" w:pos="8459"/>
              <w:tab w:val="right" w:pos="9026" w:leader="dot"/>
            </w:tabs>
            <w:rPr/>
          </w:pPr>
          <w:hyperlink w:anchor="__RefHeading___Toc12418127_2142443653">
            <w:r>
              <w:rPr>
                <w:webHidden/>
                <w:rStyle w:val="IndexLink"/>
                <w:rtl w:val="true"/>
              </w:rPr>
              <w:t>شرح الباب</w:t>
            </w:r>
            <w:r>
              <w:rPr>
                <w:rStyle w:val="IndexLink"/>
                <w:rtl w:val="true"/>
              </w:rPr>
              <w:t>:</w:t>
              <w:tab/>
            </w:r>
            <w:r>
              <w:rPr>
                <w:rStyle w:val="IndexLink"/>
              </w:rPr>
              <w:t>461</w:t>
            </w:r>
          </w:hyperlink>
        </w:p>
        <w:p>
          <w:pPr>
            <w:pStyle w:val="Contents3"/>
            <w:tabs>
              <w:tab w:val="clear" w:pos="8459"/>
              <w:tab w:val="right" w:pos="9026" w:leader="dot"/>
            </w:tabs>
            <w:rPr/>
          </w:pPr>
          <w:hyperlink w:anchor="__RefHeading___Toc12418129_2142443653">
            <w:r>
              <w:rPr>
                <w:webHidden/>
                <w:rStyle w:val="IndexLink"/>
                <w:rtl w:val="true"/>
              </w:rPr>
              <w:t>أقوال الخاصّة</w:t>
            </w:r>
            <w:r>
              <w:rPr>
                <w:rStyle w:val="IndexLink"/>
                <w:rtl w:val="true"/>
              </w:rPr>
              <w:t>:</w:t>
              <w:tab/>
            </w:r>
            <w:r>
              <w:rPr>
                <w:rStyle w:val="IndexLink"/>
              </w:rPr>
              <w:t>462</w:t>
            </w:r>
          </w:hyperlink>
        </w:p>
        <w:p>
          <w:pPr>
            <w:pStyle w:val="Contents3"/>
            <w:tabs>
              <w:tab w:val="clear" w:pos="8459"/>
              <w:tab w:val="right" w:pos="9026" w:leader="dot"/>
            </w:tabs>
            <w:rPr/>
          </w:pPr>
          <w:hyperlink w:anchor="__RefHeading___Toc12418131_2142443653">
            <w:r>
              <w:rPr>
                <w:webHidden/>
                <w:rStyle w:val="IndexLink"/>
                <w:rtl w:val="true"/>
              </w:rPr>
              <w:t>أقوال العامّة</w:t>
            </w:r>
            <w:r>
              <w:rPr>
                <w:rStyle w:val="IndexLink"/>
                <w:rtl w:val="true"/>
              </w:rPr>
              <w:t>:</w:t>
              <w:tab/>
            </w:r>
            <w:r>
              <w:rPr>
                <w:rStyle w:val="IndexLink"/>
              </w:rPr>
              <w:t>462</w:t>
            </w:r>
          </w:hyperlink>
        </w:p>
        <w:p>
          <w:pPr>
            <w:pStyle w:val="Contents3"/>
            <w:tabs>
              <w:tab w:val="clear" w:pos="8459"/>
              <w:tab w:val="right" w:pos="9026" w:leader="dot"/>
            </w:tabs>
            <w:rPr/>
          </w:pPr>
          <w:hyperlink w:anchor="__RefHeading___Toc12418133_2142443653">
            <w:r>
              <w:rPr>
                <w:webHidden/>
                <w:rStyle w:val="IndexLink"/>
                <w:rtl w:val="true"/>
              </w:rPr>
              <w:t>المتحصل من الأحادیث</w:t>
            </w:r>
            <w:r>
              <w:rPr>
                <w:rStyle w:val="IndexLink"/>
                <w:rtl w:val="true"/>
              </w:rPr>
              <w:tab/>
            </w:r>
            <w:r>
              <w:rPr>
                <w:rStyle w:val="IndexLink"/>
              </w:rPr>
              <w:t>480</w:t>
            </w:r>
          </w:hyperlink>
        </w:p>
        <w:p>
          <w:pPr>
            <w:pStyle w:val="Contents3"/>
            <w:tabs>
              <w:tab w:val="clear" w:pos="8459"/>
              <w:tab w:val="right" w:pos="9026" w:leader="dot"/>
            </w:tabs>
            <w:rPr/>
          </w:pPr>
          <w:hyperlink w:anchor="__RefHeading___Toc12418135_2142443653">
            <w:r>
              <w:rPr>
                <w:webHidden/>
                <w:rStyle w:val="IndexLink"/>
                <w:rtl w:val="true"/>
              </w:rPr>
              <w:t>فروع ثلاثة حول التخلّي</w:t>
            </w:r>
            <w:r>
              <w:rPr>
                <w:rStyle w:val="IndexLink"/>
                <w:rtl w:val="true"/>
              </w:rPr>
              <w:tab/>
            </w:r>
            <w:r>
              <w:rPr>
                <w:rStyle w:val="IndexLink"/>
              </w:rPr>
              <w:t>481</w:t>
            </w:r>
          </w:hyperlink>
        </w:p>
        <w:p>
          <w:pPr>
            <w:pStyle w:val="Contents3"/>
            <w:tabs>
              <w:tab w:val="clear" w:pos="8459"/>
              <w:tab w:val="right" w:pos="9026" w:leader="dot"/>
            </w:tabs>
            <w:rPr/>
          </w:pPr>
          <w:hyperlink w:anchor="__RefHeading___Toc12418137_2142443653">
            <w:r>
              <w:rPr>
                <w:webHidden/>
                <w:rStyle w:val="IndexLink"/>
                <w:rtl w:val="true"/>
              </w:rPr>
              <w:t>الفرع الثاني</w:t>
            </w:r>
            <w:r>
              <w:rPr>
                <w:rStyle w:val="IndexLink"/>
                <w:rtl w:val="true"/>
              </w:rPr>
              <w:t>:</w:t>
              <w:tab/>
            </w:r>
            <w:r>
              <w:rPr>
                <w:rStyle w:val="IndexLink"/>
              </w:rPr>
              <w:t>490</w:t>
            </w:r>
          </w:hyperlink>
        </w:p>
        <w:p>
          <w:pPr>
            <w:pStyle w:val="Contents3"/>
            <w:tabs>
              <w:tab w:val="clear" w:pos="8459"/>
              <w:tab w:val="right" w:pos="9026" w:leader="dot"/>
            </w:tabs>
            <w:rPr/>
          </w:pPr>
          <w:hyperlink w:anchor="__RefHeading___Toc12418139_2142443653">
            <w:r>
              <w:rPr>
                <w:webHidden/>
                <w:rStyle w:val="IndexLink"/>
                <w:rtl w:val="true"/>
              </w:rPr>
              <w:t>الفرع الثالث</w:t>
            </w:r>
            <w:r>
              <w:rPr>
                <w:rStyle w:val="IndexLink"/>
                <w:rtl w:val="true"/>
              </w:rPr>
              <w:t>:</w:t>
              <w:tab/>
            </w:r>
            <w:r>
              <w:rPr>
                <w:rStyle w:val="IndexLink"/>
              </w:rPr>
              <w:t>491</w:t>
            </w:r>
          </w:hyperlink>
        </w:p>
        <w:p>
          <w:pPr>
            <w:pStyle w:val="Contents2"/>
            <w:tabs>
              <w:tab w:val="clear" w:pos="8743"/>
              <w:tab w:val="right" w:pos="9026" w:leader="dot"/>
            </w:tabs>
            <w:rPr/>
          </w:pPr>
          <w:hyperlink w:anchor="__RefHeading___Toc12418141_2142443653">
            <w:r>
              <w:rPr>
                <w:webHidden/>
                <w:rStyle w:val="IndexLink"/>
              </w:rPr>
              <w:t>3</w:t>
            </w:r>
            <w:r>
              <w:rPr>
                <w:rStyle w:val="IndexLink"/>
                <w:rtl w:val="true"/>
              </w:rPr>
              <w:t xml:space="preserve">- </w:t>
            </w:r>
            <w:r>
              <w:rPr>
                <w:rStyle w:val="IndexLink"/>
                <w:rtl w:val="true"/>
              </w:rPr>
              <w:t>بَابُ اسْتِحْبَابِ تَغْطِيَةِ الرَّأْسِ وَالتَّقَنُّعِ عِنْدَ قَضَاءِ الْحَاجَة</w:t>
            </w:r>
            <w:r>
              <w:rPr>
                <w:rStyle w:val="IndexLink"/>
                <w:rtl w:val="true"/>
              </w:rPr>
              <w:tab/>
            </w:r>
            <w:r>
              <w:rPr>
                <w:rStyle w:val="IndexLink"/>
              </w:rPr>
              <w:t>493</w:t>
            </w:r>
          </w:hyperlink>
        </w:p>
        <w:p>
          <w:pPr>
            <w:pStyle w:val="Contents3"/>
            <w:tabs>
              <w:tab w:val="clear" w:pos="8459"/>
              <w:tab w:val="right" w:pos="9026" w:leader="dot"/>
            </w:tabs>
            <w:rPr/>
          </w:pPr>
          <w:hyperlink w:anchor="__RefHeading___Toc12418143_2142443653">
            <w:r>
              <w:rPr>
                <w:webHidden/>
                <w:rStyle w:val="IndexLink"/>
                <w:rtl w:val="true"/>
              </w:rPr>
              <w:t>اشارة</w:t>
            </w:r>
            <w:r>
              <w:rPr>
                <w:rStyle w:val="IndexLink"/>
                <w:rtl w:val="true"/>
              </w:rPr>
              <w:tab/>
            </w:r>
            <w:r>
              <w:rPr>
                <w:rStyle w:val="IndexLink"/>
              </w:rPr>
              <w:t>493</w:t>
            </w:r>
          </w:hyperlink>
        </w:p>
        <w:p>
          <w:pPr>
            <w:pStyle w:val="Contents3"/>
            <w:tabs>
              <w:tab w:val="clear" w:pos="8459"/>
              <w:tab w:val="right" w:pos="9026" w:leader="dot"/>
            </w:tabs>
            <w:rPr/>
          </w:pPr>
          <w:hyperlink w:anchor="__RefHeading___Toc12418145_2142443653">
            <w:r>
              <w:rPr>
                <w:webHidden/>
                <w:rStyle w:val="IndexLink"/>
                <w:rtl w:val="true"/>
              </w:rPr>
              <w:t>شرح الباب</w:t>
            </w:r>
            <w:r>
              <w:rPr>
                <w:rStyle w:val="IndexLink"/>
                <w:rtl w:val="true"/>
              </w:rPr>
              <w:t>:</w:t>
              <w:tab/>
            </w:r>
            <w:r>
              <w:rPr>
                <w:rStyle w:val="IndexLink"/>
              </w:rPr>
              <w:t>493</w:t>
            </w:r>
          </w:hyperlink>
        </w:p>
        <w:p>
          <w:pPr>
            <w:pStyle w:val="Contents3"/>
            <w:tabs>
              <w:tab w:val="clear" w:pos="8459"/>
              <w:tab w:val="right" w:pos="9026" w:leader="dot"/>
            </w:tabs>
            <w:rPr/>
          </w:pPr>
          <w:hyperlink w:anchor="__RefHeading___Toc12418147_2142443653">
            <w:r>
              <w:rPr>
                <w:webHidden/>
                <w:rStyle w:val="IndexLink"/>
                <w:rtl w:val="true"/>
              </w:rPr>
              <w:t>أقوال الخاصّة</w:t>
            </w:r>
            <w:r>
              <w:rPr>
                <w:rStyle w:val="IndexLink"/>
                <w:rtl w:val="true"/>
              </w:rPr>
              <w:t>:</w:t>
              <w:tab/>
            </w:r>
            <w:r>
              <w:rPr>
                <w:rStyle w:val="IndexLink"/>
              </w:rPr>
              <w:t>493</w:t>
            </w:r>
          </w:hyperlink>
        </w:p>
        <w:p>
          <w:pPr>
            <w:pStyle w:val="Contents3"/>
            <w:tabs>
              <w:tab w:val="clear" w:pos="8459"/>
              <w:tab w:val="right" w:pos="9026" w:leader="dot"/>
            </w:tabs>
            <w:rPr/>
          </w:pPr>
          <w:hyperlink w:anchor="__RefHeading___Toc12418149_2142443653">
            <w:r>
              <w:rPr>
                <w:webHidden/>
                <w:rStyle w:val="IndexLink"/>
                <w:rtl w:val="true"/>
              </w:rPr>
              <w:t>أقوال العامّة</w:t>
            </w:r>
            <w:r>
              <w:rPr>
                <w:rStyle w:val="IndexLink"/>
                <w:rtl w:val="true"/>
              </w:rPr>
              <w:t>:</w:t>
              <w:tab/>
            </w:r>
            <w:r>
              <w:rPr>
                <w:rStyle w:val="IndexLink"/>
              </w:rPr>
              <w:t>494</w:t>
            </w:r>
          </w:hyperlink>
        </w:p>
        <w:p>
          <w:pPr>
            <w:pStyle w:val="Contents3"/>
            <w:tabs>
              <w:tab w:val="clear" w:pos="8459"/>
              <w:tab w:val="right" w:pos="9026" w:leader="dot"/>
            </w:tabs>
            <w:rPr/>
          </w:pPr>
          <w:hyperlink w:anchor="__RefHeading___Toc12418151_2142443653">
            <w:r>
              <w:rPr>
                <w:webHidden/>
                <w:rStyle w:val="IndexLink"/>
                <w:rtl w:val="true"/>
              </w:rPr>
              <w:t>المتحصل من الأحادیث</w:t>
            </w:r>
            <w:r>
              <w:rPr>
                <w:rStyle w:val="IndexLink"/>
                <w:rtl w:val="true"/>
              </w:rPr>
              <w:tab/>
            </w:r>
            <w:r>
              <w:rPr>
                <w:rStyle w:val="IndexLink"/>
              </w:rPr>
              <w:t>501</w:t>
            </w:r>
          </w:hyperlink>
        </w:p>
        <w:p>
          <w:pPr>
            <w:pStyle w:val="Contents2"/>
            <w:tabs>
              <w:tab w:val="clear" w:pos="8743"/>
              <w:tab w:val="right" w:pos="9026" w:leader="dot"/>
            </w:tabs>
            <w:rPr/>
          </w:pPr>
          <w:hyperlink w:anchor="__RefHeading___Toc12418153_2142443653">
            <w:r>
              <w:rPr>
                <w:webHidden/>
                <w:rStyle w:val="IndexLink"/>
              </w:rPr>
              <w:t>4</w:t>
            </w:r>
            <w:r>
              <w:rPr>
                <w:rStyle w:val="IndexLink"/>
                <w:rtl w:val="true"/>
              </w:rPr>
              <w:t xml:space="preserve">- </w:t>
            </w:r>
            <w:r>
              <w:rPr>
                <w:rStyle w:val="IndexLink"/>
                <w:rtl w:val="true"/>
              </w:rPr>
              <w:t>بَابُ اسْتِحْبَابِ التَّبَاعُدِ عَنِ النَّاسِ عِنْدَ التَّخَلِّي وَشِدَّةِ التَّسَتُّرِ وَالتَّحَفُّظ</w:t>
            </w:r>
            <w:r>
              <w:rPr>
                <w:rStyle w:val="IndexLink"/>
                <w:rtl w:val="true"/>
              </w:rPr>
              <w:tab/>
            </w:r>
            <w:r>
              <w:rPr>
                <w:rStyle w:val="IndexLink"/>
              </w:rPr>
              <w:t>503</w:t>
            </w:r>
          </w:hyperlink>
        </w:p>
        <w:p>
          <w:pPr>
            <w:pStyle w:val="Contents3"/>
            <w:tabs>
              <w:tab w:val="clear" w:pos="8459"/>
              <w:tab w:val="right" w:pos="9026" w:leader="dot"/>
            </w:tabs>
            <w:rPr/>
          </w:pPr>
          <w:hyperlink w:anchor="__RefHeading___Toc12418155_2142443653">
            <w:r>
              <w:rPr>
                <w:webHidden/>
                <w:rStyle w:val="IndexLink"/>
                <w:rtl w:val="true"/>
              </w:rPr>
              <w:t>اشارة</w:t>
            </w:r>
            <w:r>
              <w:rPr>
                <w:rStyle w:val="IndexLink"/>
                <w:rtl w:val="true"/>
              </w:rPr>
              <w:tab/>
            </w:r>
            <w:r>
              <w:rPr>
                <w:rStyle w:val="IndexLink"/>
              </w:rPr>
              <w:t>503</w:t>
            </w:r>
          </w:hyperlink>
        </w:p>
        <w:p>
          <w:pPr>
            <w:pStyle w:val="Contents3"/>
            <w:tabs>
              <w:tab w:val="clear" w:pos="8459"/>
              <w:tab w:val="right" w:pos="9026" w:leader="dot"/>
            </w:tabs>
            <w:rPr/>
          </w:pPr>
          <w:hyperlink w:anchor="__RefHeading___Toc12418157_2142443653">
            <w:r>
              <w:rPr>
                <w:webHidden/>
                <w:rStyle w:val="IndexLink"/>
                <w:rtl w:val="true"/>
              </w:rPr>
              <w:t>شرح الباب</w:t>
            </w:r>
            <w:r>
              <w:rPr>
                <w:rStyle w:val="IndexLink"/>
                <w:rtl w:val="true"/>
              </w:rPr>
              <w:t>:</w:t>
              <w:tab/>
            </w:r>
            <w:r>
              <w:rPr>
                <w:rStyle w:val="IndexLink"/>
              </w:rPr>
              <w:t>503</w:t>
            </w:r>
          </w:hyperlink>
        </w:p>
        <w:p>
          <w:pPr>
            <w:pStyle w:val="Contents3"/>
            <w:tabs>
              <w:tab w:val="clear" w:pos="8459"/>
              <w:tab w:val="right" w:pos="9026" w:leader="dot"/>
            </w:tabs>
            <w:rPr/>
          </w:pPr>
          <w:hyperlink w:anchor="__RefHeading___Toc12418159_2142443653">
            <w:r>
              <w:rPr>
                <w:webHidden/>
                <w:rStyle w:val="IndexLink"/>
                <w:rtl w:val="true"/>
              </w:rPr>
              <w:t>أقوال العامّة</w:t>
            </w:r>
            <w:r>
              <w:rPr>
                <w:rStyle w:val="IndexLink"/>
                <w:rtl w:val="true"/>
              </w:rPr>
              <w:t>:</w:t>
              <w:tab/>
            </w:r>
            <w:r>
              <w:rPr>
                <w:rStyle w:val="IndexLink"/>
              </w:rPr>
              <w:t>504</w:t>
            </w:r>
          </w:hyperlink>
        </w:p>
        <w:p>
          <w:pPr>
            <w:pStyle w:val="Contents3"/>
            <w:tabs>
              <w:tab w:val="clear" w:pos="8459"/>
              <w:tab w:val="right" w:pos="9026" w:leader="dot"/>
            </w:tabs>
            <w:rPr/>
          </w:pPr>
          <w:hyperlink w:anchor="__RefHeading___Toc12418161_2142443653">
            <w:r>
              <w:rPr>
                <w:webHidden/>
                <w:rStyle w:val="IndexLink"/>
                <w:rtl w:val="true"/>
              </w:rPr>
              <w:t>المتحصل من الأحادیث</w:t>
            </w:r>
            <w:r>
              <w:rPr>
                <w:rStyle w:val="IndexLink"/>
                <w:rtl w:val="true"/>
              </w:rPr>
              <w:tab/>
            </w:r>
            <w:r>
              <w:rPr>
                <w:rStyle w:val="IndexLink"/>
              </w:rPr>
              <w:t>513</w:t>
            </w:r>
          </w:hyperlink>
        </w:p>
        <w:p>
          <w:pPr>
            <w:pStyle w:val="Contents2"/>
            <w:tabs>
              <w:tab w:val="clear" w:pos="8743"/>
              <w:tab w:val="right" w:pos="9026" w:leader="dot"/>
            </w:tabs>
            <w:rPr/>
          </w:pPr>
          <w:hyperlink w:anchor="__RefHeading___Toc12418163_2142443653">
            <w:r>
              <w:rPr>
                <w:webHidden/>
                <w:rStyle w:val="IndexLink"/>
              </w:rPr>
              <w:t>5</w:t>
            </w:r>
            <w:r>
              <w:rPr>
                <w:rStyle w:val="IndexLink"/>
                <w:rtl w:val="true"/>
              </w:rPr>
              <w:t xml:space="preserve">- </w:t>
            </w:r>
            <w:r>
              <w:rPr>
                <w:rStyle w:val="IndexLink"/>
                <w:rtl w:val="true"/>
              </w:rPr>
              <w:t>بَابُ اسْتِحْبَابِ التَّسْمِيَةِ وَالِاسْتِعَاذَةِ وَالدُّعَا ءِ بِالْمَأْثُورِ عِنْدَ دُخُولِ الْمَخْرَجِ وَالْخُرُوجِ مِنْهُ وَالْفَرَاغِ وَالنَّظَرِ إِلَى الْمَا ءِ وَالْوُضُو ء</w:t>
            </w:r>
            <w:r>
              <w:rPr>
                <w:rStyle w:val="IndexLink"/>
                <w:rtl w:val="true"/>
              </w:rPr>
              <w:tab/>
            </w:r>
            <w:r>
              <w:rPr>
                <w:rStyle w:val="IndexLink"/>
              </w:rPr>
              <w:t>515</w:t>
            </w:r>
          </w:hyperlink>
        </w:p>
        <w:p>
          <w:pPr>
            <w:pStyle w:val="Contents3"/>
            <w:tabs>
              <w:tab w:val="clear" w:pos="8459"/>
              <w:tab w:val="right" w:pos="9026" w:leader="dot"/>
            </w:tabs>
            <w:rPr/>
          </w:pPr>
          <w:hyperlink w:anchor="__RefHeading___Toc12418165_2142443653">
            <w:r>
              <w:rPr>
                <w:webHidden/>
                <w:rStyle w:val="IndexLink"/>
                <w:rtl w:val="true"/>
              </w:rPr>
              <w:t>اشارة</w:t>
            </w:r>
            <w:r>
              <w:rPr>
                <w:rStyle w:val="IndexLink"/>
                <w:rtl w:val="true"/>
              </w:rPr>
              <w:tab/>
            </w:r>
            <w:r>
              <w:rPr>
                <w:rStyle w:val="IndexLink"/>
              </w:rPr>
              <w:t>515</w:t>
            </w:r>
          </w:hyperlink>
        </w:p>
        <w:p>
          <w:pPr>
            <w:pStyle w:val="Contents3"/>
            <w:tabs>
              <w:tab w:val="clear" w:pos="8459"/>
              <w:tab w:val="right" w:pos="9026" w:leader="dot"/>
            </w:tabs>
            <w:rPr/>
          </w:pPr>
          <w:hyperlink w:anchor="__RefHeading___Toc12418167_2142443653">
            <w:r>
              <w:rPr>
                <w:webHidden/>
                <w:rStyle w:val="IndexLink"/>
                <w:rtl w:val="true"/>
              </w:rPr>
              <w:t>شرح الباب</w:t>
            </w:r>
            <w:r>
              <w:rPr>
                <w:rStyle w:val="IndexLink"/>
                <w:rtl w:val="true"/>
              </w:rPr>
              <w:t>:</w:t>
              <w:tab/>
            </w:r>
            <w:r>
              <w:rPr>
                <w:rStyle w:val="IndexLink"/>
              </w:rPr>
              <w:t>515</w:t>
            </w:r>
          </w:hyperlink>
        </w:p>
        <w:p>
          <w:pPr>
            <w:pStyle w:val="Contents3"/>
            <w:tabs>
              <w:tab w:val="clear" w:pos="8459"/>
              <w:tab w:val="right" w:pos="9026" w:leader="dot"/>
            </w:tabs>
            <w:rPr/>
          </w:pPr>
          <w:hyperlink w:anchor="__RefHeading___Toc12418169_2142443653">
            <w:r>
              <w:rPr>
                <w:webHidden/>
                <w:rStyle w:val="IndexLink"/>
                <w:rtl w:val="true"/>
              </w:rPr>
              <w:t>أقوال الخاصّة</w:t>
            </w:r>
            <w:r>
              <w:rPr>
                <w:rStyle w:val="IndexLink"/>
                <w:rtl w:val="true"/>
              </w:rPr>
              <w:t>:</w:t>
              <w:tab/>
            </w:r>
            <w:r>
              <w:rPr>
                <w:rStyle w:val="IndexLink"/>
              </w:rPr>
              <w:t>516</w:t>
            </w:r>
          </w:hyperlink>
        </w:p>
        <w:p>
          <w:pPr>
            <w:pStyle w:val="Contents3"/>
            <w:tabs>
              <w:tab w:val="clear" w:pos="8459"/>
              <w:tab w:val="right" w:pos="9026" w:leader="dot"/>
            </w:tabs>
            <w:rPr/>
          </w:pPr>
          <w:hyperlink w:anchor="__RefHeading___Toc12418171_2142443653">
            <w:r>
              <w:rPr>
                <w:webHidden/>
                <w:rStyle w:val="IndexLink"/>
                <w:rtl w:val="true"/>
              </w:rPr>
              <w:t>أقوال العامّة</w:t>
            </w:r>
            <w:r>
              <w:rPr>
                <w:rStyle w:val="IndexLink"/>
                <w:rtl w:val="true"/>
              </w:rPr>
              <w:t>:</w:t>
              <w:tab/>
            </w:r>
            <w:r>
              <w:rPr>
                <w:rStyle w:val="IndexLink"/>
              </w:rPr>
              <w:t>516</w:t>
            </w:r>
          </w:hyperlink>
        </w:p>
        <w:p>
          <w:pPr>
            <w:pStyle w:val="Contents3"/>
            <w:tabs>
              <w:tab w:val="clear" w:pos="8459"/>
              <w:tab w:val="right" w:pos="9026" w:leader="dot"/>
            </w:tabs>
            <w:rPr/>
          </w:pPr>
          <w:hyperlink w:anchor="__RefHeading___Toc12418173_2142443653">
            <w:r>
              <w:rPr>
                <w:webHidden/>
                <w:rStyle w:val="IndexLink"/>
                <w:rtl w:val="true"/>
              </w:rPr>
              <w:t>بحث رجالي حول صباح الحذاء</w:t>
            </w:r>
            <w:r>
              <w:rPr>
                <w:rStyle w:val="IndexLink"/>
                <w:rtl w:val="true"/>
              </w:rPr>
              <w:tab/>
            </w:r>
            <w:r>
              <w:rPr>
                <w:rStyle w:val="IndexLink"/>
              </w:rPr>
              <w:t>523</w:t>
            </w:r>
          </w:hyperlink>
        </w:p>
        <w:p>
          <w:pPr>
            <w:pStyle w:val="Contents3"/>
            <w:tabs>
              <w:tab w:val="clear" w:pos="8459"/>
              <w:tab w:val="right" w:pos="9026" w:leader="dot"/>
            </w:tabs>
            <w:rPr/>
          </w:pPr>
          <w:hyperlink w:anchor="__RefHeading___Toc12418175_2142443653">
            <w:r>
              <w:rPr>
                <w:webHidden/>
                <w:rStyle w:val="IndexLink"/>
                <w:rtl w:val="true"/>
              </w:rPr>
              <w:t>المتحصل من الأحادیث</w:t>
            </w:r>
            <w:r>
              <w:rPr>
                <w:rStyle w:val="IndexLink"/>
                <w:rtl w:val="true"/>
              </w:rPr>
              <w:tab/>
            </w:r>
            <w:r>
              <w:rPr>
                <w:rStyle w:val="IndexLink"/>
              </w:rPr>
              <w:t>536</w:t>
            </w:r>
          </w:hyperlink>
        </w:p>
        <w:p>
          <w:pPr>
            <w:pStyle w:val="Contents2"/>
            <w:tabs>
              <w:tab w:val="clear" w:pos="8743"/>
              <w:tab w:val="right" w:pos="9026" w:leader="dot"/>
            </w:tabs>
            <w:rPr/>
          </w:pPr>
          <w:hyperlink w:anchor="__RefHeading___Toc12418177_2142443653">
            <w:r>
              <w:rPr>
                <w:webHidden/>
                <w:rStyle w:val="IndexLink"/>
              </w:rPr>
              <w:t>6</w:t>
            </w:r>
            <w:r>
              <w:rPr>
                <w:rStyle w:val="IndexLink"/>
                <w:rtl w:val="true"/>
              </w:rPr>
              <w:t xml:space="preserve">- </w:t>
            </w:r>
            <w:r>
              <w:rPr>
                <w:rStyle w:val="IndexLink"/>
                <w:rtl w:val="true"/>
              </w:rPr>
              <w:t>بَابُ كَرَاهَةِ الْكَلَامِ عَلَى الْخَلَا ء</w:t>
            </w:r>
            <w:r>
              <w:rPr>
                <w:rStyle w:val="IndexLink"/>
                <w:rtl w:val="true"/>
              </w:rPr>
              <w:tab/>
            </w:r>
            <w:r>
              <w:rPr>
                <w:rStyle w:val="IndexLink"/>
              </w:rPr>
              <w:t>539</w:t>
            </w:r>
          </w:hyperlink>
        </w:p>
        <w:p>
          <w:pPr>
            <w:pStyle w:val="Contents3"/>
            <w:tabs>
              <w:tab w:val="clear" w:pos="8459"/>
              <w:tab w:val="right" w:pos="9026" w:leader="dot"/>
            </w:tabs>
            <w:rPr/>
          </w:pPr>
          <w:hyperlink w:anchor="__RefHeading___Toc12418179_2142443653">
            <w:r>
              <w:rPr>
                <w:webHidden/>
                <w:rStyle w:val="IndexLink"/>
                <w:rtl w:val="true"/>
              </w:rPr>
              <w:t>اشارة</w:t>
            </w:r>
            <w:r>
              <w:rPr>
                <w:rStyle w:val="IndexLink"/>
                <w:rtl w:val="true"/>
              </w:rPr>
              <w:tab/>
            </w:r>
            <w:r>
              <w:rPr>
                <w:rStyle w:val="IndexLink"/>
              </w:rPr>
              <w:t>539</w:t>
            </w:r>
          </w:hyperlink>
        </w:p>
        <w:p>
          <w:pPr>
            <w:pStyle w:val="Contents3"/>
            <w:tabs>
              <w:tab w:val="clear" w:pos="8459"/>
              <w:tab w:val="right" w:pos="9026" w:leader="dot"/>
            </w:tabs>
            <w:rPr/>
          </w:pPr>
          <w:hyperlink w:anchor="__RefHeading___Toc12418181_2142443653">
            <w:r>
              <w:rPr>
                <w:webHidden/>
                <w:rStyle w:val="IndexLink"/>
                <w:rtl w:val="true"/>
              </w:rPr>
              <w:t>أقوال الخاصّة</w:t>
            </w:r>
            <w:r>
              <w:rPr>
                <w:rStyle w:val="IndexLink"/>
                <w:rtl w:val="true"/>
              </w:rPr>
              <w:t>:</w:t>
              <w:tab/>
            </w:r>
            <w:r>
              <w:rPr>
                <w:rStyle w:val="IndexLink"/>
              </w:rPr>
              <w:t>539</w:t>
            </w:r>
          </w:hyperlink>
        </w:p>
        <w:p>
          <w:pPr>
            <w:pStyle w:val="Contents3"/>
            <w:tabs>
              <w:tab w:val="clear" w:pos="8459"/>
              <w:tab w:val="right" w:pos="9026" w:leader="dot"/>
            </w:tabs>
            <w:rPr/>
          </w:pPr>
          <w:hyperlink w:anchor="__RefHeading___Toc12418183_2142443653">
            <w:r>
              <w:rPr>
                <w:webHidden/>
                <w:rStyle w:val="IndexLink"/>
                <w:rtl w:val="true"/>
              </w:rPr>
              <w:t>أقوال العامّة</w:t>
            </w:r>
            <w:r>
              <w:rPr>
                <w:rStyle w:val="IndexLink"/>
                <w:rtl w:val="true"/>
              </w:rPr>
              <w:t>:</w:t>
              <w:tab/>
            </w:r>
            <w:r>
              <w:rPr>
                <w:rStyle w:val="IndexLink"/>
              </w:rPr>
              <w:t>539</w:t>
            </w:r>
          </w:hyperlink>
        </w:p>
        <w:p>
          <w:pPr>
            <w:pStyle w:val="Contents3"/>
            <w:tabs>
              <w:tab w:val="clear" w:pos="8459"/>
              <w:tab w:val="right" w:pos="9026" w:leader="dot"/>
            </w:tabs>
            <w:rPr/>
          </w:pPr>
          <w:hyperlink w:anchor="__RefHeading___Toc12418185_2142443653">
            <w:r>
              <w:rPr>
                <w:webHidden/>
                <w:rStyle w:val="IndexLink"/>
                <w:rtl w:val="true"/>
              </w:rPr>
              <w:t>المتحصل من الحدیثين</w:t>
            </w:r>
            <w:r>
              <w:rPr>
                <w:rStyle w:val="IndexLink"/>
                <w:rtl w:val="true"/>
              </w:rPr>
              <w:tab/>
            </w:r>
            <w:r>
              <w:rPr>
                <w:rStyle w:val="IndexLink"/>
              </w:rPr>
              <w:t>543</w:t>
            </w:r>
          </w:hyperlink>
        </w:p>
        <w:p>
          <w:pPr>
            <w:pStyle w:val="Contents2"/>
            <w:tabs>
              <w:tab w:val="clear" w:pos="8743"/>
              <w:tab w:val="right" w:pos="9026" w:leader="dot"/>
            </w:tabs>
            <w:rPr/>
          </w:pPr>
          <w:hyperlink w:anchor="__RefHeading___Toc12418187_2142443653">
            <w:r>
              <w:rPr>
                <w:webHidden/>
                <w:rStyle w:val="IndexLink"/>
              </w:rPr>
              <w:t>7</w:t>
            </w:r>
            <w:r>
              <w:rPr>
                <w:rStyle w:val="IndexLink"/>
                <w:rtl w:val="true"/>
              </w:rPr>
              <w:t xml:space="preserve">- </w:t>
            </w:r>
            <w:r>
              <w:rPr>
                <w:rStyle w:val="IndexLink"/>
                <w:rtl w:val="true"/>
              </w:rPr>
              <w:t>بَابُ عَدَمِ كَرَاهَةِ ذِكْرِ اللَّهِ وَتَحْمِيدِهِ وَقِرَا ءَةِ آيَةِ الْكُرْسِيِّ عَلَى الْخَلَا ء</w:t>
            </w:r>
            <w:r>
              <w:rPr>
                <w:rStyle w:val="IndexLink"/>
                <w:rtl w:val="true"/>
              </w:rPr>
              <w:tab/>
            </w:r>
            <w:r>
              <w:rPr>
                <w:rStyle w:val="IndexLink"/>
              </w:rPr>
              <w:t>545</w:t>
            </w:r>
          </w:hyperlink>
        </w:p>
        <w:p>
          <w:pPr>
            <w:pStyle w:val="Contents3"/>
            <w:tabs>
              <w:tab w:val="clear" w:pos="8459"/>
              <w:tab w:val="right" w:pos="9026" w:leader="dot"/>
            </w:tabs>
            <w:rPr/>
          </w:pPr>
          <w:hyperlink w:anchor="__RefHeading___Toc12418189_2142443653">
            <w:r>
              <w:rPr>
                <w:webHidden/>
                <w:rStyle w:val="IndexLink"/>
                <w:rtl w:val="true"/>
              </w:rPr>
              <w:t>اشارة</w:t>
            </w:r>
            <w:r>
              <w:rPr>
                <w:rStyle w:val="IndexLink"/>
                <w:rtl w:val="true"/>
              </w:rPr>
              <w:tab/>
            </w:r>
            <w:r>
              <w:rPr>
                <w:rStyle w:val="IndexLink"/>
              </w:rPr>
              <w:t>545</w:t>
            </w:r>
          </w:hyperlink>
        </w:p>
        <w:p>
          <w:pPr>
            <w:pStyle w:val="Contents3"/>
            <w:tabs>
              <w:tab w:val="clear" w:pos="8459"/>
              <w:tab w:val="right" w:pos="9026" w:leader="dot"/>
            </w:tabs>
            <w:rPr/>
          </w:pPr>
          <w:hyperlink w:anchor="__RefHeading___Toc12418191_2142443653">
            <w:r>
              <w:rPr>
                <w:webHidden/>
                <w:rStyle w:val="IndexLink"/>
                <w:rtl w:val="true"/>
              </w:rPr>
              <w:t>شرح الباب</w:t>
            </w:r>
            <w:r>
              <w:rPr>
                <w:rStyle w:val="IndexLink"/>
                <w:rtl w:val="true"/>
              </w:rPr>
              <w:t>:</w:t>
              <w:tab/>
            </w:r>
            <w:r>
              <w:rPr>
                <w:rStyle w:val="IndexLink"/>
              </w:rPr>
              <w:t>545</w:t>
            </w:r>
          </w:hyperlink>
        </w:p>
        <w:p>
          <w:pPr>
            <w:pStyle w:val="Contents3"/>
            <w:tabs>
              <w:tab w:val="clear" w:pos="8459"/>
              <w:tab w:val="right" w:pos="9026" w:leader="dot"/>
            </w:tabs>
            <w:rPr/>
          </w:pPr>
          <w:hyperlink w:anchor="__RefHeading___Toc12418193_2142443653">
            <w:r>
              <w:rPr>
                <w:webHidden/>
                <w:rStyle w:val="IndexLink"/>
                <w:rtl w:val="true"/>
              </w:rPr>
              <w:t>أقوال الخاصّة</w:t>
            </w:r>
            <w:r>
              <w:rPr>
                <w:rStyle w:val="IndexLink"/>
                <w:rtl w:val="true"/>
              </w:rPr>
              <w:t>:</w:t>
              <w:tab/>
            </w:r>
            <w:r>
              <w:rPr>
                <w:rStyle w:val="IndexLink"/>
              </w:rPr>
              <w:t>546</w:t>
            </w:r>
          </w:hyperlink>
        </w:p>
        <w:p>
          <w:pPr>
            <w:pStyle w:val="Contents3"/>
            <w:tabs>
              <w:tab w:val="clear" w:pos="8459"/>
              <w:tab w:val="right" w:pos="9026" w:leader="dot"/>
            </w:tabs>
            <w:rPr/>
          </w:pPr>
          <w:hyperlink w:anchor="__RefHeading___Toc12418195_2142443653">
            <w:r>
              <w:rPr>
                <w:webHidden/>
                <w:rStyle w:val="IndexLink"/>
                <w:rtl w:val="true"/>
              </w:rPr>
              <w:t>أقوال العامّة</w:t>
            </w:r>
            <w:r>
              <w:rPr>
                <w:rStyle w:val="IndexLink"/>
                <w:rtl w:val="true"/>
              </w:rPr>
              <w:t>:</w:t>
              <w:tab/>
            </w:r>
            <w:r>
              <w:rPr>
                <w:rStyle w:val="IndexLink"/>
              </w:rPr>
              <w:t>546</w:t>
            </w:r>
          </w:hyperlink>
        </w:p>
        <w:p>
          <w:pPr>
            <w:pStyle w:val="Contents3"/>
            <w:tabs>
              <w:tab w:val="clear" w:pos="8459"/>
              <w:tab w:val="right" w:pos="9026" w:leader="dot"/>
            </w:tabs>
            <w:rPr/>
          </w:pPr>
          <w:hyperlink w:anchor="__RefHeading___Toc12418197_2142443653">
            <w:r>
              <w:rPr>
                <w:webHidden/>
                <w:rStyle w:val="IndexLink"/>
                <w:rtl w:val="true"/>
              </w:rPr>
              <w:t>المتحصل من الأحادیث</w:t>
            </w:r>
            <w:r>
              <w:rPr>
                <w:rStyle w:val="IndexLink"/>
                <w:rtl w:val="true"/>
              </w:rPr>
              <w:tab/>
            </w:r>
            <w:r>
              <w:rPr>
                <w:rStyle w:val="IndexLink"/>
              </w:rPr>
              <w:t>565</w:t>
            </w:r>
          </w:hyperlink>
        </w:p>
        <w:p>
          <w:pPr>
            <w:pStyle w:val="Contents2"/>
            <w:tabs>
              <w:tab w:val="clear" w:pos="8743"/>
              <w:tab w:val="right" w:pos="9026" w:leader="dot"/>
            </w:tabs>
            <w:rPr/>
          </w:pPr>
          <w:hyperlink w:anchor="__RefHeading___Toc12418199_2142443653">
            <w:r>
              <w:rPr>
                <w:webHidden/>
                <w:rStyle w:val="IndexLink"/>
              </w:rPr>
              <w:t>8</w:t>
            </w:r>
            <w:r>
              <w:rPr>
                <w:rStyle w:val="IndexLink"/>
                <w:rtl w:val="true"/>
              </w:rPr>
              <w:t xml:space="preserve">- </w:t>
            </w:r>
            <w:r>
              <w:rPr>
                <w:rStyle w:val="IndexLink"/>
                <w:rtl w:val="true"/>
              </w:rPr>
              <w:t>بَابُ عَدَمِ كَرَاهَةِ حِكَايَةِ الْأَذَانِ عَلَى الْخَلَا ءِ وَاسْتِحْبَابِهِ</w:t>
            </w:r>
            <w:r>
              <w:rPr>
                <w:rStyle w:val="IndexLink"/>
                <w:rtl w:val="true"/>
              </w:rPr>
              <w:tab/>
            </w:r>
            <w:r>
              <w:rPr>
                <w:rStyle w:val="IndexLink"/>
              </w:rPr>
              <w:t>567</w:t>
            </w:r>
          </w:hyperlink>
        </w:p>
        <w:p>
          <w:pPr>
            <w:pStyle w:val="Contents3"/>
            <w:tabs>
              <w:tab w:val="clear" w:pos="8459"/>
              <w:tab w:val="right" w:pos="9026" w:leader="dot"/>
            </w:tabs>
            <w:rPr/>
          </w:pPr>
          <w:hyperlink w:anchor="__RefHeading___Toc12418201_2142443653">
            <w:r>
              <w:rPr>
                <w:webHidden/>
                <w:rStyle w:val="IndexLink"/>
                <w:rtl w:val="true"/>
              </w:rPr>
              <w:t>اشارة</w:t>
            </w:r>
            <w:r>
              <w:rPr>
                <w:rStyle w:val="IndexLink"/>
                <w:rtl w:val="true"/>
              </w:rPr>
              <w:tab/>
            </w:r>
            <w:r>
              <w:rPr>
                <w:rStyle w:val="IndexLink"/>
              </w:rPr>
              <w:t>567</w:t>
            </w:r>
          </w:hyperlink>
        </w:p>
        <w:p>
          <w:pPr>
            <w:pStyle w:val="Contents3"/>
            <w:tabs>
              <w:tab w:val="clear" w:pos="8459"/>
              <w:tab w:val="right" w:pos="9026" w:leader="dot"/>
            </w:tabs>
            <w:rPr/>
          </w:pPr>
          <w:hyperlink w:anchor="__RefHeading___Toc12418203_2142443653">
            <w:r>
              <w:rPr>
                <w:webHidden/>
                <w:rStyle w:val="IndexLink"/>
                <w:rtl w:val="true"/>
              </w:rPr>
              <w:t>شرح الباب</w:t>
            </w:r>
            <w:r>
              <w:rPr>
                <w:rStyle w:val="IndexLink"/>
                <w:rtl w:val="true"/>
              </w:rPr>
              <w:t>:</w:t>
              <w:tab/>
            </w:r>
            <w:r>
              <w:rPr>
                <w:rStyle w:val="IndexLink"/>
              </w:rPr>
              <w:t>567</w:t>
            </w:r>
          </w:hyperlink>
        </w:p>
        <w:p>
          <w:pPr>
            <w:pStyle w:val="Contents3"/>
            <w:tabs>
              <w:tab w:val="clear" w:pos="8459"/>
              <w:tab w:val="right" w:pos="9026" w:leader="dot"/>
            </w:tabs>
            <w:rPr/>
          </w:pPr>
          <w:hyperlink w:anchor="__RefHeading___Toc12418205_2142443653">
            <w:r>
              <w:rPr>
                <w:webHidden/>
                <w:rStyle w:val="IndexLink"/>
                <w:rtl w:val="true"/>
              </w:rPr>
              <w:t>أقوال الخاصّة</w:t>
            </w:r>
            <w:r>
              <w:rPr>
                <w:rStyle w:val="IndexLink"/>
                <w:rtl w:val="true"/>
              </w:rPr>
              <w:t>:</w:t>
              <w:tab/>
            </w:r>
            <w:r>
              <w:rPr>
                <w:rStyle w:val="IndexLink"/>
              </w:rPr>
              <w:t>567</w:t>
            </w:r>
          </w:hyperlink>
        </w:p>
        <w:p>
          <w:pPr>
            <w:pStyle w:val="Contents3"/>
            <w:tabs>
              <w:tab w:val="clear" w:pos="8459"/>
              <w:tab w:val="right" w:pos="9026" w:leader="dot"/>
            </w:tabs>
            <w:rPr/>
          </w:pPr>
          <w:hyperlink w:anchor="__RefHeading___Toc12418207_2142443653">
            <w:r>
              <w:rPr>
                <w:webHidden/>
                <w:rStyle w:val="IndexLink"/>
                <w:rtl w:val="true"/>
              </w:rPr>
              <w:t>أقوال العامّة</w:t>
            </w:r>
            <w:r>
              <w:rPr>
                <w:rStyle w:val="IndexLink"/>
                <w:rtl w:val="true"/>
              </w:rPr>
              <w:t>:</w:t>
              <w:tab/>
            </w:r>
            <w:r>
              <w:rPr>
                <w:rStyle w:val="IndexLink"/>
              </w:rPr>
              <w:t>568</w:t>
            </w:r>
          </w:hyperlink>
        </w:p>
        <w:p>
          <w:pPr>
            <w:pStyle w:val="Contents2"/>
            <w:tabs>
              <w:tab w:val="clear" w:pos="8743"/>
              <w:tab w:val="right" w:pos="9026" w:leader="dot"/>
            </w:tabs>
            <w:rPr/>
          </w:pPr>
          <w:hyperlink w:anchor="__RefHeading___Toc12418209_2142443653">
            <w:r>
              <w:rPr>
                <w:webHidden/>
                <w:rStyle w:val="IndexLink"/>
                <w:rtl w:val="true"/>
              </w:rPr>
              <w:t>فهارس الكتاب</w:t>
            </w:r>
            <w:r>
              <w:rPr>
                <w:rStyle w:val="IndexLink"/>
                <w:rtl w:val="true"/>
              </w:rPr>
              <w:tab/>
            </w:r>
            <w:r>
              <w:rPr>
                <w:rStyle w:val="IndexLink"/>
              </w:rPr>
              <w:t>575</w:t>
            </w:r>
          </w:hyperlink>
        </w:p>
        <w:p>
          <w:pPr>
            <w:pStyle w:val="Contents3"/>
            <w:tabs>
              <w:tab w:val="clear" w:pos="8459"/>
              <w:tab w:val="right" w:pos="9026" w:leader="dot"/>
            </w:tabs>
            <w:rPr/>
          </w:pPr>
          <w:hyperlink w:anchor="__RefHeading___Toc12418211_2142443653">
            <w:r>
              <w:rPr>
                <w:webHidden/>
                <w:rStyle w:val="IndexLink"/>
                <w:rtl w:val="true"/>
              </w:rPr>
              <w:t>اشارة</w:t>
            </w:r>
            <w:r>
              <w:rPr>
                <w:rStyle w:val="IndexLink"/>
                <w:rtl w:val="true"/>
              </w:rPr>
              <w:tab/>
            </w:r>
            <w:r>
              <w:rPr>
                <w:rStyle w:val="IndexLink"/>
              </w:rPr>
              <w:t>575</w:t>
            </w:r>
          </w:hyperlink>
        </w:p>
        <w:p>
          <w:pPr>
            <w:pStyle w:val="Contents3"/>
            <w:tabs>
              <w:tab w:val="clear" w:pos="8459"/>
              <w:tab w:val="right" w:pos="9026" w:leader="dot"/>
            </w:tabs>
            <w:rPr/>
          </w:pPr>
          <w:hyperlink w:anchor="__RefHeading___Toc12418213_2142443653">
            <w:r>
              <w:rPr>
                <w:webHidden/>
                <w:rStyle w:val="IndexLink"/>
              </w:rPr>
              <w:t>1</w:t>
            </w:r>
            <w:r>
              <w:rPr>
                <w:rStyle w:val="IndexLink"/>
                <w:rtl w:val="true"/>
              </w:rPr>
              <w:t xml:space="preserve">- </w:t>
            </w:r>
            <w:r>
              <w:rPr>
                <w:rStyle w:val="IndexLink"/>
                <w:rtl w:val="true"/>
              </w:rPr>
              <w:t>فهرس الأعلام المترجمين في الكتاب</w:t>
            </w:r>
            <w:r>
              <w:rPr>
                <w:rStyle w:val="IndexLink"/>
                <w:rtl w:val="true"/>
              </w:rPr>
              <w:tab/>
            </w:r>
            <w:r>
              <w:rPr>
                <w:rStyle w:val="IndexLink"/>
              </w:rPr>
              <w:t>577</w:t>
            </w:r>
          </w:hyperlink>
        </w:p>
        <w:p>
          <w:pPr>
            <w:pStyle w:val="Contents3"/>
            <w:tabs>
              <w:tab w:val="clear" w:pos="8459"/>
              <w:tab w:val="right" w:pos="9026" w:leader="dot"/>
            </w:tabs>
            <w:rPr/>
          </w:pPr>
          <w:hyperlink w:anchor="__RefHeading___Toc12418215_2142443653">
            <w:r>
              <w:rPr>
                <w:webHidden/>
                <w:rStyle w:val="IndexLink"/>
              </w:rPr>
              <w:t>2</w:t>
            </w:r>
            <w:r>
              <w:rPr>
                <w:rStyle w:val="IndexLink"/>
                <w:rtl w:val="true"/>
              </w:rPr>
              <w:t xml:space="preserve">- </w:t>
            </w:r>
            <w:r>
              <w:rPr>
                <w:rStyle w:val="IndexLink"/>
                <w:rtl w:val="true"/>
              </w:rPr>
              <w:t>فهرس الكنی والألقاب</w:t>
            </w:r>
            <w:r>
              <w:rPr>
                <w:rStyle w:val="IndexLink"/>
                <w:rtl w:val="true"/>
              </w:rPr>
              <w:tab/>
            </w:r>
            <w:r>
              <w:rPr>
                <w:rStyle w:val="IndexLink"/>
              </w:rPr>
              <w:t>583</w:t>
            </w:r>
          </w:hyperlink>
        </w:p>
        <w:p>
          <w:pPr>
            <w:pStyle w:val="Contents3"/>
            <w:tabs>
              <w:tab w:val="clear" w:pos="8459"/>
              <w:tab w:val="right" w:pos="9026" w:leader="dot"/>
            </w:tabs>
            <w:rPr/>
          </w:pPr>
          <w:hyperlink w:anchor="__RefHeading___Toc12418217_2142443653">
            <w:r>
              <w:rPr>
                <w:webHidden/>
                <w:rStyle w:val="IndexLink"/>
              </w:rPr>
              <w:t>3</w:t>
            </w:r>
            <w:r>
              <w:rPr>
                <w:rStyle w:val="IndexLink"/>
                <w:rtl w:val="true"/>
              </w:rPr>
              <w:t xml:space="preserve">- </w:t>
            </w:r>
            <w:r>
              <w:rPr>
                <w:rStyle w:val="IndexLink"/>
                <w:rtl w:val="true"/>
              </w:rPr>
              <w:t>فهرس الأسانيد</w:t>
            </w:r>
            <w:r>
              <w:rPr>
                <w:rStyle w:val="IndexLink"/>
                <w:rtl w:val="true"/>
              </w:rPr>
              <w:tab/>
            </w:r>
            <w:r>
              <w:rPr>
                <w:rStyle w:val="IndexLink"/>
              </w:rPr>
              <w:t>585</w:t>
            </w:r>
          </w:hyperlink>
        </w:p>
        <w:p>
          <w:pPr>
            <w:pStyle w:val="Contents3"/>
            <w:tabs>
              <w:tab w:val="clear" w:pos="8459"/>
              <w:tab w:val="right" w:pos="9026" w:leader="dot"/>
            </w:tabs>
            <w:rPr/>
          </w:pPr>
          <w:hyperlink w:anchor="__RefHeading___Toc12418219_2142443653">
            <w:r>
              <w:rPr>
                <w:webHidden/>
                <w:rStyle w:val="IndexLink"/>
              </w:rPr>
              <w:t>4</w:t>
            </w:r>
            <w:r>
              <w:rPr>
                <w:rStyle w:val="IndexLink"/>
                <w:rtl w:val="true"/>
              </w:rPr>
              <w:t xml:space="preserve">- </w:t>
            </w:r>
            <w:r>
              <w:rPr>
                <w:rStyle w:val="IndexLink"/>
                <w:rtl w:val="true"/>
              </w:rPr>
              <w:t>فهرس المصادر</w:t>
            </w:r>
            <w:r>
              <w:rPr>
                <w:rStyle w:val="IndexLink"/>
                <w:rtl w:val="true"/>
              </w:rPr>
              <w:tab/>
            </w:r>
            <w:r>
              <w:rPr>
                <w:rStyle w:val="IndexLink"/>
              </w:rPr>
              <w:t>587</w:t>
            </w:r>
          </w:hyperlink>
        </w:p>
        <w:p>
          <w:pPr>
            <w:pStyle w:val="Contents3"/>
            <w:tabs>
              <w:tab w:val="clear" w:pos="8459"/>
              <w:tab w:val="right" w:pos="9026" w:leader="dot"/>
            </w:tabs>
            <w:rPr/>
          </w:pPr>
          <w:hyperlink w:anchor="__RefHeading___Toc12418221_2142443653">
            <w:r>
              <w:rPr>
                <w:webHidden/>
                <w:rStyle w:val="IndexLink"/>
              </w:rPr>
              <w:t>5</w:t>
            </w:r>
            <w:r>
              <w:rPr>
                <w:rStyle w:val="IndexLink"/>
                <w:rtl w:val="true"/>
              </w:rPr>
              <w:t xml:space="preserve">- </w:t>
            </w:r>
            <w:r>
              <w:rPr>
                <w:rStyle w:val="IndexLink"/>
                <w:rtl w:val="true"/>
              </w:rPr>
              <w:t>فهرس مطالب الكتاب</w:t>
            </w:r>
            <w:r>
              <w:rPr>
                <w:rStyle w:val="IndexLink"/>
                <w:rtl w:val="true"/>
              </w:rPr>
              <w:tab/>
            </w:r>
            <w:r>
              <w:rPr>
                <w:rStyle w:val="IndexLink"/>
              </w:rPr>
              <w:t>599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24_204011"/>
      <w:bookmarkStart w:id="1" w:name="pg15724_204011"/>
      <w:bookmarkEnd w:id="1"/>
    </w:p>
    <w:p>
      <w:pPr>
        <w:pStyle w:val="Heading2"/>
        <w:numPr>
          <w:ilvl w:val="1"/>
          <w:numId w:val="1"/>
        </w:numPr>
        <w:rPr/>
      </w:pPr>
      <w:bookmarkStart w:id="2" w:name="pg15724_204011"/>
      <w:bookmarkStart w:id="3" w:name="__RefHeading___Toc12417863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الداوري، مسلم،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الدلائل في شرح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لبحث سماحه مسلم الداوري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بقلم السیدعباس الحسیني، محمدحسین البنای؛ تحقیق مؤسسة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زین العابدین،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98461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98461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98461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98518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98518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7925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المجلدان الرابع والخامس من هذا الكتاب فقد كتبهما محمد عيسى البناي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الكتاب هو وصف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الی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حرعاملی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-- 17th century</w:t>
      </w:r>
    </w:p>
    <w:p>
      <w:pPr>
        <w:pStyle w:val="BookText"/>
        <w:rPr/>
      </w:pPr>
      <w:r>
        <w:rPr>
          <w:rFonts w:ascii="IRNazanin" w:hAnsi="IRNazanin" w:eastAsia="IRNazanin"/>
          <w:color w:val="111111"/>
          <w:sz w:val="28"/>
          <w:sz w:val="28"/>
          <w:szCs w:val="28"/>
          <w:rtl w:val="true"/>
          <w:lang w:bidi="fa-IR"/>
        </w:rPr>
        <w:t>احادیث احکام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Hadiths, Legal</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سیدعباس،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محمدعیسی</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تحقیقاتی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50214</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4980037</w:t>
      </w:r>
    </w:p>
    <w:p>
      <w:pPr>
        <w:pStyle w:val="BookText"/>
        <w:rPr/>
      </w:pPr>
      <w:r>
        <w:rPr>
          <w:rFonts w:ascii="IRNazanin" w:hAnsi="IRNazanin" w:eastAsia="IRNazanin"/>
          <w:color w:val="111111"/>
          <w:sz w:val="28"/>
          <w:sz w:val="28"/>
          <w:szCs w:val="28"/>
          <w:rtl w:val="true"/>
          <w:lang w:bidi="fa-IR"/>
        </w:rPr>
        <w:t>محرر رقمي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 الدلائل في شرح الوسائل الجزء الثاني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والتحقيق</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زين العابدين</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17865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ايضاح الدلائل</w:t>
      </w:r>
    </w:p>
    <w:p>
      <w:pPr>
        <w:pStyle w:val="BookText"/>
        <w:rPr/>
      </w:pPr>
      <w:r>
        <w:rPr>
          <w:rFonts w:ascii="Amiri" w:hAnsi="Amiri" w:eastAsia="Amiri" w:cs="Amiri"/>
          <w:color w:val="111111"/>
          <w:sz w:val="28"/>
          <w:sz w:val="28"/>
          <w:szCs w:val="28"/>
          <w:rtl w:val="true"/>
          <w:lang w:bidi="ar-SA"/>
        </w:rPr>
        <w:t>في شرح الوسائل</w:t>
      </w:r>
    </w:p>
    <w:p>
      <w:pPr>
        <w:pStyle w:val="BookText"/>
        <w:rPr/>
      </w:pPr>
      <w:r>
        <w:rPr>
          <w:rFonts w:ascii="Amiri" w:hAnsi="Amiri" w:eastAsia="Amiri" w:cs="Amiri"/>
          <w:color w:val="111111"/>
          <w:sz w:val="28"/>
          <w:sz w:val="28"/>
          <w:szCs w:val="28"/>
          <w:rtl w:val="true"/>
          <w:lang w:bidi="ar-SA"/>
        </w:rPr>
        <w:t>تقرير البحث سماحة آية الله الفقيه المحقق</w:t>
      </w:r>
    </w:p>
    <w:p>
      <w:pPr>
        <w:pStyle w:val="BookText"/>
        <w:rPr/>
      </w:pPr>
      <w:r>
        <w:rPr>
          <w:rFonts w:ascii="Amiri" w:hAnsi="Amiri" w:eastAsia="Amiri" w:cs="Amiri"/>
          <w:color w:val="111111"/>
          <w:sz w:val="28"/>
          <w:sz w:val="28"/>
          <w:szCs w:val="28"/>
          <w:rtl w:val="true"/>
          <w:lang w:bidi="ar-SA"/>
        </w:rPr>
        <w:t>الحاج الشيخ مسلم الداوري</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الشيخ محمد عيسی البنَّاي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مؤسسة الامام الرضا للبحث والتحقيق العلمي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الخامس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ايضاح الدلائل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شرح الوسائل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ايضاح الدلائل</w:t>
      </w:r>
    </w:p>
    <w:p>
      <w:pPr>
        <w:pStyle w:val="BookText"/>
        <w:rPr/>
      </w:pPr>
      <w:r>
        <w:rPr>
          <w:rFonts w:ascii="Amiri" w:hAnsi="Amiri" w:eastAsia="Amiri" w:cs="Amiri"/>
          <w:color w:val="111111"/>
          <w:sz w:val="28"/>
          <w:sz w:val="28"/>
          <w:szCs w:val="28"/>
          <w:rtl w:val="true"/>
          <w:lang w:bidi="ar-SA"/>
        </w:rPr>
        <w:t>في شرح الوسائل</w:t>
      </w:r>
    </w:p>
    <w:p>
      <w:pPr>
        <w:pStyle w:val="BookText"/>
        <w:rPr/>
      </w:pPr>
      <w:r>
        <w:rPr>
          <w:rFonts w:ascii="Amiri" w:hAnsi="Amiri" w:eastAsia="Amiri" w:cs="Amiri"/>
          <w:color w:val="111111"/>
          <w:sz w:val="28"/>
          <w:sz w:val="28"/>
          <w:szCs w:val="28"/>
          <w:rtl w:val="true"/>
          <w:lang w:bidi="ar-SA"/>
        </w:rPr>
        <w:t>تقرير البحث سماحة آية الله الفقيه المحقق</w:t>
      </w:r>
    </w:p>
    <w:p>
      <w:pPr>
        <w:pStyle w:val="BookText"/>
        <w:rPr/>
      </w:pPr>
      <w:r>
        <w:rPr>
          <w:rFonts w:ascii="Amiri" w:hAnsi="Amiri" w:eastAsia="Amiri" w:cs="Amiri"/>
          <w:color w:val="111111"/>
          <w:sz w:val="28"/>
          <w:sz w:val="28"/>
          <w:szCs w:val="28"/>
          <w:rtl w:val="true"/>
          <w:lang w:bidi="ar-SA"/>
        </w:rPr>
        <w:t>الحاج الشيخ مسلم الداوري</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الشيخ محمد عيسی البنَّاي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مؤسسة الامام الرضا للبحث والتحقيق العلمي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24_204019"/>
      <w:bookmarkStart w:id="8" w:name="pg15724_204019"/>
      <w:bookmarkEnd w:id="8"/>
    </w:p>
    <w:p>
      <w:pPr>
        <w:pStyle w:val="Heading2"/>
        <w:numPr>
          <w:ilvl w:val="1"/>
          <w:numId w:val="1"/>
        </w:numPr>
        <w:rPr/>
      </w:pPr>
      <w:bookmarkStart w:id="9" w:name="pg15724_204019"/>
      <w:bookmarkStart w:id="10" w:name="__RefHeading___Toc12417867_2142443653"/>
      <w:bookmarkStart w:id="11" w:name="_Toc3"/>
      <w:bookmarkEnd w:id="9"/>
      <w:bookmarkEnd w:id="10"/>
      <w:r>
        <w:rPr>
          <w:rtl w:val="true"/>
        </w:rPr>
        <w:t>كلمة المؤسسة</w:t>
      </w:r>
      <w:bookmarkEnd w:id="11"/>
    </w:p>
    <w:p>
      <w:pPr>
        <w:pStyle w:val="BookText"/>
        <w:rPr/>
      </w:pPr>
      <w:r>
        <w:rPr>
          <w:rFonts w:ascii="IRNazanin" w:hAnsi="IRNazanin" w:eastAsia="IRNazanin"/>
          <w:color w:val="111111"/>
          <w:sz w:val="28"/>
          <w:sz w:val="28"/>
          <w:szCs w:val="28"/>
          <w:rtl w:val="true"/>
          <w:lang w:bidi="fa-IR"/>
        </w:rPr>
        <w:t>الحمد لله رب العالمين والصلاة والسلام علی اشرف الانبياء والمرسلين سيدنا محمد وآله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نحمد الله تعالی علی ما وفقنا به من اتمام تحقيق وطبع الجزء الخامس من ايضاح الدلائل في شرح وسائل الشيعة للحر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 الله العلي القدير ان يوفقنا لاتمام تحقيق وطبع المجلدات الاخری في القريب العاجل انه سميع مجيب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يفوتنا هنا ان نتقدم بالشكر والامتنان الی اخينا العلامة الفاضل حجة الاسلام والمسلمين الشيخ محمدعيسی البناي علی جهده في تقرير لابحاث الاستاذ الفقيه الاصولي والمفسر الرجالي آية الله الشيخ مسلم الداوري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شرحه لوسائل الشيعة والذي لفت انظار اساتذة الحوزات العلمية وفضلائها حيث كثر الاتصال بنا من قبلهم مستعلمين ومترقبين صدور المجلدات التي لم تطبع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يدل علی اهمية هذا الكتاب والصدی الذي أخذه في الاوساط العلمية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ونتقدم بالشكر ايضاً إلی كل الاخوة المحققين الذين شاركوا في تحقيق واخراج هذا الكتاب واخص منهم بالذكر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الشيخ مرتضی الصالحي النجفي والشيخ عليرضا الداوري والسيد عباس الحسيني والسيد محمدجواد الرجائي</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تعالی ان يتقبل منا ذلك اليسير ويجعله خالصاً لوجهه الكريم وهو حسبنا ونعم الوكيل</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724_204021"/>
      <w:bookmarkStart w:id="13" w:name="pg15724_204021"/>
      <w:bookmarkEnd w:id="1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15724_204021"/>
      <w:bookmarkStart w:id="15" w:name="__RefHeading___Toc12417869_2142443653"/>
      <w:bookmarkStart w:id="16" w:name="_Toc4"/>
      <w:bookmarkEnd w:id="14"/>
      <w:bookmarkEnd w:id="15"/>
      <w:r>
        <w:rPr>
          <w:rtl w:val="true"/>
        </w:rPr>
        <w:t>أبواب نواقض الوضو ء</w:t>
      </w:r>
      <w:bookmarkEnd w:id="1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724_204023"/>
      <w:bookmarkStart w:id="18" w:name="pg15724_204023"/>
      <w:bookmarkEnd w:id="18"/>
    </w:p>
    <w:p>
      <w:pPr>
        <w:pStyle w:val="BookText"/>
        <w:rPr/>
      </w:pPr>
      <w:bookmarkStart w:id="19" w:name="pg15724_204023"/>
      <w:bookmarkEnd w:id="19"/>
      <w:r>
        <w:rPr>
          <w:rFonts w:ascii="IRNazanin" w:hAnsi="IRNazanin" w:eastAsia="IRNazanin"/>
          <w:color w:val="111111"/>
          <w:sz w:val="28"/>
          <w:sz w:val="28"/>
          <w:szCs w:val="28"/>
          <w:rtl w:val="true"/>
          <w:lang w:bidi="fa-IR"/>
        </w:rPr>
        <w:t>أبواب نواقض الوضو ء</w:t>
      </w:r>
    </w:p>
    <w:p>
      <w:pPr>
        <w:pStyle w:val="BookText"/>
        <w:rPr/>
      </w:pPr>
      <w:r>
        <w:rPr>
          <w:rFonts w:ascii="IRNazanin" w:hAnsi="IRNazanin" w:eastAsia="IRNazanin"/>
          <w:color w:val="111111"/>
          <w:sz w:val="28"/>
          <w:sz w:val="28"/>
          <w:szCs w:val="28"/>
          <w:rtl w:val="true"/>
          <w:lang w:bidi="fa-IR"/>
        </w:rPr>
        <w:t>أبواب نواقض الوضوء</w:t>
      </w:r>
    </w:p>
    <w:p>
      <w:pPr>
        <w:pStyle w:val="Heading2"/>
        <w:numPr>
          <w:ilvl w:val="1"/>
          <w:numId w:val="1"/>
        </w:numPr>
        <w:rPr/>
      </w:pPr>
      <w:bookmarkStart w:id="20" w:name="__RefHeading___Toc12417871_2142443653"/>
      <w:bookmarkStart w:id="21" w:name="_Toc5"/>
      <w:bookmarkEnd w:id="20"/>
      <w:r>
        <w:rPr>
          <w:rtl w:val="true"/>
        </w:rPr>
        <w:t>الفرق بين الناقض والموجب والسبب</w:t>
      </w:r>
      <w:bookmarkEnd w:id="21"/>
    </w:p>
    <w:p>
      <w:pPr>
        <w:pStyle w:val="BookText"/>
        <w:rPr/>
      </w:pPr>
      <w:r>
        <w:rPr>
          <w:rFonts w:ascii="Amiri" w:hAnsi="Amiri" w:eastAsia="Amiri" w:cs="Amiri"/>
          <w:color w:val="111111"/>
          <w:sz w:val="28"/>
          <w:sz w:val="28"/>
          <w:szCs w:val="28"/>
          <w:rtl w:val="true"/>
          <w:lang w:bidi="ar-SA"/>
        </w:rPr>
        <w:t>النواقض جمع ناقض وهو عنوان يطلق على الحدث في جملة ما يطلق عليه؛ إذ يطلق عليه أيضاً عنوان الموجب، وعنوان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العلماء كصاحب المدارك أنّ العناوين الثلاثة، مترادفة</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الظاهر من الفاضل الهندي في كشف اللثام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أعم مطلقاً من الناقض والموجب، وبين الناقض والموجب عموم من وجه،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أطلق الناقض على الحدث الذي يبطل الوضوء باعتبار عروضه للمتوضّي، فلا يسمى الحدث ناقضاً إلا إذا طرأ على المتطهّر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الوضوء؛ لإيجابه الوضوء عند التكليف بما يشترط بالوضوء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ويجتمع الناقص والموجب في المحدث بعد أن كان متطهّراً بعد دخول وقت الصلاة وقبل أن يؤديها مثلاً؛ فإنّ هذا الحدث الصادر منه ناقض للطهارة </w:t>
      </w:r>
    </w:p>
    <w:p>
      <w:pPr>
        <w:pStyle w:val="BookText"/>
        <w:rPr/>
      </w:pPr>
      <w:r>
        <w:rPr>
          <w:rFonts w:ascii="Amiri" w:hAnsi="Amiri" w:eastAsia="Amiri" w:cs="Amiri"/>
          <w:color w:val="111111"/>
          <w:sz w:val="28"/>
          <w:sz w:val="28"/>
          <w:szCs w:val="28"/>
          <w:rtl w:val="true"/>
          <w:lang w:bidi="ar-SA"/>
        </w:rPr>
        <w:t>السابقة، كما أنّه موجب للوضوء الذي هو مقدمة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ويصدق الموجب دون الناقض فيما إذا دخل الوقت وكان محدثاً فأحدث ثانياً مثلاً، فإنّه يصدق على الحدث الثاني أنّه موجب، لأنّ كل حدث سبب للطهارة التي هي مقدمة للعمل المشروط بها، ولا يصدق عليه أنّه ناقض، لأنّه كان محدثاً فلم يطرأ الحدث الثاني على متطهّر حتى ينقض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السبب فهو أعم من الناقض والموجب، فيجتمع معهما إذا كان متطهّراً ودخل وقت فريضة وأحدث قبلها، فحدثه سبب، لأنّ الشارع اعتبره سبباً، وهو ناقض، لأنّه نقض الطهارة السابقة، وهو موجب، لأنّه أوجب عليه التطهير مقدمةً للفريضة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ويصدق السبب وحده في ما إذا كان قد أحدث خارج الوقت ولم تجب عليه أيّة فريضة مشروطة بالوضوء، فإذا أحدث ثانياً، كان هذا الحدث سبباً، لأنّ الحدث سبب شرعي، ولم يكن موجباً، لأنّه لا يجب عليه أي عمل مشروط بالطهارة، وليس بناقض، لأنّه كان محدثاً قبله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يعرف الوجه في تقديم هذه الأبواب علی أبواب أفعال الوضوء وأحكامه؛ فإنّ السبب مقدم علی المسبّب</w:t>
      </w:r>
      <w:r>
        <w:rPr>
          <w:rFonts w:eastAsia="IRNazanin" w:cs="IRNazanin"/>
          <w:color w:val="111111"/>
          <w:sz w:val="28"/>
          <w:szCs w:val="28"/>
          <w:rtl w:val="true"/>
          <w:lang w:bidi="fa-IR"/>
        </w:rPr>
        <w:t xml:space="preserve">. </w:t>
      </w:r>
      <w:bookmarkStart w:id="22" w:name="pg15724_204025"/>
    </w:p>
    <w:p>
      <w:pPr>
        <w:pStyle w:val="Heading2"/>
        <w:numPr>
          <w:ilvl w:val="1"/>
          <w:numId w:val="1"/>
        </w:numPr>
        <w:rPr/>
      </w:pPr>
      <w:bookmarkStart w:id="23" w:name="__RefHeading___Toc12417873_2142443653"/>
      <w:bookmarkStart w:id="24" w:name="_Toc6"/>
      <w:bookmarkEnd w:id="22"/>
      <w:bookmarkEnd w:id="23"/>
      <w:r>
        <w:rPr/>
        <w:t>1</w:t>
      </w:r>
      <w:r>
        <w:rPr>
          <w:rtl w:val="true"/>
        </w:rPr>
        <w:t xml:space="preserve">- </w:t>
      </w:r>
      <w:r>
        <w:rPr>
          <w:rtl w:val="true"/>
        </w:rPr>
        <w:t>بَابُ أَنَّهُ لَا يَنْقُضُ الْوُضُو ءَ إِلَّا الْيَقِينُ بِحُصُولِ الْحَدَثِ دُونَ الظَّنِّ وَالشَّك</w:t>
      </w:r>
      <w:bookmarkEnd w:id="24"/>
    </w:p>
    <w:p>
      <w:pPr>
        <w:pStyle w:val="Heading3"/>
        <w:numPr>
          <w:ilvl w:val="2"/>
          <w:numId w:val="1"/>
        </w:numPr>
        <w:rPr/>
      </w:pPr>
      <w:bookmarkStart w:id="25" w:name="__RefHeading___Toc12417875_2142443653"/>
      <w:bookmarkStart w:id="26" w:name="_Toc7"/>
      <w:bookmarkEnd w:id="25"/>
      <w:r>
        <w:rPr>
          <w:rtl w:val="true"/>
        </w:rPr>
        <w:t>اشارة</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يَنْقُضُ الْوُضُوءَ إِلَّا الْيَقِينُ بِحُصُولِ الْحَدَثِ دُونَ الظَّنِّ وَالشَّك</w:t>
      </w:r>
    </w:p>
    <w:p>
      <w:pPr>
        <w:pStyle w:val="Heading3"/>
        <w:numPr>
          <w:ilvl w:val="2"/>
          <w:numId w:val="1"/>
        </w:numPr>
        <w:rPr/>
      </w:pPr>
      <w:bookmarkStart w:id="27" w:name="__RefHeading___Toc12417877_2142443653"/>
      <w:bookmarkStart w:id="28" w:name="_Toc8"/>
      <w:bookmarkEnd w:id="27"/>
      <w:r>
        <w:rPr>
          <w:rtl w:val="true"/>
        </w:rPr>
        <w:t>شرح الباب</w:t>
      </w:r>
      <w:r>
        <w:rPr>
          <w:rtl w:val="true"/>
        </w:rPr>
        <w:t>:</w:t>
      </w:r>
      <w:bookmarkEnd w:id="28"/>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إزاحة الشك، وتحقيق الأمر</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الرَّاجِحُ بين طَرَفَي الاعتِقادِ الغيرِ الجازِمِ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اليقين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إِفسادُ ما أبرَمْتَ من عقدٍ أَو بناء</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في البناء، والحبل، والعهد،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الإِبرامِ، كالانتِقاضِ والتَّناقُضِ، وفي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إفساد ما أبرَمتَ من عقدٍ أو بناءٍ، وذَكَرَ الجَوهَرِيّ الحَبلَ 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 البِناءِ 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الزَّمخشَرِيُّ نَقضَ العهدِ من المَجازِ،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كالنَّقضِ في الأَمرِ، وفي الثُّغورِ، وما أشبَههما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9" w:name="pg15724_204026"/>
    </w:p>
    <w:p>
      <w:pPr>
        <w:pStyle w:val="BookText"/>
        <w:rPr/>
      </w:pPr>
      <w:bookmarkEnd w:id="29"/>
      <w:r>
        <w:rPr>
          <w:rFonts w:ascii="Amiri" w:hAnsi="Amiri" w:eastAsia="Amiri" w:cs="Amiri"/>
          <w:color w:val="111111"/>
          <w:sz w:val="28"/>
          <w:sz w:val="28"/>
          <w:szCs w:val="28"/>
          <w:rtl w:val="true"/>
          <w:lang w:bidi="ar-SA"/>
        </w:rPr>
        <w:t>والحَدَثُ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الإبداءُ؛ وقد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الحَدَثِ</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اسم للحادثة الناقضة للطهارة شرعاً، والجمع أحداث مثل سبب وأسباب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يعمّ ما خرج من السبيلين وغيره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اصطلاح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المدارك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الحدث مقول بالاشتراك اللفظي علی الأمور التي يترتّب عليها فعل الطهارة، وعلی الأثر الحاصل من ذلك، والمعنی الأوّل هو المراد هنا</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غيره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بالحدث الأثر الحاصل للمكلّف وشبهه، عند حصول أحد الأسباب المخصوصة المتوقف رفعه علی النيّة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ريب في حجّيّة اليقين لكاشفيّته التامّة دون الشك؛ إذ لا كاشفيّة له أصلاً، ودون الظن؛ فإنّه وإن أمكن أن تكون له كاشفيّة إلا أنّه لا يتّصف بالحجيّة ما لم يمضه الشارع، ولذا لا ينقض الوضوء بعد تحقّقه إلّا اليقين بحصول الحدث بأحد قسميه الأصغر والأكبر، وأمّا الظن بحصول الحدث أو الشك في حصوله فلا ينقض الوضوء كما هو مقتضی أحاديث الباب</w:t>
      </w:r>
      <w:r>
        <w:rPr>
          <w:rFonts w:eastAsia="IRNazanin" w:cs="IRNazanin"/>
          <w:color w:val="111111"/>
          <w:sz w:val="28"/>
          <w:szCs w:val="28"/>
          <w:rtl w:val="true"/>
          <w:lang w:bidi="fa-IR"/>
        </w:rPr>
        <w:t>.</w:t>
      </w:r>
    </w:p>
    <w:p>
      <w:pPr>
        <w:pStyle w:val="Heading3"/>
        <w:numPr>
          <w:ilvl w:val="2"/>
          <w:numId w:val="1"/>
        </w:numPr>
        <w:rPr/>
      </w:pPr>
      <w:bookmarkStart w:id="30" w:name="__RefHeading___Toc12417879_2142443653"/>
      <w:bookmarkStart w:id="31" w:name="_Toc9"/>
      <w:bookmarkEnd w:id="30"/>
      <w:r>
        <w:rPr>
          <w:rtl w:val="true"/>
        </w:rPr>
        <w:t>أقوال الخاصّة</w:t>
      </w:r>
      <w:r>
        <w:rPr>
          <w:rtl w:val="true"/>
        </w:rPr>
        <w:t>:</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الاعتناء بالشك بعد اليقين إجماعي عند الخاصّة، قال شيخ الطائفة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bookmarkStart w:id="32" w:name="pg15724_204027"/>
    </w:p>
    <w:p>
      <w:pPr>
        <w:pStyle w:val="BookText"/>
        <w:rPr/>
      </w:pPr>
      <w:bookmarkEnd w:id="32"/>
      <w:r>
        <w:rPr>
          <w:rFonts w:ascii="Amiri" w:hAnsi="Amiri" w:eastAsia="Amiri" w:cs="Amiri"/>
          <w:color w:val="111111"/>
          <w:sz w:val="28"/>
          <w:sz w:val="28"/>
          <w:szCs w:val="28"/>
          <w:rtl w:val="true"/>
          <w:lang w:bidi="ar-SA"/>
        </w:rPr>
        <w:t>تيقّن الطهارة وشك في الحدث لم يجب عليه الطهارة، وطرح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أنّ الطهارة معلومة، فلا يجب العدول عنها إلا بأمر معلوم والشك لا يقابل العلم، ولا يساويه، فوجب طرحه، وعليه إجماع الفرقة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المعتبر أنّ البناء علی الطهارة إجماع</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2417881_2142443653"/>
      <w:bookmarkStart w:id="34" w:name="_Toc10"/>
      <w:bookmarkEnd w:id="33"/>
      <w:r>
        <w:rPr>
          <w:rtl w:val="true"/>
        </w:rPr>
        <w:t>أقوال العامّة</w:t>
      </w:r>
      <w:r>
        <w:rPr>
          <w:rtl w:val="true"/>
        </w:rPr>
        <w:t>:</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الأكثر علی عدم الاعتناء بالشك، وفيهم المخالف، قال في المغني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تيقّن الطهارة وشك في الحدث أو تيقّن الحدث وشك في الطهارة فهو علی ما تيقّن منهما، يعني إذا علم أنّه توضّأ وشك هل أحدث أو لا بنی علی أنّه متطهّر، وإن كان محدثاً فشك هل توضّأ أو لا فهو محدث يبني في الحالتين علی ما علمه قبل الشك ويلغي الشك، وبهذا قال الثوري وأهل العراق والأوزاعي والشافعي وسائر أهل العلم في ما علمنا إلا الحسن ومالكاً؛ فإنّ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شك في الحدث في الصلاة مضی فيها، وإن كان قبل الدخول فيها توضّأ، وقال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شك في الحدث إن كان يلحقه كثيراً فهو علی وضوئه، وإن كان لا يلحقه كثيراً توضأ؛ لأنّه لا يدخل في الصلاة مع الشك</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الْحُسَيْنِ بْنِ سَعِيدٍ،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وَهُوَ عَلَى وُضُوءٍ أَتُوجِبُ الْخَفْقَةُ</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وَالْخَفْقَتَانِ عَلَيْهِ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قَدْ تَنَامُ الْعَيْنُ وَلَا يَنَامُ الْقَلْبُ وَالْأُذُنُ فَإِذَا نَامَتِ الْعَيْنُ وَالْأُذُنُ وَالْقَلْبُ 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إِلَى جَنْبِهِ شَيْ ءٌ وَلَمْ يَعْلَمْ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نَامَ حَتَّى يَجِي ءَ مِنْ ذَلِكَ أَمْرٌ بَيِّنٌ وَإِلَّا فَإِنَّهُ عَلَى يَقِينٍ مِنْ وُضُوئِهِ وَلَا تَنْقُضِ</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أَبَداً بِالشَّكِّ، وَإِنَّمَا تَنْقُضُهُ بِيَقِينٍ آخَرَ</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الرأس بسبب النّعاس</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والسؤال عن محقّق الناقض بعد ارتكاز أنّ النوم ناقض للوضوء في ذهن زرارة، فهل يتحقّق بالخفقة التي تذهب أثناءها الرؤية ويتحرّك الرأس عادة مع قصر زمانها؟ ولعلّ منشأ السؤال هو تعطّل حاسّة الرؤية في هذا الزمان القصير، فهل تعطّلها هذا خلال هذا </w:t>
      </w:r>
    </w:p>
    <w:p>
      <w:pPr>
        <w:pStyle w:val="BookText"/>
        <w:rPr/>
      </w:pPr>
      <w:r>
        <w:rPr>
          <w:rFonts w:ascii="Amiri" w:hAnsi="Amiri" w:eastAsia="Amiri" w:cs="Amiri"/>
          <w:color w:val="111111"/>
          <w:sz w:val="28"/>
          <w:sz w:val="28"/>
          <w:szCs w:val="28"/>
          <w:rtl w:val="true"/>
          <w:lang w:bidi="ar-SA"/>
        </w:rPr>
        <w:t>المقدار القصير جدّاً من الزمان موجب لتحقّق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سؤاله عن الخفقة والخفقتين من جهة الشك في كونهما ناقضين مستقلّين عن النوم؛ إذ هما ليستا من النوم، بل هما من الحالات الحاصلة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المدار في الناقضيّة علی تحقّق النوم، ويستكشف تحقّقه بحصول المرتبة الأعلی من مرتبة ذهاب الرؤية، وهي مرتبة ذهاب السمع والعقل، فتحقّق المرتبة الأولی وهي نوم العين لا يحقّق الناقض، بل لا بد من المرتبة الثانية وهي المعبّر عنها في كلام الإمام بنوم القلب والأذن فهي التي يستكشف بها حصول النوم الناقض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وإطلاق النوم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تنام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غير داخل في حقيقة النوم شرعاً، لكون نوم العين صادقاً عرفاً علی إغماضها بالإغماض الخاص الذي يبطل معه إحساسها أو لأجل ذهاب الحاسّة عند بعض الأفراد وإن لم يغمض عينيه، بخلاف نوم نوع الإنسان فإنّه لا يصدق إلّا علی ما يغلب علی السمع والقلب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حرّك إلی جنبه شيء ولم يعلم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هل يتحقّق النوم بتحريك شيء إلی جنب المشكوك نومه ولم يعلم بتحرّكه؟، والظاهر أنّ المراد تحريك الشيء بغير إصدار صوت، لأنّ عدم سماعه مع التحريك بصوت قد يكون علامة علی ذهاب حاسّة السمع، وقد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بأن النوم يتحقّق بذهاب حاسّة السمع</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النوم لا يتحقّق بمجرّد ذلك ولا بدّ من اليقين بذهاب حاسّة السمع والعقل، وما لم يحصل اليقين بذلك فإنّه علی وضوئه، ومجرّد الشك في حصول النوم لا ينقض الوضوء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دلّ آخر هذا الحديث علی أنّ من تيقّن الطهارة وشكّ في الحدث فهو علی طهارته، وبحمل اللام في اليقين علی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مقتضی الظاهر، إذ لا قرينة علی كونها للعهد الذكري أو الذهني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علی أنّ من تيقّن الطهارة وشكّ في الحدث فهو علی طهارته، فيكون الحديث دالّاً علی الاستصحاب، وتفصيل الكلام له موضع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ومورد الحديث وإن كان هو الشك في النوم إلّا أنّ تعليله يفيد عدم اختصاص الحكم به، فيشمل الشك في طروّ غيره من النواقض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بالشك هنا خلاف اليقين، وهو الموافق لمعناه اللغوي، لا تساوي الطرفين المقابل للظن والوهم واليقين كما هو اصطلاح الفلاسفة، وذلك لقرينتين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ببقاء الوضوء حتی يتيقّن بالنوم، فما لم يتيقّن به فهو محكوم بالطهارة، سواء ظنّ بالنوم أم شكّ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الظن بحصول النوم ملازم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علم الشخص بما يحرّك في جنبه، ومع كونه كذلك يكون ترك تفصيل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 دليلاً علی جريان استصحاب الطهارة مطلقاً، سواءً ظنّ بالنوم أم شك فيه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الكلام في رجال هذا السند، والمراد 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عن أحمد بن محمد بن الحسن، عن أبيه، عن محمد بن الحسن </w:t>
      </w:r>
    </w:p>
    <w:p>
      <w:pPr>
        <w:pStyle w:val="BookText"/>
        <w:rPr/>
      </w:pPr>
      <w:r>
        <w:rPr>
          <w:rFonts w:ascii="IRNazanin" w:hAnsi="IRNazanin" w:eastAsia="IRNazanin"/>
          <w:color w:val="111111"/>
          <w:sz w:val="28"/>
          <w:sz w:val="28"/>
          <w:szCs w:val="28"/>
          <w:rtl w:val="true"/>
          <w:lang w:bidi="fa-IR"/>
        </w:rPr>
        <w:t>الصفار، عن أحمد بن محمد بن عيسی، وعن الحسين بن الحسن بن أبان جميعاً، عن الحسين بن سعيد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أنّ أحمد بن محمد بن الحسن بن الوليد لم يرد فيه توثيق، فيكون السند ضعيفاً، لكن ما دامت روايات أحمد بن محمد بن الحسن بن الوليد الواردة في الكتب الأربعة كلّها عن أبيه محمد بن الحسن، وللشيخ في الفهرست ثلاثة طرق إلی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منها ليس فيهما أحمد، وهما معتبران</w:t>
      </w:r>
      <w:r>
        <w:rPr>
          <w:rFonts w:eastAsia="IRNazanin" w:cs="IRNazanin"/>
          <w:color w:val="111111"/>
          <w:sz w:val="28"/>
          <w:szCs w:val="28"/>
          <w:rtl w:val="true"/>
          <w:lang w:bidi="fa-IR"/>
        </w:rPr>
        <w:t>(</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الحديث من جملة تلك الروايات فيكون صحيحاً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قد تقدّم الكلام في أنّ إسناد الشيخ إلی الحسين بن سعيد لجميع كتبه ورواياته عبارة عن سندين، وأحدهما صحيح</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شهادة الصدوق بأنّ كتب الحسين بن سعيد من الكتب المشهورة المعوّل عليها، فلا تحتاج إلی سند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الإضمار من زرارة فلا يضر، لأنّه من البعيد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لعظم فقاهته وجلالة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يسأل غير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يكون السند صحيحاً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ابْنِ أَبِي عُمَيْرٍ، عَنْ عُمَرَ بْنِ أُذَيْنَةَ،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الْوُضُوءُ إِلَّا مِنْ غَائِطٍ أَوْ بَوْلٍ أَوْ ضَرْطَةٍ تَسْمَعُ صَوْتَهَا أَوْ فَسْوَةٍ تَجِدُ رِيحَهَا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البول والغائط معروفان، وأمّا الضرطة فهي واحدة الضُّراط، وهو صوت الفَيخِ، معروف</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والفسوة هي واحدة الفسو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الريح من الدبر بلا صوت</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فهما يشتركان في كونهما ريحاً يخرج من الدبر، والفرق بينهما أنّ الأولی بصوت والثانية بلا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دلّ الحديث علی أنّ الوضوء إنّما يجب إذا حصل العلم بأحد هذه الأربعة، ومعنی ذلك انتفاؤه عند الشك، ولعلّ الإتيان بالتقييد بسماع الثالثة ووجدان ريح الرابعة لإيضاح أنّهما لا تنقضان الوضوء إلّا مع العلم بخروجهما، والسماع ووجدان الريح دليل علی تحقّقهما، أو أنّ التقييد المذكور هو في صورة الشك في صدور أحدهما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ليس بصدد حصر نواقض الوضوء، بل هو بصدد بيان ما يوجب الوضوء ممّا يخرج من الإنسان، فهو حصر إضافي، فلا يضرّ عدم ذكر مثل النوم؛ لأنّه ليس ممّا يخرج من الإنسان، ولا مثل المني لأنّه يوجب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إسناد الشيخ إلی الحسين بن سعيد لجميع كتبه ورواياته صحيح</w:t>
      </w:r>
      <w:r>
        <w:rPr>
          <w:rFonts w:eastAsia="IRNazanin" w:cs="IRNazanin"/>
          <w:color w:val="111111"/>
          <w:sz w:val="28"/>
          <w:szCs w:val="28"/>
          <w:rtl w:val="true"/>
          <w:lang w:bidi="fa-IR"/>
        </w:rPr>
        <w:t>(</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وبقيّة رجال السند إماميون ثقات تقدّم ذكرهم، فالسند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فَضَالَةَ بْنِ أَيُّوبَ،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الشَّيْطَانَ يَنْفُخُ فِي دُبُرِ الْإِنْسَانِ حَتَّى يُخَيَّلَ إِلَيْهِ أَنَّهُ قَدْ خَرَجَ مِنْهُ رِيحٌ، وَلَا يَنْقُضُ الْوُضُوءَ إِلَّا رِيحٌ تَسْمَعُهَا أَوْ تَجِدُ رِيحَهَا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عَلِيِّ بْنِ إِبْرَاهِيمَ عَنْ أَبِيهِ عَنِ ابْنِ أَبِي عُمَيْرٍ عَنْ مُعَاوِيَةَ بْنِ عَمَّارٍ مِثْلَهُ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الشيطان ينفخ في دبر الإنسان ليشكّكه في طهارته حتّی يخيّل إليه أنّه قد خرج منه ريح، ولكن لا ينبغي الاعتناء بهذا الشك الحاصل، إلّا أن يحصل له يقين بانتقاض وضوئه عن طريق سماع الريح، أو وجدانها أي شمّها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مفاد الاستصحاب حيث إنّه كان علی يقين من وضوئه، وبعد تخييل الشيطان له يحصل عنده الشك في بقاء وضوئه، فعليه أن لا يعتني بهذا الشك ويبني علی بقاء وضوئه إلی أن يتبدّل يقينه السابق بالوضوء إلی يقين آخر بارتفاعه بطروّ خروج الريح بأحد قسميها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للحديث سندان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 والاستبصار، ورجاله تقدّم الكلام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الكليني في الكافي، ومضی الكلام في رجاله، وهو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الْحَسَنِ أَخِيهِ،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تَسْمَعُ صَوْتَهُ أَوْ تَجِدُ رِيحَهُ الْحَدِيثَ</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الحديث علی أنّ الوضوء إنّما يجب إذا حصل اليقين بالحدث، وجعل الطريق إلی حصوله سماع الصوت أو وجدان الريح في خروج الريح، ومعنی ذلك انتقاء وجوب الوضوء عند الشك أو الظنّ، فالظانّ أو الشاك في حصول الحدث باقٍ علی وضوئه، وقد مضی الكلام في التقييد بالسماع أو وجدان الريح في الحديث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رجاله، وهو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بِإِسْنَادِهِ عَنْ عَبْدِ الرَّحْمَنِ بْنِ أَبِي عَبْدِ اللَّهِ أَنَّهُ 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أَجِدُ الرِّيحَ فِي بَطْنِي حَتَّى أَظُنَّ أَنَّهَا قَدْ خَرَجَتْ،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وُضُوءٌ حَتَّى تَسْمَعَ الصَّوْتَ أَوْ تَجِدَ الرِّيحَ،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يَجْلِسُ بَيْنَ أَلْيَتَيِ الرَّجُلِ فَيُحْدِثُ لِيُشَكِّكَهُ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الشَّيْخُ بِإِسْنَادِهِ عَنْ سَعْدِ بْنِ عَبْدِ اللَّهِ، عَنِ الْحَسَنِ بْنِ عَلِيٍّ، عَنْ أَحْمَدَ بْنِ هِلَالٍ، عَنْ مُحَمَّدِ بْنِ الْوَلِيدِ، عَنْ أَبَانِ بْنِ عُثْمَانَ، عَنْ عَبْدِ الرَّحْمَنِ بْنِ أَبِي عَبْدِ اللَّهِ مِثْلَهُ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حَدِيثِ الْوَسْوَسَةِ فِي النِّيَّةِ مَا يَدُلُّ عَلَى هَذَا الْمَعْنَى</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الحديث صراحة علی عدم اعتبار الظنّ بالحدث، ولم يستفصل في الحكم بعدم الوضوء بين الظنّ بالحدث وبين الشك فيه فالحكم فيهما واحد، فإذا تيقّن الحدث بسماع صوت الريح أو وجد رائحتها فعليه الوضوء؛ لأنّ وضوءه انتقض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ظن أو شك في حدوث الناقض جری استصحاب عدم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مضی وجه التقييد بوجدان الرائحة وسماع الصوت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والمورد وإن كان خاصّاً بالشك في الطهارة من جهة الريح، لكن يمكن التعدّي عنه إلی غيره للقطع بعدم الفرق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التشكيك ليعيد المكلّف الوضوء هو من فعل إبليس، وقد مضی في الباب العاشر من مقدمات العبادات أنّ الانسياق وراء إيحاءات الشيطان سبب للوسوسة، وهي داء عظيم ولها آثار سوء كالهمّ والغم والاضطراب والخوف ورفع النشاط، وغير ذلك، وأنّ من ضمن علاجها عن أهل بيت العصمة والطهارة هو قول الإمام الباقر 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تعوّدوا الخبيث من أنفسكم بنقض الصلاة فتطمعوه؛ فإنّ الشيطان خبيث يعتاد لما عوِّد، فليمض أحدكم في الوهم ولا يكثرنّ نقض الصلاة؛ فإنّه إذا فعل ذلك مرّات لم يعد إليه الشك،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الخبيث أن يطاع فإذا عصي لم يعد إلی أحدكم</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الحديث سندان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الصدوق في الفقيه، وسنده إلی عبدالرحمن بن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أيوب بن نوح، عن محمد بن أبي عمير وغيره، عن عبدالرحمن بن أبي عبد الله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وعبدالرحمن بن أبي عبد الله وثّقه النجاشي في ضمن ترجمة حفيده إسماعيل بن همام بن عبدالرحمن بن أبي عبد الله ميمون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هو </w:t>
      </w:r>
    </w:p>
    <w:p>
      <w:pPr>
        <w:pStyle w:val="BookText"/>
        <w:rPr/>
      </w:pPr>
      <w:r>
        <w:rPr>
          <w:rFonts w:ascii="Amiri" w:hAnsi="Amiri" w:eastAsia="Amiri" w:cs="Amiri"/>
          <w:color w:val="111111"/>
          <w:sz w:val="28"/>
          <w:sz w:val="28"/>
          <w:szCs w:val="28"/>
          <w:rtl w:val="true"/>
          <w:lang w:bidi="ar-SA"/>
        </w:rPr>
        <w:t>وأبوه وجدّه</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وورد في أسناد كتاب نوادر الحكمة، وفي تفسير القمي، ولكن في القسم الثاني، وروی عنه المشايخ الثقات</w:t>
      </w:r>
      <w:r>
        <w:rPr>
          <w:rFonts w:eastAsia="IRNazanin" w:cs="IRNazanin"/>
          <w:color w:val="111111"/>
          <w:sz w:val="28"/>
          <w:szCs w:val="28"/>
          <w:rtl w:val="true"/>
          <w:lang w:bidi="fa-IR"/>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 والاستبصار،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القاسم جعفر بن محمد عن أبيه عن سعد بن عبد الله عن الحسن بن علي عن أحمد بن هلال عن محمد بن الوليد عن أبان بن عثمان عن عبدالرحمن بن أبي عبد الله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بالشيخ هو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وجعفر بن محمد هو ابن قولويه، وأبوه محمد بن جعفر بن موسی بن قولويه، وسعد بن عبد الله هو الأشعري القمي، وكلهّم ثقات أجلّاء تقدم ذكرهم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الحسن بن علي فقد تقدّم في الحديث الأوّل من الباب الثامن من أبواب الماء المضاف والمستعمل أنّه مشترك بين جماعة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واستقربنا أنّه الزيتوني الأشعري، وقلنا إنّه لم يرد فيه شيء إلّا كونه من رجال كامل الزيارات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أحمد بن هلال فهو العبرتائي، وقد فصّلنا الكلام فيه في كتابنا أصول علم الرجال وخلصنا إلى القول بأنّه ضعيف، لا يعتمد على ما يرويه في الكتب الأربعة إلّا إذا أحرز أنّ روايته كانت قبل انحرافه، أو كانت عن المشيخة لابن </w:t>
      </w:r>
    </w:p>
    <w:p>
      <w:pPr>
        <w:pStyle w:val="BookText"/>
        <w:rPr/>
      </w:pPr>
      <w:r>
        <w:rPr>
          <w:rFonts w:ascii="Amiri" w:hAnsi="Amiri" w:eastAsia="Amiri" w:cs="Amiri"/>
          <w:color w:val="111111"/>
          <w:sz w:val="28"/>
          <w:sz w:val="28"/>
          <w:szCs w:val="28"/>
          <w:rtl w:val="true"/>
          <w:lang w:bidi="ar-SA"/>
        </w:rPr>
        <w:t>محبوب أو عن نوادر ابن أبي عمير لشهرة الكتابين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محمد بن الوليد فهو البجلي الخزاز،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الوليد البجلي الخزاز أبو جعفر الكوفي، ثقة، عين، نقي الحديث، ذكره الجماعة بهذا، روى عن يونس بن يعقوب وحمّاد بن عثمان ومن كان في طبقتهما، وعمّر حتى لقيه محمد بن الحسن الصفار وسعد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الكشي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الوليد الخزاز ومعاوية بن حكيم ومصدّق بن صدقة ومحمد بن سالم بن عبد الحميد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كلّهم فطحيّة، وهم من أجلّة العلماء والفقهاء والعدول، وبعضهم أدرك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وكلّهم كوفيّون</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مضى جواب السيد الأستاذ في المعجم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توهّم منافاة الفطحيّة للعدالة عند الكلام في سند الحديث الثاني من الباب الرابع من أبواب الماء المضاف والمستعمل</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أبان بن عثمان فهو الأحمر أحد أصحاب الإجماع كما تقدّم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السند بوحده 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الْخِصَالِ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يَقِينٍ فَشَكَّ فَلْيَمْضِ عَلَى يَقِينِهِ؛ فَإِنَّ الشَّكَّ 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الطَّهُورِ عَشْرُ حَسَنَاتٍ فَتَطَهَّرُوا، وَإِيَّاكُمْ وَالْكَسَلَ فَإِنَّ مَنْ كَسِلَ لَمْ يُؤَدِّ حَقَّ اللَّهِ عَزَّ وَجَلَّ، تَنَظَّفُوا بِالْمَاءِ مِنْ نَتْنِ الرِّيحِ الَّذِي يُتَأَذَّى بِهِ، تَعَهَّدُوا أَنْفُسَكُمْ؛ فَإِنَّ اللَّهَ يُبْغِضُ مِنْ عِبَادِهِ الْقَاذُورَةَ الَّذِي يَتَأَنَّفُ بِهِ مَنْ جَلَسَ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 النَّوْمُ الْقَلْبَ وَجَبَ الْوُضُوءُ، إِذَا غَلَبَتْكَ عَيْنُكَ وَأَنْتَ فِي الصَّلَاةِ فَاقْطَعِ الصَّلَاةَ وَنَمْ؛ فَإِنَّكَ لَا تَدْرِي</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أَنْ تَدْعُوَ عَلَى نَفْسِكَ</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أوّل الحديث علی أنّ من كان علی يقين فحصل له الشك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لمكان الفاء الدالّة علی الترتيب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فليمض علی يقينه، وعلّل ذلك بأنّ الشك لا ينقض اليقين، ولكن هل المراد أنّ اليقين زال بحدوث الشك فيكون زمان متعلّق اليقين والشك واحداً المعبّر عنه بقاعدة اليقين أو المراد أنّ اليقين قد بقي إلى زمان الشك فيكون زمان متعلّق اليقين والشك مختلفاً المعبّر عنه بالاستصحاب؟ كلاهما محتمل، وتفصيل الكلام في محلّه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حوى هذا الحديث آداباً وأحكاماً عديدة، اقتصر الماتن على إيراد </w:t>
      </w:r>
    </w:p>
    <w:p>
      <w:pPr>
        <w:pStyle w:val="BookText"/>
        <w:rPr/>
      </w:pPr>
      <w:r>
        <w:rPr>
          <w:rFonts w:ascii="Amiri" w:hAnsi="Amiri" w:eastAsia="Amiri" w:cs="Amiri"/>
          <w:color w:val="111111"/>
          <w:sz w:val="28"/>
          <w:sz w:val="28"/>
          <w:szCs w:val="28"/>
          <w:rtl w:val="true"/>
          <w:lang w:bidi="ar-SA"/>
        </w:rPr>
        <w:t>بعضها لوقوعها بين كلامين يدلّان على عنوان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الوضوء للمتطهّر فيه ثواب مقداره عشر حسنات، ولذا أمر بالطهور ولو كان المكلف متطهّراً لتحصيل هذا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الكسل، فإن التكاسل يؤدّي إلى ترك حقّ الله تعالى أو إلى التهاون في أدائه بحيث لا ينجزه على الوجه المطلوب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بالتنظّف بالماء لإزالة الرائحة الكريهة التي يُتأذّى منها سواء في الجسد أو الثياب، فالماء هو السائل الوحيد المتوفّر والمتاح للجميع القادر على إزالة الفضلات والقاذورات عن الجسد أو الثياب أو غيرهما بدون أن يبقي لها أثر يذكر، وهو معقّم قاتل لكثير من البكتيريا والميكروبات الضارّة والمسبّبة للروائح الكريهة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بتعاهد النّفس، أي التحفّظ وتجديد العهد في أمر نظافة البدن والثياب وإزالة ما يُستكره من القاذورات عنهما لئلّا يتأذّى بريحها وبمنظرها من يجالسه ويتأنّف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يترفع ويتنزّه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يتأفّف به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تضجّراً من مجالسته، كما أنّه يكون مبغوضاً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آخر الحديث على أنّ النوم إذا خالط ومازج القلب انتقضت الطهارة السابقة، لحصول اليقين بتحقّق الناقض وهو النوم؛ فإنّه يتحقّق بنوم القلب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حصلت المرحلة السابقة على نوم القلب وهي مغالبة نوم العين أثناء في الصلاة، وإن لم يتحقّق نوم العين فعلاً ولم تنتقض طهارته إلّا أنّ الأفضل له </w:t>
      </w:r>
    </w:p>
    <w:p>
      <w:pPr>
        <w:pStyle w:val="BookText"/>
        <w:rPr/>
      </w:pPr>
      <w:r>
        <w:rPr>
          <w:rFonts w:ascii="Amiri" w:hAnsi="Amiri" w:eastAsia="Amiri" w:cs="Amiri"/>
          <w:color w:val="111111"/>
          <w:sz w:val="28"/>
          <w:sz w:val="28"/>
          <w:szCs w:val="28"/>
          <w:rtl w:val="true"/>
          <w:lang w:bidi="ar-SA"/>
        </w:rPr>
        <w:t>أن يقطع الصلاة وينام؛ لأنّه سيكون مسلوب التوجّه، بل لا يدري ما يقول فلعلّه يدعو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من الصلاة مطلق الصلاة ويحتمل أن يراد بها صلاة الليل أو غيرها من الصلوات المستحبة؛ فإنّها التي يناسب عروض النوم فيها لتعب وغيره، وإن كان الاحتمال الأوّل لا دافع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الصدوق في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عيسى بن عبيد اليقطيني، عن القاسم بن يحيی، عن جدّه الحسن بن راشد، عن أبي بصير، ومحمد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أصحابه في مجلس واحد أربعمائة باب ممّا يصلح للمسلم في دينه ودنياه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منّا توثيق رجال السند في مواضع متعدّدة، وتوثيق القاسم بن يحيی؛ لوروده في كتاب نوادر الحكمة</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وورده في سند زيارة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الصدوق أنّها أصحّ الزيارات عنده من طريق الرواية</w:t>
      </w:r>
      <w:r>
        <w:rPr>
          <w:rFonts w:eastAsia="IRNazanin" w:cs="IRNazanin"/>
          <w:color w:val="111111"/>
          <w:sz w:val="28"/>
          <w:szCs w:val="28"/>
          <w:rtl w:val="true"/>
          <w:lang w:bidi="fa-IR"/>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جدّه الحسن بن راشد في السند نفسه</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ومقتضی ذلك وثاقتهما، فالسند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أَحْمَدَ بْنِ مُحَمَّدٍ، عَنِ الْعَبَّاسِ بْنِ عَامِرٍ، عَنْ عَبْدِ اللَّهِ بْنِ بُكَيْرٍ،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اسْتَيْقَنْتَ أَنَّكَ قَدْ أَحْدَثْتَ فَتَوَضَّأْ، وَإِيَّاكَ أَنْ تُحْدِثَ وُضُوءاً أَبَداً حَتَّى تَسْتَيْقِنَ أَنَّكَ قَدْ أَحْدَثْتَ</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بِالْوُضُوءِ مَعَ قَصْدِ الْوُجُوبِ لِمَا مَضَى</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اسْتِحْبَابِ تَجْدِيدِ الْوُضُوءِ مِنْ غَيْرِ 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علی تعليق وجوب الوضوء علی حصول اليقين بالحدث، ثم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إحداث الوضوء، بل حذّر من تجديده ما لم يتيقّن بالحدث، ولم يرد التفصيل بين الظن بالحدث وبين الشك فيه في الحكم بعدم جواز الوضوء، وظاهر الحديث النهي عن تجديد الوضوء إذا لم يحصل اليقين بالحدث، لكن هذا محمول علی تجديد الوضوء بنيّة الوجوب فتكون هي المنهي عنها، ولعلّ علّة هذا النهي هي إيجاب التجديد للوسوسة كلّما عرض للإنسان شك أو ظن بالحدث، وهي مبغوضة للشارع؛ لما لها من </w:t>
      </w:r>
    </w:p>
    <w:p>
      <w:pPr>
        <w:pStyle w:val="BookText"/>
        <w:rPr/>
      </w:pPr>
      <w:r>
        <w:rPr>
          <w:rFonts w:ascii="IRNazanin" w:hAnsi="IRNazanin" w:eastAsia="IRNazanin"/>
          <w:color w:val="111111"/>
          <w:sz w:val="28"/>
          <w:sz w:val="28"/>
          <w:szCs w:val="28"/>
          <w:rtl w:val="true"/>
          <w:lang w:bidi="fa-IR"/>
        </w:rPr>
        <w:t>آثار سيّئة علی الإنسان مرّت الإشارة إلی بعضها في شرح الحديث الخامس من هذا الباب</w:t>
      </w:r>
      <w:r>
        <w:rPr>
          <w:rFonts w:eastAsia="IRNazanin" w:cs="IRNazanin"/>
          <w:color w:val="111111"/>
          <w:sz w:val="28"/>
          <w:szCs w:val="28"/>
          <w:rtl w:val="true"/>
          <w:lang w:bidi="fa-IR"/>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العاشر من أبواب مقدّمة العبادات</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تجديد الوضوء بنيّة الاستحباب، فإنّه مندوب إليه ولا إشكال فيه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له المصنّف 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الكافي،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عن أبيه، وأبوه هو بكير بن أعين الشيباني، وهو أخو زرارة وحمران وعبد الملك وعبدالرحمن، وقد تقدّم توثيقه</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بقيّة أفراد السند، والسند صحيح</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الشيخ إلی محمد بن يعقوب، وقد تقدّم الكلام عنه، وهو أيضاً صحيح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مُحَمَّدِ، عَنِ ابْنِ جُمْهُورٍ، عَمَّنْ ذَكَرَهُ، عَنْ أَحْمَدَ بْنِ مُحَمَّدٍ، عَنْ سَعْدٍ،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أُذُنَانِ وَعَيْنَانِ تَنَامُ الْعَيْنَانِ وَلَا تَنَامُ الْأُذُنَانِ، وَذَلِكَ لَا يَنْقُضُ الْوُضُوءَ، فَإِذَا نَامَتِ الْعَيْنَانِ وَالْأُذُنَانِ انْتَقَضَ الْوُضُوءُ</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الحديث علی وجود مرتبتين لحصول النوم، إحداهما مرتبة نوم العينين، بمعنی ذهاب قوّة الإبصار وتعطّلها، وهذه لا اعتبار بها في تحقّق النوم فلا ينتقض الوضوء بحصولها، والأخری نوم الأذنين بمعنی ذهاب حاسّة السمع وتعطّلها، وظاهر الحديث ترتّب نوم الأذنين علی نوم العينين، فإذا طرأ نومهما معاً تحقّق النوم الناقض للوضوء، والظاهر أنّ نومهما معاً يدلّ علی نوم القلب، وإن لم يذكر في هذا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بن محمد بن بندار، شيخ الكليني، تقدّم توثيقه في تمهيد الكتاب</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أنّ المراد به أحمد بن محمد بن سعيد بن عقدة، الثقة، أو أحمد بن محمد العاصمي ثقة من أجلاء مشايخ الكليني</w:t>
      </w:r>
      <w:r>
        <w:rPr>
          <w:rFonts w:eastAsia="Amiri" w:cs="Amiri" w:ascii="Amiri" w:hAnsi="Amiri"/>
          <w:color w:val="111111"/>
          <w:sz w:val="28"/>
          <w:szCs w:val="28"/>
          <w:rtl w:val="true"/>
          <w:lang w:bidi="ar-SA"/>
        </w:rPr>
        <w:t xml:space="preserve">. </w:t>
      </w:r>
      <w:bookmarkStart w:id="35" w:name="pg15724_204047"/>
    </w:p>
    <w:p>
      <w:pPr>
        <w:pStyle w:val="BookText"/>
        <w:rPr/>
      </w:pPr>
      <w:bookmarkEnd w:id="35"/>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وهو هنا مشترك بين أحمد بن محمد بن أبي نصر، وأحمد بن محمد بن عيسى،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جمهور، وهو محمد بن جمهور العمي، وقد تقدم أنّ وثاقته وإن لم تثبت عندنا إلّا أنّه يمكن الأخذ بما رواه الشيخ الطوسي عنه وهي الروايات الخالية عن الغلو والتخليط، وهذا الحديث في الكافي لا في كتابي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وهو مشترك بين جماعة تبلغ تسعة عشر في هذه الطبقة، والمعروفون منهم عدّة أشخاص</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2417883_2142443653"/>
      <w:bookmarkStart w:id="37" w:name="_Toc11"/>
      <w:bookmarkEnd w:id="36"/>
      <w:r>
        <w:rPr>
          <w:rtl w:val="true"/>
        </w:rPr>
        <w:t>بحث رجالي حول سعد</w:t>
      </w:r>
      <w:bookmarkEnd w:id="37"/>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الإسكاف، وهو سعد بن طريف، 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صحيح الحديث</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أبي خلف الراجز، من أصحاب الإمامين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أنّه ثقة وله كتاب مشهور</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ويروي أحمد بن محمد بن عيسی عنه بواسطة الحسن بن محبوب أو ابن أبي عميره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أبي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سعد بن عمر الجلّاب، وسعد الجلّاب أيضاً، 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روايات، ذكر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الوحيد في التعليقة رواية ابن أبي عمير عنه</w:t>
      </w:r>
      <w:r>
        <w:rPr>
          <w:rFonts w:eastAsia="IRNazanin" w:cs="IRNazanin"/>
          <w:color w:val="111111"/>
          <w:sz w:val="28"/>
          <w:szCs w:val="28"/>
          <w:rtl w:val="true"/>
          <w:lang w:bidi="fa-IR"/>
        </w:rPr>
        <w:t>(</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لم يثبت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ويدور الأمر بين هؤلاء الثلاثة، وفيهم غير المعروف بالوثاقة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أنّه يمكن أن يكون المراد بأحمد بن محمد هو أحمد بن محمد بن أبي نصرالبزنطي، إذا دار الأمر بين الأوّلَين، وأمّا أحمد بن محمد بن عيسی فيبعد إرادته؛ لأنّه يروي عن سعد بن أبي خلف بواسطة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إرادة سعد بن أبي عمرو لم يتضح المراد من أحمد بن محمد؛ لأنّه لم ترد روايته عنه في أيّ مورد في الكتب الاربعة غير هذا المورد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فهذا السند غير معتبر، لاشتراك سعد بين من ثبتت وثاقته ومن لم تثبت، وللإرسال، نعم يمكن تصحيح الحديث علی مبنی قبول شهادة الكليني في الكافي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فِي قُرْبِ الْإِسْنَادِ، عَنْ عَبْدِ 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يَتَّكِئُ فِي الْمَسْجِدِ فَلَا يَدْرِي نَامَ أَمْ لَا هَلْ عَلَيْهِ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فَلَيْسَ عَلَيْهِ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يَكُونُ فِي الصَّلَاةِ فَيَعْلَمُ أَنَّ رِيحاً قَدْ خَرَجَتْ فَلَا</w:t>
      </w:r>
    </w:p>
    <w:p>
      <w:pPr>
        <w:pStyle w:val="BookText"/>
        <w:rPr/>
      </w:pPr>
      <w:r>
        <w:rPr>
          <w:rFonts w:ascii="Amiri" w:hAnsi="Amiri" w:eastAsia="Amiri" w:cs="Amiri"/>
          <w:color w:val="111111"/>
          <w:sz w:val="28"/>
          <w:sz w:val="28"/>
          <w:szCs w:val="28"/>
          <w:rtl w:val="true"/>
          <w:lang w:bidi="ar-SA"/>
        </w:rPr>
        <w:t>يَجِدُ رِيحَهَا وَلَا يَسْمَعُ صَوْتَهَا؟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وَالصَّلَاةَ وَلَا يَعْتَدُّ بِشَيْ ءٍ مِمَّا صَلَّى إِذَا عَلِمَ ذَلِكَ يَقِيناً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عَلِيُّ بْنُ جَعْفَرٍ فِي كِتَابِهِ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الحديث علی عدم انتقاض الطهارة بالشك في النوم، 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شك فليس عليه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يشك فعليه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 أيضاً علی انتقاض الطهارة بتيقّن خروج الريح في الصلاة، وإن لم يجد الرائحة أو يسمع صوتها، والظاهر أنّ اشتراط وجدان أحد الوصفين مخصوص بحال الشك في خروج الريح كما تقدّم في الأحاديث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أن يعيد الوضوء والصلاة، ولا يجوز له البناء علی ما مضی منهما إذا حصل له اليقين بتحقّق خروج الريح</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خصوصيّة لانتقاض الطهارة بتيقّن خروج الريح في الصلاة، فيعمّ </w:t>
      </w:r>
    </w:p>
    <w:p>
      <w:pPr>
        <w:pStyle w:val="BookText"/>
        <w:rPr/>
      </w:pPr>
      <w:r>
        <w:rPr>
          <w:rFonts w:ascii="Amiri" w:hAnsi="Amiri" w:eastAsia="Amiri" w:cs="Amiri"/>
          <w:color w:val="111111"/>
          <w:sz w:val="28"/>
          <w:sz w:val="28"/>
          <w:szCs w:val="28"/>
          <w:rtl w:val="true"/>
          <w:lang w:bidi="ar-SA"/>
        </w:rPr>
        <w:t>الحكم انتقاض الطهارة ولو في غير الصلاة ولو كان الناقض غير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الحديث سندان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الحميري في قرب الإسناد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وهو لم يوثّق كما مرّ، وقد سبق أنّه يمكن تصحيح السند بوجوه ثلاثة وبها يمكن تصحيح جميع روايات قرب الإسناد بما فيها روايات عبد الله بن الحسن العلوي إذا كان يروي عن علي بن جعفر</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جعفر عن أخيه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مسائل علي بن جعفر، وقد ذكرنا سابقاً أنّ للشيخ طريقاً معتبراً إلی هذا الكتاب، وللصدوق طريق آخر معتبر إلی خصوص ما رواه الحميري من مسائل علي بن جعفر، كما في هذا الحديث</w:t>
      </w:r>
      <w:r>
        <w:rPr>
          <w:rFonts w:eastAsia="IRNazanin" w:cs="IRNazanin"/>
          <w:color w:val="111111"/>
          <w:sz w:val="28"/>
          <w:szCs w:val="28"/>
          <w:rtl w:val="true"/>
          <w:lang w:bidi="fa-IR"/>
        </w:rPr>
        <w:t xml:space="preserve">. </w:t>
      </w:r>
      <w:bookmarkStart w:id="38" w:name="pg15724_204051"/>
    </w:p>
    <w:p>
      <w:pPr>
        <w:pStyle w:val="BookText"/>
        <w:rPr/>
      </w:pPr>
      <w:bookmarkEnd w:id="3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الْمُحَقِّقُ فِي الْمُعْتَبَرِ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أَحَدُكُمْ فِي بَطْنِهِ شَيْئاً فَأَشْكَلَ عَلَيْهِ أَخَرَجَ مِنْهُ شَيْ ءٌ أَمْ لَا؟ لَمْ يَخْرُجْ</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حَتَّى يَسْمَعَ صَوْتاً أَوْ يَجِدَ رِيحاً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2417885_2142443653"/>
      <w:bookmarkStart w:id="40" w:name="_Toc12"/>
      <w:bookmarkEnd w:id="39"/>
      <w:r>
        <w:rPr>
          <w:rtl w:val="true"/>
        </w:rPr>
        <w:t>المتحصل من الأحادیث</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من وجد في بطنه شيئاً من حركة الأمعاء وشكّ في خروج الريح منه، لم يكن له أن يرتّب الأثر على ذلك بأن يخرج من المسجد لاعتقاده انتقاض وضوئه، ويكون خروجه لأجل تجديد الوضوء مثلاً، بل لابدّ من العلم بخروج الريح، ويعرف ذلك في حال الشك إمّا بسماع صوتها أو وجدان 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مرسل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الباب عشرة أحاديث، الأوّلان صحيحان، والثالث صحيح بسنده الأوّل ومعتبر بسنده الثاني، والرابع موثّق، والخامس صحيح بسنده الأوّل وضعيف بسنده الثاني، والسادس معتبر، والسابع صحيح بسنديه، والثامن غير </w:t>
      </w:r>
    </w:p>
    <w:p>
      <w:pPr>
        <w:pStyle w:val="BookText"/>
        <w:rPr/>
      </w:pPr>
      <w:r>
        <w:rPr>
          <w:rFonts w:ascii="Amiri" w:hAnsi="Amiri" w:eastAsia="Amiri" w:cs="Amiri"/>
          <w:color w:val="111111"/>
          <w:sz w:val="28"/>
          <w:sz w:val="28"/>
          <w:szCs w:val="28"/>
          <w:rtl w:val="true"/>
          <w:lang w:bidi="ar-SA"/>
        </w:rPr>
        <w:t>معتبر إلا أنه يمكن تصحيحه، والتاسع معتبر بسنديه، والعاشر ضعيف بالإرسال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النوم ناقض للطهارة، ويتحقّق بحصول مرتبة ذهاب السمع والعقل، لا بالمرتبة الأولى وهي نوم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حصول اليقين بتحقّق الناقض فلا يكفي حصول الشك أو الظن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الطهارة جارٍ عند الشك أو الظن بطروّ التناقض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نواقض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وخروج البول والغائط والريح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مرجوحيّة الانسياق وراء تشكيكات إبليس في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للمتطهّر مشروع وفيه ثواب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التكاسل يؤدّي إلی ترك حقّ الله تعالی أو إلی التهاون في أدائه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مطلوبيّة النظافة بالماء لإزالة الرائحة الكريهة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مطلوبيّة تعاهد النفس بالنظافة في البدن واللباس، لئلّا يتأذی من يجالسه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إحداث وضوء بنيّة الوجوب للمتوضّي، واستحباب ذلك له بنيّة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مرجوحيّة إعادة الوضوء كلّما عرض شك في الحدث؛ لإيجاب ذلك الوسوسة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انتقاض الطهارة بتيقّن خروج الريح في الصلاة، وإن لم يجد الرائحة أو يسمع صوتها، فعليه أن يعيد الوضوء والصلاة، ولا يجوز له البناء علی ما مضی منهما إذا حصل له اليقين بتحقّق خروج الريح</w:t>
      </w:r>
      <w:r>
        <w:rPr>
          <w:rFonts w:eastAsia="IRNazanin" w:cs="IRNazanin"/>
          <w:color w:val="111111"/>
          <w:sz w:val="28"/>
          <w:szCs w:val="28"/>
          <w:rtl w:val="true"/>
          <w:lang w:bidi="fa-IR"/>
        </w:rPr>
        <w:t xml:space="preserve">. </w:t>
      </w:r>
      <w:bookmarkStart w:id="41" w:name="pg15724_204053"/>
    </w:p>
    <w:p>
      <w:pPr>
        <w:pStyle w:val="Heading2"/>
        <w:numPr>
          <w:ilvl w:val="1"/>
          <w:numId w:val="1"/>
        </w:numPr>
        <w:rPr/>
      </w:pPr>
      <w:bookmarkStart w:id="42" w:name="__RefHeading___Toc12417887_2142443653"/>
      <w:bookmarkStart w:id="43" w:name="_Toc13"/>
      <w:bookmarkEnd w:id="41"/>
      <w:bookmarkEnd w:id="42"/>
      <w:r>
        <w:rPr/>
        <w:t>2</w:t>
      </w:r>
      <w:r>
        <w:rPr>
          <w:rtl w:val="true"/>
        </w:rPr>
        <w:t xml:space="preserve">- </w:t>
      </w:r>
      <w:r>
        <w:rPr>
          <w:rtl w:val="true"/>
        </w:rPr>
        <w:t>بَابُ أَنَّ البَولَ وَالغَائِطَ وَالرِّيحَ وَالمَنِيَّ وَالجَنَابَة تَنقُضُ الوُضُو ءَ</w:t>
      </w:r>
      <w:bookmarkEnd w:id="43"/>
    </w:p>
    <w:p>
      <w:pPr>
        <w:pStyle w:val="Heading3"/>
        <w:numPr>
          <w:ilvl w:val="2"/>
          <w:numId w:val="1"/>
        </w:numPr>
        <w:rPr/>
      </w:pPr>
      <w:bookmarkStart w:id="44" w:name="__RefHeading___Toc12417889_2142443653"/>
      <w:bookmarkStart w:id="45" w:name="_Toc14"/>
      <w:bookmarkEnd w:id="44"/>
      <w:r>
        <w:rPr>
          <w:rtl w:val="true"/>
        </w:rPr>
        <w:t>اشارة</w:t>
      </w:r>
      <w:bookmarkEnd w:id="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البَولَ وَالغَائِطَ وَالرِّيحَ وَالمَنِيَّ وَالجَنَابَةَ تَنقُضُ الوُضُوءَ</w:t>
      </w:r>
    </w:p>
    <w:p>
      <w:pPr>
        <w:pStyle w:val="Heading3"/>
        <w:numPr>
          <w:ilvl w:val="2"/>
          <w:numId w:val="1"/>
        </w:numPr>
        <w:rPr/>
      </w:pPr>
      <w:bookmarkStart w:id="46" w:name="__RefHeading___Toc12417891_2142443653"/>
      <w:bookmarkStart w:id="47" w:name="_Toc15"/>
      <w:bookmarkEnd w:id="46"/>
      <w:r>
        <w:rPr>
          <w:rtl w:val="true"/>
        </w:rPr>
        <w:t>شرح الباب</w:t>
      </w:r>
      <w:r>
        <w:rPr>
          <w:rtl w:val="true"/>
        </w:rPr>
        <w:t>:</w:t>
      </w:r>
      <w:bookmarkEnd w:id="47"/>
    </w:p>
    <w:p>
      <w:pPr>
        <w:pStyle w:val="BookText"/>
        <w:rPr/>
      </w:pPr>
      <w:r>
        <w:rPr>
          <w:rFonts w:ascii="Amiri" w:hAnsi="Amiri" w:eastAsia="Amiri" w:cs="Amiri"/>
          <w:color w:val="111111"/>
          <w:sz w:val="28"/>
          <w:sz w:val="28"/>
          <w:szCs w:val="28"/>
          <w:rtl w:val="true"/>
          <w:lang w:bidi="ar-SA"/>
        </w:rPr>
        <w:t>ذكر الماتن في هذا الباب خمسة أمور توجب نقض الوضوء، ويجمعها أنّها تتعلّق بالقبل والدبر، فالبول والمني من القبل، والغائط والريح من الدبر، وإنّما ذكر الجنابة بعد ذكره للمني الذي هو موجب لها؛ لأنّ الجنابة حدث قد يحصل بدون إنزال للفاعل والمفعول به بالإيلاج في أحد الفرجين، فهي تنقض الوضوء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مثل الرّعاف والحجامة وغيرهما ممّا يخرج من غير السبيلين فلا ينقض الوضوء</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2417893_2142443653"/>
      <w:bookmarkStart w:id="49" w:name="_Toc16"/>
      <w:bookmarkEnd w:id="48"/>
      <w:r>
        <w:rPr>
          <w:rtl w:val="true"/>
        </w:rPr>
        <w:t>أقوال الخاصّة</w:t>
      </w:r>
      <w:r>
        <w:rPr>
          <w:rtl w:val="true"/>
        </w:rPr>
        <w:t>:</w:t>
      </w:r>
      <w:bookmarkEnd w:id="4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أجمعت الخاصّة على ناقضيّة هذه الأمور الخمسة، وأمّا النوم فسيأتي الكلام عنه في الباب الآتي، قال شيخ الطائفة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ينقض الوضوء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ينقضه ولا يوجب الغسل،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ينقضه ويوجب الغسل،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على وجه نقض الوضوء لا غير، وإذا حصل على وجه آخر أوجب الغسل</w:t>
      </w:r>
      <w:r>
        <w:rPr>
          <w:rFonts w:eastAsia="Amiri" w:cs="Amiri" w:ascii="Amiri" w:hAnsi="Amiri"/>
          <w:color w:val="111111"/>
          <w:sz w:val="28"/>
          <w:szCs w:val="28"/>
          <w:rtl w:val="true"/>
          <w:lang w:bidi="ar-SA"/>
        </w:rPr>
        <w:t xml:space="preserve">. </w:t>
      </w:r>
      <w:bookmarkStart w:id="50" w:name="pg15724_204054"/>
    </w:p>
    <w:p>
      <w:pPr>
        <w:pStyle w:val="BookText"/>
        <w:rPr/>
      </w:pPr>
      <w:bookmarkEnd w:id="50"/>
      <w:r>
        <w:rPr>
          <w:rFonts w:ascii="IRNazanin" w:hAnsi="IRNazanin" w:eastAsia="IRNazanin"/>
          <w:color w:val="111111"/>
          <w:sz w:val="28"/>
          <w:sz w:val="28"/>
          <w:szCs w:val="28"/>
          <w:rtl w:val="true"/>
          <w:lang w:bidi="fa-IR"/>
        </w:rPr>
        <w:t>فما أوجب الوضوء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والغائط والريح والنوم الغالب على السمع والبصر، وكل ما أزال العقل من إغماء أو جنون أو سكر أو غير ذلك، وما يوجب الغسل فخروج المني على كل حال، والتقاء الختانين والحيض والنفاس ومسّ الأموات من الناس بعد بردهم بالموت وقبل تطهيرهم بالغسل على خلاف بين الطائفة، والقسم الثالث دم الاستحاضة فإنّه إذا خرج قليلاً لا يثقب الكرسف نقض الوضوء لا غير، وإن ثقب أوجب الغسل، ولا ينقض الوضوء شيء سوى ما ذكرناه، وإنّما نذكر ممّا لا ينقض الوضوء ما فيه خلاف بين العلماء أو فيه اختلاف الأخبار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ذاك الوذي والمذي والقيح</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منه أنّ نقض البول والغائط والريح إجماعي، ولا يوجب الغسل، وكذا خروج المني والجنابة مع ايجابهما الغسل</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2417895_2142443653"/>
      <w:bookmarkStart w:id="52" w:name="_Toc17"/>
      <w:bookmarkEnd w:id="51"/>
      <w:r>
        <w:rPr>
          <w:rtl w:val="true"/>
        </w:rPr>
        <w:t>أقوال العامّة</w:t>
      </w:r>
      <w:r>
        <w:rPr>
          <w:rtl w:val="true"/>
        </w:rPr>
        <w:t>:</w:t>
      </w:r>
      <w:bookmarkEnd w:id="52"/>
    </w:p>
    <w:p>
      <w:pPr>
        <w:pStyle w:val="BookText"/>
        <w:rPr/>
      </w:pPr>
      <w:r>
        <w:rPr>
          <w:rFonts w:ascii="Amiri" w:hAnsi="Amiri" w:eastAsia="Amiri" w:cs="Amiri"/>
          <w:color w:val="111111"/>
          <w:sz w:val="28"/>
          <w:sz w:val="28"/>
          <w:szCs w:val="28"/>
          <w:rtl w:val="true"/>
          <w:lang w:bidi="ar-SA"/>
        </w:rPr>
        <w:t>الظاهر أن العامّة أيضاً مجمعون على ناقضيّة ما يخرج من السبيلين، فهم يشتركون مع الخاصّة في ناقضيّة البول والغائط والريح والمني، ودم الاستحاضة، وإن فارقوهم في مثل المذي والوذي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من السبيلين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معتاد كالبول والغائط والمني والمذي والودي والريح، فهذا ينقض الوضوء إجماعاً، قال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أنّ خروج الغائط من الدبر وخروج البول من ذكر الرجل وقبل المرأة وخروج المذي وخروج الريح من الدبر أحداث ينقض كلّ واحد منها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ويوجب الوضوء ودم الاستحاضة ينقض الطهارة في قول عامّة أهل العلم إلّا في قول ربيعة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الْحُسَيْنِ بْنِ سَعِيدٍ، عَنْ حَمَّادٍ، عَنْ عُمَرَ بْنِ أُذَيْنَةَ وَحَرِيزٍ،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إِلَّا مَا خَرَجَ مِنْ طَرَفَيْكَ أَوِ النَّوْمُ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الحديث على أنّه لا ينقض الوضوء شيء ممّا يخرج من الإنسان إلا ما خرج من الطرفين، فلا ينتقض بخروج القيء والرّعاف ونحوهما، فالحديث دالّ على أنّ نواقض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النوم وما يخرج من طرفي الإنسان، المعبّر عنهما في غير هذا الحديث بالطرفين الأسفلين؛ لوقوعهما في أسفل الإنسان، والمراد منهما القبل والدبر، وعلى هذا فالإطلاق يشمل كلّ ما يخرج من الإنسان من البول والمني والحيض والاستحاضة والنفاس، والغائط والريح، بلا فرق بين القليل والكثير، بل مقتضى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لكلّ ما يخرج ممّا عدا المذكورات كالمذي والوذي والقيح وغير ذلك، إلا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الموصول كما يأتي للعموم يأتي للعهد، والمعهود هو المتعارف هنا، ويضاف إلى ذلك أحاديث حصر النواقض؛ فإنّها تخرج هذه الأمور وأمثالها عن دائرة ما ينقض الوضوء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والقصر فيه إضافي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النواقض لا تنحصر في ما ذكر؛ فإنّ من النواقض السكر والإغماء والجنون، ومسّ الميّت، وغيرها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ويحتمل خروج الدماء الثلاثة عن المراد إذا اقتصرنا علی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متوجّه إلی زرارة فيكون المراد صنفه، وهو الرجل، لا نوعه وهو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الحيض والاستحاضة والنفاس، ويكون الكلام فيما يخرج من طرفي الرجل لا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وكأنّ هذا الحديث ردّ علی المخالفين القائلين بناقضيّة الرعاف والقيء ونحوهما للوضوء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منّا الكلام في إسناد الشيخ إلی الحسين بن سعيد</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وهو حمّاد بن عيسی، وحريز هو حريز بن عبد الله السجستاني، والسند صحيح، مضافاً إلی أنّ كتاب الحسين بن سعيد مشهور غير محتاج إلی الطريق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الْمُفِيدِ، عَنْ أَحْمَدَ بْنِ مُحَمَّدِ بْنِ الْحَسَنِ، عَنْ أَبِيهِ، عَنِ الصَّفَّارِ، عَنْ أَحْمَدَ بْنِ مُحَمَّدٍ، عَنِ الْحُسَيْنِ بْنِ سَعِيدٍ،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يَنْقُضُ الْوُضُوءَ؟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طَرَفَيْكَ الْأَسْفَلَيْنِ مِنَ الذَّكَرِ وَالدُّبُرِ مِنَ الْغَائِطِ وَالْبَوْلِ أَوْ مَنِيٍّ أَوْ رِيحٍ وَالنَّوْمُ حَتَّى يُذْهِبَ الْعَقْلَ، وَكُلُّ النَّوْمِ يُكْرَهُ إِلَّا أَنْ تَكُونَ تَسْمَعُ الصَّوْتَ</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عَلِيِّ بْنِ إِبْرَاهِيمَ، عَنْ أَبِيهِ، عَنْ حَمَّادٍ مِثْلَهُ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بِإِسْنَادِهِ، عَنْ زُرَارَةَ مِثْلَهُ إِلَى قَوْلِهِ حَتَّى يُذْهِبَ الْعَقْلَ</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يدلّ الحديث بإطلاقه على ناقضيّة كلّ ما يخرج من الطرفين الأسفلين، بلا فرق بين القليل منه والكثير،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الذكر والدبر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للطرفين الأسفلين،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بيانيّة، لبيان ما ينقض الوضوء ممّا يخرج من الذكر والدبر، حتّى لا يتوهّم العموم لكلّ ما يخرج، فتخصيصه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يخرج من السبيلين بهذه الأربعة يدلّ على عدم النقض بخروج المذي والوذي والدود والدم والحقنة وأمثالها، وأمّا الدماء الثلاثة فلعلّه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يذكرها لأنّ الكلام في ما يخرج من طرفي الرجل، كما هو مقتضى الخطاب لزرارة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ويدلّ أيضاً على ناقضية النوم المذهب للعقل، قال الشيخ البهائي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وكلّ النوم يكره إلّا أن تكون تسمع الصوت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معناه أنّ كل نوم يفسد الوضوء إلّا نوماً يسمع معه الصوت، فعبّر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الإفساد بالكراهة، وهذه الجملة بمنزلة المبيّنة لما قبلها، فكأنّه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أنّ النوم الذي يذهب به العقل علامته عدم سماع الصوت</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الحديث ثلاثة اسانيد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وهو أحمد بن محمد بن الحسن بن الوليد، وقد سبق أنّه من مشايخ المفيد، ولم يرد فيه توثيق، ولكن لشيخ طريقين معتبرين وللصدوق أيضاً طريق صحيح لجميع روايات أبيه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أبوه فهو محمد بن الحسن بن الوليد، والمراد بالصفّار هو محمد بن الحسن، وأمّا أحمد بن محمد فهو أحمد بن محمد بن عيسی، وقد مرّ بيان وثاقتهم وجلالتهم مع بقيّة أفراد السند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كتاب الحسين بن سعيد مشهور غير محتاج إلى الطريق، والسند معتبر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في الكافي، ويشترك مع سند الشيخ في حمّاد ومن بعده، والسند 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الصدوق في الفقيه إلى زرارة،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عبد الله بن جعفر الحميري، عن محمد بن عيسى بن عبيد، والحسن بن ظريف، وعلي بن إسماعيل بن عيسی كلّهم عن حمّاد بن عيسى، عن حريز بن عبد الله، عن زرارة بن أعين</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والسند صحيح أعلائي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الْحُسَيْنِ بْنِ سَعِيدٍ، عَنْ فَضَالَةَ، عَنْ عُثْمَانَ يَعْنِي ابْنَ عِيسَى، عَنْ أُدَيْمِ بْنِ الْحُرِّ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يَنْقُضُ الْوُضُوءَ إِلَّا مَا خَرَجَ مِنْ طَرَفَيْكَ الْأَسْفَلَيْنِ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الحديث على حصر النواقض في ما يخرج من السبيلين، المعبّر عنهما هنا بالطرفين الأسفلين، ولا ريب في أنّ الحصر إضافي بالنسبة إلى ما يخرج من غيرهما كالرّعاف والقيء وغيرهما ممّا عدّه العامّة من النواقض، وكأنّ هذا الحديث ردّ عليهم، وإنّما كان الحصر إضافيّاً لدلالة الأحاديث على وجود نواقض أخرى غير ما ذكر كالنوم وذهاب العقل وغير ذلك، كما أنّ تلك الأحاديث تدلّ أيضاً على أنّه ليس كلّ ما يخرج من السبيلين 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وهو فضالة بن أيّوب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وفسّره الماتن بأنّه ابن عيسی، والظاهر أنّ في السند سقطاً، والصحيح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بقرينة سائر الروايات، حيث ورد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عن حمّاد بن عثمان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أديم بن الحرّ، ذكره الشيخ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ووصفه بالكوفي الخثعمي</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أديم بن الحرّ الجعفي مولاهم، كوفي، ثقة، له أصل</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الكشي عن نصر بن الصباح أنّه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الحرّ اسمه أديم بن الحرّ، وهو حذّاء، صاحب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نيفاً وأربعين حديثاً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هذا فالسند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إِسْمَاعِيلَ، عَنِ الْفَضْلِ بْنِ شَاذَانَ، وَعَنْ أَحْمَدَ بْنِ إِدْرِيسَ عَنْ مُحَمَّدِ بْنِ عَبْدِ الْجَبَّارِ جَمِيعاً، عَنْ صَفْوَانَ بْنِ يَحْيَى، عَنْ سَالِمٍ أَبِي الْفَضْلِ،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يَنْقُضُ الْوُضُوءَ إِلَّا مَا خَرَجَ مِنْ طَرَفَيْكَ الْأَسْفَلَيْنِ اللَّذَيْنِ أَنْعَمَ اللَّهُ عَلَيْكَ بِهِمَا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 مِثْلَهُ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الحديث على حصر ما ينقض الوضوء في ما يخرج من الطرفين الأسفلين اللذين أنعم الله بهما على الإنسان لحِكَم متعدّدة، من أبرزها كونهما طريقين معدّين لتسهيل خروج فضلات الطعام والشراب من جسمه؛ فإنّ بقاء تلك الفضلات في جسم الإنسان مدّة يوجب تعفّنها وصيرورتهما مواد فاسدة قد تمتزج مع الدم ومنه تنتشر في أجزاء الجسم، ممّا يسبب أمراضاً خبيثة، والحصر هنا إضافي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وهو ينحلّ إلى طريقين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صفوان، وقد قلنا إنّ </w:t>
      </w:r>
    </w:p>
    <w:p>
      <w:pPr>
        <w:pStyle w:val="BookText"/>
        <w:rPr/>
      </w:pPr>
      <w:r>
        <w:rPr>
          <w:rFonts w:ascii="Amiri" w:hAnsi="Amiri" w:eastAsia="Amiri" w:cs="Amiri"/>
          <w:color w:val="111111"/>
          <w:sz w:val="28"/>
          <w:sz w:val="28"/>
          <w:szCs w:val="28"/>
          <w:rtl w:val="true"/>
          <w:lang w:bidi="ar-SA"/>
        </w:rPr>
        <w:t>محمد بن إسماعيل مشترك، وإنّ المراد من محمّد بن إسماعيل الذي يروي عن الفضل بن شاذان ويروي عنه الكليني هو محمّد بن إسماعيل النيسابوري البندقي، وهو لم يوثّق، إلّا أنّ روايات الفضل بن شاذان التي يرويها الكليني والشيخ معتبرة، لوجود طريق آخر صحيح للكليني، كما أنّ للشيخ طرقاً تبلغ ثمانية، وبعضها صحيح في الفهرست والمشيخة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إدريس، عن محمد بن عبدالجبار، عن صفوان بن يحيی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أبوالفضل، وهو سالم الحنّاط،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سالم الحنّاط أبوالفضل، كوفي، مولی، ثقة، روی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ذكره أبوالعباس، روی عنه عاصم بن حميد وإسحاق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صفوان</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معتبر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والسند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الشيخ إلی الكليني، وهو الإسناد السابق نفسه، وهو معتبر أيضاً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الْحَسَنِ، عَنْ سَهْلِ بْنِ زِيَادٍ، عَنْ مُحَمَّدِ بْنِ سِنَانٍ،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الرُّعَافِ وَالْحِجَامَةِ وَكُلِّ دَمٍ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وُضُوءٌ، إِنَّمَا الْوُضُوءُ مِنْ طَرَفَيْكَ اللَّذَيْنِ أَنْعَمَ اللَّهُ بِهِمَا عَلَيْكَ</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الصَّدُوقُ فِي الْخِصَالِ عَنْ أَبِيهِ، عَنْ سَعْدِ بْنِ عَبْدِ اللَّهِ، عَنْ أَحْمَدَ ابْنِ مُحَمَّدِ بْنِ عِيسَى، عَنْ أَحْمَدَ بْنِ مُحَمَّدِ بْنِ أَبِي نَصْرٍ الْبَزَنْطِيِّ، عَنْ مُحَمَّدِ بْنِ سَمَاعَةَ، عَنْ عَبْدِ اللَّهِ بْنِ مُسْكَانَ، عَنْ أَبِي بَصِيرٍ الْمُرَادِيِ مِثْلَهُ إِلَّا أَنَّهُ ذَكَرَ بَدَلَ الرُّعَافِ الْقَيْ ءَ</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يخرج من الأنف</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حرفة الحجّام وفعله، والحجّام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للحاجم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 لامتصاصه فم المحجمة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الحديث علی أنّ الرعاف والحجامة وكلّ دم يسيل ولا يقف علی 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الدماء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يجيء في الأبواب الآتية لا ينقض الوضوء، بل الوضوء يُنقض بسبب الطرفين،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يخرج منهما، وهذا ردّ علی مثل أبي </w:t>
      </w:r>
    </w:p>
    <w:p>
      <w:pPr>
        <w:pStyle w:val="BookText"/>
        <w:rPr/>
      </w:pPr>
      <w:r>
        <w:rPr>
          <w:rFonts w:ascii="IRNazanin" w:hAnsi="IRNazanin" w:eastAsia="IRNazanin"/>
          <w:color w:val="111111"/>
          <w:sz w:val="28"/>
          <w:sz w:val="28"/>
          <w:szCs w:val="28"/>
          <w:rtl w:val="true"/>
          <w:lang w:bidi="fa-IR"/>
        </w:rPr>
        <w:t>حنيفة الذي ذهب إلی أنّ الدم إن كان واقفاً علی الجرح فلا ينقض الوضوء، وأمّا إذا كان سائلاً فهو ينقضه، ويدلّ أيضاً علی حصر ما ينقض الوضوء في ما يخرج من الطرفين الأسفلين اللذين أنعم الله بهما علی الإنسان، والحصر إضافي كما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وفيه محمد بن الحسن، وقد قلنا إنّه إمّا الصفار أو الطائي</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ابن مسكان وهو عبد الله 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ضعيف بسهل، ويمكن أن يصحّح الحديث؛ لوجوده في الكافي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الصدوق في الخصال،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سماعة، عدّه الشيخ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سماعة العنزي البكري، كوفي</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سماعة بن موسی بن رويد بن نشيط الحضرمي مولی عبدالجبار بن وائل بن حجر أبوعبد الله والد الحسن وإبراهيم وجعفر وجد معلّی بن الحسن، وكان ثقة في أصحابنا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الوضوء، وكتاب الحيض، وكتاب الصلاة، وكتاب الحج</w:t>
      </w:r>
      <w:r>
        <w:rPr>
          <w:rFonts w:eastAsia="IRNazanin" w:cs="IRNazanin"/>
          <w:color w:val="111111"/>
          <w:sz w:val="28"/>
          <w:szCs w:val="28"/>
          <w:rtl w:val="true"/>
          <w:lang w:bidi="fa-IR"/>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والسند صحيح أعلائي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يَحْيَى، عَنْ أَحْمَدَ بْنِ مُحَمَّدٍ، عَنْ مُحَمَّدِ بْنِ سَهْلٍ،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النَّاسُورِ</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يَنْقُضُ الْوُضُوءَ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وَالرِّيحُ</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عَنِ الْمُفِيدِ، عَنْ أَحْمَدَ بْنِ مُحَمَّدِ بْنِ الْحَسَنِ، عَنْ أَبِيهِ، عَنِ الصَّفَّارِ، عَنْ أَحْمَدَ بْنِ مُحَمَّدٍ</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فِي عُيُونِ الْأَخْبَارِ، عَنْ أَبِيهِ، عَنْ سَعْدٍ، عَنْ أَحْمَدَ بْنِ مُحَمَّدٍ مِثْلَهُ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إِضَافِيٌّ بِالنِّسْبَةِ إِلَى النَّاسُورِ وَنَحْوِهِ، وَكَذَا بَعْضُ أَحَادِيثِ الْحَصْرِ، أَعْنِي مَا لَهُ مُخَصِّصٌ لَمْ يَظْهَرْ كَوْنُهُ مِنْ بَابِ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الحديث على أنّ الناسور غير ناقض للوضوء، مع أنّه يخرج منه الدم، وقد يسيل، ويستفاد من عدم التفصيل أنّه غير ناقض وإن سال، ويدلّ أيضاً على أنّ الناقض محصور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والريح، ومن البيّن أنّ هذا الحصر إضافي بالنسبة لما يخرج من الطرفين غير هذه الثلاثة كالدم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ثلاثة أسانيد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وفيه محمد بن يحيى، وهو محمد بن يحيى العطّار الثقة العين، وأحمد بن محمد هو ابن عيسى الأشعري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سهل بن اليسع بن عبد الله بن سعد بن مالك بن الأحوص الأشعري القمي، روی عن الرضا وأبي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 يرويه جماعة</w:t>
      </w:r>
      <w:r>
        <w:rPr>
          <w:rFonts w:eastAsia="IRNazanin" w:cs="IRNazanin"/>
          <w:color w:val="111111"/>
          <w:sz w:val="28"/>
          <w:szCs w:val="28"/>
          <w:rtl w:val="true"/>
          <w:lang w:bidi="fa-IR"/>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كتاب مشهور، وهو وإن لم يوثّق صريحاً، إلا أنّه ورد في الفقيه وفي مشيخة الفقيه فيمكن اعتبار حديثه؛ لشهادة الصدوق بأنّه لا يروي إلّا عن الكتب المشهورة التي عليها المعوّل وإليها المرجع</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أنّه ورد في كتاب الخرائج ما يفيد مدحه بما هو تالي تلو التوثيق، وإن كان هو الراوي للرواية، وهو ما رواه أحمد بن محمد بن عيسى، عن محمد بن سهل بن اليسع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مجاوراً بمكة، فصرت إلى المدينة، فدخلت على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وأردت أن أسأله كسوة يكسونيها، فلم يقض لي أن أسأله حتي ودّعته وأردت الخروج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إليه وأسأله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فكتبت إليه الكتاب، فصرت إلى مسجد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أصلّي ركعتين وأستخير الله مائة مرة، فإن وقع في قلبي أن أبعث إليه بالكتاب بعثت به وإلّا خرقته، ففعلت، فوقع في قلبي أن لا أفعل، فخرقت الكتاب، وخرجت من </w:t>
      </w:r>
    </w:p>
    <w:p>
      <w:pPr>
        <w:pStyle w:val="BookText"/>
        <w:rPr/>
      </w:pPr>
      <w:r>
        <w:rPr>
          <w:rFonts w:ascii="Amiri" w:hAnsi="Amiri" w:eastAsia="Amiri" w:cs="Amiri"/>
          <w:color w:val="111111"/>
          <w:sz w:val="28"/>
          <w:sz w:val="28"/>
          <w:szCs w:val="28"/>
          <w:rtl w:val="true"/>
          <w:lang w:bidi="ar-SA"/>
        </w:rPr>
        <w:t>المدينة، فبينما أنا كذلك إذ رأيت رسولاً ومعه ثياب في منديل يتخلّل القطار، ويسأل عن محمد بن سهل القمي حتى انتهى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بعث إليك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مُلاءتان، قال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غسّلته حين مات، وكفّنته فيهم</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والراوندي وإن لم يكن في طبقة أحمد بن محمد إلّا أنّ له طريقاً صحيحاً إلى شيخ الطائفة، والشيخ له طريق صحيح إلى أحمد بن محمد، والرواية دالّة على ما أشرنا إليه؛ فإنّ عناية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وبعث الثوبين إليه، وتكفين أحمد بن محمد له بهما يدلّان على جلالته وحسنه بما هو تالي تلو التوثيق، كما أنّ تصديق أحمد بن محمد للرواية شاهد صدق على صحّتها، أضف إلى ذلك كلّه أنّه يمكن تصحيح الحديث بناء على قبول شهادة الكليني بصحّة أحاديث كتابه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 والاستبصار، وهو كسابقه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الصدوق في عيون الأخبار، وهو كسابقيه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فِي الْعِلَلِ وَعُيُونِ الْأَخْبَارِ بِإِسْنَادِهِ الْآتِي،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 الْوُضُوءُ مِمَّا خَرَجَ مِنَ الطَّرَفَيْنِ خَاصَّةً وَمِنَ النَّوْمِ دُونَ سَائِرِ الْأَشْيَاءِ</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الطَّرَفَيْنِ هُمَا طَرِيقُ النَّجَاسَةِ وَلَيْسَ لِلْإِنْسَانِ طَرِيقٌ تُصِيبُهُ النَّجَاسَةُ مِنْ نَفْسِهِ إِلَّا مِنْهُمَا فَأُمِرُوا بِالطَّهَارَةِ عِنْدَمَا تُصِيبُهُمْ تِلْكَ النَّجَاسَةُ مِنْ أَنْفُسِهِمْ، الْحَدِيثَ</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يفيد الحديث أنّ ما يخرج من الطرفين بالإضافة إلی النوم ينقض الوضوء ويوجبه، وهذا المقطع من الحديث تعليل لإيجاب هذه الأمور للوضوء، دون غيرها من النواقض، والعلّة المذكورة هي أنّ السبيلين هما طريق منحصر للنجاسة التي تكون من نفس الإنسان، ولمّا كان هو الذي يتسبّب بحدوثها عن طريق الأكل والشرب كانت هذه النجاسة من نفسه، وتجيء هذه النواقض من الإنسان لا لإرادته لها أو استلذاذه بها، بل هو مكره عليها، فلذا رضي الله سبحانه منه بالوضوء، بخلاف الجنابة؛ فإنّه هو الساعي إلی حصولها والطالب لها، ولذا أوجب عليه الغُسل، كما يأتي في الحديث العاشر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حصول هذه الأحداث موجباً لنقض الطهارة السابقة صار العبد غير طاهر، فلا يليق بالقرب من الساحة الربوبيّة فهو بعيد عنها، ولا لياقة لديه </w:t>
      </w:r>
    </w:p>
    <w:p>
      <w:pPr>
        <w:pStyle w:val="BookText"/>
        <w:rPr/>
      </w:pPr>
      <w:r>
        <w:rPr>
          <w:rFonts w:ascii="Amiri" w:hAnsi="Amiri" w:eastAsia="Amiri" w:cs="Amiri"/>
          <w:color w:val="111111"/>
          <w:sz w:val="28"/>
          <w:sz w:val="28"/>
          <w:szCs w:val="28"/>
          <w:rtl w:val="true"/>
          <w:lang w:bidi="ar-SA"/>
        </w:rPr>
        <w:t>للقيام بين يدي الجبّار سبحانه؛ فإنّ الحضور عند جناب الحقّ تعالى يتمّ بواسطة الصلاة وتلاوة القرآن، والحضور في تلك الحضرة الطاهرة المقدسة، والقيام اللائق بين يدي الرب الجليل لا يمكن إلا مع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والوضوء منشأ للطّهارة الروحيّة الباطنيّة وهو السبيل إليها، فبحدوثها تتنوّر الروح وتصفو النفس، وبواسطتها تتشبّه النفس البشريّة بالملائكة الروحانيّين، وتكون لائقة ومستحقّة لأن تتطلّع وتطّلع على ملكوت السماوات والأرضين، وتلك هي الغاية العظمى والمنزلة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علّة تشريع الوضوء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العبد طاهراً إذا قام بين يدي الجبّار عند مناجاته إيّاه، مطيعاً له فيما أمره، نقيّاً من الأدناس والنجاسة مع ما فيه من ذهاب الكسل، وطرد النّعاس، وتزكية الفؤاد للقيام بين يدي الجبّار</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السند في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الواحد بن محمد بن عبدوس النيسابوري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علي بن محمد بن قتيبة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الفضل بن شاذان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أيضاً 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عبدوس، وقد تقدّم أنّ الصدوق ترضّى عنه</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محمد بن قتيبة تقدّم أنّه ثقة؛ لاعتماد الكشي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وزاد في العيون سنداً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محمد جعفر بن نعيم بن شاذان، عن عمّه أبي عبد الله محمد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نعيم بن شاذان، تقدّم أنّ الصدوق ترضّى عنه</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ثقة، وأمّا محمد بن شاذان فتستفاد وثاقته ممّا ورد في التوقيع الشريف المروي عن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محمد بن شاذان بن نعيم فهو رجل من شيعتنا</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ذكرنا في كتابنا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إشعاراً بمكانته الاجتماعيّة، الأمر الذي دفع إسحاق بن يعقوب للسؤال عنه، كما أنّ في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تصريحاً بأنّ محمد بن شاذان ذو شأن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أضافه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وعدّه من شيعتهم، 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وإن لم يدل صراحة على الوثاقة إلّا أنّه لا يقصر عنها، وبناء على اعتبار سند التوقيع الشريف كما حقّقناه في محلّه من هذا الكتاب</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ويترتّب علی ذلك اعتبار جميع روايات الصدوق عن الفضل الواردة عن طريق محمد بن شاذان بن نعيم</w:t>
      </w:r>
      <w:r>
        <w:rPr>
          <w:rFonts w:eastAsia="IRNazanin" w:cs="IRNazanin"/>
          <w:color w:val="111111"/>
          <w:sz w:val="28"/>
          <w:szCs w:val="28"/>
          <w:rtl w:val="true"/>
          <w:lang w:bidi="fa-IR"/>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معتبر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عُيُونِ الْأَخْبَارِ بِالْإِسْنَادِ الْآتِي،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مَحْضِ</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فَكَتَبَ إِلَيْهِ فِي كِتَابٍ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يَنْقُضُ الْوُضُوءَ إِلَّا غَائِطٌ أَوْ بَوْلٌ أَوْ رِيحٌ أَوْ نَوْمٌ أَوْ جَنَابَةٌ</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قطعة من حديث طويل كتبه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إجابة لسؤال المأمون إيّاه عن محض الإسلام، والمحض هو الخالص الذي لم يخالطه شيء، والمراد الإسلام الخالص الصريح الذي لم يخلط بشيء خارج عنه،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جملة ذلك هذه النواقض، والحصر هنا في المذكورات إضافي بالنسبة إلی غير المذكورات كالرّعاف والقيء وغيرهما، وكالمذي والودي والوذي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الماتن إلی السندين السابقين في الحديث السابع من هذا الباب، وهما معتبران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عَنِ الْفَضْلِ بْنِ شَاذَانَ، عَنْ مُحَمَّدِ بْنِ إِسْمَاعِيلَ بْنِ بَزِيعٍ،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يَنْقُضُ الْوُضُوءَ إِلَّا مَا خَرَجَ مِنْ طَرَفَيْكَ اللَّذَيْنِ جَعَلَ</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أَنْعَمَ اللَّهُ بِهِمَا</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يدلّ الحديث علی أنّه لا ينقض الوضوء إلّا ما خرج من الطرفين، فلا ينتقض الوضوء بخروج القيء والرّعاف ونحوهما، وعلی هذا فالإطلاق يشمل كلّ ما يخرج من الإنسان من البول والمني والحيض والاستحاضة والنفاس، والغائط والريح، بلا فرق بين القليل والكثير، وأمّا ما عدا المذكورات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كالمذي والوذي والقيح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مقتضی العموم دخولها في النواقض إلّا أنّ أحاديث حصر النواقض تخرجها عن دائرة ما ينقض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والحصر إضافي كما تقدّم في الأحاديث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محمد جعفر بن نعيم بن شاذان، قال</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عمّي أبو عبد الله محمد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بن بزيع،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السند الثاني الذي مضی في الحديث السابع من هذا الباب، وهو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وَبِأَسَانِيدِهِ، عَنْ مُحَمَّدِ بْنِ سِنَانٍ فِي جَوَابِ الْعِلَلِ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التَّخْفِيفِ فِي الْبَوْلِ وَالْغَائِطِ لِأَنَّهُ أَكْثَرُ وَأَدْوَمُ مِنَ الْجَنَابَةِ فَرَضِيَ فِيهِ بِالْوُضُوءِ لِكَثْرَتِهِ وَمَشَقَّتِهِ وَمَجِيئِهِ بِغَيْرِ إِرَادَةٍ مِنْهُمْ</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شَهْوَةٍ، وَالْجَنَابَةُ لَا تَكُونُ إِلَّا بِالاسْتِلْذَاذِ مِنْهُمْ وَالْإِكْرَاهِ</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لِأَنْفُسِهِمْ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عَلَيْهِ إِنْ شَاءَ اللَّهُ هُنَا وَفِي كَيْفِيَّةِ الْوُضُوءِ، وَغَيْرِ ذَلِكَ</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الحكم في تشريع الوضوء دون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حدوث البول أو الغائط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 أخفّ مؤونة علی المكلّفين من الغسل، فلو كلّف الله سبحانه بالغُسل عند </w:t>
      </w:r>
    </w:p>
    <w:p>
      <w:pPr>
        <w:pStyle w:val="BookText"/>
        <w:rPr/>
      </w:pPr>
      <w:r>
        <w:rPr>
          <w:rFonts w:ascii="IRNazanin" w:hAnsi="IRNazanin" w:eastAsia="IRNazanin"/>
          <w:color w:val="111111"/>
          <w:sz w:val="28"/>
          <w:sz w:val="28"/>
          <w:szCs w:val="28"/>
          <w:rtl w:val="true"/>
          <w:lang w:bidi="fa-IR"/>
        </w:rPr>
        <w:t>حدوثهما لأوجب ذلك نوع مشقّة عليهم، لكثرة ما يبتلون بهما ودوامه، ومجيء هذه النواقض من الإنسان لا لإرادته لها أو استلذاذه بها، بل هو مكره عليها، فلذا رضي الله سبحانه بالوضوء، بخلاف الجنابة فإنّ المكلّف هو الطالب لها والساعي إلی حصولها، وحدوثها إنّما يكون بإرادته واشتهائه، كما أنّها ليست بكثرة الناقضين السابقين ولا في دوامهما، ولذا أوجب عليه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الأسانيد 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عمّه محمد بن أبي القاسم، عن محمد بن علي الكوفي، 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 ومحمد بن أبي القاسم، وقد مضى أنّهما ثقتان</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محمد بن علي الكوفي فهو ضعيف، ولكن ما رواه الصدوق في الفقيه عنه خالٍ عن التخليط والغلو والتدليس ولم ينفرد به، وكذا الشيخ في الفهرست</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هذا الحديث ليس في الفقيه ولم يعلم أنّه من كتابه، فيكون هذا السند ضعيفاً به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محمد بن سنان فقد سبق أنّا رجّحنا وثاقته</w:t>
      </w:r>
      <w:r>
        <w:rPr>
          <w:rFonts w:eastAsia="IRNazanin" w:cs="IRNazanin"/>
          <w:color w:val="111111"/>
          <w:sz w:val="28"/>
          <w:szCs w:val="28"/>
          <w:rtl w:val="true"/>
          <w:lang w:bidi="fa-IR"/>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وللشيخ طريق صحيح في الفهرست إلى كل ما رواه،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وجميع ما رواه إلّا ما كان فيها من تخليط أو </w:t>
      </w:r>
    </w:p>
    <w:p>
      <w:pPr>
        <w:pStyle w:val="BookText"/>
        <w:rPr/>
      </w:pPr>
      <w:r>
        <w:rPr>
          <w:rFonts w:ascii="IRNazanin" w:hAnsi="IRNazanin" w:eastAsia="IRNazanin"/>
          <w:color w:val="111111"/>
          <w:sz w:val="28"/>
          <w:sz w:val="28"/>
          <w:szCs w:val="28"/>
          <w:rtl w:val="true"/>
          <w:lang w:bidi="fa-IR"/>
        </w:rPr>
        <w:t>غلو، أخبرنا به جماعة، عن أبي جعفر ابن بابويه، عن أبيه ومحمد بن الحسن جميعاً، عن سعد والحميري ومحمد بن يحيی، عن محمد بن الحسين وأحمد ابن محمد، عنه</w:t>
      </w:r>
      <w:r>
        <w:rPr>
          <w:rFonts w:eastAsia="IRNazanin" w:cs="IRNazanin"/>
          <w:color w:val="111111"/>
          <w:sz w:val="28"/>
          <w:szCs w:val="28"/>
          <w:rtl w:val="true"/>
          <w:lang w:bidi="fa-IR"/>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الطريق يصحّ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علي بن أحمد بن محمد بن عمران الدقاق ومحمد بن أحمد السناني وعلي بن عبد الله الوراق والحسين بن إبراهيم بن أحمد بن هشام المكتب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محمد ابن إسماعيل،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الربيع الصحاف، 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بن أحمد بن هشام المكتب، وهو المؤدب، وقد ترضّى عنه الصدوق كثيراً فيكون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محمد بن أبي عبد الله الكوفي فهو محمد بن جعفر بن محمد الأسدي، من مشايخ الكليني، وقد سبق أنّه ثقة صحيح الحديث، وكان أحد الأبواب، ومن السفراء الممدوحين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إسماعيل فقد سبق أنّه مشترك</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هنا البرمكي؛ لروايته عن علي بن العباس، ورواية محمد بن أبي عبد الله الكوفي أو الأسدي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بن أحمد بن بشير البرمكي المعروف بصاحب الصومعة أبو عبد الله، سكن قم، وليس أصله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w:t>
      </w:r>
      <w:bookmarkStart w:id="53" w:name="pg15724_204079"/>
    </w:p>
    <w:p>
      <w:pPr>
        <w:pStyle w:val="BookText"/>
        <w:rPr/>
      </w:pPr>
      <w:bookmarkEnd w:id="53"/>
      <w:r>
        <w:rPr>
          <w:rFonts w:ascii="Amiri" w:hAnsi="Amiri" w:eastAsia="Amiri" w:cs="Amiri"/>
          <w:color w:val="111111"/>
          <w:sz w:val="28"/>
          <w:sz w:val="28"/>
          <w:szCs w:val="28"/>
          <w:rtl w:val="true"/>
          <w:lang w:bidi="ar-SA"/>
        </w:rPr>
        <w:t>أبو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علي بن العباس فهو الجراذيني، وقد تقدّم أنّه ضعيف</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القاسم بن الربيع الصحّاف فلم يرد له توثيق، نعم وقع في تفسير علي بن إبراهيم، لكنّه في القسم الثاني منه</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تصحيح هذا السند كما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علي بن أحمد بن عبد الله البرقي وعلي بن عيسی المجاور في مسجد الكوفة وأبو جعفر محمد بن موسى البرقي بالري</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عن أحمد بن محمد بن خالد، عن أبيه، عن محمد بن سنان أنّ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 في جواب مسائله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عبد الله البرقي تقدّم أن الصدوق ترضّى عنه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علي بن عيسى ومحمد بن موسی البرقي فقد ترضّى عنهما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الكلام في بقيّة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السند معتبر</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2417897_2142443653"/>
      <w:bookmarkStart w:id="55" w:name="_Toc18"/>
      <w:bookmarkEnd w:id="54"/>
      <w:r>
        <w:rPr>
          <w:rtl w:val="true"/>
        </w:rPr>
        <w:t>المتحصل من الأحادیث</w:t>
      </w:r>
      <w:bookmarkEnd w:id="5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الباب عشرة أحاديث، أوّلها صحيح، والثاني معتبر بسنديه الأوّلين، وسنده الثالث صحيح، والثالث والسابع معتبر بسنديه والتاسع معتبر، والرابع والثامن لكلّ منهما سندان والكلّ معتبر، والخامس سنده الأوّل ضعيف وسنده الثاني صحيح أعلائي، والسادس حسن والعاشر لكلّ منهما ثلاثة أسانيد </w:t>
      </w:r>
    </w:p>
    <w:p>
      <w:pPr>
        <w:pStyle w:val="BookText"/>
        <w:rPr/>
      </w:pPr>
      <w:r>
        <w:rPr>
          <w:rFonts w:ascii="Amiri" w:hAnsi="Amiri" w:eastAsia="Amiri" w:cs="Amiri"/>
          <w:color w:val="111111"/>
          <w:sz w:val="28"/>
          <w:sz w:val="28"/>
          <w:szCs w:val="28"/>
          <w:rtl w:val="true"/>
          <w:lang w:bidi="ar-SA"/>
        </w:rPr>
        <w:t>ضعاف، ولكن يمكن تصحيحها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يخرج من الإنسان من البول والمني والحيض والاستحاضة والنفاس، والغائط والريح، ناقض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القليل والكثير من النواقض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المذي والوذي والقيح والقيء، والدم الخارج من الفم أو غيره حتّى الخارج من السبيلين، والرّعاف والحجامة وغير ذلك لا ينقض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النوم المذهب للعقل ناقض للوضوء، وعلامته عدم سماع الصوت، وأمّا ما يسمع معه الصوت فليس بناقض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الناسور غير ناقض للوضوء، مع أنّه يخرج منه الدم، وقد يسيل، فهو وإن سال غير 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أي الحكمة في تشريع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حدوث البول أو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الغسل، هي أنّ الوضوء أخفّ مؤونة على المكلّفين من الغسل؛ فإنّ في إيجابه مع كثرة الابتلاء بموجبه نوع مشقّة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أي الحكمة في تشريع الغسل هي أنّ المكلّف هو الطالب للجنابة، فهي تحدث بإرادته واشتهائه، وحدوثها ليس من الكثرة بحدّ يكون إيجاب الغسل عند حصولها حرجيّاً على المكلّف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الظاهريّة المأمور بها هي منشأ للطّهارة الروحيّة الباطنيّة، وبحصولها تتحصّل اللياقة اللازمة للحضور بين يدي الله سبحانه وتعالى</w:t>
      </w:r>
      <w:r>
        <w:rPr>
          <w:rFonts w:eastAsia="Amiri" w:cs="Amiri" w:ascii="Amiri" w:hAnsi="Amiri"/>
          <w:color w:val="111111"/>
          <w:sz w:val="28"/>
          <w:szCs w:val="28"/>
          <w:rtl w:val="true"/>
          <w:lang w:bidi="ar-SA"/>
        </w:rPr>
        <w:t xml:space="preserve">. </w:t>
      </w:r>
      <w:bookmarkStart w:id="56" w:name="pg15724_204081"/>
    </w:p>
    <w:p>
      <w:pPr>
        <w:pStyle w:val="Heading2"/>
        <w:numPr>
          <w:ilvl w:val="1"/>
          <w:numId w:val="1"/>
        </w:numPr>
        <w:rPr/>
      </w:pPr>
      <w:bookmarkStart w:id="57" w:name="__RefHeading___Toc12417899_2142443653"/>
      <w:bookmarkStart w:id="58" w:name="_Toc19"/>
      <w:bookmarkEnd w:id="56"/>
      <w:bookmarkEnd w:id="57"/>
      <w:r>
        <w:rPr/>
        <w:t>3</w:t>
      </w:r>
      <w:r>
        <w:rPr>
          <w:rtl w:val="true"/>
        </w:rPr>
        <w:t xml:space="preserve">- </w:t>
      </w:r>
      <w:r>
        <w:rPr>
          <w:rtl w:val="true"/>
        </w:rPr>
        <w:t>بَابُ أَنَّ النَّومَ الغَالِبَ عَلَی السَّمعِ يَنقُضُ الوُضُو ءَ عَلَی أَيِّ حَالٍ كَانَ، وَأَنَّهُ لَا يَنقُضُ الوُضُو ءَ شَي ءٌ مِنَ الأَشيَا ءِ غَيرُ الأَحدَاثِ المَنصُوصَةِ</w:t>
      </w:r>
      <w:bookmarkEnd w:id="58"/>
    </w:p>
    <w:p>
      <w:pPr>
        <w:pStyle w:val="Heading3"/>
        <w:numPr>
          <w:ilvl w:val="2"/>
          <w:numId w:val="1"/>
        </w:numPr>
        <w:rPr/>
      </w:pPr>
      <w:bookmarkStart w:id="59" w:name="__RefHeading___Toc12417901_2142443653"/>
      <w:bookmarkStart w:id="60" w:name="_Toc20"/>
      <w:bookmarkEnd w:id="59"/>
      <w:r>
        <w:rPr>
          <w:rtl w:val="true"/>
        </w:rPr>
        <w:t>اشارة</w:t>
      </w:r>
      <w:bookmarkEnd w:id="6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النَّومَ الغَالِبَ عَلَی السَّمعِ يَنقُضُ الوُضُوءَ عَلَی أَيِّ حَالٍ كَانَ، وَأَنَّهُ لَا يَنقُضُ الوُضُوءَ شَيءٌ مِنَ الأَشيَاءِ غَيرُ الأَحدَاثِ المَنصُوصَةِ</w:t>
      </w:r>
    </w:p>
    <w:p>
      <w:pPr>
        <w:pStyle w:val="Heading3"/>
        <w:numPr>
          <w:ilvl w:val="2"/>
          <w:numId w:val="1"/>
        </w:numPr>
        <w:rPr/>
      </w:pPr>
      <w:bookmarkStart w:id="61" w:name="__RefHeading___Toc12417903_2142443653"/>
      <w:bookmarkStart w:id="62" w:name="_Toc21"/>
      <w:bookmarkEnd w:id="61"/>
      <w:r>
        <w:rPr>
          <w:rtl w:val="true"/>
        </w:rPr>
        <w:t>شرح الباب</w:t>
      </w:r>
      <w:r>
        <w:rPr>
          <w:rtl w:val="true"/>
        </w:rPr>
        <w:t>:</w:t>
      </w:r>
      <w:bookmarkEnd w:id="62"/>
    </w:p>
    <w:p>
      <w:pPr>
        <w:pStyle w:val="BookText"/>
        <w:rPr/>
      </w:pPr>
      <w:r>
        <w:rPr>
          <w:rFonts w:ascii="Amiri" w:hAnsi="Amiri" w:eastAsia="Amiri" w:cs="Amiri"/>
          <w:color w:val="111111"/>
          <w:sz w:val="28"/>
          <w:sz w:val="28"/>
          <w:szCs w:val="28"/>
          <w:rtl w:val="true"/>
          <w:lang w:bidi="ar-SA"/>
        </w:rPr>
        <w:t>يتعرّض هذا الباب لبيان حكمين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النوم حدث شرعاً فينقض الوضوء، والمراد به الغالب علی السمع، فإذا تحقّق نقض الوضوء علی أيّ حال كان عليها المتوضّي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لا ينتقض إلّا بطروّ الأحداث المنصوصة لا بغيرها من الأمور</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2417905_2142443653"/>
      <w:bookmarkStart w:id="64" w:name="_Toc22"/>
      <w:bookmarkEnd w:id="63"/>
      <w:r>
        <w:rPr>
          <w:rtl w:val="true"/>
        </w:rPr>
        <w:t>أقوال الخاصّة</w:t>
      </w:r>
      <w:r>
        <w:rPr>
          <w:rtl w:val="true"/>
        </w:rPr>
        <w:t>:</w:t>
      </w:r>
      <w:bookmarkEnd w:id="6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بين الأصحاب وجوب الوضوء بالنوم الغالب علی حاسّتي السمع والبصر علی أيّ حال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مضطجعاً أو قاعداً، منفرجاً أو متلاصقاً، وربّما ظهر من كلام علي بابويه في الرسالة وابنه في المقنع عدم النقض به مطلقاً؛ لحصرهما ما يجب إعادة الوضوء به وما ينقضه في البول والمني والغائط والريح</w:t>
      </w:r>
      <w:r>
        <w:rPr>
          <w:rFonts w:eastAsia="IRNazanin" w:cs="IRNazanin"/>
          <w:color w:val="111111"/>
          <w:sz w:val="28"/>
          <w:szCs w:val="28"/>
          <w:rtl w:val="true"/>
          <w:lang w:bidi="fa-IR"/>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 كلام الصدوقين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النوم بنفسه غير ناقض</w:t>
      </w:r>
      <w:r>
        <w:rPr>
          <w:rFonts w:eastAsia="Amiri" w:cs="Amiri" w:ascii="Amiri" w:hAnsi="Amiri"/>
          <w:color w:val="111111"/>
          <w:sz w:val="28"/>
          <w:szCs w:val="28"/>
          <w:rtl w:val="true"/>
          <w:lang w:bidi="ar-SA"/>
        </w:rPr>
        <w:t xml:space="preserve">. </w:t>
      </w:r>
      <w:bookmarkStart w:id="65" w:name="pg15724_204082"/>
    </w:p>
    <w:p>
      <w:pPr>
        <w:pStyle w:val="Heading3"/>
        <w:numPr>
          <w:ilvl w:val="2"/>
          <w:numId w:val="1"/>
        </w:numPr>
        <w:rPr/>
      </w:pPr>
      <w:bookmarkStart w:id="66" w:name="__RefHeading___Toc12417907_2142443653"/>
      <w:bookmarkStart w:id="67" w:name="_Toc23"/>
      <w:bookmarkEnd w:id="65"/>
      <w:bookmarkEnd w:id="66"/>
      <w:r>
        <w:rPr>
          <w:rtl w:val="true"/>
        </w:rPr>
        <w:t>أقوال العامّة</w:t>
      </w:r>
      <w:r>
        <w:rPr>
          <w:rtl w:val="true"/>
        </w:rPr>
        <w:t>:</w:t>
      </w:r>
      <w:bookmarkEnd w:id="6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للعامّة تفصيلات في ناقضيّة النوم بحسب حالات المكلّف وأوضاعه وبحسب النوم نفسه اختلفوا فيها بعد أن قالوا بناقضيّة النوم في الجملة، قال 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النوم وهو ناقض للوضوء في الجملة في قول عامّة أهل العلم إلّا ما حكي عن أبي موسى الأشعري وأبي مجلز وحميد الأعرج أنّه 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سعيد بن المسيب أنّه كان ينام مراراً مضطجعاً ينتظر الصلاة ثم يصلّي ولا يعيد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والنوم ينقسم ثلاثة أقسام نوم المضطجع فينقض الوضوء يسيره وكثيره في قول كلّ من يقول بنقضه بالنوم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القاعد إن كان كثيراً نقض رواية واحدة وإن كان يسيراً لم ينقض، وهذا قول حمّاد والحكم ومالك والثوري وأصحاب الرأي، وقال الشافعي لا ينقض وإن كثر إذا كان القاعد متمكّناً مفضياً بمحلّ الحدث إلى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هاتين الحالتين وهو نوم القائم والراكع والساجد فروي عن أحمد في جميع ذلك روايتان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وهو قول الشافعي؛ لأنّه لم يرد في تخصيصه من عموم أحاديث النقض نصّ ولا هو في معنى المنصوص؛ لكون القاعد متحفّظاً لاعتماده بمحلّ الحدث إلى الأرض والراكع والساجد ينفرج محلّ الحدث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إلّا إذا كثر، وذهب أبو حنيفة إلى أنّ النوم في حال من أحوال الصلاة لا ينقض وإن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 أحمد التسوية بين القيام والجلوس؛ لأنّهما يشتبهان في الانخفاض واجتماع المخرج، وربما كان القائم أبعد من الحدث؛ لعدم التمكّن من الاستثقال في النوم؛ فإنّه لو استثقل لسقط، </w:t>
      </w:r>
    </w:p>
    <w:p>
      <w:pPr>
        <w:pStyle w:val="BookText"/>
        <w:rPr/>
      </w:pPr>
      <w:r>
        <w:rPr>
          <w:rFonts w:ascii="Amiri" w:hAnsi="Amiri" w:eastAsia="Amiri" w:cs="Amiri"/>
          <w:color w:val="111111"/>
          <w:sz w:val="28"/>
          <w:sz w:val="28"/>
          <w:szCs w:val="28"/>
          <w:rtl w:val="true"/>
          <w:lang w:bidi="ar-SA"/>
        </w:rPr>
        <w:t>والظاهر عنه في الساجد التسوية بينه وبين المضطجع؛ لأنّه ينفرج محلّ الحدث، ويعتمد بأعضائه على الأرض ويتهيأ لخروج الخارج فأشبه المضطجع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واختلفت الرواية عن أحمد في القاعد المستند والمحتبي فعنه لا ينقض يسيره،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الوضوء من النوم؟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فالمحتبي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يتوضأ،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فالمتكئ؟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الاتكاء شديد والمتساند كأنّه 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الاحتباء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منها كلّها الوضوء إلّا أن يغفو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ينقض يعني بكلّ حال؛ لأنّه معتمد علی شيء فهو كالمضطجع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أصحابنا في تحديد الكثير من النوم الذي ينقض الوضوء فقال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للقليل حدّ يرجع إليه وهو على ما جرت به العادة،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الكثير ما يتغيّر به النائم عن هيئته مثل أن يسقط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يرى 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يغلب على عقله فلا وضوء عليه؛ لأنّ النوم الغلبة على العقل</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الْحُسَيْنِ بْنِ سَعِيدٍ، عَنْ حَمَّادٍ، عَنْ عُمَرَ بْنِ أُذَيْنَةَ وَحَرِيزٍ،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إِلَّا مَا خَرَجَ مِنْ طَرَفَيْكَ أَوِ النَّوْمُ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ناقضيّة ما يخرج من الطرفين وناقضيّة النوم، وحصر النواقض فيهما، وقد سبق أنّ هذا الحصر إضافي لا حقيقي؛ لوجود نواقض أخرى ذكرتها الأحاديث السابقة، والأحاديث التي تأتي في الأبواب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خرج من الطرفين يشمل بإطلاقه البول والمني والغائط والريح والدماء الثلاثة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الدم والدود وغيرها كالمذي والوذي والودي والقيح ممّا يخرج من الطرفين فهو خارج بمقتضى ما يأتي من إخراجها صراحة أو لحصر النواقض</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وأطلق النوم هنا ولم يقيّده بذهاب البصر أو السمع أو العقل، مع أنّ بعض الأحاديث الآتية مقيّدة بذلك، وسيأتي في آخر الباب وجه الجمع بينها، كما لم يفرّق في النوم بين قليله وكثيره، ولا بين كون النائم قائماً أو قاعداً، راكعاً أو ساجداً أو مضطجعاً، ماشياً أو واقفاً، ولا بين كون النوم أثناء الصلاة أو غيرها، فهو ناقض في أيِّ حال وقع بمقتضی الإطلاق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منّا الكلام فيه في سند الحديث الأوّل من الباب الثاني</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وقلنا إنّه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أنّ كتاب الحسين بن سعيد مشهور غير محتاج إلی الطريق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الْمُفِيدِ، عَنْ جَعْفَرِ بْنِ مُحَمَّدِ بْنِ قُولَوَيْهِ، عَنْ أَبِيهِ، عَنْ سَعْدِ بْنِ عَبْدِ اللَّهِ، عَنْ أَحْمَدَ بْنِ مُحَمَّدِ بْنِ عِيسَى، عَنْ عَبْدِ اللَّهِ بْنِ الْمُغِيرَةِ وَمُحَمَّدِ بْنِ عَبْدِ اللَّهِ</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يَنَامُ عَلَى دَابَّتِهِ؟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النَّوْمُ بِالْعَقْلِ فَلْيُعِدِ الْوُضُوءَ</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 السبب في توجيه السؤال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النوم علی الدابّة هو ما يراه السائلان من اختلاف العامّة في نقض النوم بحسب أحوال الشخص، وقد دلّ الجواب علی أنّ النوم ناقض للوضوء ولو حصل في حال الركوب علی الدابّة، بل يُتعدّی من هذا الحال إلی غيره من الأحوال؛ إذ لا خصوصيّة لهذا الحال علی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تحقّق النوم ذهاب العقل، فذهاب العقل محقّق للنوم في هذا الحال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الحديث فيه تقييد النوم بإذهاب العقل، فليس النوم المطلق هو الناقض، ولكن ذهاب العقل يلازمه عادة عدم السماع، ولذا لم يذكر هنا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يستفاد من تعليق نقض النوم علی ذهاب العقل أنّ كلّ ما يذهب العقل من سكر أو جنون أو إغماء فهو ناقض؛ إذ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ذهب النوم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النصّ علی علّة النقض وهو ذهاب العقل، فلا يختصّ سبب ذهاب العقل بالنوم، بل يشمل كل ما يسبّب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أو عبيد الله، عدّه الشيخ في رجاله بالعنوان الأوّل من أصحاب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وإن لم يرد فيه شيء، لكن ورد في أسناد كتاب نوادر الحكمة وروی عنه المشايخ الثقات بكلا العنوانين</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معه عبد الله بن المغيرة وهو من أصحاب الإجماع فيصحّ ما صحّ سنده إليه، فالسند صحيح بهذين الوجهين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أَحْمَدَ بْنِ مُحَمَّدِ بْنِ الْحَسَنِ بْنِ الْوَلِيدِ، عَنْ أَبِيهِ، عَنْ مُحَمَّدِ بْنِ يَحْيَى الْعَطَّارِ وَأَحْمَدَ بْنِ إِدْرِيسَ، عَنْ مُحَمَّدِ بْنِ أَحْمَدَ بْنِ يَحْيَى، عَنْ عِمْرَانَ بْنِ مُوسَى، عَنِ الْحَسَنِ بْنِ عَلِيِّ بْنِ النُّعْمَانِ، عَنْ أَبِيهِ، عَنْ عَبْدِ الْحَمِيدِ بْنِ عَوَّاضٍ،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مَنْ نَامَ وَهُوَ رَاكِعٌ أَوْ سَاجِدٌ أَوْ مَاشٍ عَلَى أَيِّ الْحَالاتِ فَعَلَيْهِ الْوُضُوءُ</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بناقضيّة النوم للوضوء على أيّ حال من حالات المكلّف، راكعاً أو ساجداً أو ماشياً منفرجاً أو منضمّاً أو غير ذلك، فلا فرق بين انفراج محلّ الحدث وعدمه، ولا فرق بين قليل النوم وكثيره، وفيه ردّ على بعض أقوال العامّة المفصّلة بين الحالات، كما مرّ في بيان أقوالهم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فيه تقييد النوم بإذهاب السمع أو العقل، فهو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السند ينحلّ إلی سندين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عن أحمد بن محمد بن الحسن بن الوليد، عن أبيه، عن محمد بن يحيى العطّار، عن محمد بن أحمد بن يحيى الأشعري، عن عمران بن موسی الزيتوني، عن الحسن بن علي بن النعمان، عن أبيه، عن عبد الحميد بن عوّاض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عن أحمد بن محمد بن الحسن بن الوليد، عن أبيه، عن أحمد بن إدريس، عن محمد بن أحمد بن يحيى الأشعري، عن عمران بن موسی الزيتوني، عن الحسن بن علي بن النعمان، عن أبيه، عن عبد الحميد بن عوّاض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عوّاض وهو الطائي، ذكر النجاشي في ضمن ترجمة مرازم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الرشيد قتله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الشيخ في الرجال 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عبد الحميد بن عوّاض الطائي، ثقة، من أصحاب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فالسندان معتبران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ابْنِ قُولَوَيْهِ، عَنْ أَبِيهِ، عَنْ سَعْدٍ، عَنْ أَحْمَدَ بْنِ مُحَمَّدٍ، عَنِ ابْنِ أَبِي عُمَيْرٍ، عَنْ إِسْحَاقَ بْنِ عَبْدِ اللَّهِ الْأَشْعَرِيِّ،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إِلَّا حَدَثٌ وَالنَّوْمُ حَدَثٌ</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أنّ الوضوء لا ينقضه إلّا حدث، والحدث شرعاً هو أحد الأمور المنصوص عليها كخروج البول أو الغائط أو الريح بقسميه أو المني أو أحد الدماء الثلاثة في المرأة، وأمّا مثل خروج الدم من الفم أو الرّعاف أو الحجامة فليست أحداثاً شرعاً حتى تنقض الوضوء، وفي الحديث تصريح بأنّ النوم حدث، فهو ناقض مستقل، لا أنّ الناقض هو الحدث الذي يحتمل وقوعه في النوم كالريح مثلاً، ولم يقيّد النوم بكونه موجباً لذهاب السمع أو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بابن قولويه هو جعفر بن محمد، وأبوه هو محمد بن قولويه، وسعد هو سعد بن عبد الله الأشعري، وأحمد بن محمد هو ابن عيسی الأشعري كلّهم ثقات وقد تقدّموا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إسحاق بن عبد الله فهو الأشعري القمي،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إسحاق ابن عبد الله بن سعد بن مالك الأشعري قمي ثقة، روى عن أبي عبد الله </w:t>
      </w:r>
    </w:p>
    <w:p>
      <w:pPr>
        <w:pStyle w:val="BookText"/>
        <w:rPr/>
      </w:pPr>
      <w:r>
        <w:rPr>
          <w:rFonts w:ascii="IRNazanin" w:hAnsi="IRNazanin" w:eastAsia="IRNazanin"/>
          <w:color w:val="111111"/>
          <w:sz w:val="28"/>
          <w:sz w:val="28"/>
          <w:szCs w:val="28"/>
          <w:rtl w:val="true"/>
          <w:lang w:bidi="fa-IR"/>
        </w:rPr>
        <w:t xml:space="preserve">و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وابنه أحمد بن إسحاق مشهور</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وذكره الشيخ في جملة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المشايخ الثقات كما في 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الْحُسَيْنِ بْنِ سَعِيدٍ،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يَنَامُ وَهُوَ سَاجِدٌ؟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وَيَتَوَضَّأُ</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على أنّ الوضوء ينقضه حدث النوم، ولم يقيّد بكونه مُذهباً للسمع أو العقل، وإنّما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الصلاة ولزوم الإتيان بالوضوء لأجل تحقّق ما نقض الوضوء وهو النوم، وإن كان قد تحقّق حال السجود، فهو ناقض على أيِّ حال، لا لأنّ المصلّي حال السجود ينفرج محلّ الحدث كما مرّ عن بعض علماء العامّة، بل النوم حدث مستقل موجب لنقض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في التهذيب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بن الوليد، وهولم يوثّق، إلا أنّ الأمر فيه سهل، حيث تقدّم منّا أنّ جميع رواياته في الكتب الأربعة عن أبيه محمد بن الحسن، وأنّ للشيخ طريقين معتبرين إلى أبيه، وليس فيهما أحمد</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يكون السند خالياً عن الإشكال من جهته، وهذا كلام بعينه يأتي في سند الأحاديث السادس والسابع والثامن من هذا الباب، ومع ذلك مرّ </w:t>
      </w:r>
    </w:p>
    <w:p>
      <w:pPr>
        <w:pStyle w:val="BookText"/>
        <w:rPr/>
      </w:pPr>
      <w:r>
        <w:rPr>
          <w:rFonts w:ascii="Amiri" w:hAnsi="Amiri" w:eastAsia="Amiri" w:cs="Amiri"/>
          <w:color w:val="111111"/>
          <w:sz w:val="28"/>
          <w:sz w:val="28"/>
          <w:szCs w:val="28"/>
          <w:rtl w:val="true"/>
          <w:lang w:bidi="ar-SA"/>
        </w:rPr>
        <w:t>أنّ إسناد الشيخ إلى جميع كتب الحسين بن سعيد في الفهرست سندان أحدهما صحيح</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الی أن كتابه مشهور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عثمان بن عيسی، فهو جليل من أصحاب الإجماع، وأمّا سماعة فهو سماعة بن مهران، وكتابه مشهور، فالسند صحيح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مُحَمَّدِ بْنِ الْفُضَيْلِ،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يَخْفِقُ وَهُوَ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يَحْفَظُ حَدَثاً مِنْهُ إِنْ كَانَ فَعَلَيْهِ الْوُضُوءُ وَإِعَادَةُ الصَّلَاةِ، وَإِنْ كَانَ يَسْتَيْقِنُ أَنَّهُ لَمْ يُحْدِثْ فَلَيْسَ عَلَيْهِ وُضُوءٌ وَلَا إِعَادَةٌ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بظاهره على أنّ من كان يخفق وهو الصلاة 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يحفظ حدثاً على فرض صدوره، بمعنى أن يكون حاله بحيث لو صدر منه حدث في تلك الحال لما علم به، وهذا يعني أنّ عقله قد ذهب وتحقّق منه النوم، وحكمه أن يتوضأ ويعيد تلك الصلاة؛ لبطلان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يستيقن أنّه لم يحدث في الحالة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وضوء ولا إعادة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منه أنّ النوم ليس بناقض مستقل، خلافاً للأحاديث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صدر تقيّة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أنّ المراد أن عدم حفظ الحدث في الصلاة يستلزم ذهاب العقل، فليس للحدث مدخليّة، بل عدم حفظه له كاشف عن تحقّق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استيقان عدم الحدث لا يكون إلّا مع بقاء العقل؛ فإنّه مع عدم بقاء العقل لا </w:t>
      </w:r>
    </w:p>
    <w:p>
      <w:pPr>
        <w:pStyle w:val="BookText"/>
        <w:rPr/>
      </w:pPr>
      <w:r>
        <w:rPr>
          <w:rFonts w:ascii="Amiri" w:hAnsi="Amiri" w:eastAsia="Amiri" w:cs="Amiri"/>
          <w:color w:val="111111"/>
          <w:sz w:val="28"/>
          <w:sz w:val="28"/>
          <w:szCs w:val="28"/>
          <w:rtl w:val="true"/>
          <w:lang w:bidi="ar-SA"/>
        </w:rPr>
        <w:t>يحصل اليقين بعدم الحدث، وإذا كان العقل باقياً فالنوم 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يتّحد المراد مع بقية الأحاديث ولا يكون مخالفاً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مضی الكلام في أفراده، وهو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ابْنِ أَبِي عُمَيْرٍ، عَنِ ابْنِ أُذَيْنَةَ،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مِنَ النَّوْمِ،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النَّوْمُ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يَغْلِبُ عَلَى السَّمْعِ وَلَا يُسْمَعُ الصَّوْتُ</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تفسير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بالقيام من النوم، خلافاً لمن فسّره تبعاً للظاهر بإرادة القيام، كما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قيّد النوم الناقض للوضوء بما إذا كان يغلب علی السمع فتتعطّل حاسّة السمع فلا يسمع ما حوله من الأصوات، فليس النوم المطلق هو الناقض، فحتّی لو أُطلِق النوم علی بعض مقدماته فهو إطلاق مجازي بعلاقة المشارفة، فليس هو الناقض للوضوء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أذينة، وهو عمر بن أذينة الثقة، وابن بكير وهو عبد الله بن بكير، وقد مرّ توثيقه</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أصحاب الإجماع، لكن يحتمل أنّ الذي روی عنه عمر بن أذينة هو بكير، أي بكير بن أعين لا ابن بكير، وهو ثقة أيضاً كما تقدّم، ولعلّ هذا الاحتمال هو الأقوی، حيث إنّه لم تثبت رواية ابن اذينة عن عبدالله بن بكير، بينما روی ابن اذينة عن بكير في خمسة عشر مورداً، وروی بعنوان عمر بن اذينة عن بكير في تسعة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فَضَالَةَ، عَنْ حُسَيْنِ بْنِ عُثْمَانَ، عَنْ عَبْدِ الرَّحْمَنِ ابْنِ الْحَجَّاجِ،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الْخَفْقَةِ وَالْخَفْقَتَيْنِ؟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الْخَفْقَةِ وَالْخَفْقَتَيْنِ</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فَإِنَّمَا أُوجِبَ عَلَيْهِ الْوُضُوءُ</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والاستبصار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ما الخفقة والخفقتان</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أدري ما الخفقة والخفقتين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نقله الماتن عنه، قال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والخفقتين على تقدير اشتمال الكلام على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فالخفقتين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على سبيل الحكاية، أو بالعطف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على تقدير اشتمال الكلام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نسخ التهذيب خالية عن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يُتوهّم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أدري ما الخفقة والخفقتين؟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ظاهره من </w:t>
      </w:r>
    </w:p>
    <w:p>
      <w:pPr>
        <w:pStyle w:val="BookText"/>
        <w:rPr/>
      </w:pPr>
      <w:r>
        <w:rPr>
          <w:rFonts w:ascii="Amiri" w:hAnsi="Amiri" w:eastAsia="Amiri" w:cs="Amiri"/>
          <w:color w:val="111111"/>
          <w:sz w:val="28"/>
          <w:sz w:val="28"/>
          <w:szCs w:val="28"/>
          <w:rtl w:val="true"/>
          <w:lang w:bidi="ar-SA"/>
        </w:rPr>
        <w:t xml:space="preserve">الجهل بحقيقتهما، لأنّ هذا التعبير معناه الرّد على توهّم أنّ الخفقة والخفقتين من جملة موضوع الحكم وهو النوم، أو ممّا يترتّب عليهما الحكم المترتّب على الموضوع وهو نقض الوضوء، وهذا هو المتفاهم عرفاً من أمثال هذا التعبير، فهو مثل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افتخر طلحة بن أبي شيبة بالمفاتيح، والعباس بالسقاية،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تقولان؟ لقد صلّيت ستة أشهر قبل الناس، وأنا صاحب الجهاد، فنزلت الآية 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 نفي أن يكون ما ذكراه من موجبات الفخر الحقيقي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العلّامة المجلسي حول معنى هذه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وجهين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المعنى ما أعلم الخفقة والخفقتين اللّتين ذكرهما ابن عباس وغيره، فأشار بذلك إلى بطلانه، لأنّه لو كان حقّاً 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لا يمكننا العلم بكون الخفقة والخفقتين مزيلتان للعقل وناقضتان أم لا؛ لأنّ أفراد النعاس مختلفة، فبعضها يزيل العقل وبعضها لا يزيل، فعلينا بيان القاعدة الكليّة، والجزئيات منوطة بعلم المكلف</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للآية الشريفة فلأجل بيان أنّ أمر تحقّق النوم وعدمه موكول إلى المكلّف نفسه، فلكونه ذا 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إدراك باطني ورؤية قلبيّة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 فإنّه أعلم بنفسه من غيره؛ فإنّ النوم كغيره من الصفات الباطنيّة الوجدانيّة التي تعرض على النفس، ومعه لا يحتاج المكلّف إلى غير وجدانه، فهو المطّلع على أنّه دخل في مرحلة النوم أو أنّه لم يدخل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وجد طعم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بالكناية؛ حيث شبّه النوم بالمطعوم اللذيذ، بجامع اللّذة، ولم يذكر المشبّه به، وأثبت للمشبّه الطعم تخييلاً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ووجدان طعم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 الراحة ورفع الكسل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بإدراكه الباطني لأوّل مراتبه، فمتی ما وجد من نفسه أنّه نام فقد تحقّق النوم، ولو حصل له التنبّه بعد ذلك بزمان يسير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أوجب عليه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يحتمل أن يكون الفعل مبنياً للمعلوم، وللمجهول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الحسين بن عثمان، وقد تقدّم أنّه مشترك بين ثلاثة عناوين، وأنّ كلّهم ثقات، وقد رجّحنا اتّحاد الرواسي مع ابن شريك العامري</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مُحَمَّدِ بْنِ الْحُسَيْنِ وَعَنْ مُحَمَّدِ بْنِ إِسْمَاعِيلَ، عَنِ الْفَضْلِ بْنِ شَاذَانَ، عَنْ صَفْوَانَ بْنِ يَحْيَى،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قَائِماً أَوْ قَاعِداً فَقَدْ وَجَبَ عَلَيْهِ الْوُضُوءُ</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الحديث السابق نفسه متناً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 أو قاعدة فقد وجب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فأضاف حالتين من حالات النائم من باب التمثيل لا الحصر</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وحاصل الدفع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اختلاف بالزيادة موجب للتعارض، والزيادة إنّما توجب التعارض إذا كانت مبدلة للمعنى، وأمّا إذا كانت موجبة لزيادته أو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ويحتمل أنّ عدم وجودها في الحديث السابق لأجل عدم تعلّق غرض بنقلها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السند ينحلّ إلی سندين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محمد بن الحسين، عن صفوان بن يحيی، عن عبد الرحمن بن الحجّاج</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محمد بن يحيى وهو العطّار الثقة، ومحمد بن الحسين هو ابن </w:t>
      </w:r>
    </w:p>
    <w:p>
      <w:pPr>
        <w:pStyle w:val="BookText"/>
        <w:rPr/>
      </w:pPr>
      <w:r>
        <w:rPr>
          <w:rFonts w:ascii="Amiri" w:hAnsi="Amiri" w:eastAsia="Amiri" w:cs="Amiri"/>
          <w:color w:val="111111"/>
          <w:sz w:val="28"/>
          <w:sz w:val="28"/>
          <w:szCs w:val="28"/>
          <w:rtl w:val="true"/>
          <w:lang w:bidi="ar-SA"/>
        </w:rPr>
        <w:t>أبي الخطّاب الثقة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عن الفضل بن شاذان، عن صفوان بن يحيى، عن 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المراد من محمد بن إسماعيل هو محمد بن إسماعيل البندقي، وهو وإن لم يوثّق، إلّا أنّ روايات الفضل بن شاذان التي يرويها الكليني والشيخ معتبرة؛ لوجود طريق آخر صحيح للكليني، كما أنّ للشيخ طرقاً متعدّدة في الفهرست والمشيخة تبلغ ثمانية طرق وبعضها صحيح</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ذلك أنّ كتب عبد الرحمن بن الحجّاج مشهورة، فلا حاجة للطريق إليها، فالسند قابل للتصحيح بما ذكرناه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مِنْ أَصْحَابِنَا، عَنْ أَحْمَدَ بْنِ مُحَمَّدٍ، عَنِ الْحُسَيْنِ بْنِ سَعِيدٍ، عَنْ فَضَالَةَ بْنِ أَيُّوبَ، عَنِ ابْنِ سِنَانٍ يَعْنِي عَبْدَ اللَّهِ،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يُرَخَّصُ فِي النَّوْمِ فِي شَيْ ءٍ مِنَ الصَّلَاةِ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ورَخَّصَ له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له فيه بعد النهي عنه، والاسم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والرُّخُصةُ والرُّخْصةُ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تَرْخِيصُ الله للعبد في أَشياءَ خَفَّفَها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والرُّخْصةُ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التشديد، وقد رُخِّصَ له في كذا ترْخيصاً فترَخَّصَ هو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يَسْتَقْصِ،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فلاناً في كذا وكذا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له بعد نهيي إيّاه عنه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يتسامح ويتساهل في النوم في أيّ جزء من أجزاء الصلاة، وعدم ترخيص النوم في الصلاة دالٌّ على قاطعيّته لها، وهو مطلق يشمل النوم العمدي بمعنى أن يتعمّده، وغيره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سبقه النوم وغلبه، كما يشمل قليل النوم وكثيره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أصحابنا، في نسخة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من إضافات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ترد هذه الإضافة في الكافي ولا الوافي ولا المرآة، وتعيين ابن سنان هنا في عبد الله هو الصحيح؛ لتكرّر رواية الحسين بن سعيد عن فضالة بن أيوب عن عبد الله بن سنان في موارد كثيرة، وعدم ورودها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يَرْقُدُ وَهُوَ قَاعِدٌ هَلْ عَلَيْهِ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عَلَيْهِ مَا دَامَ قَاعِداً إِنْ لَمْ يَنْفَرِجْ</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التَّقِيَّةِ لِمَا مَرَّ</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عَدَمِ غَلَبَةِ النَّوْمِ عَلَى السَّمْعِ لِمَا مَضَى</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الرُّقَاد وهو النوم</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ينفرج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الانفتاح</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مقابل للتلاصق والاجتماع، ويحصل بعدم التماسك، لذهاب قوّة الإدراك التي تتمّ بها السيطرة على الأعضاء، ولذا قد يصدر منه حدث أثناء طروّ هذه الحالة عليه؛ كخروج الريح علی الأقل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الحديث أنّه ليس على من نام وهو على هيئة القعود وضوء، إلّا إذاانفرجت وتراخت أعضاؤه ولم تبق على حالها، فإنّه يجب عليه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بهذا الحديث والحديث الآتي فلم يقل باستقلاليّة النوم في الناقضيّة، بل الناقض منحصر في البول والمني والغائط والريح، كما مرّ في شرح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ويمكن حمل عدم ناقضيّة الرّقاد حال الجلوس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 على التقيّة؛ حيث إنّ كثيراً من العامّة يرون عدم الناقضيّة إلّا أن يكثر، والشافعي لم يفرّق بين النوم الكثير والقليل في عدم الناقضيّة، كما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علی عدم غلبة النوم علی السمع؛ لما اتضح من عدم نقض النوم إلّا إذا غلب علی حاسّة السمع ولو لم يحصل الانفراج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مراسيل الصدوق، وقد مرّ مراراً القول بأنّها معتبرة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سَمَاعَةَ بْنِ مِهْرَانَ أَنَّهُ سَأَلَهُ عَنِ الرَّجُلِ يَخْفِقُ رَأْسُهُ وَهُوَ فِي الصَّلَاةِ قَائِماً أَوْ رَاكِعاً فَقَالَ لَيْسَ عَلَيْهِ وُضُوءٌ</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الْإِنْكَارُ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نفي الوضوء مطلقاً عمّن يخفق رأسه حال الصلاة قائماً أو راكعاً، أي سواء لم يحفظ حدثاً منه أو استيقن عدم الحدث، والظاهر أنّ الصدوق عمل به كما ذكرنا، وهو ينافي الأحاديث السابقة الدالّة علی أنّ النوم ناقض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والماتن ذكر في توجيهه احتمالين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في الحديث السادس من هذا الباب من أنّ من خفق في الصلاة ولكنّه استيقن عدم الحدث فلا وضوء عليه؛ لعدم تحقّق النوم المزيل للعقل منه؛ لأنّ الظاهر هنا أنّ المصلّي عنده شعور بأنّه واقف يصلّي أو هو راكع، ولو لم يكن عنده هذا الشعور لسقط علی الأغلب ولم يستمسك في حال القيام أو الركوع</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عليه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إنكاراً، ويكون المعنی أنّ من هذه حاله عليه الوضوء؟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الصدوق إلی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بن هاشم، عن أبيه، عن عثمان بن عيسی العامري، عن سماعة بن مهران</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وهو معتبر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ذلك أنّ كتاب سماعة مشهور فلا يحتاج إلی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والإضمار فيه لا يضرّ؛ لكونه من سماعة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الْعِلَلِ وَعُيُونِ الْأَخْبَارِ بِالسَّنَدِ الْآتِي، عَنِ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الْوُضُوءُ مِمَّا خَرَجَ مِنَ الطَّرَفَيْنِ خَاصَّةً وَمِنَ النَّوْمِ دُونَ سَائِرِ الْأَشْيَاءِ</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الطَّرَفَيْنِ هُمَا طَرِيقُ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النَّوْمُ فَإِنَّ النَّائِمَ إِذَا غَلَبَ عَلَيْهِ النَّوْمُ يُفْتَحُ كُلُّ شَيْ ءٍ مِنْهُ، وَاسْتَرْخَى فَكَانَ أَغْلَبُ الْأَشْيَاءِ عَلَيْهِ</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يَخْرُجُ مِنْهُ الرِّيحَ فَوَجَبَ عَلَيْهِ الْوُضُوءُ لِهَذِهِ الْعِلَّةِ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 الْحَصْرِ كَثِيرَةٌ تَقَدَّمَ بَعْضُهَا</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الْبَاقِي</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لما جاء في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والموجود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قائل فلم وجب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يوجد حصر مستفاد من أداة الحصر، نعم يظهر الحصر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خرج من الطرفين خاصّة ومن النوم دون سائر الأشياء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تعليل لإيجاب الوضوء ممّا يخرج من السبيلين؛ لأنّ الطرفين هما طريق النجاسة وليس للإنسان طريق تصيبه النجاسة من نفسه إلّا منهما، وقد ورد في الحديث العاشر من الباب السابق التعليل بأنّه إنّما لم يجب عليه الغسل منها لكثرة الوضوء وتكرّره في اليوم والليلة عدّة مرّات لطروّ أسبابه المذكورة، ولكون ما يخرج من الطرفين ممّا يوجبانه أكثر وأدوم، وإنّما يخرج بلا طلب من المكلّف ولا استلذاذ ولا إكراه لنفسه عليه بخلاف ما يوجب الغسل أعني؛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علّل إيجاب النوم للوضوء بأنّ النائم يفتح كلّ شيء منه ويسترخي، وأغلب ما يخرج منه في ذلك الحال الريح، وهذا يدلّ علی أنّ الناقض هو خروج الريح لا النوم مستقلاً، فهذا الحديث يصلح مدركاً للصدوقين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السندين معتبران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مُحَمَّدِ بْنِ أَحْمَدَ بْنِ يَحْيَى، عَنِ الْعَبَّاسِ، عَنْ أَبِي شُعَيْبٍ، عَنْ عِمْرَانَ بْنِ حُمْرَانَ أَنَّهُ سَمِعَ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وَهُوَ جَالِسٌ لَا يَتَعَمَّدُ النَّوْمَ فَلَا وُضُوءَ عَلَيْهِ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الْوَجْهُ فِي مِثْلِهِ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ظاهره أنّ من نام وهو علی هيئة الجالس بلا أن يتعمّد النوم بأن سبقه وكان أمراً قهريّاً عليه، فلا وضوء عليه، وهذا يعني أنّ النوم غير المتمكّن من الإنسان كنوم الجالس لا ينقض الوضوء، كما هو رأي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الماتن إلى الوجه فيه، و هو ما تقدم في ذيل الحديث الحادي عشر من حمل عدم ناقضيّة الرّقاد حال الجلوس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التقيّة، وإمّا على عدم غلبة النوم على السمع فلا ينقض إلّا إذا غلب على حاسّة السمع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إسناد الشيخ الطوسي إلى محمد بن أحمد بن يحيی، وأنّه معتبر</w:t>
      </w:r>
      <w:r>
        <w:rPr>
          <w:rFonts w:eastAsia="IRNazanin" w:cs="IRNazanin"/>
          <w:color w:val="111111"/>
          <w:sz w:val="28"/>
          <w:szCs w:val="28"/>
          <w:rtl w:val="true"/>
          <w:lang w:bidi="fa-IR"/>
        </w:rPr>
        <w:t>(</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العباس فهو مشترك بين جماعة، ولكن الظاهر أنّه العباس بن معروف الثقة،بقرينة أمثال السند من التهذيب، حيث روى عنه فيها محمد بن أحمد بن يحيى </w:t>
      </w:r>
    </w:p>
    <w:p>
      <w:pPr>
        <w:pStyle w:val="BookText"/>
        <w:rPr/>
      </w:pPr>
      <w:r>
        <w:rPr>
          <w:rFonts w:ascii="IRNazanin" w:hAnsi="IRNazanin" w:eastAsia="IRNazanin"/>
          <w:color w:val="111111"/>
          <w:sz w:val="28"/>
          <w:sz w:val="28"/>
          <w:szCs w:val="28"/>
          <w:rtl w:val="true"/>
          <w:lang w:bidi="fa-IR"/>
        </w:rPr>
        <w:t>الأشعري، وروی هو عن أبي شعيب المحاملي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 شعيب فهو صالح بن خالد المحاملي،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بن خالد المحاملي أبو شعيب الكناسي، مولى علي بن الحكم بن الزبير مولى بني أسد، روی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 يرويه عنه جماعة، منهم عباس بن معروف</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باب من اشتهر بكنيته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شعيب المحاملي كوفي، ثقة، من رجال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مولى علي بن الحكم بن الزبير الأنباري</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شعيب المحاملي، ثقة</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باب من عرف بكنيته من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شعيب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ابن أبي جيد، عن ابن الوليد، عن الصفار، عن العباس بن معروف، عن أبي شعيب</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وصالح بن خالد المحاملي، أبو شعيب الكناسي متّحد مع أبي شعيب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ويؤكّده أن الراوي لكتابه هو العباس بن معروف كما ذكره السيدالأستاذ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عمران بن حمران فقال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الأذرعي من أهل أذرعات،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 أبي الحسن أيضاً</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لمّا كان عمران هذا واقعاً في أسناد كتاب نوادر الحكمة فهو ثقة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سَعْدِ بْنِ عَبْدِ اللَّهِ، عَنْ أَحْمَدَ بْنِ مُحَمَّدٍ، عَنْ عَلِيِّ بْنِ الْحَكَمِ، عَنْ سَيْفِ بْنِ عَمِيرَةَ، عَنْ بَكْرِ بْنِ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يَنَامُ الرَّجُلُ وَهُوَ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الرَّجُلُ وَهُوَ جَالِسٌ مُجْتَمِعٌ فَلَيْسَ عَلَيْهِ وُضُوءٌ، وَإِذَا نَامَ مُضْطَجِعاً فَعَلَيْهِ الْوُضُوءُ</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ناقضيّة النوم للوضوء من الواضحات عند السائل، ولذا سأل عن أنّ هيئة الجلوس تجامع النوم أم لا، أي هل يتحقّق منه نوم وهو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الجواب الذي نسبه إلی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نام وهو جالس مجتمع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أطرافه غير منفرجة، فليس عليه وضوء، وإذا نام مضطجعاً فعليه الوضوء، ولم يفرّق في الحالتين بين قليل النوم وكثيره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موافق للعامّة، ولعلّ نسبة الجواب إلی الإمام الباقر ترشد إلی التقيّة؛ فإنّ الإمام الباقر كان أوجه عند العامّة، والتقيّة في زمانه أشد فلذا اتقی، واتقی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تصريح الحكم والاكتفاء بنقل جواب أبيه الصادر 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الباب الأوّل من أبواب الماء المطلق في سند الحديث الخامس </w:t>
      </w:r>
    </w:p>
    <w:p>
      <w:pPr>
        <w:pStyle w:val="BookText"/>
        <w:rPr/>
      </w:pPr>
      <w:r>
        <w:rPr>
          <w:rFonts w:ascii="IRNazanin" w:hAnsi="IRNazanin" w:eastAsia="IRNazanin"/>
          <w:color w:val="111111"/>
          <w:sz w:val="28"/>
          <w:sz w:val="28"/>
          <w:szCs w:val="28"/>
          <w:rtl w:val="true"/>
          <w:lang w:bidi="fa-IR"/>
        </w:rPr>
        <w:t>سند الشيخ إلی سعد بن عبد الله، وقلنا إنّه معتبر</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أحمد بن محمد فهو أحمد بن محمد بن عيسی الأشعري</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أبي بكر الحضرمي الكوفي، ذكره الشيخ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في تفسير القمي لكنه في القسم الثاني</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فالسند 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عَلِيِّ بْنِ مَحْبُوبٍ، عَنِ الْعَبَّاسِ، عَنْ مُحَمَّدِ بْنِ إِسْمَاعِيلَ، عَنْ مُحَمَّدِ بْنِ عُذَافِرٍ،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هَلْ يُنْقَضُ وُضُوؤُهُ إِذَا نَامَ وَهُوَ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يَوْمَ الْجُمُعَةِ فِي الْمَسْجِدِ فَلَا وُضُوءَ عَلَيْهِ وَذَلِكَ أَنَّهُ فِي حَالِ ضَرُورَةٍ</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وَجْهَهُ، وَيَحْتَمِلُ الْحَمْلُ عَلَى أَنَّهُ يَتَيَمَّمُ؛ لِتَعَذُّرِ الْوُضُوءِ لِلتَّصْرِيحِ فِيهِ بِالضَّرُورَةِ وَلِمَا يَأْتِي فِي التَّيَمُّمِ</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يَدُلُّ عَلَى ذَلِكَ</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عَلَيْهِ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الرجل إذا تحقّق منه النوم وهو جالس في المسجد يوم الجمعة فلا وضوء عليه، وعلّل عدم وجوب الوضوء عليه بأنّه في حال ضرورة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خلاف ما تقدّم في الأحاديث السابقة حيث دلّت علی نقض الوضوء بالنوم، ثمّ إن عدم النقض فيه مخصوص بكون النائم جالساً في المسجد يوم </w:t>
      </w:r>
    </w:p>
    <w:p>
      <w:pPr>
        <w:pStyle w:val="BookText"/>
        <w:rPr/>
      </w:pPr>
      <w:r>
        <w:rPr>
          <w:rFonts w:ascii="Amiri" w:hAnsi="Amiri" w:eastAsia="Amiri" w:cs="Amiri"/>
          <w:color w:val="111111"/>
          <w:sz w:val="28"/>
          <w:sz w:val="28"/>
          <w:szCs w:val="28"/>
          <w:rtl w:val="true"/>
          <w:lang w:bidi="ar-SA"/>
        </w:rPr>
        <w:t>الجمعة، مع أنّ عدم النقض لا يختص بيوم دون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حمله الماتن علی وجهين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مضی من الحمل علی التقيّة، حيث ذهب جمع من العامّة إلی أنّ الجالس إذا نام لم ينتقض وضوؤه، ولذا علّل بأنّه في حال ضرورة،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على أنّه لا وضوء عليه، ولكن عليه أن يتيمّم؛ لتعذّر الوضوء لعدم إمكانه الخروج لأجله، وهي الضرورة المرادة هنا، فإنّ طهارته انتقضت جزماً بالنوم، وما ينقض الوضوء لا اختصاص له ببعض الأيّام دون بعض، وبعد أن يصلي بالتيمّم يتوضأ ويعيد الصلاة، كما أفاده شيخ الطائفة في الاستبصار، واستدلّ على هذا الحمل بما رواه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سئل عن رجل يكون في وسط الزحام يوم الجمعة أو يوم عرفة لا يستطيع الخروج من المسجد من كثرة الناس يحدث؟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يتيمّم ويصلّي معهم ويعيد إذا انصرف</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المحدّث الكاشاني في الوافي وجهاً آخر،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أنّه شاكٌّ ومع الشك لا يجب الوضوء ولكن يستحب إلّا في حال الضرورة فيسقط الاستحباب</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سند الشيخ إلى محمد بن علي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الثاني </w:t>
      </w:r>
      <w:bookmarkStart w:id="68" w:name="pg15724_204118"/>
    </w:p>
    <w:p>
      <w:pPr>
        <w:pStyle w:val="BookText"/>
        <w:rPr/>
      </w:pPr>
      <w:bookmarkEnd w:id="68"/>
      <w:r>
        <w:rPr>
          <w:rFonts w:ascii="Amiri" w:hAnsi="Amiri" w:eastAsia="Amiri" w:cs="Amiri"/>
          <w:color w:val="111111"/>
          <w:sz w:val="28"/>
          <w:sz w:val="28"/>
          <w:szCs w:val="28"/>
          <w:rtl w:val="true"/>
          <w:lang w:bidi="ar-SA"/>
        </w:rPr>
        <w:t xml:space="preserve">عشر من الباب الرابع من 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والعباس هو العباس بن معروف، ومحمد بن إسماعيل هو ابن بزيع، ومحمد بن عذافر هو الصيرفي،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عذافر بن عيسى الصيرفي المدائني،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وعمّر إلى أيام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وله ثلاث وتسعون سنة</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الشيخ في أصحاب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أسناد كتاب نوادر الحكمة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فالسند صحيح</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2417909_2142443653"/>
      <w:bookmarkStart w:id="70" w:name="_Toc24"/>
      <w:bookmarkEnd w:id="69"/>
      <w:r>
        <w:rPr>
          <w:rtl w:val="true"/>
        </w:rPr>
        <w:t>الجمع بين أحاديث الباب</w:t>
      </w:r>
      <w:bookmarkEnd w:id="70"/>
    </w:p>
    <w:p>
      <w:pPr>
        <w:pStyle w:val="BookText"/>
        <w:rPr/>
      </w:pPr>
      <w:r>
        <w:rPr>
          <w:rFonts w:ascii="Amiri" w:hAnsi="Amiri" w:eastAsia="Amiri" w:cs="Amiri"/>
          <w:color w:val="111111"/>
          <w:sz w:val="28"/>
          <w:sz w:val="28"/>
          <w:szCs w:val="28"/>
          <w:rtl w:val="true"/>
          <w:lang w:bidi="ar-SA"/>
        </w:rPr>
        <w:t>أحاديث الباب فيها تعارض من ثلاث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بعضها جعلت الناقض هو النوم مطلقاً فيشمل النوم الغالب على السمع والقلب وغير الغالب عليهما، وبعضها جعلته الغالب عليهما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 الجمع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النوم الحقيقي هو ما غلب على السمع والقلب، وأمّا الغالب على العين فقط وبعض مقدّمات النوم كما في الخفقة والخفقتين إذا لم يذق معهما طعم النوم فليس بنوم حقيقة، لصحّة سلب النوم عنه، وإنّما أطلق النوم عليه أحياناً مجازاً بعلاقة المشارفة لكون مَن نامت </w:t>
      </w:r>
    </w:p>
    <w:p>
      <w:pPr>
        <w:pStyle w:val="BookText"/>
        <w:rPr/>
      </w:pPr>
      <w:r>
        <w:rPr>
          <w:rFonts w:ascii="Amiri" w:hAnsi="Amiri" w:eastAsia="Amiri" w:cs="Amiri"/>
          <w:color w:val="111111"/>
          <w:sz w:val="28"/>
          <w:sz w:val="28"/>
          <w:szCs w:val="28"/>
          <w:rtl w:val="true"/>
          <w:lang w:bidi="ar-SA"/>
        </w:rPr>
        <w:t>عينه مشرفاً على النوم الحقيقي، وعلى هذا فالتقييد في الأحاديث المقيّدة إنّما هو لبيان حقيقة النوم، وليس الغرض أنّ بعض أفراد النوم حقيقة لا تنقض الوضوء، وبهذا يرتفع التنافي بين الأحاديث المطلقة والأحاديث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بعضها يدلّ على نقض النوم مطلقاً وعلى أيّ حال وهيئة، فلا فرق بين كونه على دابّته أو راكعاً أو ساجداً أو ماشياً أو قائماً أو قاعداً، وبعضها فيه دلالة عدم النقض في بعض الحالات كحال الجلوس أو القيام أو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الجمع بينها أن يقال إمّا بحملها على التقيّة أو لكون المكلّف لم يتحقّق منه النوم، وإنّما دخل في بعض مقدماته، وهي ليست نوماً حقيقة، فلا تكون 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دلالة بعضها على أنّ النوم ليس ناقضاً مستقلاً، وإنّما احتمال الحدث حينه هو الناقض، وبعضها يدلّ على كونه بنفسه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الجمع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معتبر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الحديث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عدم حفظ الحدث في الصلاة يستلزم ذهاب العقل، بل عدم حفظه له كاشف عن تحقّق النوم فليس للحدث مدخليّة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معتبر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الحديث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صريح الدلالة على أنّ العلّة في ناقضيّة النوم غلبة خروج الريح من النائم لاسترخاء مفاصله إلّا أنّه لا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بقاء الطهارة عند العلم بعدم خروج الريح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غلبة خروج الريح حالة النوم حكمة لا يدور الانتقاض مدارها، وليست بعلّة حقيقيّة للحكم يدور الحكم مدارها وجوداً </w:t>
      </w:r>
      <w:bookmarkStart w:id="71" w:name="pg15724_204120"/>
    </w:p>
    <w:p>
      <w:pPr>
        <w:pStyle w:val="BookText"/>
        <w:rPr/>
      </w:pPr>
      <w:bookmarkEnd w:id="71"/>
      <w:r>
        <w:rPr>
          <w:rFonts w:ascii="Amiri" w:hAnsi="Amiri" w:eastAsia="Amiri" w:cs="Amiri"/>
          <w:color w:val="111111"/>
          <w:sz w:val="28"/>
          <w:sz w:val="28"/>
          <w:szCs w:val="28"/>
          <w:rtl w:val="true"/>
          <w:lang w:bidi="ar-SA"/>
        </w:rPr>
        <w:t>وعدماً، وهذه الحكمة نظير حكمة العدّة الواجبة للطلاق فقد عُلِّل تشريعها لصيانة الأنساب وتحصينها عن الاختلاط، مع أنّ العدّة واجبة على المرأة العقيم وغيرها ممّن لا اختلاط في حقها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2417911_2142443653"/>
      <w:bookmarkStart w:id="73" w:name="_Toc25"/>
      <w:bookmarkEnd w:id="72"/>
      <w:r>
        <w:rPr>
          <w:rtl w:val="true"/>
        </w:rPr>
        <w:t>والحاصل</w:t>
      </w:r>
      <w:r>
        <w:rPr>
          <w:rtl w:val="true"/>
        </w:rPr>
        <w:t>:</w:t>
      </w:r>
      <w:bookmarkEnd w:id="73"/>
    </w:p>
    <w:p>
      <w:pPr>
        <w:pStyle w:val="BookText"/>
        <w:rPr/>
      </w:pPr>
      <w:r>
        <w:rPr>
          <w:rFonts w:ascii="Amiri" w:hAnsi="Amiri" w:eastAsia="Amiri" w:cs="Amiri"/>
          <w:color w:val="111111"/>
          <w:sz w:val="28"/>
          <w:sz w:val="28"/>
          <w:szCs w:val="28"/>
          <w:rtl w:val="true"/>
          <w:lang w:bidi="ar-SA"/>
        </w:rPr>
        <w:t>أنّ في الباب ستّة عشر حديثاً، الأوّل والثاني والخامس والعاشر والسادس عشر صحاح، والثالث معتبر بسنديه، والرابع صحيح والسادس والسابع والثامن والحادي عشر والثاني عشر والثالث عشر بسنديه والرابع عشر كلّها معتبرة، وأمّا التاسع فهو صحيح بسنده الأوّل ومعتبر بسنده الثاني، وأمّا الخامس عشر فضعيف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الأحداث المنصوص عليها تنقض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لا ينقضه إلّا ما يسمّى حدثاً شرعاً، فما ليس بحدث شرعاً لا يكون ناقضاً، كالرّعاف والمذي، ومقدّمات النوم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النواقض التي نُصّ عليها هي ما تخرج من الطرفين من البول والغائط والريح والمني والدماء الثلاثة في النساء وكذا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حدث مستقل ينقض الوضوء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الناقض للوضوء هو ما ذهب بالعقل والسمع أو أحدهما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ناقضيّة النوم للوضوء بين حالات النائم والهيئات التي يكون عليها، فهو ناقض مطلقاً سواء كان النائم قائماً أو قاعداً، راكعاً أو ساجداً أو مضطجعاً، ماشياً أو واقفاً، ولا بين كون النوم حال الصلاة أو غيرها</w:t>
      </w:r>
      <w:r>
        <w:rPr>
          <w:rFonts w:eastAsia="Amiri" w:cs="Amiri" w:ascii="Amiri" w:hAnsi="Amiri"/>
          <w:color w:val="111111"/>
          <w:sz w:val="28"/>
          <w:szCs w:val="28"/>
          <w:rtl w:val="true"/>
          <w:lang w:bidi="ar-SA"/>
        </w:rPr>
        <w:t xml:space="preserve">. </w:t>
      </w:r>
      <w:bookmarkStart w:id="74" w:name="pg15724_204121"/>
    </w:p>
    <w:p>
      <w:pPr>
        <w:pStyle w:val="Heading2"/>
        <w:numPr>
          <w:ilvl w:val="1"/>
          <w:numId w:val="1"/>
        </w:numPr>
        <w:rPr/>
      </w:pPr>
      <w:bookmarkStart w:id="75" w:name="__RefHeading___Toc12417913_2142443653"/>
      <w:bookmarkStart w:id="76" w:name="_Toc26"/>
      <w:bookmarkEnd w:id="74"/>
      <w:bookmarkEnd w:id="75"/>
      <w:r>
        <w:rPr/>
        <w:t>4</w:t>
      </w:r>
      <w:r>
        <w:rPr>
          <w:rtl w:val="true"/>
        </w:rPr>
        <w:t xml:space="preserve">- </w:t>
      </w:r>
      <w:r>
        <w:rPr>
          <w:rtl w:val="true"/>
        </w:rPr>
        <w:t>بَابُ حُكْمِ مَا أَزَالَ الْعَقْلَ مِنْ إِغْمَا ءٍ وَجُنُونٍ وَسُكْرٍ وَغَيْرِهَا</w:t>
      </w:r>
      <w:bookmarkEnd w:id="76"/>
    </w:p>
    <w:p>
      <w:pPr>
        <w:pStyle w:val="Heading3"/>
        <w:numPr>
          <w:ilvl w:val="2"/>
          <w:numId w:val="1"/>
        </w:numPr>
        <w:rPr/>
      </w:pPr>
      <w:bookmarkStart w:id="77" w:name="__RefHeading___Toc12417915_2142443653"/>
      <w:bookmarkStart w:id="78" w:name="_Toc27"/>
      <w:bookmarkEnd w:id="77"/>
      <w:r>
        <w:rPr>
          <w:rtl w:val="true"/>
        </w:rPr>
        <w:t>اشارة</w:t>
      </w:r>
      <w:bookmarkEnd w:id="7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حُكْمِ مَا أَزَالَ الْعَقْلَ مِنْ إِغْمَاءٍ وَجُنُونٍ وَسُكْرٍ وَغَيْرِهَا</w:t>
      </w:r>
    </w:p>
    <w:p>
      <w:pPr>
        <w:pStyle w:val="Heading3"/>
        <w:numPr>
          <w:ilvl w:val="2"/>
          <w:numId w:val="1"/>
        </w:numPr>
        <w:rPr/>
      </w:pPr>
      <w:bookmarkStart w:id="79" w:name="__RefHeading___Toc12417917_2142443653"/>
      <w:bookmarkStart w:id="80" w:name="_Toc28"/>
      <w:bookmarkEnd w:id="79"/>
      <w:r>
        <w:rPr>
          <w:rtl w:val="true"/>
        </w:rPr>
        <w:t>شرح الباب</w:t>
      </w:r>
      <w:r>
        <w:rPr>
          <w:rtl w:val="true"/>
        </w:rPr>
        <w:t>:</w:t>
      </w:r>
      <w:bookmarkEnd w:id="80"/>
    </w:p>
    <w:p>
      <w:pPr>
        <w:pStyle w:val="BookText"/>
        <w:rPr/>
      </w:pPr>
      <w:r>
        <w:rPr>
          <w:rFonts w:ascii="Amiri" w:hAnsi="Amiri" w:eastAsia="Amiri" w:cs="Amiri"/>
          <w:color w:val="111111"/>
          <w:sz w:val="28"/>
          <w:sz w:val="28"/>
          <w:szCs w:val="28"/>
          <w:rtl w:val="true"/>
          <w:lang w:bidi="ar-SA"/>
        </w:rPr>
        <w:t>لا ريب في أنّ وجود العقل في الإنسان وصحّة التمييز منه شرط في وجوب النظر والاستدلال في الاعتقاديّات، وشرط أيضاً في صحّة تعلّق العبادات به وفي نفوذ معاملاته، وفي بقيّة الأحكام والتشريعات، ولكن قد تطرأ على الإنسان حالات تؤدّي إلى زوال العقل إمّا كليّاً أو بمرتبة تسقط فيها المسؤوليّة عن المكلّف، فيفقد الوعي والقدرة على تمييز ما يحصل من حوله، ولا يكون بإمكانه تمييز ما هو ضارّ عمّا هو نافع، وما هو صالح عمّا هو فاسد، ويكون التكليف عندئذٍ ساقطاً عنه، ومثال هذه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الإغماء والجنون والصرع والسكر وشدّة الهمّ أو الغمّ أو الدهشة أو نحو ذلك ممّا يغلب على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ما يطرأ على الإنسان ولا يصل به إلى مستوى زوال العقل بالمرة، كالعَتَه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الباب يتعرّض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حكم ما أزال العقل، وأنّه هل ينقض الوضوء بزوال العقل بمثل طروّ الإغماء أو الجنون أو السكر، ويظهر من العنوان التوقّف في الناقضيّة؛ إذ لم يبيّن حكم المزيل للعقل، ويستفاد ذلك أيضاً من تعليقه على الحديث الوحيد في هذا الباب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المفردات الواردة هنا فبيانها في اللغة كما يلي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أغمي، وفي مجمع البحرين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أغمي فهو مُغْمًی مَغْمِيٌّ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دون رؤيته غيم أو قترة، وأصل التغمية الستر والتغطية، ومنه أغمي على المريض فهو مُغمًى عليه وغُمِيَ عليه فهو مَغمِيٌّ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ستر عقله وغطي</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غُمِيَ على المريض وأُغْمِيَ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 عليه ثم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أُغمِيَ على فلان إذا ظُنَّ أَنه ماتَ ثم يَرجِع حَيًّا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والجنون مرض يوجب سلب العقل وعطبه، فلا يعي ولا يدرك إدراك البشر، بخلاف البَلَه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ضعف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صاحبه يدرك ويعي غير أنّه لا يشك في ما يفعل ويسترسل مع الظواهر، وقد يختلط عند العرف البَلَه مع المرتبة الضعيفة من الجنون، والجنون قد يكون مطبقاً، أي دائماً، وهذا خارج عن دائرة التكليف، وقد يكون أدواريّاً فلا يكون غالباً عليه في جميع الأوقات، بل يفيق المريض منه، وهذا هو محل الكلام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معروفة تشبه الجنون لأنّها تصرع صاحبها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غيبوبة العقل واختلاطه بسبب تناول الشراب المسكر كالخمر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 في العقل من غير جنون أو دَهَش، والمعتوه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المَدهُوشُ من غير مَسِّ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والمَعتُوه والمَخفُوقُ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المَعتُوه الناقصُ العقل</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أنّ المعتوه قد يرادف المجنون، وقد يطلق على </w:t>
      </w:r>
      <w:bookmarkStart w:id="81" w:name="pg15724_204123"/>
    </w:p>
    <w:p>
      <w:pPr>
        <w:pStyle w:val="BookText"/>
        <w:rPr/>
      </w:pPr>
      <w:bookmarkEnd w:id="81"/>
      <w:r>
        <w:rPr>
          <w:rFonts w:ascii="Amiri" w:hAnsi="Amiri" w:eastAsia="Amiri" w:cs="Amiri"/>
          <w:color w:val="111111"/>
          <w:sz w:val="28"/>
          <w:sz w:val="28"/>
          <w:szCs w:val="28"/>
          <w:rtl w:val="true"/>
          <w:lang w:bidi="ar-SA"/>
        </w:rPr>
        <w:t>المجنون الذاهب العقل في بعض النصوص</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2417919_2142443653"/>
      <w:bookmarkStart w:id="83" w:name="_Toc29"/>
      <w:bookmarkEnd w:id="82"/>
      <w:r>
        <w:rPr>
          <w:rtl w:val="true"/>
        </w:rPr>
        <w:t>أقوال الخاصّة</w:t>
      </w:r>
      <w:r>
        <w:rPr>
          <w:rtl w:val="true"/>
        </w:rPr>
        <w:t>:</w:t>
      </w:r>
      <w:bookmarkEnd w:id="83"/>
    </w:p>
    <w:p>
      <w:pPr>
        <w:pStyle w:val="BookText"/>
        <w:rPr/>
      </w:pPr>
      <w:r>
        <w:rPr>
          <w:rFonts w:ascii="Amiri" w:hAnsi="Amiri" w:eastAsia="Amiri" w:cs="Amiri"/>
          <w:color w:val="111111"/>
          <w:sz w:val="28"/>
          <w:sz w:val="28"/>
          <w:szCs w:val="28"/>
          <w:rtl w:val="true"/>
          <w:lang w:bidi="ar-SA"/>
        </w:rPr>
        <w:t xml:space="preserve">الظاهر أنّ ناقضيّة ما يزيل العقل اتفاقيّة بين علمائنا، ولا يضرّها مخالفة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عنوان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والمحدّث البحراني</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ولعلّ ذلك لعدم تماميّة الإجماع عندهما بعد عدم وضوح دلالة النصوص التي استدل بها من يقول بناقضيّة زوال العقل،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أزال العقل أو غطّاه من جنون أو إغماء أو سكر أو غير ذلك، ولو لشدّة المرض أو الخوف أو نحوهما، بلا خلاف أجده، بل في المدارك الإجماع عليه، بل عن التهذيب إجماع المسلمين، كما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خلافاً فيه بين أهل العلم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عن المحقّق الهمداني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الإنصاف أنّه قلَّما يوجد في الأحكام الشرعيّة مورد يمكن استكشاف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وجود دليل معتبر من اتّفاق الأصحاب مثل المقام، كما أنّه قلَّما يمكن الاطَّلاع على الإجماع لكثرة ناقليه واعتضاد نقلهم بعدم نقل الخلاف كما فيما نحن فيه</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2417921_2142443653"/>
      <w:bookmarkStart w:id="85" w:name="_Toc30"/>
      <w:bookmarkEnd w:id="84"/>
      <w:r>
        <w:rPr>
          <w:rtl w:val="true"/>
        </w:rPr>
        <w:t>أقوال العامّة</w:t>
      </w:r>
      <w:r>
        <w:rPr>
          <w:rtl w:val="true"/>
        </w:rPr>
        <w:t>:</w:t>
      </w:r>
      <w:bookmarkEnd w:id="8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ينقل أحد الخلاف عنهم، بل ذكر الإجماع عندهم أيضاً، فالحكم إجماعي عند المسلمين، كما ذكره شيخ الطائفة في التهذيب، قال 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وزوال العقل على ضربين نوم وغيره فأمّا غير النوم وهو الجنون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والاغماء والسكر وما أشبهه من الأدوية المزيلة للعقل فينقض الوضوء يسيره وكثيره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على وجوب الوضوء على المغمى عليه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بِهِ عِلَّةٌ لَا يَقْدِرُ عَلَى الِاضْطِجَاعِ وَالْوُضُوءُ يَشْتَدُّ عَلَيْهِ وَهُوَ قَاعِدٌ مُسْتَنِدٌ بِالْوَسَائِدِ فَرُبَّمَا أَغْفَى وَهُوَ قَاعِدٌ عَلَى تِلْكَ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يَشْتَدُّ عَلَيْهِ لِحَالِ عِلَّتِهِ،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عَلَيْهِ الصَّوْتُ فَقَدْ وَجَبَ عَلَيْهِ الْوُضُوءُ،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الظُّهْرَ وَيُصَلِّيهَا مَعَ الْعَصْرِ يَجْمَعُ بَيْنَهُمَا وَكَذَلِكَ الْمَغْرِبُ وَالْعِشَاءُ</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الشَّيْخُ بِإِسْنَادِهِ، عَنْ مُحَمَّدِ بْنِ يَعْقُوبَ</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الشَّيْخُ عَلَى الْحُكْمِ الْمَذْكُورِ وَلَيْسَ بِصَرِيحٍ، لَكِنَّ الشَّيْخَ نَقَلَ الْإِجْمَاعَ عَلَى أَنَّ زَوَالَ الْعَقْلِ مُطْلَقاً يَنْقُضُ الطَّهَارَةَ مَعَ مُوَافَقَتِهِ لِلِاحْتِيَاطِ، وَأَحَادِيثُ حَصْرِ النَّوَاقِضِ تَدُلُّ عَلَى عَدَمِ النَّقْضِ،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الحديث على أنّ من أغفى وهو قاعد مستند بالوسائد لمرض فعليه الوضوء وإن شقّ وثقل عليه الوضوء بلزوم تكرّره منه عدّة مرات، ويفهم من إيجاب الوضوء عليه مع مشقّته عليه أنّ المشقّة يسيرة يتحمّل مثلها في العادة وإلّا أوجب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التيمّم كما أفاده المحدّث الكاشاني في الوافي</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السائل على ما يرفع هذه المشقّة الناتجة عن لزوم تكرار الوضوء، وذلك بأن يؤخّر صلاة الظهر ويصلّيها مع العصر يجمع بينهما، وقد يكون ذلك بوضوء واحد لهما، ويؤخّر أيضاً المغرب ويصلّيها مع العشاء يجمع بينهما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والاغفاء معناه النوم</w:t>
      </w:r>
      <w:r>
        <w:rPr>
          <w:rFonts w:eastAsia="IRNazanin" w:cs="IRNazanin"/>
          <w:color w:val="111111"/>
          <w:sz w:val="28"/>
          <w:szCs w:val="28"/>
          <w:rtl w:val="true"/>
          <w:lang w:bidi="fa-IR"/>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الحديث دالّاً على نقض النوم للوضوء وإن كان حال الجلوس وحال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قُرِّب الاستدلال بهذا الحديث على ناقضيّة الإغماء بتقريبين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التقريب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الإغفاء إمّا بمعنی الإغماء أو أنّه المراد به في هذا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أريد به الإغماء فالاستدلال واضح حيث إنّ الإغماء حينئذٍ موجب للوضوء، فيكون من جملة النواقض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أريد به الاغماء في خصوص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قد يطلق ويراد به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فأيضاً يكون من النواقض؛ لأنّ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التكثير، بل هو الغالب فيها على ما صرح به في مغني اللبيب</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أغفى، أي أنّه كثيراً ما يصدر منه الإغفاء، ومن الظاهر أنّ ما يكثر وما يقتضيه المرض والعلّة الشديدة هو الإغماء لا النوم فيكون دليلاً على نقض الوضوء بالإغماء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وأجيب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الإغفاء هنا بمعنى النوم، وإرادة معنی آخر يحتاج إلى </w:t>
      </w:r>
    </w:p>
    <w:p>
      <w:pPr>
        <w:pStyle w:val="BookText"/>
        <w:rPr/>
      </w:pPr>
      <w:r>
        <w:rPr>
          <w:rFonts w:ascii="Amiri" w:hAnsi="Amiri" w:eastAsia="Amiri" w:cs="Amiri"/>
          <w:color w:val="111111"/>
          <w:sz w:val="28"/>
          <w:sz w:val="28"/>
          <w:szCs w:val="28"/>
          <w:rtl w:val="true"/>
          <w:lang w:bidi="ar-SA"/>
        </w:rPr>
        <w:t>قرينة و لم تقم قرينة على إرادة الإغماء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القرينة المذكورة وهي دلالة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التكثير وأنّه الغالب فيها، فيكون ما يكثر وتقتضيه العلّة الشديدة هو الإغماء لا النوم،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تستعمل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الظاهر منها عند الإطلاق فمعنی الجملة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يطرأ عليه الإغفاء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فيصير صدر الحديث دليلاً على نقض النوم للوضوء وإن كان حال 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التقريب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وإن كان هو الّذي ينام قاعداً لكن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خفي عليه الصوت فقد وجب عليه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خفاء الصوت على المكلّف هو العلّة في انتقاض الوضوء، ومقتضى إطلاقه الشمول لكلّ ما يوجب خفاء الصوت، فلا فرق في ذلك بين أن يستند إلى النوم وبين استناده إلى السكر ونحوه من الأسباب المزيلة للعقل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الخفاء على نحو الإطلاق لم يجعل مناطاً للانتقاض، بل جُعِل خفاء الصوت في خصوص النائم هو المناط للانتقاض، وهذا لأنّ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الرجل النائم فيكون المقصود أنّه إذا خفي الصوت على هذا الشخص الّذي ربما أغفى فقد وجب عليه الوضوء، فلا دلالة في الحديث على أنّ مجرّد خفاء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غير حالة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الكليني،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يحيی وهو محمد بن يحيى العطّار، </w:t>
      </w:r>
      <w:bookmarkStart w:id="86" w:name="pg15724_204128"/>
    </w:p>
    <w:p>
      <w:pPr>
        <w:pStyle w:val="BookText"/>
        <w:rPr/>
      </w:pPr>
      <w:bookmarkEnd w:id="86"/>
      <w:r>
        <w:rPr>
          <w:rFonts w:ascii="Amiri" w:hAnsi="Amiri" w:eastAsia="Amiri" w:cs="Amiri"/>
          <w:color w:val="111111"/>
          <w:sz w:val="28"/>
          <w:sz w:val="28"/>
          <w:szCs w:val="28"/>
          <w:rtl w:val="true"/>
          <w:lang w:bidi="ar-SA"/>
        </w:rPr>
        <w:t>وأحمد بن محمد هو أحمد بن محمد بن عيسى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ومعمّر بن خلّاد،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معمّر بن خلّاد بن أبي خلّاد أبو خلّاد بغدادي، ثقة،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 الزهد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الشيخ 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أسناد كتاب نوادر الحكمة</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إلى الكليني، وهو صحيح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حديثاً واحداً، وهو صحيح بسنديه</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2417923_2142443653"/>
      <w:bookmarkStart w:id="88" w:name="_Toc31"/>
      <w:bookmarkEnd w:id="87"/>
      <w:r>
        <w:rPr>
          <w:rtl w:val="true"/>
        </w:rPr>
        <w:t>المتحصل من الأحادیث</w:t>
      </w:r>
      <w:bookmarkEnd w:id="88"/>
    </w:p>
    <w:p>
      <w:pPr>
        <w:pStyle w:val="BookText"/>
        <w:rPr/>
      </w:pPr>
      <w:r>
        <w:rPr>
          <w:rFonts w:ascii="IRNazanin" w:hAnsi="IRNazanin" w:eastAsia="IRNazanin"/>
          <w:color w:val="111111"/>
          <w:sz w:val="28"/>
          <w:sz w:val="28"/>
          <w:szCs w:val="28"/>
          <w:rtl w:val="true"/>
          <w:lang w:bidi="fa-IR"/>
        </w:rPr>
        <w:t>والمستفاد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الإغفاء حال القعود موجب لنقض الوضوء، وإن كان الإغفاء لعلّة ومرض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المشقة اليسيرة التي تُتحمّل عادة لا ترفع وجوب الوضوء عن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خفاء الصوت على المكلّف هو المناط في تحقّق النوم الناقض للوضوء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تأخير صلاة الظهر وجمعها مع العصر وكذا المغرب مع العشاء تخفيفاً لمن يشقّ عليه الوضوء</w:t>
      </w:r>
      <w:r>
        <w:rPr>
          <w:rFonts w:eastAsia="Amiri" w:cs="Amiri" w:ascii="Amiri" w:hAnsi="Amiri"/>
          <w:color w:val="111111"/>
          <w:sz w:val="28"/>
          <w:szCs w:val="28"/>
          <w:rtl w:val="true"/>
          <w:lang w:bidi="ar-SA"/>
        </w:rPr>
        <w:t xml:space="preserve">. </w:t>
      </w:r>
      <w:bookmarkStart w:id="89" w:name="pg15724_204129"/>
    </w:p>
    <w:p>
      <w:pPr>
        <w:pStyle w:val="Heading2"/>
        <w:numPr>
          <w:ilvl w:val="1"/>
          <w:numId w:val="1"/>
        </w:numPr>
        <w:rPr/>
      </w:pPr>
      <w:bookmarkStart w:id="90" w:name="__RefHeading___Toc12417925_2142443653"/>
      <w:bookmarkStart w:id="91" w:name="_Toc32"/>
      <w:bookmarkEnd w:id="89"/>
      <w:bookmarkEnd w:id="90"/>
      <w:r>
        <w:rPr/>
        <w:t>5</w:t>
      </w:r>
      <w:r>
        <w:rPr>
          <w:rtl w:val="true"/>
        </w:rPr>
        <w:t xml:space="preserve">- </w:t>
      </w:r>
      <w:r>
        <w:rPr>
          <w:rtl w:val="true"/>
        </w:rPr>
        <w:t>بَابُ أَنَّ مَا يَخْرُجُ مِنَ الدُّبُرِ مِنْ حَبِّ الْقَرْعِ وَالدِّيدَانِ لَا يَنْقُضُ الْوُضُو ءَ إِلَّا أَنْ يَكُونَ مُتَلَطِّخاً بِالْعَذِرَةِ</w:t>
      </w:r>
      <w:bookmarkEnd w:id="91"/>
    </w:p>
    <w:p>
      <w:pPr>
        <w:pStyle w:val="Heading3"/>
        <w:numPr>
          <w:ilvl w:val="2"/>
          <w:numId w:val="1"/>
        </w:numPr>
        <w:rPr/>
      </w:pPr>
      <w:bookmarkStart w:id="92" w:name="__RefHeading___Toc12417927_2142443653"/>
      <w:bookmarkStart w:id="93" w:name="_Toc33"/>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بَابُ أَنَّ مَا يَخْرُجُ مِنَ الدُّبُرِ مِنْ حَبِّ الْقَرْعِ وَالدِّيدَانِ لَا يَنْقُضُ الْوُضُو ءَ إِلَّا أَنْ يَكُونَ مُتَلَطِّخاً بِالْعَذِرَةِ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مَا يَخْرُجُ مِنَ الدُّبُرِ مِنْ حَبِّ الْقَرْعِ وَالدِّيدَانِ لَا يَنْقُضُ الْوُضُوءَ إِلَّا أَنْ يَكُونَ مُتَلَطِّخاً بِالْعَذِرَةِ</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2417929_2142443653"/>
      <w:bookmarkStart w:id="95" w:name="_Toc34"/>
      <w:bookmarkEnd w:id="94"/>
      <w:r>
        <w:rPr>
          <w:rtl w:val="true"/>
        </w:rPr>
        <w:t>شرح الباب</w:t>
      </w:r>
      <w:bookmarkEnd w:id="95"/>
    </w:p>
    <w:p>
      <w:pPr>
        <w:pStyle w:val="BookText"/>
        <w:rPr/>
      </w:pPr>
      <w:r>
        <w:rPr>
          <w:rFonts w:ascii="IRNazanin" w:hAnsi="IRNazanin" w:eastAsia="IRNazanin"/>
          <w:color w:val="111111"/>
          <w:sz w:val="28"/>
          <w:sz w:val="28"/>
          <w:szCs w:val="28"/>
          <w:rtl w:val="true"/>
          <w:lang w:bidi="fa-IR"/>
        </w:rPr>
        <w:t xml:space="preserve">ما يخرج من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ما تقدّم في الباب الثاني من هذه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ينقض الوضوء، إلّا إذا استصحب العذرة، وهو علی قسمين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في نفسه، مثل الدود وغيره من الهوام، ومثل الحصی والشعر،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كالدم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علی ذلك ما تقدّم من حصر النواقض في ما مرّ، وما هو صريح أحاديث الباب</w:t>
      </w:r>
      <w:r>
        <w:rPr>
          <w:rFonts w:eastAsia="IRNazanin" w:cs="IRNazanin"/>
          <w:color w:val="111111"/>
          <w:sz w:val="28"/>
          <w:szCs w:val="28"/>
          <w:rtl w:val="true"/>
          <w:lang w:bidi="fa-IR"/>
        </w:rPr>
        <w:t xml:space="preserve">. </w:t>
      </w:r>
      <w:bookmarkStart w:id="96" w:name="pg15724_204130"/>
    </w:p>
    <w:p>
      <w:pPr>
        <w:pStyle w:val="BookText"/>
        <w:rPr/>
      </w:pPr>
      <w:bookmarkEnd w:id="96"/>
      <w:r>
        <w:rPr>
          <w:rFonts w:ascii="Amiri" w:hAnsi="Amiri" w:eastAsia="Amiri" w:cs="Amiri"/>
          <w:color w:val="111111"/>
          <w:sz w:val="28"/>
          <w:sz w:val="28"/>
          <w:szCs w:val="28"/>
          <w:rtl w:val="true"/>
          <w:lang w:bidi="ar-SA"/>
        </w:rPr>
        <w:t>والقرع بالفتح فالسكون وبالتحريك في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اليقطين، الواحدة قرعة بالفتح أيضاً، وتسمى الدّباء</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وحبّ القرع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دود عريض يتولّد في الأمعاء، سمّي به لشبهه به، ولكن 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أنّه ليس بدود، بل هو الحبة السوداء الشونيز في المشهور وهو حبّ معروف</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حبّ القرع يطلق ويراد منه المعنيان، وإن كان ظاهر العنوان إرادة الدود منه، وكيف كان كلّ ما يخرج من الدبر ممّا هو طاهر في نفسه أو كان نجساً لا ينقض الوضوء، إلّا أن تصحبه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والعنوان وإن اقتصر على ما يخرج من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لاقتصار روايات الباب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عدم الاختصاص فيشمل ما يخرج من القبل غير النواقض المنصوصة إجماعاً</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2417931_2142443653"/>
      <w:bookmarkStart w:id="98" w:name="_Toc35"/>
      <w:bookmarkEnd w:id="97"/>
      <w:r>
        <w:rPr>
          <w:rtl w:val="true"/>
        </w:rPr>
        <w:t>أقوال الخاصّة</w:t>
      </w:r>
      <w:r>
        <w:rPr>
          <w:rtl w:val="true"/>
        </w:rPr>
        <w:t>:</w:t>
      </w:r>
      <w:bookmarkEnd w:id="98"/>
    </w:p>
    <w:p>
      <w:pPr>
        <w:pStyle w:val="BookText"/>
        <w:rPr/>
      </w:pPr>
      <w:r>
        <w:rPr>
          <w:rFonts w:ascii="Amiri" w:hAnsi="Amiri" w:eastAsia="Amiri" w:cs="Amiri"/>
          <w:color w:val="111111"/>
          <w:sz w:val="28"/>
          <w:sz w:val="28"/>
          <w:szCs w:val="28"/>
          <w:rtl w:val="true"/>
          <w:lang w:bidi="ar-SA"/>
        </w:rPr>
        <w:t>عدم النقض بخروج المذكورات من دون استصحاب العذرة إجماعي عند الخاصّة، كما عن الخلاف والغنية</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 من أحد السبيلين دود، أو غيره من الهوام، أو حصى أو دم غير الثلاثة، أو شعر، أو حقنة، أو أشياف، أو دهن قطّره في إحليله، لم ينقض، إلّا أن يستصحب شيئاً من النواقض، ذهب إليه علماؤنا أجمع</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المنتهی</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99" w:name="pg15724_204131"/>
    </w:p>
    <w:p>
      <w:pPr>
        <w:pStyle w:val="Heading3"/>
        <w:numPr>
          <w:ilvl w:val="2"/>
          <w:numId w:val="1"/>
        </w:numPr>
        <w:rPr/>
      </w:pPr>
      <w:bookmarkStart w:id="100" w:name="__RefHeading___Toc12417933_2142443653"/>
      <w:bookmarkStart w:id="101" w:name="_Toc36"/>
      <w:bookmarkEnd w:id="99"/>
      <w:bookmarkEnd w:id="100"/>
      <w:r>
        <w:rPr>
          <w:rtl w:val="true"/>
        </w:rPr>
        <w:t>أقوال العامّة</w:t>
      </w:r>
      <w:r>
        <w:rPr>
          <w:rtl w:val="true"/>
        </w:rPr>
        <w:t>:</w:t>
      </w:r>
      <w:bookmarkEnd w:id="10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عندهم النقض بخروج الدم و الدود والحصا والشعر مطلقاً وإن لم يستصحب شيئاً من العذرة، والمخالف هو مالك، قال 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قال الثوري والشافعي وإسحاق وأصحاب الرأي، وكان عطاء والحسن وأبو مجلز والحكم وحمّاد والأوزاعي وابن المبارك يرون الوضوء من الدود يخرج من الدبر، ولم يوجب مالك الوضوء من هذا الضرب</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ابن رشد إلى مالك ممّن وافقنا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أصحاب مالك</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الْحَسَنِ ابْنِ أَخِي فُضَيْلٍ عَنْ 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يَخْرُجُ مِنْهُ مِثْلُ حَبِّ الْقَرْعِ؟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وُضُوءٌ</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علی أنّ ما يخرج من الرجل من الديدان الصغار التي تشبه حبَّ القرع لا ينقض الوضوء، ولا خصوصيّة للديدان، بل إنّ خروج ما هو طاهر في نفسه وإن قلَّ له الحكم نفسه، نعم، لو خرج ملوّثاً بالعذرة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بمقدار قليل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الوضوء كما يأتي التصريح به في الحديث الآتي، فلا يتوهّم ظهور الحديث في خروج العذرة بمقدار حبّ القرع، ولا تنافي بين عدم ناقضيّة ما ذكر لخلوّه عن العذرة وإثبات ناقضيّة خروج بعض العذرة معه في بعض الأحيان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ابن أخي فضيل، أي فضيل بن يسار، وهو وإن لم يذكر في كتب الرجال إلا أنّه ممّن روی المشايخ الثقات عنه، كما في هذا السند، فيكون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مُتَلَطِّخَةً</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بِالْعَذِرَةِ أَعَادَ الْوُضُوءَ</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الحديث علی أنّ خروج الديدان الصغار التي تشبه حبَّ القرع وهي ملطّخة بالعذرة موجب لإعادة الوضوء؛ فيستفاد منه أنّ خروج العذرة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بمقدار قليل جدّاً كالذي يكون علی الديدان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ناقض للوضوء، كما يستفاد أيضاً أنّ الحدث ناقض وإن حصل بغير اختيار من المكلّف؛ إذ خروج الديدان ملطّخة بالعذرة خارج عن اختيار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مراسيل الكليني، ويبتني اعتباره علی قبول شهادة الكليني بصحّة ما في كتابه الكافي، وقد حقّقناه في كتابنا أصول علم الرجال</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عِدَّةٍ مِنْ أَصْحَابِنَا، عَنْ أَحْمَدَ بْنِ مُحَمَّدٍ، عَنْ مُحَمَّدِ ابْنِ إِسْمَاعِيلَ، عَنْ 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نَاصِحٍ</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ثَعْلَبَةَ بْنِ مَيْمُونٍ، عَنْ عَبْدِ اللَّهِ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حَبِّ الْقَرْعِ وَالدِّيدَانِ الصِّغَارِ وُضُوءٌ، إِنَّمَا هُوَ بِمَنْزِلَةِ الْقَمْلِ</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الصَّدُوقُ مُرْسَلًا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مُحَمَّدِ بْنِ يَعْقُوبَ مِثْلَهُ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خروج حبّ القرع والديدان الصغار ليس موجباً لنقض الوضوء، ويقيّد بما إذا خرج ذلك ملوّثاً بالعذرة؛ فإنّه ناقض حينئذٍ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تقييد الديدان بالصغار لا يعني أنّ الكبار لها حكم مغاير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مقتضی مفهوم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الديدان صغيرها وكبيرها مشتركة في الحكم؛ فإن خرجت ملوّثة بها لم يكن خروجها ناقضاً للوضوء</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احتمل المحقّق في المعتبر أن يكون الوجه في التقييد بالصغار أنّ الكبار </w:t>
      </w:r>
    </w:p>
    <w:p>
      <w:pPr>
        <w:pStyle w:val="BookText"/>
        <w:rPr/>
      </w:pPr>
      <w:r>
        <w:rPr>
          <w:rFonts w:ascii="Amiri" w:hAnsi="Amiri" w:eastAsia="Amiri" w:cs="Amiri"/>
          <w:color w:val="111111"/>
          <w:sz w:val="28"/>
          <w:sz w:val="28"/>
          <w:szCs w:val="28"/>
          <w:rtl w:val="true"/>
          <w:lang w:bidi="ar-SA"/>
        </w:rPr>
        <w:t>بقوّة حركتها وعظمها تستصحب مدّة في الأغلب</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كان خروجها ناقضاً غالباً، وأمّا الصغار فليس الغالب فيها التلوّث بالعذرة، ومثلها مثل القمل الخارج من الجسد والحاصل منه فكما لا يجب في خروجه الوضوء بالاتفاق كذا لا يجب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هذا التنزيل للردّ علی مشهور العامّة القائلين بالنقض بخروج الدود مطلقاً، وإن لم يكن معه شيء من العذرة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المصنّف الحديث بثلاثة أنحاء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الكافي،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وقد استظهرنا أنّه ابن عيسی الأشعري القميّ، ومحمد بن إسماعيل هو ابن بزيع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بن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ظريف بن ناصح أصله كوفي، نشأ ببغداد، وكان ثقة في حديثه، صدوقاً له كتب</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الشيخ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بيّاع الأكفان</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في أسناد كتاب نوادر الحكمة وتفسير القمي</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ثعلبة بن ميمون فقد مرّ أنّه ثقة</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عبد الله بن يزيد فقد سبق أنّه لم يرد في حقّه شيء، فهذا 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من لا يحضره الفقيه، وقد تقدّم الكلام في اعتبار مراسيله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التهذيب والاستبصار، وقد مرّ أنّ طرق الشيخ إلی محمد بن يعقوب في المشيخة متعدّدة، وهذا السند كالسند الأوّل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الْحُسَيْنِ بْنِ سَعِيدٍ، عَنْ حَمَّادٍ عَنْ حَرِيزٍ،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يَسْقُطُ مِنْهُ الدَّوَابُ</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وَلَا يَنْقُضُ ذَلِكَ</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عدم ناقضيّة ما يسقط من الإنسان من الدود أو الدوابّ للصلاة أو الوضوء، والمراد بالدابة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يدبّ ويتحرّك علی الأرض، لكنّها مخصوصة هنا بما يتكوّن في الباطن ويخرج من الدبر، وقد ذكر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في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الدود بدل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فيهما واحد، بل في كلّ ما يخرج 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وإن كان مطلقاً؛ إذ ليس فيه تفصيل بين خروج الدواب ملطّخة بالعذرة أو غير ملطّخة إلّا أنّه يقيّد بما إذا لم يكن مع ما يخرج شيء من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بالإرسال، لكن يمكن تصحيحه؛ لوجوده في كتب الحسين بن سعيد المعروفة المشهورة والمعمول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أَحْمَدَ بْنِ يَحْيَى، عَنْ أَحْمَدَ ابْنِ الْحَسَنِ بْنِ عَلِيِّ بْنِ فَضَّالٍ، عَنْ عَمْرِو بْنِ سَعِيدٍ الْمَدَائِنِيِّ، عَنْ مُصَدِّقِ بْنِ صَدَقَةَ،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يَكُونُ فِي صَلَاتِهِ</w:t>
      </w:r>
    </w:p>
    <w:p>
      <w:pPr>
        <w:pStyle w:val="BookText"/>
        <w:rPr/>
      </w:pPr>
      <w:r>
        <w:rPr>
          <w:rFonts w:ascii="Amiri" w:hAnsi="Amiri" w:eastAsia="Amiri" w:cs="Amiri"/>
          <w:color w:val="111111"/>
          <w:sz w:val="28"/>
          <w:sz w:val="28"/>
          <w:szCs w:val="28"/>
          <w:rtl w:val="true"/>
          <w:lang w:bidi="ar-SA"/>
        </w:rPr>
        <w:t>فَيَخْرُجُ مِنْهُ حَبُّ الْقَرْعِ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خَرَجَ نَظِيفاً مِنَ الْعَذِرَةِ فَلَيْسَ عَلَيْهِ شَيْ ءٌ</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يُنْقَضْ وُضُوؤُهُ، وَإِنْ خَرَجَ مُتَلَطِّخاً بِالْعَذِرَةِ فَعَلَيْهِ أَنْ يُعِيدَ الْوُضُوءَ، وَإِنْ كَانَ فِي صَلَاتِهِ قَطَعَ الصَّلَاةَ وَأَعَادَ الْوُضُوءَ وَالصَّلَاةَ</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علی أنّ خروج الدود الشبيه بحبّ القرع غير مضرّ بالصلاة ولا الوضوء إذا خرج أثناءها نظيفاً من العذرة، وأمّا إذا خرج متلطّخا بالعذرة فقد انتقض وضوؤه فعليه إعادته، وإن كان الخروج كذلك في أثناء الصلاة فقد انتقضت صلاته أيضاً فعليه قطعها وإعادتها مع الوضوء، كما دلّ أيضاً علی أنّ خروج الناقض مبطل للوضوء، </w:t>
      </w:r>
    </w:p>
    <w:p>
      <w:pPr>
        <w:pStyle w:val="BookText"/>
        <w:rPr/>
      </w:pPr>
      <w:r>
        <w:rPr>
          <w:rFonts w:ascii="Amiri" w:hAnsi="Amiri" w:eastAsia="Amiri" w:cs="Amiri"/>
          <w:color w:val="111111"/>
          <w:sz w:val="28"/>
          <w:sz w:val="28"/>
          <w:szCs w:val="28"/>
          <w:rtl w:val="true"/>
          <w:lang w:bidi="ar-SA"/>
        </w:rPr>
        <w:t>وللصلاة وموجب لإعادتهما وإن كان يسيراً لكون ما يستصحبه الدود من العذرة قليلاً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إسناد الشيخ إلی محمد بن أحمد بن يحيی معتبر، وبقيّة السند تقدّم الكلام في أفراده، والسند موثّق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الْحُسَيْنِ بْنِ سَعِيدٍ، عَنِ ابْنِ أَبِي عُمَيْرٍ، عَنِ ابْنِ أَخِي 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يَخْرُجُ مِنْهُ مِثْلُ حَبِّ الْقَرْعِ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وُضُوءٌ</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كَوْنِهِ مُتَلَطِّخاً بِالْعَذِرَةِ لِلتَّفْصِيلِ السَّابِقِ، وَهُوَ قَرِيبٌ، وَيُمْكِنُ حَمْلُهُ عَلَى التَّقِيَّةِ؛ لِمُوَافَقَتِهِ لَهَا، وَوَجْهُ إِطْلَاقِهِ مُلَاحَظَتُهَا، وَيُمْكِنُ حَمْلُهُ عَلَى الِاسْتِفْهَامِ الْإِنْكَارِيِّ، وَيَحْتَمِلُ حُصُولُ الْغَلَطِ مِنَ النَّاسِخِ؛ لِمَا تَقَدَّمَ مِنْ طَرِيقِ الْكُلَيْنِيِ</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هَذَا الْحَدِيثِ بِعَيْنِهِ،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وُضُوءٌ، فَكَأَنَّ لَفْظَ لَيْسَ سَقَطَ مِنْ نُسْخَةِ الشَّيْخِ، وَقَدْ تَقَدَّمَ حَصْرُ النَّوَاقِضِ فِي عِدَّةِ أَحَادِيثَ</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دَالٌّ عَلَى الْمَقْصُودِ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في السؤال احتمالان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عن خروج العذرة بمقدار حبّ القرع، فيكون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 لما سبق في الحديث الثاني من الباب من ناقضيّة ما يخرج من العذرة وإن كان يسيراً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عن خروج شيء منه من مثل حبّ القرع، كالنواة أو </w:t>
      </w:r>
      <w:bookmarkStart w:id="102" w:name="pg15724_204141"/>
    </w:p>
    <w:p>
      <w:pPr>
        <w:pStyle w:val="BookText"/>
        <w:rPr/>
      </w:pPr>
      <w:bookmarkEnd w:id="102"/>
      <w:r>
        <w:rPr>
          <w:rFonts w:ascii="IRNazanin" w:hAnsi="IRNazanin" w:eastAsia="IRNazanin"/>
          <w:color w:val="111111"/>
          <w:sz w:val="28"/>
          <w:sz w:val="28"/>
          <w:szCs w:val="28"/>
          <w:rtl w:val="true"/>
          <w:lang w:bidi="fa-IR"/>
        </w:rPr>
        <w:t xml:space="preserve">الحصی أو غير ذلك، ويكون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مخالفاً لما مرّ في أحاديث الباب، وقد ذكر الماتن في توجيهه وجوهاً</w:t>
      </w:r>
      <w:r>
        <w:rPr>
          <w:rFonts w:eastAsia="IRNazanin" w:cs="IRNazanin"/>
          <w:color w:val="111111"/>
          <w:sz w:val="28"/>
          <w:szCs w:val="28"/>
          <w:rtl w:val="true"/>
          <w:lang w:bidi="fa-IR"/>
        </w:rPr>
        <w:t>:</w:t>
      </w:r>
    </w:p>
    <w:p>
      <w:pPr>
        <w:pStyle w:val="Heading3"/>
        <w:numPr>
          <w:ilvl w:val="2"/>
          <w:numId w:val="1"/>
        </w:numPr>
        <w:rPr/>
      </w:pPr>
      <w:bookmarkStart w:id="103" w:name="__RefHeading___Toc12417935_2142443653"/>
      <w:bookmarkStart w:id="104" w:name="_Toc37"/>
      <w:bookmarkEnd w:id="103"/>
      <w:r>
        <w:rPr>
          <w:rtl w:val="true"/>
        </w:rPr>
        <w:t>المتحصل من الأحادیث</w:t>
      </w:r>
      <w:bookmarkEnd w:id="104"/>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شيخ الطائفة من الحمل عن كون الخارج متلطّخاً بالعذرة، فيكون جواب الإمام موافقاً للتفصيل المتقدّم عن الكافي، وقد استقرب الماتن هذا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علی التقيّة لكون مشهور العامّة علی نقض ما يخرج من الدبر مطلقاً، ويكون الإطلاق في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إعادة الوضوء لأجل ملاحظة التقيّة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الاستفهام الإنكاري، فيكون موافقاً لبقيّة أحاديث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الغلط من الناسخ، وأنّ الصحيح ما عن الكافي من وجودكلمة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فيوافق بقيّة أحاديث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 فضيل، وقد مضی في سند الحديث الأول أنّ اسمه الحسن، وأنّه موثّق، ويحتمل سقوط الواسطة بعده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بقيّة السند فقد تقدّم الكلام عن أفراده، فهذا السند معتبر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وثانيها ورابعها وسادسها معتبرات، وخامسها موثّق، وثالثها ضعيف بسنديه الأوّل والثالث، ومعتبر بالثاني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والمستفاد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يخرج من الدبر ممّا هو طاهر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مأكول أو غير 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نجساً لا ينقض الوضوء، إلّا أن تصحبه 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خروج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بمقدار قليل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ناقض للوضوء ومبطل للصلاة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الحدث ناقض للوضوء ومبطل للصلاة وإن حصل بغير اختيار من المكلّف</w:t>
      </w:r>
      <w:r>
        <w:rPr>
          <w:rFonts w:eastAsia="Amiri" w:cs="Amiri" w:ascii="Amiri" w:hAnsi="Amiri"/>
          <w:color w:val="111111"/>
          <w:sz w:val="28"/>
          <w:szCs w:val="28"/>
          <w:rtl w:val="true"/>
          <w:lang w:bidi="ar-SA"/>
        </w:rPr>
        <w:t xml:space="preserve">. </w:t>
      </w:r>
      <w:bookmarkStart w:id="105" w:name="pg15724_204143"/>
    </w:p>
    <w:p>
      <w:pPr>
        <w:pStyle w:val="Heading2"/>
        <w:numPr>
          <w:ilvl w:val="1"/>
          <w:numId w:val="1"/>
        </w:numPr>
        <w:rPr/>
      </w:pPr>
      <w:bookmarkStart w:id="106" w:name="__RefHeading___Toc12417937_2142443653"/>
      <w:bookmarkStart w:id="107" w:name="_Toc38"/>
      <w:bookmarkEnd w:id="105"/>
      <w:bookmarkEnd w:id="106"/>
      <w:r>
        <w:rPr/>
        <w:t>6</w:t>
      </w:r>
      <w:r>
        <w:rPr>
          <w:rtl w:val="true"/>
        </w:rPr>
        <w:t xml:space="preserve">- </w:t>
      </w:r>
      <w:r>
        <w:rPr>
          <w:rtl w:val="true"/>
        </w:rPr>
        <w:t>بَابُ أَنَّ الْقَيْ ءَ وَالْمِدَّةَ</w:t>
      </w:r>
      <w:bookmarkEnd w:id="107"/>
    </w:p>
    <w:p>
      <w:pPr>
        <w:pStyle w:val="Heading3"/>
        <w:numPr>
          <w:ilvl w:val="2"/>
          <w:numId w:val="1"/>
        </w:numPr>
        <w:rPr/>
      </w:pPr>
      <w:bookmarkStart w:id="108" w:name="__RefHeading___Toc12417939_2142443653"/>
      <w:bookmarkStart w:id="109" w:name="_Toc39"/>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بَابُ أَنَّ الْقَيْ ءَ وَالْمِدَّةَ</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وَالْقَيْحَ وَالْجُشَا ءَ</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وَالضَّحِكَ وَالْقَهْقَهَةَ وَالْقَرْقَرَةَ فِي الْبَطْنِ لَا يَنْقُضُ شَيْ ءٌ مِنْهَا الْوُضُو ءَ</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الْقَيْ ءَ وَالْمِدَّةَ وَالْقَيْحَ وَالْجُشَاءَ وَالضَّحِكَ وَالْقَهْقَهَةَ وَالْقَرْقَرَةَ فِي الْبَطْنِ لَا يَنْقُضُ شَيْ ءٌ مِنْهَا الْوُضُوءَ</w:t>
      </w:r>
    </w:p>
    <w:p>
      <w:pPr>
        <w:pStyle w:val="Heading3"/>
        <w:numPr>
          <w:ilvl w:val="2"/>
          <w:numId w:val="1"/>
        </w:numPr>
        <w:rPr/>
      </w:pPr>
      <w:bookmarkStart w:id="110" w:name="__RefHeading___Toc12417941_2142443653"/>
      <w:bookmarkStart w:id="111" w:name="_Toc40"/>
      <w:bookmarkEnd w:id="110"/>
      <w:r>
        <w:rPr>
          <w:rtl w:val="true"/>
        </w:rPr>
        <w:t>شرح الباب</w:t>
      </w:r>
      <w:r>
        <w:rPr>
          <w:rtl w:val="true"/>
        </w:rPr>
        <w:t>:</w:t>
      </w:r>
      <w:bookmarkEnd w:id="111"/>
    </w:p>
    <w:p>
      <w:pPr>
        <w:pStyle w:val="BookText"/>
        <w:rPr/>
      </w:pPr>
      <w:r>
        <w:rPr>
          <w:rFonts w:ascii="Amiri" w:hAnsi="Amiri" w:eastAsia="Amiri" w:cs="Amiri"/>
          <w:color w:val="111111"/>
          <w:sz w:val="28"/>
          <w:sz w:val="28"/>
          <w:szCs w:val="28"/>
          <w:rtl w:val="true"/>
          <w:lang w:bidi="ar-SA"/>
        </w:rPr>
        <w:t>ما يخرج من بدن الإنسان من غير السبيلين إمّا طاهر وإمّا نجس فالطاهر كالطعام الخارج من الحلق بالتقيّؤ أو التجشّؤ ما لم تصاحبه نجاسة، والنجس كالدم الخارج من الفم أو الجروح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القيء فهو الخارج من الجوف من طعام وغيره، والاسْتِقاءُ وهو التكَلُّفُ لذلك، والتَّقَيُّؤُ أبلغ وأكثر</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يجتمع في الجُرْح من القيح</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القيح فهو المِدَّةُ الخالصة لا يخالطها دم،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الصديد الذي كأنّه </w:t>
      </w:r>
      <w:bookmarkStart w:id="112" w:name="pg15724_204144"/>
    </w:p>
    <w:p>
      <w:pPr>
        <w:pStyle w:val="BookText"/>
        <w:rPr/>
      </w:pPr>
      <w:bookmarkEnd w:id="112"/>
      <w:r>
        <w:rPr>
          <w:rFonts w:ascii="Amiri" w:hAnsi="Amiri" w:eastAsia="Amiri" w:cs="Amiri"/>
          <w:color w:val="111111"/>
          <w:sz w:val="28"/>
          <w:sz w:val="28"/>
          <w:szCs w:val="28"/>
          <w:rtl w:val="true"/>
          <w:lang w:bidi="ar-SA"/>
        </w:rPr>
        <w:t>الماء وفيه شُكْلَةُ دَمٍ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المعدة عند الامتلاء</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القهقهة فهي الترجيع في الضحك،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اشتداده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في البطن،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قرقر بطنه أي صوّت، والجمع قراقر</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 الرُّعاف والحجامة في عنوان الباب مع أنّهما وردا في الحديث السادس والسابع من الباب</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2417943_2142443653"/>
      <w:bookmarkStart w:id="114" w:name="_Toc41"/>
      <w:bookmarkEnd w:id="113"/>
      <w:r>
        <w:rPr>
          <w:rtl w:val="true"/>
        </w:rPr>
        <w:t>أقوال الخاصّة</w:t>
      </w:r>
      <w:r>
        <w:rPr>
          <w:rtl w:val="true"/>
        </w:rPr>
        <w:t>:</w:t>
      </w:r>
      <w:bookmarkEnd w:id="11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الإجماع قائم عند الخاصّة علی أنّ ما ذُكر في عنوان الباب لا يوجب شيء منه نقض الوضوء، وأنّ ما عدا ما يأتي من النواقض، لا ينقض الوضوء</w:t>
      </w:r>
      <w:r>
        <w:rPr>
          <w:rFonts w:eastAsia="IRNazanin" w:cs="IRNazanin"/>
          <w:color w:val="111111"/>
          <w:sz w:val="28"/>
          <w:szCs w:val="28"/>
          <w:rtl w:val="true"/>
          <w:lang w:bidi="fa-IR"/>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القيء لا ينقض الوضوء، سواء قلّ أو كثر، وكذا ما يخرج من غير السبيلين، كالدم والبصاق والرّعاف وغير ذلك، ذهب إليه علماؤنا</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نسب في المعتبر إلى أبي علي بن الجنيد أنّ من قهقه في صلاته متعمّداً لنظر أو سماع ما أضحكه، قطع صلاته وأعاد وضوءه</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والبواقي لا خلاف في عدم ناقضيّتها</w:t>
      </w:r>
      <w:r>
        <w:rPr>
          <w:rFonts w:eastAsia="Amiri" w:cs="Amiri" w:ascii="Amiri" w:hAnsi="Amiri"/>
          <w:color w:val="111111"/>
          <w:sz w:val="28"/>
          <w:szCs w:val="28"/>
          <w:rtl w:val="true"/>
          <w:lang w:bidi="ar-SA"/>
        </w:rPr>
        <w:t xml:space="preserve">. </w:t>
      </w:r>
      <w:bookmarkStart w:id="115" w:name="pg15724_204145"/>
    </w:p>
    <w:p>
      <w:pPr>
        <w:pStyle w:val="Heading3"/>
        <w:numPr>
          <w:ilvl w:val="2"/>
          <w:numId w:val="1"/>
        </w:numPr>
        <w:rPr/>
      </w:pPr>
      <w:bookmarkStart w:id="116" w:name="__RefHeading___Toc12417945_2142443653"/>
      <w:bookmarkStart w:id="117" w:name="_Toc42"/>
      <w:bookmarkEnd w:id="115"/>
      <w:bookmarkEnd w:id="116"/>
      <w:r>
        <w:rPr>
          <w:rtl w:val="true"/>
        </w:rPr>
        <w:t>أقوال العامّة</w:t>
      </w:r>
      <w:r>
        <w:rPr>
          <w:rtl w:val="true"/>
        </w:rPr>
        <w:t>:</w:t>
      </w:r>
      <w:bookmarkEnd w:id="117"/>
    </w:p>
    <w:p>
      <w:pPr>
        <w:pStyle w:val="BookText"/>
        <w:rPr/>
      </w:pPr>
      <w:r>
        <w:rPr>
          <w:rFonts w:ascii="Amiri" w:hAnsi="Amiri" w:eastAsia="Amiri" w:cs="Amiri"/>
          <w:color w:val="111111"/>
          <w:sz w:val="28"/>
          <w:sz w:val="28"/>
          <w:szCs w:val="28"/>
          <w:rtl w:val="true"/>
          <w:lang w:bidi="ar-SA"/>
        </w:rPr>
        <w:t>الخلاف متحقّق بين العامّة في ناقضيّة المذكورات، فقد ذكر ابن قدامة في المغني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القهقهة وضوء، روي ذلك عن عروة وعطاء والزهري ومالك والشافعي وإسحاق وابن المنذر، وقال أصحاب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الوضوء من القهقهة داخل الصلاة دون خارجها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والقيء الفاحش والدم الفاحش والدود الفاحش يخرج من الجروح، وجملته أنّ الخارج من البدن من غير السبيل ينقسم قسمين طاهراً ونجساً، فالطاهر لا ينقض الوضوء على حال ما، والنجس ينقض الوضوء في الجملة رواية واحدة، روي ذلك عن ابن عباس وابن عمر وسعيد بن المسيب وعلقمة وعطاء وقتادة والثوري وإسحاق وأصحاب الرأي، وكان مالك وربيعة والشافعي وأبو ثور وابن المنذر لا يوجبون منه وضوءاً، وقال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وضوء إلّا فيما خرج من قبل أو 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ينتقض الوضوء بالكثير من ذلك دون اليسير، 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رواية أخرى أنّ اليسير ينقض، ولا نعرف هذه الرواية، ولم يذكرها الحلال في جامعه إلا في القلس، واطّرحها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رواية واحدة وهو المشهور عن الصحابة رضي الله عنهم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سال الدم ففيه الوضوء، وإن وقف على رأس الجرح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والقيح والصديد كالدم فيما ذكرنا وأسهل وأخف منه حكماً عند أبي عبد الله، لوقوع الاختلاف فيه، فإنّه روي عن ابن عمر والحسن أنّهم لم يروا القيح والصديد كالدم، وقال أبو مجلز في الصديد لا شيء إنّما ذكر الله الدم </w:t>
      </w:r>
    </w:p>
    <w:p>
      <w:pPr>
        <w:pStyle w:val="BookText"/>
        <w:rPr/>
      </w:pPr>
      <w:r>
        <w:rPr>
          <w:rFonts w:ascii="Amiri" w:hAnsi="Amiri" w:eastAsia="Amiri" w:cs="Amiri"/>
          <w:color w:val="111111"/>
          <w:sz w:val="28"/>
          <w:sz w:val="28"/>
          <w:szCs w:val="28"/>
          <w:rtl w:val="true"/>
          <w:lang w:bidi="ar-SA"/>
        </w:rPr>
        <w:t>المسفوح، وقال الأوزاعي في قرحة سال منها كغسالة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سوى الدم لا يوجب وضوءاً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مجاهد وعطاء وعروة والشعبي والزهري وقتادة والحكم والليث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القيح بمنزلة الدم فلذلك خفّ حكمه عنده واختياره مع ذلك إلحاقه بالدم وإثبات مثل حكمه فيه، لكن الذي يفحش منه يكون أكثر من الذي يفحش من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والقلس كالدم ينقض الوضوء منه ما 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أقلّ من نصف الفم لا يتوضّأ والأوّل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الجشاء فلا وضوء فيه لا نعلم فيه خلافاً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القهقهة فقد وقع فيها الخلاف أيضاً، قال النووي في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العلماء في الضحك في الصلاة إن كان بقهقهة فمذهبنا ومذهب جمهور العلماء أنّه لا ينقض، وبه قال ابن مسعود وجابر وأبو موسی الأشعري، وهو قول جمهور التابعين فمن بعدهم، وروى البيهقي عن أبي الزناد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 من فقهائنا الذين يُنتَهی إلى قولهم سعيد بن المسيّب وعروة بن الزبير والقاسم بن محمد وأبا بكر بن عبد الرحمن وخارجة بن زيد بن ثابت وعبيد الله بن عبد الله بن عقبة وسليمان بن يسار ومشيخة جلّة سواهم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الضحك في الصلاة ينقضها ولا ينقض الوضوء، قال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وروينا نحوه عن عطاء والشعبي والزهري، و حكاه أصحابنا عن مكحول ومالك وأحمد وإسحاق وأبي ثور وداود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الحسن البصري وإبراهيم النخعي وسفيان الثوري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الوضوء، وعن الأوزاعي روايتان، وأجمعوا أنّ الضحك إذا لم يكن فيه قهقهة لا </w:t>
      </w:r>
    </w:p>
    <w:p>
      <w:pPr>
        <w:pStyle w:val="BookText"/>
        <w:rPr/>
      </w:pPr>
      <w:r>
        <w:rPr>
          <w:rFonts w:ascii="Amiri" w:hAnsi="Amiri" w:eastAsia="Amiri" w:cs="Amiri"/>
          <w:color w:val="111111"/>
          <w:sz w:val="28"/>
          <w:sz w:val="28"/>
          <w:szCs w:val="28"/>
          <w:rtl w:val="true"/>
          <w:lang w:bidi="ar-SA"/>
        </w:rPr>
        <w:t>يبطل الوضوء، وعلى أنّ القهقهة خارج الصلاة لا تنقض الوضوء</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القرقرة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انفرد المالكية بالقول أنّ القرقرة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تمنع من الإتيان بشيء من الصلاة حقيقة أو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يقدر على الإتيان به بعسر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تبطل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حصره ريح وكان يعلم أنّه لا يقدر على الإتيان بشيء من أركان الصلاة أصلاً، أو يأتي به مع عسر كان وضوؤه باطلاً، فليس له أن يفعل به ما يتوقّف على الطهارة كمسّ المصحف، أمّا إذا كانت القرقرة لا تمنع من الإتيان بشيء من أركان الصلاة فإنّها لا تبطل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بعض المالكية إلی أنّ القرقرة الشديدة تنقض الوضوء ولو لم تمنع من الإتيان بشيء من أركان الصلاة، والراجح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جمهور الفقهاء إلی عدم نقض الوضوء بحبس الرّيح، وصرّحوا بكراهة الصلاة معها</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ابن حزم عن إبراهيم النخعي إيجابه الوضوء من قرقرة البطن في الصلاة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يَتَجَشَّأُ فَيَخْرُجُ مِنْهُ شَيْ ءٌ أَيُعِيدُ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عدم ناقضيّة الجشاء للوضوء،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منه شيء، أي يخرج من فمه شيء من الطعام ونحوه إلی خارج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شامل للفاحش واليسير من الجشاء، فالجشاء غير ناقض للوضوء ولو كان الخارج من الفم يسيراً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والظاهر أنّه ابن عيسی، وإن كان أحمد بن محمد بن خالد البرقي يروي أيضاً عن علي بن الحكم، والسند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 عَنْ أَحْمَدَ بْنِ مُحَمَّدٍ وَعَنْ أَبِي دَاوُدَ جَمِيعاً، عَنِ الْحُسَيْنِ بْنِ سَعِيدٍ، عَنْ فَضَالَةَ، عَنْ أَبَانٍ،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قَاءَ الرَّجُلُ وَهُوَ عَلَى طُهْرٍ فَلْيَتَمَضْمَضْ</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علی أنّ القيء ليس بناقض للطهارة ومنها الوضوء بلا فرق بين أن يكون القيء يسيراً أو فاحشاً، ولو كان ناقضاً لما اكتفی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ببيان أنّ عليه المضمضة فقط، والمضمضة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الماء في الفم</w:t>
      </w:r>
      <w:r>
        <w:rPr>
          <w:rFonts w:eastAsia="IRNazanin" w:cs="IRNazanin"/>
          <w:color w:val="111111"/>
          <w:sz w:val="28"/>
          <w:szCs w:val="28"/>
          <w:rtl w:val="true"/>
          <w:lang w:bidi="fa-IR"/>
        </w:rPr>
        <w:t>(</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إدارة الماء في الفم وتحريكه بالأصابع أو بقوّة الفم ثم يمجّه، وتمضمضت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مثل ذلك</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حُمل الأمر بالمضمضة هنا علی الاستحباب</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والظاهر أنّه ابن عيسى؛ لروايته عن الحسين بن سعيد، 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وقد سبق في الحديث الثالث من الباب الخامس من أبواب الأسآر</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الكليني إن كان يروي عن أبي داود هذا بواسطة </w:t>
      </w:r>
    </w:p>
    <w:p>
      <w:pPr>
        <w:pStyle w:val="BookText"/>
        <w:rPr/>
      </w:pPr>
      <w:r>
        <w:rPr>
          <w:rFonts w:ascii="Amiri" w:hAnsi="Amiri" w:eastAsia="Amiri" w:cs="Amiri"/>
          <w:color w:val="111111"/>
          <w:sz w:val="28"/>
          <w:sz w:val="28"/>
          <w:szCs w:val="28"/>
          <w:rtl w:val="true"/>
          <w:lang w:bidi="ar-SA"/>
        </w:rPr>
        <w:t>العدّة كما هو أحد الاحتمالين هنا، وهو عطفه على أحمد بن محمد، فالظاهر أنّه سليمان بن سفيان المسترق، المنشد، راوية شعر السيّد الحميري؛ لأنّه المشهور المعروف فينصرف إليه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روى عنه بلا واسطة كما هو مقتضى الاحتمال الثاني وهو عطفه على العدّة، فإن كان المراد به أبو داود المسترق فلا ريب في أنّ السند مرسل، لأنّ الكليني توفي سنة تسعة وعشرين وثلاث مائة، بينما توفي أبو داود سنة ثلاثين ومائتين، وإن كان المراد منه شخصاً آخر فهو 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هو الاحتمال الأوّل فلا 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داود هذا هو سليمان بن سفيان المسترق،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بن سفيان أبو داود المسترق المنشد مولى كندة ثم بني عدي منهم، روی عن سفيان بن مصعب، عن 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الربال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وعمّر إلى سنة إحدى وثلاثين ومائتين، قال أبو الفرج، محمد بن موسی بن علي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إسماعيل بن علي الدعبلي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داود المسترق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سمّي المسترق، لأنّه كان يسترقّ الناس بشعر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خمس وعشرين ومائتين يحدّث عن سفيان بن مصعب،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ومات سليمان سنة إحدى وثلاثين ومائتين</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أبي داود المسترقّ؟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سليمان بن سفيان المسترقّ، وهو المنشد وكان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سليمان بن سفيان بن السمط المسترقّ، كوفي يروي عنه الفضل بن شاذان، أبو داود المسترقّ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أعين من كندة، وإنّما سمّي المسترقّ لأنّه كان راوية لشعر السيّد، وكان يستخفّه الناس لإنشاده يسترقّ أي يرقّ على أفئدتهم، وكان يسمّى المنشد، وعاش تسعين سنة، ومات سنة ثلاثين ومائة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والصحيح في سنة وفاته هو ما ذكره النجاشي؛ لرواية جماعة من الأجلّاء عنه، بعضهم لم يدرك الإمام الصادق جزماً كالفضل بن شاذان الذي أدرك أبا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والحسن بن محبوب المولود سنة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 الرحمن ابن أبي نجران الذي هو من أصحاب 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يمكن أن يروي هؤلاء ومن في طبقتهم عمّن مات قبل وفاة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بثمان وعشرين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 في أسناد تفسير القمي</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ثقة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وهو فضالة بن أيوب،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وهو أبان بن عثمان الأحمر؛ لرواية فضالة بن أيوب عنه، وعلی هذا فالسند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إِبْرَاهِيمَ، عَنْ أَبِيهِ، عَنِ ابْنِ أَبِي عُمَيْرٍ، عَنِ ابْنِ أُذَيْنَةَ،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 ءِ هَلْ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قال العلامة في التذكرة القي ء لا ينقض الوضوء سواء قلّ أو كثر وكذا ما يخرج من غير السبيلين كالدم والبصاق والرعاف وغير ذلك ذهب إليه علماؤنا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عن جماعة من الصحابة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ولقولهم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ينقض الوضوء إلّا ما خرج من طرفيك أو النوم، وقال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 ء إذا كان مل ء الفم أوجب الوضوء وإلّا فلا، وغيره إن كان نجساً وسال أوجب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خرج قدر ما يعفى عن غسله وهو قدر الشبر لم يوجب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التذكرة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 مِثْلَهُ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القيء لا ينقض الوضوء مطلقاً سواء كان كثيراً قد ملأ الفم أم لا، وسواء كان ما قاءه طعاماً أم غيره كالدم والبلغم وغيرهما، وسواء كان ذلك منه باختياره أم كان بلا اختيار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أذينة، وهو عمر بن محمد بن عبدالرحمن بن أذينة، شيخ أصحابنا البصريين ووجههم،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أسامة، وهو زيد الشّحام، الثقة، له كتاب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معتبر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 والاستبصار، وهو سند الكليني نفسه، فالسند أيضاً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أَبِيهِ، عَنِ ابْنِ أَبِي عُمَيْرٍ، عَنْ جَمِيلِ بْنِ دَرَّاجٍ،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 لَا تَنْقُضُ الْوُضُوءَ وَتَنْقُضُ الصَّلَاةَ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عَلِيِّ بْنِ إِبْرَاهِيمَ مِثْلَهُ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القهقهة لا تنقض الوضوء مطلقاً، سواء وقعت عمداً أم سهواً، وسواء حدثت علی وجه لا يمكن دفعها أم لا، كما دلّ علی أنّ القهقهة تنقض الصلاة مطلقاً ولو كانت سهواً أو من دون اختيار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الحكم الثاني كلام يأتي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وقد تقدّم الكلام فيه، وهو معتبر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 وهو أيضاً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الْقَلْسِ وَهِيَ الْجُشْأَةُ يَرْتَفِعُ الطَّعَامُ مِنْ جَوْفِ الرَّجُلِ مِنْ غَيْرِ أَنْ يَكُونَ تَقَيَّأَ وَهُوَ قَائِمٌ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ذَلِكَ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 مِثْلَهُ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ابْنُ إِدْرِيسَ فِي آخِرِ السَّرَائِرِ نَقْلًا مِنْ كِتَابِ مُحَمَّدِ بْنِ عَلِيِّ بْنِ مَحْبُوبٍ، وَذَكَرَ أَنَّهُ كَانَ عِنْدَهُ بِخَطِّ الشَّيْخِ الطُّوسِيِّ، وَأَنَّ اسْمَهُ كِتَابُ نَوَادِرِ الْمُصَنِّفِ، عَنِ الْحُسَيْنِ بْنِ سَعِيدٍ، عَنِ الْحَسَنِ، عَنْ زُرْعَةَ، عَنْ سَمَاعَةَ مِثْلَهُ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القلس بالتحريك، وقيل 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من الجوف ملء الفم أو دونه وليس بقيء، فإن عاد فهو القيء</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دلّ الحديث علی أنّ التجشّؤ وهو ارتفاع الطعام من الجوف من دون الخروج من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كان قيئاً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يبطل الوضوء ولو حصل ذلك أثناء </w:t>
      </w:r>
    </w:p>
    <w:p>
      <w:pPr>
        <w:pStyle w:val="BookText"/>
        <w:rPr/>
      </w:pPr>
      <w:r>
        <w:rPr>
          <w:rFonts w:ascii="Amiri" w:hAnsi="Amiri" w:eastAsia="Amiri" w:cs="Amiri"/>
          <w:color w:val="111111"/>
          <w:sz w:val="28"/>
          <w:sz w:val="28"/>
          <w:szCs w:val="28"/>
          <w:rtl w:val="true"/>
          <w:lang w:bidi="ar-SA"/>
        </w:rPr>
        <w:t>الصلاة، ومن الواضح أنّ بعض ما لا ينقض الوضوء قد ينقض الصلاة كما في القهقهة فإنّها تنقض الصلاة دون الوضوء، فلعلّ السائل كان يتوهّم أنّ التجشّؤ من جملة ذلك فلذا ذكر في سؤاله أنّ التجشّؤ كان في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ثلاثة أسانيد لهذا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الكليني، وفيه محمد بن يحيی، وهو العطّار، وأحمد بن محمد، وهو ابن عيسی الأشعري القمي، وعثمان بن عيسی، وهو أحد أصحاب الإجماع، وسماعة، وهو ابن مهران، والإضمار لا يضرّ؛ لكون المضمِر من الأجلّاء على ما 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 وهو سند الكليني نفسه، فالسند أيضاً معتبر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إدريس في مستطرفات السرائر عن كتاب محمد بن علي بن محبوب، ولمّا لم يذكر ابن إدريس طرقه إلى الكتب والأصول التي استطرف منها الروايات التي سجّلها في آخر السرائر عدّها كثير من العلماء من المراسيل، وقد مَنَّ الله علينا بمعرفة الطريق، فصارت روايات مستطرفات السرائر خارجة عن حدِّ الإرسال وداخلة في حيّز المسانيد كما حقّقناه</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عن طريق الإجازات التي تضمّنت طريق ابن إدريس إلى جميع مصنفات الشيخ ومرويّاته ومنها كتاب الفهرست، وهي ثمان إجازات، وبضمّ طرق الشيخ إلى الكتب والأصول في الفهرست إلى طريق ابن إدريس إليه </w:t>
      </w:r>
    </w:p>
    <w:p>
      <w:pPr>
        <w:pStyle w:val="BookText"/>
        <w:rPr/>
      </w:pPr>
      <w:r>
        <w:rPr>
          <w:rFonts w:ascii="Amiri" w:hAnsi="Amiri" w:eastAsia="Amiri" w:cs="Amiri"/>
          <w:color w:val="111111"/>
          <w:sz w:val="28"/>
          <w:sz w:val="28"/>
          <w:szCs w:val="28"/>
          <w:rtl w:val="true"/>
          <w:lang w:bidi="ar-SA"/>
        </w:rPr>
        <w:t>تكون طرق الشيخ إلى الكتب والأصول في الفهرست طرقاً لابن إدريس أيضاً، وبهذا تكون روايات مستطرفات السرائر مسندة، لا خصوص ما كان يذهب إليه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استثناء نوادر البزنطي لتواتره، وروايات محمد بن علي بن محبوب، وقد عرضنا هذا التحقيق عليه فاستحسنه واستجوده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يتضح أنّ سند ابن إدريس إلى كتاب نوادر المصنّف صحيح</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الحسن الذي يروي عنه الحسين بن سعيد فهو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وهذا السند قد تقدّم مراراً، وهو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يَعْنِي ابْنَ مُحَمَّدِ بْنِ عِيسَى،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 ءِ وَالرُّعَافِ وَالْمِدَّةِ أَتَنْقُضُ الْوُضُوءَ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شَيْئاً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فِي عُيُونِ الْأَخْبَارِ عَنْ أَبِيهِ، عَنْ سَعْدِ بْنِ عَبْدِ اللَّهِ، عَنْ مُحَمَّدِ بْنِ الْحُسَيْنِ بْنِ أَبِي الْخَطَّابِ، عَنْ إِبْرَاهِيمَ بْنِ أَبِي مَحْمُودٍ مِثْلَهُ</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وَالْمِدَّةِ</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مَا يَجْتَمِعُ فِي الْجُرْحِ مِنَ الْقَيْحِ</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علی أنّ خروج القيء، وما يجتمع في الجُرْح من القيح وهو المِدَّة، والرّعاف، والدم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الزيادة المرويّة في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الوضوء،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مطلقاً، فيعمّ الطهارة بأقسامها من الوضوء والغُسل والتيمم، وغيرها كالصلاة، إلّا أنّه سيأتي الكلام في نقض بعض هذه الأشياء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 والاستبصار، وهو في التهذيب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p>
    <w:p>
      <w:pPr>
        <w:pStyle w:val="BookText"/>
        <w:rPr/>
      </w:pPr>
      <w:r>
        <w:rPr>
          <w:rFonts w:ascii="IRNazanin" w:hAnsi="IRNazanin" w:eastAsia="IRNazanin"/>
          <w:color w:val="111111"/>
          <w:sz w:val="28"/>
          <w:sz w:val="28"/>
          <w:szCs w:val="28"/>
          <w:rtl w:val="true"/>
          <w:lang w:bidi="fa-IR"/>
        </w:rPr>
        <w:t>أيّده الله تعالى، عن أحمد بن محمد بن الحسن بن الوليد، عن أبيه، عن محمد بن يحيى، وفي الاستبصار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عبيد الله عن أحمد بن محمد بن يحيی عن أبيه، ثم يتّحد الطريقان في محمد بن يحيی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يحيی عادةً ما يروي عن أحمد بن محمد بن عيسی بلا واسطة، وقد روی عنه هنا بواسطة محمد بن علي بن محبوب، وقول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يعني ابن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إيضاحاته، ولم يوجد في المصدر، وهو صحيح؛ لأنّ أحمد بن محمد بن عيسى هو الراوي عن إبراهيم بن أبي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ذكرنا في الباب الثالث من أبواب الماء المطلق عند بيان سند الحديث الثاني عشر أنّ إسناد الشيخ إلى أحمد بن محمد بن عيسی صحيح</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إبراهيم بن أبي محمود فقد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إبراهيم بن أبي محمود الخراساني ثقة،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 يرويه أحمد بن محمد بن عيسی</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الشيخ من أصحاب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في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 بن أبي محمود، خراساني، ثقة، مولى</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أسناد كتاب نوادر الحكمة</w:t>
      </w:r>
      <w:r>
        <w:rPr>
          <w:rFonts w:eastAsia="Amiri" w:cs="Amiri" w:ascii="Amiri" w:hAnsi="Amiri"/>
          <w:color w:val="111111"/>
          <w:sz w:val="28"/>
          <w:szCs w:val="28"/>
          <w:rtl w:val="true"/>
          <w:lang w:bidi="ar-SA"/>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فالسند معتبر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الصدوق 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صحيح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أَحْمَدَ بْنِ مُحَمَّدٍ، عَنِ الْحَسَنِ بْنِ عَلِيِّ بْنِ يَقْطِينٍ، عَنْ أَخِيهِ الْحُسَيْنِ،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الرُّعَافِ وَالْحِجَامَةِ وَالْقَيْ 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هَذَا شَيْئاً مِنَ الْوُضُوءِ، وَلَكِنْ يَنْقُضُ الصَّلَاةَ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الرُّعاف هو الدَّمُ الخارِج من الأَنْفِ بِعَيْنهِ</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والحِجَامَةُ هي فعل الحجّام، وهو من يمتصّ فم المحجمة، وهي الأداة التي تستعمل في الحجامة قديماً، ومن يقع عليه الحجم هو المحجوم</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يورد الماتن الحجامة في عنوان الباب، والمراد هنا أنّ من يحتجم أو يقيء أو يرعَف فإنّه باقٍ على وضوئه، فهذه الأمور لا يوجب شيء منها نقض أيّ صنف من أصناف الوضوء، لكن لو حدث له شيء منها وهو في الصلاة انتقضت، وتمام الكلام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وبإسناد الشيخ عن أحمد بن محمد، وهو ابن عيسی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مضى أنّ طريقه صحيح إلى جميع كتبه ورواياته، وذكر في المشيخة طريقين إليه، ذكرهما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ما ذكرته عن أحمد بن محمد ما رويته عن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جعفر محمد بن علي بن الحسين، عن أبيه، </w:t>
      </w:r>
    </w:p>
    <w:p>
      <w:pPr>
        <w:pStyle w:val="BookText"/>
        <w:rPr/>
      </w:pPr>
      <w:r>
        <w:rPr>
          <w:rFonts w:ascii="IRNazanin" w:hAnsi="IRNazanin" w:eastAsia="IRNazanin"/>
          <w:color w:val="111111"/>
          <w:sz w:val="28"/>
          <w:sz w:val="28"/>
          <w:szCs w:val="28"/>
          <w:rtl w:val="true"/>
          <w:lang w:bidi="fa-IR"/>
        </w:rPr>
        <w:t>عن سعد بن عبد الله، عن أحمد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جملة ما ذكرته عن أحمد بن محمد ما رويته عن أبي الحسين بن أبي جيد، عن محمد بن الحسن بن الوليد، عن محمد بن الحسن الصفار، 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الأوّل صحيح والثاني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 بن علي بن يقطين فقد تقدّمت وثاقته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الحسين فهو أخو الحسن، عدّه الشيخ في رجاله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w:t>
      </w:r>
      <w:r>
        <w:rPr>
          <w:rFonts w:eastAsia="IRNazanin" w:cs="IRNazanin"/>
          <w:color w:val="111111"/>
          <w:sz w:val="28"/>
          <w:szCs w:val="28"/>
          <w:rtl w:val="true"/>
          <w:lang w:bidi="fa-IR"/>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أسناد كتاب نوادر الحكمة</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أبوهما وهو علي بن يقطين فقد تقدّم الكلام في وثاقته وجلالته</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مُحَمَّدِ بْنِ عَلِيِّ بْنِ مَحْبُوبٍ، عَنِ الْحَسَنِ بْنِ عَلِيٍّ الْكُوفِيِّ، عَنِ الْحَسَنِ بْنِ عَلِيِّ بْنِ فَضَّالٍ، عَنْ غَالِبِ بْنِ عُثْمَانَ، عَنْ رَوْحِ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 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وُضُوءٌ وَإِنْ تَقَيَّأْتَ مُتَعَمِّداً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على أنّ القيء لا ينقض الوضوء، سواء كان قليلاً أم كثيراً، وسواء كان ما قاءه طعاماً أم غيره، بل الحديث صريح في عدم نقضه حتى لو تقيّاً المكلّف متعمّداً مطلقاً، ولو كان ذلك في حال الصلاة، نعم في بطلان الصلاة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بعض الأحاديث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يأتي في محلّه من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الكوفي، وهو الحسن بن علي بن عبد الله بن المغيرة البجلي، وقد مضى أنّه ثقة</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غالب بن عثمان فعدّه الشيخ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 بن عثمان المنقري، مولاهم السماك الكوفي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عنه عند ذكره في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واقفي</w:t>
      </w:r>
      <w:r>
        <w:rPr>
          <w:rFonts w:eastAsia="IRNazanin" w:cs="IRNazanin"/>
          <w:color w:val="111111"/>
          <w:sz w:val="28"/>
          <w:szCs w:val="28"/>
          <w:rtl w:val="true"/>
          <w:lang w:bidi="fa-IR"/>
        </w:rPr>
        <w:t>(</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غالب بن عثمان </w:t>
      </w:r>
    </w:p>
    <w:p>
      <w:pPr>
        <w:pStyle w:val="BookText"/>
        <w:rPr/>
      </w:pPr>
      <w:r>
        <w:rPr>
          <w:rFonts w:ascii="IRNazanin" w:hAnsi="IRNazanin" w:eastAsia="IRNazanin"/>
          <w:color w:val="111111"/>
          <w:sz w:val="28"/>
          <w:sz w:val="28"/>
          <w:szCs w:val="28"/>
          <w:rtl w:val="true"/>
          <w:lang w:bidi="fa-IR"/>
        </w:rPr>
        <w:t xml:space="preserve">المنقري، مولى، كوفي، سمّال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كحّال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مولی آل أعين، روی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عنه جماعة</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روح بن عبدالرحيم فقال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بن عبدالرحيم شريك المعلّی بن خنيس كوفي، ثقة، روی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 رواه عنه غالب بن عثمان</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الشيخ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أَحْمَدَ بْنِ مُحَمَّدٍ، عَنِ الْحَسَنِ بْنِ عَلِيٍّ، عَنِ ابْنِ سِنَانٍ،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الْقَيْ ءِ وُضُوءٌ</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القيء غير ناقض للوضوء مطلقاً، سواء كان قليلاً أم كثيراً، وسواء كان ما قاءه طعاماً أم غيره، وبإطلاقه يشمل ما لو كان إخراجه عن 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 أحمد بن محمد، وهو ابن عيسی، وقد تقدّم بيان إسناد الشيخ إليه،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وهو ابن فضّال، 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والظاهر أنّه محمد، وقد رجّحنا وثاقته</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ابن مسكان فهو عبد الله، وأبو بصير هو ليث بن البختري؛ لرواية عبد الله بن مسكان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الْحُسَيْنِ بْنِ سَعِيدٍ، عَنِ ابْنِ أَبِي عُمَيْرٍ، عَنْ رَهْطٍ سَمِعُوهُ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التَّبَسُّمَ فِي الصَّلَاةِ لَا يَنْقُضُ الصَّلَاةَ، وَلَا يَنْقُضُ الْوُضُوءَ، إِنَّمَا يَقْطَعُ الضَّحِكُ الَّذِي فِيهِ الْقَهْقَهَةُ</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أَنَّ الْقَطْعَ مَخْصُوصٌ بِالصَّلَاةِ؛ لِأَنَّهُ إِنَّمَا يُسْتَعْمَلُ فِيهَا لَا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على أنّ مجرّد التبسّم في حال الصلاة لا ينقضها، كما لا ينقض الوضوء حتّی لو صدر حال الصلاة، بخلاف الضحك المشتمل على القهقهة، فإنّه يقطع الصلاة، ولا يوجب نقض الوضوء، وإنّما قلنا إنّه يقطع الصلاة فقط؛ لأنّ القطع لا يقال إلّا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أفاده شيخ الطائفة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صلاته، وانقطعت صلاته، ولم تجر العادة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وضوئي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وهم ما دون العشرة، ومن المستبعد جدّاً أن لا يكون فيهم ثقة، مضافاً إلى أنّ المرسِل ابن أبي عمير، فيكون السند معتبراً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الْحَسَنِ أَخِيهِ،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تَسْمَعُ صَوْتَهُ أَوْ تَجِدُ رِيحَهُ، وَالْقَرْقَرَةُ فِي الْبَطْنِ إِلَّا شَيْئاً تَصْبِرُ عَلَيْهِ، وَالضَّحِكُ فِي الصَّلَاةِ وَالْقَيْ ءُ</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إِلَّا شَيْئاً تَصْبِرُ عَلَيْهِ، أَيْ تَحْبِسُهُ وَلَا تُخْرِجُهُ، وَمَعْلُومٌ أَنَّ ذَلِكَ مِنَ الرِّيحِ فَإِخْرَاجُهُ يَنْقُضُ الْوُضُوءَ دُونَ مُجَرَّدِ الْقَرْقَرَةِ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أنّ ما ينقض الوضوء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وفُسّر هنا بالريح التي يُسمع صوتها، أو التي لا يكون لها صوت ولكن يوجَد ريحُها، وقد سبق في الباب الأوّل من هذه الأبواب أنّها بنوعيها ناقضة للوضوء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القرقرة في البطن، وهي الصوت الصادر من البطن، ولابد من حمله على صدور الحدث معه، والقرينة 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شيئاً تصبر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فلا يخرج منك، فإنّه حينئذٍ غير ناقض</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 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في الصلاة، والقيء، وهو مخالف لما مرّ في هذا الباب، ولعلّه مستند ابن الجنيد القائل بناقضيّة الضحك حال الصلاة للوضوء،وقد حمله الشيخ في التهذيب على صدور ضحك مُضْعِفٍ وقيء كذلك، لا </w:t>
      </w:r>
    </w:p>
    <w:p>
      <w:pPr>
        <w:pStyle w:val="BookText"/>
        <w:rPr/>
      </w:pPr>
      <w:r>
        <w:rPr>
          <w:rFonts w:ascii="Amiri" w:hAnsi="Amiri" w:eastAsia="Amiri" w:cs="Amiri"/>
          <w:color w:val="111111"/>
          <w:sz w:val="28"/>
          <w:sz w:val="28"/>
          <w:szCs w:val="28"/>
          <w:rtl w:val="true"/>
          <w:lang w:bidi="ar-SA"/>
        </w:rPr>
        <w:t>يملك معهما نفسه، ولا يأمن أن يكون قد أحدث، والأظهر حمله على التقيّة لمعروفيّتهما بين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رجاله، وهو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مُحَمَّدِ بْنِ عَلِيِّ بْنِ مَحْبُوبٍ، عَنْ مُحَمَّدِ بْنِ عَبْدِ الْجَبَّارِ، عَنِ الْحَسَنِ بْنِ عَلِيِّ بْنِ فَضَّالٍ، عَنْ صَفْوَانَ، عَنْ مَنْصُورٍ، عَنْ أَبِي عُبَيْدَةَ الْحَذَّاءِ،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الرُّعَافُ وَالْقَيْ ءُ وَالتَّخْلِيلُ يُسِيلُ الدَّمَ إِذَا اسْتَكْرَهْتَ شَيْئاً يَنْقُضُ الْوُضُوءَ، وَإِنْ لَمْ تَسْتَكْرِهْهُ لَمْ يَنْقُضِ الْوُضُوءَ</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الشَّيْخُ عَلَى التَّقِيَّةِ؛ لِمُوَافَقَتِهِمَا لِلْعَامَّةِ، وَجَوَّزَ حَمْلَهُمَا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التخليل هو تخليل ما بين الأسنان، ويحتمل في الاستكراه أن يكون بمعنی النّفرة والاشمئزاز، ولعله بسبب الكثرة فيكون موافقاً لما عن بعض العامّة من أنّ الدم والقيء والقلس إذا كان فاحشاً نقض الوضوء وإلّا لم ينقضه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المجلسي الثاني أن يكون الاستكراه كناية عن التقيّة، أي إن خفت ضرراً</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واحتمل الشيخ أن يكون هذا الحديث والحديث الذي قبله محمولين علی الاستحباب</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الصحيح هو الحمل علی التقيّة لا الاستحباب؛ والوجه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توجد كبری مفادها أنّه إذا تعارضت أصالة الظهور وأصالة الجهة سقطت </w:t>
      </w:r>
    </w:p>
    <w:p>
      <w:pPr>
        <w:pStyle w:val="BookText"/>
        <w:rPr/>
      </w:pPr>
      <w:r>
        <w:rPr>
          <w:rFonts w:ascii="IRNazanin" w:hAnsi="IRNazanin" w:eastAsia="IRNazanin"/>
          <w:color w:val="111111"/>
          <w:sz w:val="28"/>
          <w:sz w:val="28"/>
          <w:szCs w:val="28"/>
          <w:rtl w:val="true"/>
          <w:lang w:bidi="fa-IR"/>
        </w:rPr>
        <w:t>أصالة الظهور دون أصالة الجهة، ففي المقام إذا وردت عدّة أحاديث تدلّ علی عدم نقض الوضوء بأمور معيّنة، وورد حديث أو حديثان يدلّان علی نقضه بها، دار الأمر بين التصرّف في الجهة فنحملهما علی التقيّة ونتركهما، أو التصرّف في الدلالة، أي أصالة الظهور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الطائفة الأولی في الوجوب ملغي، وهو محمول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عدم انطباق الكبری علی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النقض وعدم النقض في الطائفتين إرشاد إلی الفساد وعدمه، فلا حكم مولوي 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أنّ الانتقاض وعدم الانتقاض أمران متناقضان، ولا معنی للفساد أو الانتقاض استحباباً، إذن لا بدّ من حمل الطائفة الأولی علی التقيّة فلا يبقی بذلك معنی ومقتض للحكم بالاستحباب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بالتوضّؤ برجاء المطلوبيّة</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 صفوان وهو ابن يحيی، ومنصور وهو ابن حازم، والسند صحيح</w:t>
      </w:r>
      <w:r>
        <w:rPr>
          <w:rFonts w:eastAsia="IRNazanin" w:cs="IRNazanin"/>
          <w:color w:val="111111"/>
          <w:sz w:val="28"/>
          <w:szCs w:val="28"/>
          <w:rtl w:val="true"/>
          <w:lang w:bidi="fa-IR"/>
        </w:rPr>
        <w:t xml:space="preserve">. </w:t>
      </w:r>
      <w:bookmarkStart w:id="118" w:name="pg15724_204171"/>
    </w:p>
    <w:p>
      <w:pPr>
        <w:pStyle w:val="BookText"/>
        <w:rPr/>
      </w:pPr>
      <w:bookmarkEnd w:id="11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يَقْطَعُ التَّبَسُّمُ الصَّلَاةَ وَتَقْطَعُهَا الْقَهْقَهَةُ وَلَا تَنْقُضُ الْوُضُوءَ</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عَلَيْهِ إِنْ شَاءَ اللَّهُ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التبسم في حال الصلاة لا يقطعها، وأمّا القهقهة فتقطع الصلاة مطلقاً، سواء وقعت عمداً أم سهواً، وهي لا تنقض الوضوء مطلقاً وإن وقعت حال الصلاة، عمداً أو سهواً</w:t>
      </w:r>
      <w:r>
        <w:rPr>
          <w:rFonts w:eastAsia="IRNazanin" w:cs="IRNazanin"/>
          <w:color w:val="111111"/>
          <w:sz w:val="28"/>
          <w:szCs w:val="28"/>
          <w:rtl w:val="true"/>
          <w:lang w:bidi="fa-IR"/>
        </w:rPr>
        <w:t>.</w:t>
      </w:r>
    </w:p>
    <w:p>
      <w:pPr>
        <w:pStyle w:val="Heading3"/>
        <w:numPr>
          <w:ilvl w:val="2"/>
          <w:numId w:val="1"/>
        </w:numPr>
        <w:rPr/>
      </w:pPr>
      <w:bookmarkStart w:id="119" w:name="__RefHeading___Toc12417947_2142443653"/>
      <w:bookmarkStart w:id="120" w:name="_Toc43"/>
      <w:bookmarkEnd w:id="119"/>
      <w:r>
        <w:rPr>
          <w:rtl w:val="true"/>
        </w:rPr>
        <w:t>المتحصل من الأحادیث</w:t>
      </w:r>
      <w:bookmarkEnd w:id="120"/>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مراسيل الصدوق، وقد سبق مراراً الكلام في اعتبارها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ثلاثة عشر حديثاً، فالأحاديث المعتبرة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والثالث والرابع بطريقيهما، والخامس بطريقيه الأوّلَين والسادس بسنده الأوّل، والتاسع، والعاشر، والثالث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بطريقه الثاني، والسابع، والثاني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والموثقة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بطريقه الثالث، والثامن، والحادي عشر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الجشاء والقيء، وما يجتمع في الجُرْح من القيح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والرّعاف،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خروجه بمثل التخليل، أو الحجامة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غير ناقضة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عدم ناقضيّة هذه الأمور بين القليل منها والكثير، ولا بين حدوثها عن عمد 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التبسّم في حال الصلاة لا ينقضها، كما أنّه لا ينقض الوضوء حتّی لو صدر حال الصلاة، بخلاف الضحك المشتمل علی القهقهة، فإنّه يقطع الصلاة، ولا يوجب نقض الوضوء وإن صدرت القهقهة حال الصلاة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القرقرة في البطن لا تنقض الوضوء ولا تقطع الصلاة</w:t>
      </w:r>
      <w:r>
        <w:rPr>
          <w:rFonts w:eastAsia="Amiri" w:cs="Amiri" w:ascii="Amiri" w:hAnsi="Amiri"/>
          <w:color w:val="111111"/>
          <w:sz w:val="28"/>
          <w:szCs w:val="28"/>
          <w:rtl w:val="true"/>
          <w:lang w:bidi="ar-SA"/>
        </w:rPr>
        <w:t xml:space="preserve">. </w:t>
      </w:r>
      <w:bookmarkStart w:id="121" w:name="pg15724_204173"/>
    </w:p>
    <w:p>
      <w:pPr>
        <w:pStyle w:val="Heading2"/>
        <w:numPr>
          <w:ilvl w:val="1"/>
          <w:numId w:val="1"/>
        </w:numPr>
        <w:rPr/>
      </w:pPr>
      <w:bookmarkStart w:id="122" w:name="__RefHeading___Toc12417949_2142443653"/>
      <w:bookmarkStart w:id="123" w:name="_Toc44"/>
      <w:bookmarkEnd w:id="121"/>
      <w:bookmarkEnd w:id="122"/>
      <w:r>
        <w:rPr/>
        <w:t>7</w:t>
      </w:r>
      <w:r>
        <w:rPr>
          <w:rtl w:val="true"/>
        </w:rPr>
        <w:t xml:space="preserve">- </w:t>
      </w:r>
      <w:r>
        <w:rPr>
          <w:rtl w:val="true"/>
        </w:rPr>
        <w:t>بَابُ أَنَّهُ لَا يَنْقُضُ الْوُضُو ءَ رُعَافٌ وَلَا حِجَامَةٌ وَلَا خُرُوجُ دَمٍ غَيْرُ الْحَيْضِ وَالِاسْتِحَاضَةِ وَالنِّفَاسِ</w:t>
      </w:r>
      <w:bookmarkEnd w:id="123"/>
    </w:p>
    <w:p>
      <w:pPr>
        <w:pStyle w:val="Heading3"/>
        <w:numPr>
          <w:ilvl w:val="2"/>
          <w:numId w:val="1"/>
        </w:numPr>
        <w:rPr/>
      </w:pPr>
      <w:bookmarkStart w:id="124" w:name="__RefHeading___Toc12417951_2142443653"/>
      <w:bookmarkStart w:id="125" w:name="_Toc45"/>
      <w:bookmarkEnd w:id="124"/>
      <w:r>
        <w:rPr>
          <w:rtl w:val="true"/>
        </w:rPr>
        <w:t>اشارة</w:t>
      </w:r>
      <w:bookmarkEnd w:id="12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يَنْقُضُ الْوُضُوءَ رُعَافٌ وَلَا حِجَامَةٌ وَلَا خُرُوجُ دَمٍ غَيْرُ الْحَيْضِ وَالِاسْتِحَاضَةِ وَالنِّفَاسِ</w:t>
      </w:r>
    </w:p>
    <w:p>
      <w:pPr>
        <w:pStyle w:val="Heading3"/>
        <w:numPr>
          <w:ilvl w:val="2"/>
          <w:numId w:val="1"/>
        </w:numPr>
        <w:rPr/>
      </w:pPr>
      <w:bookmarkStart w:id="126" w:name="__RefHeading___Toc12417953_2142443653"/>
      <w:bookmarkStart w:id="127" w:name="_Toc46"/>
      <w:bookmarkEnd w:id="126"/>
      <w:r>
        <w:rPr>
          <w:rtl w:val="true"/>
        </w:rPr>
        <w:t>شرح الباب</w:t>
      </w:r>
      <w:r>
        <w:rPr>
          <w:rtl w:val="true"/>
        </w:rPr>
        <w:t>:</w:t>
      </w:r>
      <w:bookmarkEnd w:id="127"/>
    </w:p>
    <w:p>
      <w:pPr>
        <w:pStyle w:val="BookText"/>
        <w:rPr/>
      </w:pPr>
      <w:r>
        <w:rPr>
          <w:rFonts w:ascii="Amiri" w:hAnsi="Amiri" w:eastAsia="Amiri" w:cs="Amiri"/>
          <w:color w:val="111111"/>
          <w:sz w:val="28"/>
          <w:sz w:val="28"/>
          <w:szCs w:val="28"/>
          <w:rtl w:val="true"/>
          <w:lang w:bidi="ar-SA"/>
        </w:rPr>
        <w:t>هذا الباب معقود لبيان أنّ الدم الذي يخرج من الإنسان كالرّعاف، ودم الجروح وما يخرج من أحد السبيلين أو يُخرجه كالحجامة والفصد، وما يُخرجه للتبرّع به أو للتحليل أو لغير ذلك لا ينقض الوضوء قلّ أو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واستثناء دم الحيض والاستحاضة والنفاس مستفاد من غير هذا الباب</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2417955_2142443653"/>
      <w:bookmarkStart w:id="129" w:name="_Toc47"/>
      <w:bookmarkEnd w:id="128"/>
      <w:r>
        <w:rPr>
          <w:rtl w:val="true"/>
        </w:rPr>
        <w:t>أقوال الخاصّة</w:t>
      </w:r>
      <w:r>
        <w:rPr>
          <w:rtl w:val="true"/>
        </w:rPr>
        <w:t>:</w:t>
      </w:r>
      <w:bookmarkEnd w:id="129"/>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دم ولو خرج من أحد السبيلين عدا الدماء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بل الأصول، والاجماع المنقول، بل المحصّل</w:t>
      </w:r>
      <w:r>
        <w:rPr>
          <w:rFonts w:eastAsia="Amiri" w:cs="Amiri" w:ascii="Amiri" w:hAnsi="Amiri"/>
          <w:color w:val="111111"/>
          <w:sz w:val="28"/>
          <w:szCs w:val="28"/>
          <w:rtl w:val="true"/>
          <w:lang w:bidi="ar-SA"/>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مضی في الباب السابق قول العلامة في التذكرة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القيء لا ينقض الوضوء، سواء قلّ أو كثر، وكذا ما يخرج من غير السبيلين، كالدم والبصاق والرّعاف وغير ذلك، ذهب إليه علماؤنا</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130" w:name="pg15724_204174"/>
    </w:p>
    <w:p>
      <w:pPr>
        <w:pStyle w:val="Heading3"/>
        <w:numPr>
          <w:ilvl w:val="2"/>
          <w:numId w:val="1"/>
        </w:numPr>
        <w:rPr/>
      </w:pPr>
      <w:bookmarkStart w:id="131" w:name="__RefHeading___Toc12417957_2142443653"/>
      <w:bookmarkStart w:id="132" w:name="_Toc48"/>
      <w:bookmarkEnd w:id="130"/>
      <w:bookmarkEnd w:id="131"/>
      <w:r>
        <w:rPr>
          <w:rtl w:val="true"/>
        </w:rPr>
        <w:t>أقوال العامّة</w:t>
      </w:r>
      <w:r>
        <w:rPr>
          <w:rtl w:val="true"/>
        </w:rPr>
        <w:t>:</w:t>
      </w:r>
      <w:bookmarkEnd w:id="13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في الباب السابق أنّهم مختلفون في نقض الدم للوضوء، فما يخرج من البدن من غير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ينقض الوضوء عندهم في الجملة رواية واحدة، روي ذلك عن ابن عبّاس وابن عمر وسعيد بن المسيّب وعلقمة وعطاء وقتادة والثوري وإسحاق وأصحاب الرأي، وكان مالك وربيعة والشافعي وأبو ثور وابن المنذر لا يوجبون منه وضوءاً، وقال مكحول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وضوء إلّا في ما خرج من قبل أو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ينتقض الوضوء بالكثير من ذلك دون اليسير، وقال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رواية أخری أنّ اليسير ينقض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سال الدم ففيه الوضوء وإن وقف علی رأس الجرح لم 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سوی الدم لا يوجب وضوءاً</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133" w:name="pg15724_204175"/>
    </w:p>
    <w:p>
      <w:pPr>
        <w:pStyle w:val="BookText"/>
        <w:rPr/>
      </w:pPr>
      <w:bookmarkEnd w:id="13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عَنْ عَبْدِ اللَّهِ بْنِ عَامِرٍ، عَنْ عَلِيِّ بْنِ مَهْزِيَارَ، عَنْ فَضَالَةَ،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يَأْخُذُهُ الرُّعَافُ وَالْقَيْ ءُ فِي الصَّلَاةِ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يَنْفَتِلُ فَيَغْسِلُ أَنْفَهُ وَيَعُودُ فِي صَلَاتِهِ، وَإِنْ تَكَلَّمَ فَلْيُعِدْ صَلَاتَهُ، وَلَيْسَ عَلَيْهِ وُضُوءٌ</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الْحُسَيْنِ بْنِ مُحَمَّدٍ مِثْلَهُ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2417959_2142443653"/>
      <w:bookmarkStart w:id="135" w:name="_Toc49"/>
      <w:bookmarkEnd w:id="134"/>
      <w:r>
        <w:rPr>
          <w:rtl w:val="true"/>
        </w:rPr>
        <w:t>بحث رجالي حول عبدالأعلي مولی آل سام</w:t>
      </w:r>
      <w:bookmarkEnd w:id="1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المصلّي إذا طرأ عليه الرّعاف والقيء، فإن أمكنه غسل الرّعاف والعود إلی الصلاة انفتل عن الصلاة، أي انصرف عنها وغسل أنفه ثمّ عاد إلی صلاته وبنی عليها من حيث توقّف، وصحّت صلاته، ما لم يكن قد تكلّم، لكون الكلام من قواطع الصلاة، فإذا تكلّم عمداً كان عليه إعادة صلاته، وظاهره الإطلاق في الغَسل والبناء وإن استلزم مبطلاً غير الكلام من الاستدبار ونحوه، لكن يجب تقييده بما إذا لم يستلزم مبطلاً آخر، أو حمله علی ذلك، إذ لم يقل أحد من علمائنا بعدم بطلان الصلاة بغير الكلام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الوضوء فلم ينتقض فلا موجب لإعادته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لغسل الفم </w:t>
      </w:r>
    </w:p>
    <w:p>
      <w:pPr>
        <w:pStyle w:val="BookText"/>
        <w:rPr/>
      </w:pPr>
      <w:r>
        <w:rPr>
          <w:rFonts w:ascii="Amiri" w:hAnsi="Amiri" w:eastAsia="Amiri" w:cs="Amiri"/>
          <w:color w:val="111111"/>
          <w:sz w:val="28"/>
          <w:sz w:val="28"/>
          <w:szCs w:val="28"/>
          <w:rtl w:val="true"/>
          <w:lang w:bidi="ar-SA"/>
        </w:rPr>
        <w:t>من القيء، ويمكن أن يكون ذلك لوضوحه، أو لعدم مانعيّته للصلاة؛ إذ القيء ليس بنجس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الكليني، وقد مضی الكلام في أفراده، وهو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الشيخ في التهذيب والاستبصار إلی الحسين بن محمد شيخ الكليني، فالشيخ يروي عن الكليني بأسانيده في المشيخة، ويروي بتلك الأسانيد عن الحسين بن محمد، فالسند صحيح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الشيخ بسند آخر في التهذيب،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عبد الله، عن موسی بن الحسن، عن السندي بن محمد، عن العلا بن رزين،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موسی بن الحسن، وهو موسی بن الحسن بن عامر الأشعري،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الحسن بن عامر بن عمران بن عبد الله بن سعد الأشعري القمي أبو الحسن ثقة عين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ثلاثين كتاباً</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الشيخ في رجاله في من لم يرو عن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الحميري</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عنه في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بن عامر، له كتاب الحج، أخبرنا به جماعة، </w:t>
      </w:r>
    </w:p>
    <w:p>
      <w:pPr>
        <w:pStyle w:val="BookText"/>
        <w:rPr/>
      </w:pPr>
      <w:r>
        <w:rPr>
          <w:rFonts w:ascii="Amiri" w:hAnsi="Amiri" w:eastAsia="Amiri" w:cs="Amiri"/>
          <w:color w:val="111111"/>
          <w:sz w:val="28"/>
          <w:sz w:val="28"/>
          <w:szCs w:val="28"/>
          <w:rtl w:val="true"/>
          <w:lang w:bidi="ar-SA"/>
        </w:rPr>
        <w:t>عن أبي جعفر بن بابويه، عن أبيه، عن الحميري، عنه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ظاهر كلام الشيخ أنّ راوي كتاب موسی بن الحسن بن عامر هو الحميري نفسه، وصريح كلام النجاشي أنّ الحميري رواه بواسطة أبيه، ولعلّ الواسطة قد سقط عن كلام الشيخ في الفهرست والرجال</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فهذا السند صحيح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رَعَفَ فَلَمْ يَرْقَ رُعَافُهُ حَتَّى دَخَلَ وَقْتُ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يَحْشُو أَنْفَهُ بِشَيْ ءٍ ثُمَّ يُصَلِّي وَلَا يُطِيلُ إِنْ خَشِيَ أَنْ يَسْبِقَهُ الدَّمُ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عَلِيِّ بْنِ إِبْرَاهِيمَ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أَحْمَدَ بْنِ مُحَمَّدٍ، عَنْ عُثْمَانَ بْنِ عِيسَى،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رقأ الدمع رقوءاً، ورقأ الدم يرقأ رقأ ورقوءاً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انقطع</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ويحشو أنفه بشيء، أي يملؤه بالقطن ونحوه، جاء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احْتَشتْ أَي استَدْخلَتْ شيئاً يمنع الدم من القطن؛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سمّي القُطْنُ الحَشْوَ؛ لأَنّه تُحْشَی به الفُرُش وغيرها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 الوِسادة والفراشَ وغيرهما يَحْشُوها حَشْواً ملأَها، واسم ذلك الشيء الحَشْوُ، علی لفظ المصدر</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دلّ علی أنّ الرّعاف لا ينقض الوضوء، وإن استمر إلی وقت الصلاة فبإمكان المكلّف أن يصلّي به لكن يُدخل في أنفه شيئاً كالقطن ونحوه حتی لا يخرج الدم منه ويتنجّس، وهذا ظاهر في أنّ الرّعاف لا يقطع الصلاة أيضاً، وأمّا النهي عن إطالته الصلاة عند خشية أن يفاجأه الدم فهو إرشاد إلی التحرّز عن إيقاع الصلاة مع الدم مهما أمكن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ثلاثة أسانيد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الكافي، وقد تقدّم أنّ أفراده ثقات، وعليه فالسند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 وهو سند الكافي نفسه، فالسند معتبر أيضاً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الشيخ في التهذيب أيضاً، وهو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كتاب سماعة مشهور، فلا حاجة إلی السند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مُحَمَّدِ بْنِ عَلِيِّ بْنِ مَحْبُوبٍ، عَنْ مُحَمَّدِ بْنِ الْحُسَيْنِ، عَنْ صَفْوَانَ، عَنِ الْعَلَاءِ، عَنْ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تَخْرُجُ بِهِ الْقُرُوحُ لَا تَزَالُ تَدْمَى كَيْفَ يُصَلِّي قَالَ يُصَلِّي وَإِنْ كَانَتِ الدِّمَاءُ تَسِيلُ</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أَحَادِيثُ أُخَرُ تَأْتِي فِي مَحَلِّهَا إِنْ شَاءَ اللَّهُ تَعَالَى</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استمرار خروج الدم من القروح حتّی حال الصلاة لا يضرّ بها، وظاهره أنّ القليل والكثير من الدم سواء، كما أنّه لا ينقض الوضوء وإلّا لما صحّت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وهو محمد بن الحسين بن أبي الخطّاب، وصفوان وهو ابن يحيی، والعلاء وهو ابن رزين، ومحمد وهو ابن مسلم الثقفي، وكلّهم من أجلّاء الطائفة كما تقدّم، فهذا السند صحيح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أَحْمَدَ بْنِ يَحْيَى، عَنْ أَحْمَدَ بْنِ أَبِي عَبْدِ اللَّهِ، عَنْ أَبِيهِ، عَنْ أَحْمَدَ بْنِ النَّضْرِ،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رَعَفْتُ دَوْرَقاً</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 عَلَى أَنْ أَمْسَحَ مِنِّي الدَّمَ وَأُصَلِّيَ</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فالسكون الجرّة ذات العروة، وهو مكيال للشراب معروف، يسع علی ما قيل أربعة أمنان، وهو معرّب، وفي بعض النسخ الذَّوْرَف وهو أيضاً مكيال للشراب</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والغرض من ذكره هنا بيان كثرة الدم، أي لو رعفت هذا المقدار الكثير الذي يملأ دورقاً لما أعدت وضوئي واكتفيت بمسح الدم فقط وأصلّي، والظاهر أنّ مراده مسح الدم بالماء لأجل التطهير، كما تدلّ عليه الأحاديث الآتية، وقد جاء فيها التعبير بالغسل والتنقية، وهذا يعني أنّ الرّعاف وإن كان كثيراً لا ينقض الوضوء، وفيه ردّ علی العامّة القائلين بأنّ الوضوء ينتقض بالدم الكثير دون اليسير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أنّ أسناد الشيخ إلی محمد بن أحمد بن يحيی متعدّدة وفيها الصحيح والمعتبر</w:t>
      </w:r>
      <w:r>
        <w:rPr>
          <w:rFonts w:eastAsia="IRNazanin" w:cs="IRNazanin"/>
          <w:color w:val="111111"/>
          <w:sz w:val="28"/>
          <w:szCs w:val="28"/>
          <w:rtl w:val="true"/>
          <w:lang w:bidi="fa-IR"/>
        </w:rPr>
        <w:t>(</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أنّ أحمد بن أبي عبد الله هو أحمد بن محمد بن خالد البرقي، ثقة في نفسه</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وأبوه محمد بن خالد تعارض فيه تضعيف النجاشي وتوثيق الشيخ في رجاله، وجمعنا بينهما بأنّه ثقة في نفسه إلا أنّه ضعيف في الحديث، بمعنی أنّه يروي عن الضعفاء، ويعتمد المراسيل</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أحمد بن النضر فهو الخزّاز، وقد مضی أنّه ثقة</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عمرو بن شمر فهو الجعفي، وقد تقدّم أنّ النجاشي ضعّفه بقوله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يتعرّض الشيخ لضعفه، وقد ورد في أسناد تفسير القمي، وجمعنا بين التضعيف والتوثيق بحمل الضعف علی مذهبه لا روايته</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جابر فهو جابر بن يزيد الجعفي، وقد حقّقنا وثاقته من سبعة وجوه في كتابنا أصول علم الرجال</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فهذا 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الْحُسَيْنِ بْنِ سَعِيدٍ، عَنْ عُثْمَانَ بْنِ عِيسَى،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قَاءَ الرَّجُلُ وَهُوَ عَلَى طُهْرٍ فَلْيَتَمَضْمَضْ، وَإِذَا رَعَفَ وَهُوَ عَلَى وُضُوءٍ فَلْيَغْسِلْ أَنْفَهُ؛ فَإِنَّ ذَلِكَ يُجْزِيهِ وَلَا يُعِيدُ وُضُوءَهُ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القيء لا يوجب نقض الطهارة، فمن قاء وهو علی طهارة فعليه أن يتمضمض، للتنظيف استحباباً؛ لكون القيء طاهراً، وإن نقل الشيخ في المبسوط القول بنجاسته عن بعض الأصحاب</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الأمر بالمضمضة لا يدلّ علی نجاسته؛ إذ البواطن كالفم والأنف والأذن إذا تنجّست تطهر بزوال عين النجاسة عنها إجماعاً كما ذكر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الأمر بالمضمضة محمولاً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دلّ الحديث بالصراحة علی أنّه إذا رعف وهو علی وضوء لم ينتقض وضوؤه، وأجزأه أن يغسل أنفه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 أفراده، وهو معتبر، ولا يضر إضماره؛ لأنّه من مضمرات أبي بصير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الْحَسَنِ بْنِ عَلِيِّ بْنِ فَضَّالٍ، عَنْ عَلِيِّ بْنِ يَعْقُوبَ الْهَاشِمِيِّ، عَنْ مَرْوَانَ بْنِ مُسْلِمٍ، عَنْ عَبْدِ الْأَعْلَى،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الْحِجَامَةِ أَفِيهَا وُضُوءٌ؟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عدم نقض الحجامة للوضوء، بلا فرق بين أن يكون الخارج بها قليلاً أو كثيراً، خلافاً للعامّة القائلين بانتقاض الوضوء بخروج الكثير من الدم دون اليسير، وعن بعضهم أنّ اليسير ينقض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الصحيح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 عن محمد بن علي بن محبوب، لأنّه روی عنه في حديثٍ وبعده بخمسة أحاديث قال في أوائلها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وهذا الحديث مثلها فالضمير يرجع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يعقوب الهاشمي، وقد سبق أنّه لم يرد فيه شيء</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عبد الأعلی فهو عبد الأعلی مولی آل سام، عدّه الشيخ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الكشي رواية مادحة له،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الناس يعتبون عليّ بالكلام وأنا أكلّم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مثلك من يقع ثمّ يطير فنعم، وأمّا من يقع ثمّ لا يطير فلا</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ذُكرت للقول بوثاقته وجوه ناقشها سيدنا الأستاذ في المعجم،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رواية الكشي تدلّ علی رضا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بمناظرته، وأنّه كان يستحسنه، وهو دليل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الرواية لم تثبت إلّا من طريق عبد الأعلی نفسه، فإن كان ممّن يوثق بقوله مع قطع النظر عن هذه الرواية فلا حاجة إلی الاستدلال بها، وإلّا فلا يصدّق في روايته هذه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أن يكون الرجل قويّاً في الجدل والمناظرة، وأن يكون ثقة في أقواله، والمطلوب في الراوي هو الثاني دون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متّحد مع عبد الأعلی بن أعين العجلي المتقدّم، وهو ثقة بشهادة الشيخ المفيد وعلي بن إبراهيم كما تقدّم، ويدل علی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رواية محمد بن يعقوب والشيخ من التصريح بأنّ عبد الأعلی بن أعين هو عبد الأعلی مولی آل سام، كما تقدّم في عبد الأعلی بن أعين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 أنّ غاية ما يثبت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الأعلی مولی آل سام هو ابن أعين، ولا يثبت بذلك الاتحاد، إذ من الممكن أن يكون عبد الأعلی العجلي غير عبد الأعلی مولی آل سام، ويكون والد كلّ منهما مسمّی بأعين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ويكشف عن ذلك عدّ الشيخ كلّاً منهما مستقلّاً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أمارة التعدّد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التعليقة أنّه يظهر من الأخبار فضله وتديّنه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ما يجب علی الناس عند مضيّ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ويروي عنه جعفر بن بشير بواسطة، وفيه إشعار بوثاقته، وكذا كونه كثير الرواية ورواياته مفتي بها، ويروي عنه غير جعفر من الأجلّة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رواية الكافي فلا دلالة فيها إلّا علی كون عبد الأعلی شيعيّاً، وقد 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أمر الإمامة وعمّا يجب علی الناس بعد مضيّ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رواية جعفر بن بشير فلا دلالة فيها علی الوثاقة في ما إذا كانت بلا واسطة، فضلاً عمّا إذا كانت مع الواسطة، وكذلك الكلام في رواية الأجلّاء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كون رواياته مفتي بها، فهو علی تقدير تسليمه لا يدلّ علی وثاقة الراوي كما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أنّ الرجل لم تثبت وثاقته ولا حسنه</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كما أفاد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السند 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الْمُفِيدِ، عَنْ أَحْمَدَ بْنِ مُحَمَّدِ بْنِ الْحَسَنِ</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سَعْدِ بْنِ عَبْدِ اللَّهِ وَ</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عَنْ جَعْفَرِ بْنِ بَشِيرٍ، عَنْ أَبِي حَبِيبٍ الْأَسَدِيِّ،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الرَّجُلِ يَرْعُفُ وَهُوَ عَلَى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آثَارَ الدَّمِ وَيُصَلِّي</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وظيفة من جاءه الرّعاف وكان علی وضوء أن يغسل آثار الدم التي أصابت بدنه أو لباسه فقط، ثمّ يصلّي، ومعنی هذا أنّه ليس عليه إعادة وضوئه، فالرعاف ليس بناقض للوضوء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هكذا ورد السند في التهذيب، لكن في الاستبصار روی عن الشيخ المفيد عن أبي القاسم جعفر بن قولويه الثقة بدل أحمد بن محمد بن الحسن بن الوليد، مع أنّا ذكرنا فيما سبق أنّ روايات أحمد الواردة في الكتب الأربعة كلّها عن أبيه محمد بن الحسن، وأنّ للشيخ طريقين معتبرين إلی محمد بن الحسن ليس فيهما أحمد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ومحمد بن الحسين بن أبي الخطاب، وهو </w:t>
      </w:r>
    </w:p>
    <w:p>
      <w:pPr>
        <w:pStyle w:val="BookText"/>
        <w:rPr/>
      </w:pPr>
      <w:r>
        <w:rPr>
          <w:rFonts w:ascii="Amiri" w:hAnsi="Amiri" w:eastAsia="Amiri" w:cs="Amiri"/>
          <w:color w:val="111111"/>
          <w:sz w:val="28"/>
          <w:sz w:val="28"/>
          <w:szCs w:val="28"/>
          <w:rtl w:val="true"/>
          <w:lang w:bidi="ar-SA"/>
        </w:rPr>
        <w:t>غريب؛ إذ أنّ سعد بن عبد الله تلميذٌ لمحمد بن الحسين بن أبي الخطاب ومن غير المعهود تقارنهما، ثمّ إنّ مقتضاه أن يروي سعد عن جعفر بن بشير بلا واسطة، وهو غير ممكن</w:t>
      </w:r>
      <w:r>
        <w:rPr>
          <w:rFonts w:eastAsia="Amiri" w:cs="Amiri" w:ascii="Amiri" w:hAnsi="Amiri"/>
          <w:color w:val="111111"/>
          <w:sz w:val="28"/>
          <w:szCs w:val="28"/>
          <w:rtl w:val="true"/>
          <w:lang w:bidi="ar-SA"/>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هذا فالصحيح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ما في السند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محمد بن الحسين بن أبي الخطاب عن جعفر بن بشير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أبو حبيب الأسدي فلم يستبعد السيّد الأستاذ اتحاده مع أبي حبيب، الراوي عن محمد بن مسلم</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أبي حبيب ناجية</w:t>
      </w:r>
      <w:r>
        <w:rPr>
          <w:rFonts w:eastAsia="Amiri" w:cs="Amiri" w:ascii="Amiri" w:hAnsi="Amiri"/>
          <w:color w:val="111111"/>
          <w:sz w:val="28"/>
          <w:szCs w:val="28"/>
          <w:rtl w:val="true"/>
          <w:lang w:bidi="ar-SA"/>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وناجية بن أبي عمارة الذي عدّه الشيخ 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البرقي 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كما عدّ ناجية الصيداوي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الكشي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علي بن الحسن بن فضّال عن نجيّة،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نجيّة، واسم آخر أيضاً ناجية بن أبي عمارة الصيداوي،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وأخبرني بعض ولده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 نجيّة، فسمّي بهذا الاسم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الصيدا بطن من بني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 من أصحابنا يقال له نجيّة القواس، وليس هو بمعروف</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حمدويه بقوله هذا أنّ نجيّة القوّاس مغاير لناجية بن أبي عمارة المعروف، وهو غير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الرواية المتقدّمة وإن دلّت علی حسن الرجل في الجملة إلا أنّها ضعيفة فلا اعتماد عليها، فالرجل مجهول الحال</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ورد في أسناد كتاب نوادر الحكمة بعنوان ناجية</w:t>
      </w:r>
      <w:r>
        <w:rPr>
          <w:rFonts w:eastAsia="Amiri" w:cs="Amiri" w:ascii="Amiri" w:hAnsi="Amiri"/>
          <w:color w:val="111111"/>
          <w:sz w:val="28"/>
          <w:szCs w:val="28"/>
          <w:rtl w:val="true"/>
          <w:lang w:bidi="ar-SA"/>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المشايخ الثقات بعنوان أبي حبيب</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ثقة، وعلی هذا فالسند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مُحَمَّدِ بْنِ عَلِيِّ بْنِ مَحْبُوبٍ، عَنْ مُحَمَّدِ بْنِ الْحُسَيْنِ، عَنْ عُثْمَانَ بْنِ عِيسَى، عَنْ أَبِي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أَيَنْقُضُ الرُّعَافُ وَالْقَيْ ءُ وَنَتْفُ الْإِبْطِ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بِهَذَا؟ هَذَا قَوْلُ الْمُغِيرَةِ بْنِ سَعِيدٍ، لَعَنَ اللَّهُ الْمُغِيرَةَ، يُجْزِيكَ مِنْ الرُّعَافِ وَالْقَيْ ءِ أَنْ تَغْسِلَهُ وَلَا تُعِيدُ الْوُضُوءَ</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المغيرة بن سعيد مولی بجيلة كان يدعو أوّلاً إلی محمّد بن عبد الله بن الحسن، ثمّ غلا في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يكذب علی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كان يدسّ في أحاديث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لم يحدّث بها، وقد جاءت أحاديث في ذمّه ولعنه والبراءة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بأنّ الرّعاف والقيء ونتف الإبط ينقض الوضوء من جملة أقواله التي كذب فيها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أنّ عليه أن يجتنب هذا القول، ثمّ لعن المغيرة بن سعيد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ذلك بيّن له الوظيفة في الرّعاف والقيء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يجزيك من الرعاف والقيء أن تغسله ولا تعيد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في كفاية الغسل فيهما بلا حاجة إلی إعادة الوضوء، لكونهما غير ناقضين 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أن يجعل هذا الحديث دليلاً للقول بنجاسة القيء؛ لكون الأمر فيه بالغَسل ظاهراً في الوجوب، لكن يمكن أن يجاب بأنّ الأمر بالغسل لا </w:t>
      </w:r>
    </w:p>
    <w:p>
      <w:pPr>
        <w:pStyle w:val="BookText"/>
        <w:rPr/>
      </w:pPr>
      <w:r>
        <w:rPr>
          <w:rFonts w:ascii="IRNazanin" w:hAnsi="IRNazanin" w:eastAsia="IRNazanin"/>
          <w:color w:val="111111"/>
          <w:sz w:val="28"/>
          <w:sz w:val="28"/>
          <w:szCs w:val="28"/>
          <w:rtl w:val="true"/>
          <w:lang w:bidi="fa-IR"/>
        </w:rPr>
        <w:t>ينحصر بما هو متنجّس، بل قد يكون لأجل إزالة الاستقذار الحاصل منه لا النجاسة، أضف إلی ذلك ما ورد ممّا يدلّ علی عدم نجاسة القيء 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وهو محمد بن الحسين بن أبي الخطّاب الثقة الجليل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هلال، وهو أبو هلال الرازي، عدّه البرقي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روی عنه المشايخ الثقات</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في السند عثمان بن عيسی وهو من أصحاب الإجماع، فيصحّ ما صحّ عنه، فهذا 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مُحَمَّدِ بْنِ الْحُسَيْنِ،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أَخَذَهُ تَقْطِيرٌ مِنْ قُرْحِهِ</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دَمٌ وَإِمَّا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فَلْيَضَعْ</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خَرِيطَةً وَلْيَتَوَضَّأْ وَلْيُصَلِّ، فَإِنَّمَا ذَلِكَ بَلَاءٌ ابْتُلِيَ بِهِ، فَلَا يُعِيدَنَّ إِلَّا مِنَ الْحَدَثِ الَّذِي يُتَوَضَّأُ مِنْهُ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التقطير هو السيلان قطرة قطرة، 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تقطير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إسالته قطرة قطرة</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والخريطة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من أدم وغيره يشدّ علی ما فيه، والجمع خرائط ككريمة وكرائم</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السؤال عن رجل عنده تقطير من قرحة، وفي نسخة من فرجه إمّا دم وإمّا غيره، وأحاديث الباب التاسع عشر تؤيّد النسخة الثانية، وعلی كلتا النسختين تكون وظيفته جعل خريطة لمنع النجاسة من الانتشار وإصابة البدن ثمّ الوضوء والصلاة، فلا أثر للقطرات في إيجاب الوضوء عليه؛ لعجزه عن حبسها أو 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يعيد الوضوء إذا كان الخارج منه الحدث الذي يُتوضّأ منه مثل البول والمني فهو الذي يوجب نقض الوضوء، والغرض أنّ ما ليس </w:t>
      </w:r>
    </w:p>
    <w:p>
      <w:pPr>
        <w:pStyle w:val="BookText"/>
        <w:rPr/>
      </w:pPr>
      <w:r>
        <w:rPr>
          <w:rFonts w:ascii="Amiri" w:hAnsi="Amiri" w:eastAsia="Amiri" w:cs="Amiri"/>
          <w:color w:val="111111"/>
          <w:sz w:val="28"/>
          <w:sz w:val="28"/>
          <w:szCs w:val="28"/>
          <w:rtl w:val="true"/>
          <w:lang w:bidi="ar-SA"/>
        </w:rPr>
        <w:t>بحدث وإن خرج من الفرج فهو لا ينقض الوضوء، كما تقدّم في نظائر هذا الحديث في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أفراده، وهو معتبر، ولا يضرّه الإضمار؛ لكونه من سماعة بن مهران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الْحَسَنِ، عَنْ سَهْلِ بْنِ زِيَادٍ، عَنْ مُحَمَّدِ بْنِ سِنَانٍ،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الرُّعَافِ وَالْحِجَامَةِ وَكُلِّ دَمٍ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وُضُوءٌ، إِنَّمَا الْوُضُوءُ مِنْ طَرَفَيْكَ اللَّذَيْنِ أَنْعَمَ اللَّهُ بِهِمَا عَلَيْكَ</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مُحَمَّدِ بْنِ الْحَسَنِ</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أَيْضاً بِإِسْنَادِهِ عَنْ مُحَمَّدِ بْنِ يَعْقُوبَ مِثْلَهُ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يدلّ الحديث علی أنّ الرّعاف والحجامة وكل دم يسيل ولا يقف علی الجرح لا ينقض الوضوء، بل الوضوء يلزم بسبب الطرفين، أي مايخرج منهما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علی حصر النواقض في ما يخرج من السبيلين، المعبّر عنهما هنا بالطرفين، والحصر إضافي بالنسبة إلی ما يخرج من غيرهما كالرّعاف والحجامة وكلّ دم سائل وغيرهما مما عدّه العامّة من النواقض، وكأنّ هذا الحديث ردّ عليهم، وإنّما كان الحصر إضافيّاً لدلالة الأحاديث علی وجود نواقض أخری غير ما ذكر كالنوم وذهاب العقل وغير ذلك، كما أنّ تلك الأحاديث تدلّ أيضاً علی أنّه ليس كلّ ما يخرج من السبيلين 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ويختصّ النقض بخروج البول والغائط منهما والريح، وأمّا مثل الدم الذي يخرج من </w:t>
      </w:r>
    </w:p>
    <w:p>
      <w:pPr>
        <w:pStyle w:val="BookText"/>
        <w:rPr/>
      </w:pPr>
      <w:r>
        <w:rPr>
          <w:rFonts w:ascii="IRNazanin" w:hAnsi="IRNazanin" w:eastAsia="IRNazanin"/>
          <w:color w:val="111111"/>
          <w:sz w:val="28"/>
          <w:sz w:val="28"/>
          <w:szCs w:val="28"/>
          <w:rtl w:val="true"/>
          <w:lang w:bidi="fa-IR"/>
        </w:rPr>
        <w:t>أحدهما فلا ينقض الوضوء ما لم تصاحبه النجاسة كما مرّ، ويستثنی منه الدماء الثلاثة الطارئة علی النساء، فإنّ حكمها نقض الوضوء كما سيجيء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ثلاثة أسانيد لهذا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الشيخ في التهذيب والاستبصار، وهو بإسناده عن محمد بن الحسن، وإسناده إليه فيهما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أيّده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أخبرني أبو القاسم جعفر بن محمد عن محمد بن يعقوب عن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 الكلام في بقية هذا السند عند بيان سند الحديث الخامس من الباب الثاني من هذه الأبواب، وهو ضعيف بسهل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وقد سبق أنّه ضعيف بسهل، ويمكن أن يصحّح الحديث لوجوده في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الشيخ إلی الكليني، وهو كسابقه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الماتن سنداً آخر له في الحديث الخامس من الباب الثاني وهو سند الصدوق في الخصال، وقلنا إنّه صحيح أعلائي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عَلِيِّ بْنِ مَحْبُوبٍ، عَنْ أَحْمَدَ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الرَّجُلِ يُدْخِلُ يَدَهُ فِي أَنْفِهِ فَيُصِيبُ خَمْسَ أَصَابِعِهِ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يُنَقِّيهِ وَلَا يُعِيدُ الْوُضُوءَ</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الدم وإن كثر لا ينقض الوضوء، سواء خرج في أثناء الصلاة أم لا،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فيصيب خمس أصابعه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الدم كثير حتّی أنّه كلّما أدخل إصبعاً من أصابع يده أصاب الدم، فعليه أن ينقّيه أي يغسله فقط ولا يعيد الوضوء، لأنّ خروج الدم وإن كان بمقدار كثير ليس من جملة النواقض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وهو أحمد بن محمد بن عيسی الأشعري، والسند صحيح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أَيُّوبَ بْنِ الْحُرِّ،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أَصَابَهُ دَمٌ 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سَائِلًا تَوَضَّأَ وَبَنَى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وَيَصْنَعُ ذَلِكَ بَيْنَ الصَّفَا وَالْمَرْوَةِ</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تَأْوِيلُهُ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الحديث فيه إجمال، فإن كان السؤال عن إصابة الدم السائل في الصلاة، فالحكم بإعادة الصلاة له مجال، ويوجّه بكون إزالته تحتاج إلی الفعل الكثير غالباً، بخلاف غير السائل؛ فإنّه قد لا يستلزم الفعل الكثير الماحي لصورة الصلاة فله أن يبني علی صلاته بعد أن يتوضّأ، 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للأحاديث السابقة حيث أوجب عليه الوضوء في هذا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أيضاً لا يمكن الالتزام بالإعادة في السعي بين الصّفا والمروة؛ لأنّ غَسل وتطهير الأعضاء غير مفسد للسعي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السؤال عن إصابة الدم السائل في الطواف، فهذا التفصيل بين الدم السائل وغيره لو سُلّم أنّ له وجهاً، إلا أنّه لا يمكن الالتزام بالإعادة في السعي بين الصفا والمروة؛ لعدم فساد السعي بتطهير العضو</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صدر 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وكان الإسناد السابق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أي محمد بن علي بن محبوب عن أحمد بن الحسن بن علي بن فضال، عن علي بن يعقوب الهاشمي، عن مروان بن مسلم وهذاالسند متكرّر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علي بن يعقوب الهاشمي لم يذكر بشيء، ولكن مروان ابن مسلم له كتاب يرويه جماعة، فكتابه مشهور</w:t>
      </w:r>
      <w:r>
        <w:rPr>
          <w:rFonts w:eastAsia="Amiri" w:cs="Amiri" w:ascii="Amiri" w:hAnsi="Amiri"/>
          <w:color w:val="111111"/>
          <w:sz w:val="28"/>
          <w:szCs w:val="28"/>
          <w:rtl w:val="true"/>
          <w:lang w:bidi="ar-SA"/>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فلا يضرّ وجود علي بن يعقوب الهاشمي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بالنسبة إلی السند المذكور في التهذيب والذي أشار إليه الماتن هنا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أيوب بن الحر</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أيّوب بن الحر فقد عدّه البرقي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جعفي، كوفي</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الشيخ أيضاً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توصيفه بالكوفي،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توصيفه بمولی طريف</w:t>
      </w:r>
      <w:r>
        <w:rPr>
          <w:rFonts w:eastAsia="IRNazanin" w:cs="IRNazanin"/>
          <w:color w:val="111111"/>
          <w:sz w:val="28"/>
          <w:szCs w:val="28"/>
          <w:rtl w:val="true"/>
          <w:lang w:bidi="fa-IR"/>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أيّوب </w:t>
      </w:r>
    </w:p>
    <w:p>
      <w:pPr>
        <w:pStyle w:val="BookText"/>
        <w:rPr/>
      </w:pPr>
      <w:r>
        <w:rPr>
          <w:rFonts w:ascii="Amiri" w:hAnsi="Amiri" w:eastAsia="Amiri" w:cs="Amiri"/>
          <w:color w:val="111111"/>
          <w:sz w:val="28"/>
          <w:sz w:val="28"/>
          <w:szCs w:val="28"/>
          <w:rtl w:val="true"/>
          <w:lang w:bidi="ar-SA"/>
        </w:rPr>
        <w:t>بن الحر، ثقة، له كتاب أخبرنا به عدّة من أصحابنا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أيّوب بن الحر الجعفي، مولی، ثقة، روی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أصحابنا في الرجال، يعرف بأخي أديم، له أصل</w:t>
      </w:r>
      <w:r>
        <w:rPr>
          <w:rFonts w:eastAsia="IRNazanin" w:cs="IRNazanin"/>
          <w:color w:val="111111"/>
          <w:sz w:val="28"/>
          <w:szCs w:val="28"/>
          <w:rtl w:val="true"/>
          <w:lang w:bidi="fa-IR"/>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أَحْمَدَ بْنِ مُحَمَّدِ بْنِ عِيسَى، عَنِ الْحَسَنِ بْنِ عَلِيِّ ابْنِ بِنْتِ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رَأَيْتُ أَبِي صَلَوَاتُ اللَّهِ عَلَيْهِ وَقَدْ رَعَفَ بَعْدَمَا تَوَضَّأَ دَماً سَائِلًا فَتَوَضَّأَ</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الشَّيْخُ عَلَى التَّقِيَّةِ وَجَوَّزَ حَمْلَهُمَا عَلَى الِاسْتِحْبَابِ، وَعَلَى غَسْلِ الْمَوْضِعِ فَإِنَّهُ يُسَمَّى وُضُوءاً بِقَرِينَةِ مَا سَبَقَ مِنْ حَدِيثِ أَبِي بَصِيرٍ</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حَبِيبٍ</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الِاسْتِحْبَابِ لَيْسَ فِي الْحَقِيقَةِ بِتَأْوِيلٍ؛ لِأَنَّ مُجَرَّدَ الْفِعْلِ لَا إِشْعَارَ فِيهِ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الْحَمْلُ عَلَى حُصُولِ حَدَثٍ آخَرَ مِنْ رِيحٍ وَنَحْوِهَا، وَعَلَى تَجْدِيدِ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علی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رعف بعدما توضّأ دماً سائلاً فتوضأ بعد ذلك، وفعل الإمام وإن كان لا يخلو من رجحان، لكن لا يلزم من ذلك أن يكون الوضوء </w:t>
      </w:r>
    </w:p>
    <w:p>
      <w:pPr>
        <w:pStyle w:val="BookText"/>
        <w:rPr/>
      </w:pPr>
      <w:r>
        <w:rPr>
          <w:rFonts w:ascii="IRNazanin" w:hAnsi="IRNazanin" w:eastAsia="IRNazanin"/>
          <w:color w:val="111111"/>
          <w:sz w:val="28"/>
          <w:sz w:val="28"/>
          <w:szCs w:val="28"/>
          <w:rtl w:val="true"/>
          <w:lang w:bidi="fa-IR"/>
        </w:rPr>
        <w:t>منه علی نحو الوجوب فيستفاد منه أنّ الرعاف ناقض، ولا الاستحباب؛ لاحتمال كون الفعل صدر منه تقيّة، نعم، لو كان في الحديث أمر بالوضوء وقام الإجماع علی عدم الوجوب في هذا المورد لكان الحمل علی الاستحباب متعيّناً، لكن الموجود هو فعلٌ، والفعل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حمل الوضوء فيه علی غسل الموضع فلا يناسب هنا، لأنّه قال رعف بعدما توضّأ فتوضّأ، والوضوء الأول هو الوضوء الاصطلاحي لا اللغوي، فالظاهر أنّ الوضوء الثاني كذلك، وصرفه عن هذا الظاهر يحتاج إلی قرينة مفقودة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الحمل علی حصول حدث آخر، وعلی تجديد الوضوء أيضاً فبعيد، ولا قرينة عليه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ابن بنت إلياس، وهو الحسن بن علي بن زياد الوشّاء المتقدّم في الحديث العاشر من الباب الأول من أبواب مقدّمة العبادات</w:t>
      </w:r>
      <w:r>
        <w:rPr>
          <w:rFonts w:eastAsia="Amiri" w:cs="Amiri" w:ascii="Amiri" w:hAnsi="Amiri"/>
          <w:color w:val="111111"/>
          <w:sz w:val="28"/>
          <w:szCs w:val="28"/>
          <w:rtl w:val="true"/>
          <w:lang w:bidi="ar-SA"/>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يكنّی بأبي محمد الوشّاء، وهو ابن بنت الياس الصيرفي، خزّاز،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من وجوه هذه الطائفة، روی عن جدّه إلياس</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وذكره البرقي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وعدّه من أصحاب </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أصحاب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 الوشاء، يلقّب بربيع</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الشيخ في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علي الخزّاز، ويعرف بالوشّاء، وهو ابن بنت إلياس، يكنّی أبا محمد، وكان يدّعی أنّه عربي كوفي، له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في أصحاب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في الموضع المشار إليه أنّه ورد أيضاً في أسناد كتاب نوادر الحكمة وتفسير القمي</w:t>
      </w:r>
      <w:r>
        <w:rPr>
          <w:rFonts w:eastAsia="Amiri" w:cs="Amiri" w:ascii="Amiri" w:hAnsi="Amiri"/>
          <w:color w:val="111111"/>
          <w:sz w:val="28"/>
          <w:szCs w:val="28"/>
          <w:rtl w:val="true"/>
          <w:lang w:bidi="ar-SA"/>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فالسند صحيح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فِي قُرْبِ الْإِسْنَادِ، عَنْ عَبْدِ 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اسْتَاكَ أَوْ تَخَلَّلَ فَخَرَجَ مِنْ فَمِهِ دَمٌ أَيَنْقُضُ ذَلِكَ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يَتَمَضْمَضُ</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كَانَ فِي صَلَاتِهِ فَرَمَاهُ رَجُلٌ فَشَجَّهُ فَسَالَ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وَلَكِنَّهُ يَقْطَعُ الصَّلَاةَ</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 فِي أَحَادِيثِ حَصْرِ النَّوَاقِضِ وَغَيْرِهَا</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وفي أحاديث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الأحاديث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الأحاديث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السابق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مَا يَدُلُّ عَلَيْهِ وَعَلَى اسْتِثْنَاءِ دَمِ الْحَيْضِ وَالِاسْتِحَاضَةِ وَالنِّفَاسِ</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اشتمل الحديث علی بيان حكم مسألتين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خرج الدم بفعلٍ منه كمن استاك أو تخلّل فخرج بسبب ذلك </w:t>
      </w:r>
      <w:bookmarkStart w:id="136" w:name="pg15724_204204"/>
    </w:p>
    <w:p>
      <w:pPr>
        <w:pStyle w:val="BookText"/>
        <w:rPr/>
      </w:pPr>
      <w:bookmarkEnd w:id="136"/>
      <w:r>
        <w:rPr>
          <w:rFonts w:ascii="IRNazanin" w:hAnsi="IRNazanin" w:eastAsia="IRNazanin"/>
          <w:color w:val="111111"/>
          <w:sz w:val="28"/>
          <w:sz w:val="28"/>
          <w:szCs w:val="28"/>
          <w:rtl w:val="true"/>
          <w:lang w:bidi="fa-IR"/>
        </w:rPr>
        <w:t>من فمه دم بأيّ مقدارٍ فهو باقٍ علی وضوئه، فإنّ مجرّد خروج الدم من الفم ليس من جملة النواقض، فلا يوجب نقض الوضوء، ولكن عليه أن يتمضمض، والتمضمض إمّا لأجل إزلة المنفّر، وإمّا لأنّه مستحب، كما مرّ في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خرج الدم بفعلٍ من غيره كمن رُمي فشُجَّ فسال الدم منه بأيّ مقدارٍ أيضاً، فهو باقٍ علی وضوئه، فإنّ مجرد خروج الدم منه وإن كان بسبب غيره ليس من جملة النواقض، فلا يوجب نقض الوضوء، ولكن لو حدث له ذلك في أثناء الصلاة أوجب قطع الصلاة، وسيأتي ما هو المقدار المعفو عنه من الدم في الصلاة في محلّه</w:t>
      </w:r>
      <w:r>
        <w:rPr>
          <w:rFonts w:eastAsia="IRNazanin" w:cs="IRNazanin"/>
          <w:color w:val="111111"/>
          <w:sz w:val="28"/>
          <w:szCs w:val="28"/>
          <w:rtl w:val="true"/>
          <w:lang w:bidi="fa-IR"/>
        </w:rPr>
        <w:t>.</w:t>
      </w:r>
    </w:p>
    <w:p>
      <w:pPr>
        <w:pStyle w:val="Heading3"/>
        <w:numPr>
          <w:ilvl w:val="2"/>
          <w:numId w:val="1"/>
        </w:numPr>
        <w:rPr/>
      </w:pPr>
      <w:bookmarkStart w:id="137" w:name="__RefHeading___Toc12417961_2142443653"/>
      <w:bookmarkStart w:id="138" w:name="_Toc50"/>
      <w:bookmarkEnd w:id="137"/>
      <w:r>
        <w:rPr>
          <w:rtl w:val="true"/>
        </w:rPr>
        <w:t>المتحصل من الأحادیث</w:t>
      </w:r>
      <w:bookmarkEnd w:id="138"/>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فيه، وهو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أربعة عشر حديثاً، الأوّل صحيح بسنديه، وكذا الثالث والعاشر بسنده الثالث والحادي عشر والثالث عشر، والبقيّة معتبرات، ما عدا السادس والعاشر بسنده الأوّل فهما ضعيفان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الرّعاف والقيء لا ينقضان الوضوء، وإذا حدثا أثناء الصلاة وأمكن غسل الموضع أمكنه أن يبني علی الصلاة، ولا يحتاج إلی الإعادة إلّا أن يكون قد أتی بما يبطلها أثناء ذلك كالتكلّم مثلاً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الرّعاف إن استمر إلی وقت الصلاة فبإمكان المكلّف أن يصلّي به، لكن يحشو أنفه بالقطن ونحوه حتّی لا يخرج الدم منه ويتنجّس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استمرار خروج الدم من القروح حتّی حال الصلاة لا يضرّ بها ولا بالوضوء، بلا فرق بين القليل والكثير من الدم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الرّعاف لا ينقض الوضوء وإن كان كثيراً، وكذا كلّ دمٍ 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القيء لا يوجب نقض الطهارة، فمن قاء وهو علی طهارة فعليه أن يتمضمض، للتنظيف استحباباً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الحجامة لا تنقض الوضوء، وكذا نتف الإبط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تقطير فعليه أن يتوضّأ ويصلّي فإنّ التقطير غير مانع منهما، نعم لابدّ له من التحفّظ عن سريان النجاسة أثناءالصلاة ولو بجعل خريطة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ليس بحدث وإن خرج من الفرج كالدم ونحوه لا ينقض الوضوء، ما لم يستصحب حدثاً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خرج منه الدم بفعلٍ منه كمن استاك أو تخلّل فهو باقٍ علی وضوئه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خرج الدم منه بفعلٍ من غيره كمن رُمي فشُجَّ فسال الدم منه فهو باقٍ علی وضوئه، ولكن لو حدث له ذلك في أثناء الصلاة أوجب قطع الصلاة</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5724_204207"/>
      <w:bookmarkStart w:id="140" w:name="pg15724_204207"/>
      <w:bookmarkEnd w:id="140"/>
    </w:p>
    <w:p>
      <w:pPr>
        <w:pStyle w:val="Heading2"/>
        <w:numPr>
          <w:ilvl w:val="1"/>
          <w:numId w:val="1"/>
        </w:numPr>
        <w:rPr/>
      </w:pPr>
      <w:bookmarkStart w:id="141" w:name="pg15724_204207"/>
      <w:bookmarkStart w:id="142" w:name="__RefHeading___Toc12417963_2142443653"/>
      <w:bookmarkStart w:id="143" w:name="_Toc51"/>
      <w:bookmarkEnd w:id="141"/>
      <w:bookmarkEnd w:id="142"/>
      <w:r>
        <w:rPr/>
        <w:t>8</w:t>
      </w:r>
      <w:r>
        <w:rPr>
          <w:rtl w:val="true"/>
        </w:rPr>
        <w:t xml:space="preserve">- </w:t>
      </w:r>
      <w:r>
        <w:rPr>
          <w:rtl w:val="true"/>
        </w:rPr>
        <w:t>بَابُ أَنَّ إِنْشَادَ الشِّعْرِ لَا يَنْقُضُ الْوُضُو ءَ</w:t>
      </w:r>
      <w:bookmarkEnd w:id="143"/>
    </w:p>
    <w:p>
      <w:pPr>
        <w:pStyle w:val="Heading3"/>
        <w:numPr>
          <w:ilvl w:val="2"/>
          <w:numId w:val="1"/>
        </w:numPr>
        <w:rPr/>
      </w:pPr>
      <w:bookmarkStart w:id="144" w:name="__RefHeading___Toc12417965_2142443653"/>
      <w:bookmarkStart w:id="145" w:name="_Toc52"/>
      <w:bookmarkEnd w:id="144"/>
      <w:r>
        <w:rPr>
          <w:rtl w:val="true"/>
        </w:rPr>
        <w:t>اشارة</w:t>
      </w:r>
      <w:bookmarkEnd w:id="14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إِنْشَادَ الشِّعْرِ لَا يَنْقُضُ الْوُضُوءَ</w:t>
      </w:r>
    </w:p>
    <w:p>
      <w:pPr>
        <w:pStyle w:val="Heading3"/>
        <w:numPr>
          <w:ilvl w:val="2"/>
          <w:numId w:val="1"/>
        </w:numPr>
        <w:rPr/>
      </w:pPr>
      <w:bookmarkStart w:id="146" w:name="__RefHeading___Toc12417967_2142443653"/>
      <w:bookmarkStart w:id="147" w:name="_Toc53"/>
      <w:bookmarkEnd w:id="146"/>
      <w:r>
        <w:rPr>
          <w:rtl w:val="true"/>
        </w:rPr>
        <w:t>شرح الباب</w:t>
      </w:r>
      <w:r>
        <w:rPr>
          <w:rtl w:val="true"/>
        </w:rPr>
        <w:t>:</w:t>
      </w:r>
      <w:bookmarkEnd w:id="147"/>
    </w:p>
    <w:p>
      <w:pPr>
        <w:pStyle w:val="BookText"/>
        <w:rPr/>
      </w:pPr>
      <w:r>
        <w:rPr>
          <w:rFonts w:ascii="IRNazanin" w:hAnsi="IRNazanin" w:eastAsia="IRNazanin"/>
          <w:color w:val="111111"/>
          <w:sz w:val="28"/>
          <w:sz w:val="28"/>
          <w:szCs w:val="28"/>
          <w:rtl w:val="true"/>
          <w:lang w:bidi="fa-IR"/>
        </w:rPr>
        <w:t xml:space="preserve">الشعر صناعة لفظيّة تستعملها جميع الأمم، والغرض منه التأثير علی النفوس لتحريك عواطفها، من سرور أو حزن، ومن شجاعة أو جُبن، وغير ذلك، والركن المقوّم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الوزن والألفاظ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التخييل والتصوير، وكلّما كان التخييل دقيقاً ومعبّراً كان له الأثر الأبلغ في نفس السامع، وقد اشتهر أنّ الشعر أكذبه أعذبه، والمراد أنّ التعبير في الشعر كلّما كان مستغرباً وفيه صور خياليّة غريبة فإنّه يكون أكثر جلباً لانتباه النفس وإثارة لانفعالها بسبب غرابته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الشعري من شأنه أن يحبّب المبغوض للنّفس ويبغّض المحبوب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كانت له أهميّة كبيرة جدّاً في نشر المعرفة والفضائل والمناقب، وكان طريقاً سهلاً للدعاية إلی ولاء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ومسلكاً واسعاً لإفشاء المظلوميّة النازلة بفنائهم انبری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لحثّ من يحسن الشعر إلی قوله فيهم مدحاً ورثاء، وأعطوا علی قوله الجوائز الخطيرة من الأموال، وبشّروهم وكلَّ من يأتي بعدهم بأنّ لهم من الله الثواب والكرامة والتأييد منه سبحانه وتعالی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مجمع البحرين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 العربي بالكسر فالسكون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النظم الموزون، وحدّه أن يركّب تركيباً متعاضداً وكان مقفّی موزوناً مقصداً به ذلك، قال في </w:t>
      </w:r>
      <w:bookmarkStart w:id="148" w:name="pg15724_204208"/>
    </w:p>
    <w:p>
      <w:pPr>
        <w:pStyle w:val="BookText"/>
        <w:rPr/>
      </w:pPr>
      <w:bookmarkEnd w:id="148"/>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خلا من هذه القيود أو بعضها لا يسمّی شعراً ولا صاحبه شاعراً، ولهذا ما ورد في الكتاب موزوناً فليس بشعر لعدم القصد والتقفية، ولا كذلك ما يجري علی بعض ألسنة الناس من غير قصد، لأنّه مأخوذ من شعرت إذا فطنت وعلمت، فإذا لم يقصده فكأنّه لم يشعر به، وهو مصدر في الأصل، يقال شعرت أشعر من باب قتل إذا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الشاعر شعراء كصالح وصلحاء</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في الأحاديث الشريفة ما يدلّ علی الحزازة في إنشاد الشعر في المساجد وفي شهر رمضان، وسيأتي في محلّه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الباب معقود لبيان عدم كون إنشاد الشعر من النواقض للوضوء، وقد تقدّم ما يدلّ على حصر النواقض في أشياء معيّنة، فيكون غيرها غير ناقض له</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2417969_2142443653"/>
      <w:bookmarkStart w:id="150" w:name="_Toc54"/>
      <w:bookmarkEnd w:id="149"/>
      <w:r>
        <w:rPr>
          <w:rtl w:val="true"/>
        </w:rPr>
        <w:t>أقوال الخاصّة</w:t>
      </w:r>
      <w:r>
        <w:rPr>
          <w:rtl w:val="true"/>
        </w:rPr>
        <w:t>:</w:t>
      </w:r>
      <w:bookmarkEnd w:id="15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أنّ إجماع الطائفة قائم على أنّ خروج البول والغائط والرّيح والنّوم ناقض للوضوء، وأنّ الأحاديث في الأبواب السابقة حصرت ما ينقض الوضوء في هذه الأمور بالإضافة إلى الاستحاضة وما يوجب الغسل كما يأتي، وعلى هذا لا يكون الشعر من جملة ما ينقض، 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إنشاد الشّعر وكلام الفحش والكذب والغيبة والقذف غير ناقض، وهو إجماع علماء الأمصار سواء كان في الصّلاة أو خارجاً عنها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151" w:name="pg15724_204209"/>
    </w:p>
    <w:p>
      <w:pPr>
        <w:pStyle w:val="Heading3"/>
        <w:numPr>
          <w:ilvl w:val="2"/>
          <w:numId w:val="1"/>
        </w:numPr>
        <w:rPr/>
      </w:pPr>
      <w:bookmarkStart w:id="152" w:name="__RefHeading___Toc12417971_2142443653"/>
      <w:bookmarkStart w:id="153" w:name="_Toc55"/>
      <w:bookmarkEnd w:id="151"/>
      <w:bookmarkEnd w:id="152"/>
      <w:r>
        <w:rPr>
          <w:rtl w:val="true"/>
        </w:rPr>
        <w:t>أقوال العامّة</w:t>
      </w:r>
      <w:r>
        <w:rPr>
          <w:rtl w:val="true"/>
        </w:rPr>
        <w:t>:</w:t>
      </w:r>
      <w:bookmarkEnd w:id="153"/>
    </w:p>
    <w:p>
      <w:pPr>
        <w:pStyle w:val="BookText"/>
        <w:rPr/>
      </w:pPr>
      <w:r>
        <w:rPr>
          <w:rFonts w:ascii="IRNazanin" w:hAnsi="IRNazanin" w:eastAsia="IRNazanin"/>
          <w:color w:val="111111"/>
          <w:sz w:val="28"/>
          <w:sz w:val="28"/>
          <w:szCs w:val="28"/>
          <w:rtl w:val="true"/>
          <w:lang w:bidi="fa-IR"/>
        </w:rPr>
        <w:t>لم نجد في ما اطلعنا عليه من كتبهم التعرّض للخلاف أو الوفاق في ناقضيّة إنشاد الشعر للوضوء وعدم ناقضيّته له، نعم ما نقلناه عن العلّامة في المنتهی قد يستفاد منه أنّ هذا الحكم مجمع عليه عند الكلّ، وقال الشيخ إبراهيم بن محمد الحلبي في غنية المتملّي عند تعداده لأنواع الوضوء الثلاثة، وهي الفرض والواجب والمندوب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الوضوء للنّوم إذا أراده، والوضوء على الوضوء، بأن يتوضّأ كلّما أحدث، والوضوء بعد الغيبة والكذب وبعد إنشاد الشعر</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لم ينقل خلافاً أو وفاقاً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أحمد رواية أنّ الوضوء ينتقض بالغيبة، وذهب الحنفيّة والشافعيّة إلى استحباب الوضوء الشرعي من الكلام القبيح كالغيبة والنميمة والكذب والقذف وقول الزور والفحش وأشباهها</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والشعر قد يكون فيه هذه الأمور، ولكن من الواضح أنّه قد يخلو عنها ولا يكون فيه إلّا الحق والصدق والدعوة إلى الدين والعقيدة وجميع الفضائل، فلا يكون إيجاب الوضوء أو استحبابه شاملاً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الْمُفِيدِ، عَنْ أَحْمَدَ بْنِ مُحَمَّدٍ، عَنْ أَبِيهِ، عَنْ سَعْدِ بْنِ عَبْدِ اللَّهِ، عَنْ أَحْمَدَ بْنِ مُحَمَّدِ بْنِ عِيسَى، عَنْ عَلِيِّ بْنِ الْحَكَمِ، عَنْ مُعَاوِيَةَ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إِنْشَادِ الشِّعْرِ هَلْ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مُرْسَلًا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مَا تَقَدَّمَ مِنْ حَصْرِ النَّوَاقِضِ فِي عِدَّةِ أَحَادِيثَ</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ورفَعَه وأَشَادَ بذِكْرِه</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وأنشد الشعر إنشاداً، وهو النشيد فعيل بمعنى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الحديث دالّ على أنّ إنشاد الشعر مطلقاً غير ناقض للوضوء، سواء كان الشعر قليلاً كالبيت والبيتين أم كثيراً كالقصيدة الطويلة أو القصيرة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وسواء حوى الشعر حقّاً أم باطلاً، وسواء كان الشعر في مدح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رثائهم أم 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والمنشد للشعر إمّا أن يقرأ شعر نفسه وإمّا شعر غيره، وعلى كلّ تقديرٍ لا ينقض إنشاده له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هذا الحديث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بسند الشيخ في التهذيب والاستبصار، وهو معتبر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من لا يحضره الفقيه، وهو أيضاً معتبر علی بعض المباني</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مِنْ إِنْشَادِ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فِي بَعْضِ الْخُطَبِ عَلَى الْمِنْبَرِ، وَلَمْ يُنْقَلْ أَنَّهُ خَرَجَ لِلْوُضُوءِ</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على 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إنشاد الشعر في بعض خطبه على المنبر البيت والبيتين والشطر من الشعر، وتلك الخطب كانت في المسجد، وقبل الصلاة كما في صلاة الجمعة أو بعدها كما في صلاة العيد، ولم يكن يخرج منه للوضوء بعد الإنشاد، ولو كان لنقل ولو مرّة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الخطب التي أنشد فيها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متعدّدة، إحداها الخطبة الشقشقيّة المشهورة، حيث تمثل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ببيتٍ للأعشی، والتي ذكرت في غير نهج البلاغة بأسانيد متعدّدة، واستشهد بها اللغويّون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فالخطب المذكورة في كتاب نهج البلاغة محذوفة الأسانيد فهي بحكم المرسلة، وإن كانت مسندة في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الْحُسَيْنِ بْنِ سَعِيدٍ، عَنْ أَخِيهِ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نَشِيدِ الشِّعْرِ هَلْ يَنْقُضُ الْوُضُوءَ أَوْ ظُلْمِ الرَّجُلِ صَاحِبَهُ أَوِ الْكَذِبِ؟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يَكُونَ شِعْراً يَصْدُقُ فِيهِ أَوْ يَكُونَ يَسِيراً مِنَ الشِّعْرِ الْأَبْيَاتَ الثَّلَاثَةَ وَالْأَرْبَعَةَ فَأَمَّا أَنْ يُكْثِرَ مِنَ الشِّعْرِ الْبَاطِلِ فَهُوَ يَنْقُضُ الْوُضُوءَ</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الِاسْتِحْبَابِ، وَحَكَى بَعْضُ عُلَمَائِنَا انْعِقَادَ الْإِجْمَاعِ عَلَى عَدَمِ الْوُجُوبِ وَذَلِكَ دَالٌّ عَلَى تَرْجِيحِ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 عن المجمع أنّ النشيد فعيل بمعنى مفعول، ونشيد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قراءته، فنشيد الشعر هو إنشاده نفسه، وقد دلّ الحديث على أنّ إنشاد الشعر ناقض للوضوء، وكذا ظلم الآخرين، والكذب، لكن يستثنی من الشعر الناقض ما يكون صدقاً أو يكون قليلاً كالثلاثة والأربعة أبيات، وأمّا الإكثار من الشعر المحتوي على الباطل من القول فهو ينقض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مخالف للحديث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 الشيخ له على استحباب الوضوء عند صدور أحد هذه الأمور للإجماع على عدم وجوبه،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بالنقض يأباه، فلا يقال إنّ الأمر الفلاني ينقض الوضوء استحباباً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ورد الأمر بالوضوء عقيب شيء وقام الإجماع على عدم الوجوب </w:t>
      </w:r>
      <w:bookmarkStart w:id="154" w:name="pg15724_204214"/>
    </w:p>
    <w:p>
      <w:pPr>
        <w:pStyle w:val="BookText"/>
        <w:rPr/>
      </w:pPr>
      <w:bookmarkEnd w:id="154"/>
      <w:r>
        <w:rPr>
          <w:rFonts w:ascii="Amiri" w:hAnsi="Amiri" w:eastAsia="Amiri" w:cs="Amiri"/>
          <w:color w:val="111111"/>
          <w:sz w:val="28"/>
          <w:sz w:val="28"/>
          <w:szCs w:val="28"/>
          <w:rtl w:val="true"/>
          <w:lang w:bidi="ar-SA"/>
        </w:rPr>
        <w:t>أمكن حينئذٍ حمل الأمر على استحباب الوضوء عقيب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ويبعد الحمل على التقيّة أيضاً لعدم معروفيّة القائل بالنقض من العامّة في عصر النص، نعم التوجيه الأوّل الذي ذكره الشيخ في الاستبصار وجيه، وهو أن يكون تصحَّف على الراوي فيكون قد روى بالصاد غير المعجمة دون الضاد المنقّطة؛ لأنّ ذلك مما ينقص ثواب الوضوء</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دلّت الأحاديث على أنّ فعل الذنوب والمعاصي والمكروهات تنقص العبادات</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2417973_2142443653"/>
      <w:bookmarkStart w:id="156" w:name="_Toc56"/>
      <w:bookmarkEnd w:id="155"/>
      <w:r>
        <w:rPr>
          <w:rtl w:val="true"/>
        </w:rPr>
        <w:t>المتحصل من الأحادیث</w:t>
      </w:r>
      <w:bookmarkEnd w:id="156"/>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السند مراراً، وهو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ثلاثة أحاديث، أوّلها معتبر بسنديه، والثاني ضعيف، والثالث موثّق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إنشاد الشعر مطلقاً غير ناقض للوضوء، سواء كان الشعر قليلاً أم كثيراً، وسواء كان حقّاً أم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إنشاد الشعر وظلم الآخرين والكذب ينقص كمال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الصادق أو القليل كالثلاثة والأربعة أبيات، لا يوجب نقص كمال الوضوء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الإكثار من الشعر المحتوي على الباطل ينقص الوضوء</w:t>
      </w:r>
      <w:r>
        <w:rPr>
          <w:rFonts w:eastAsia="Amiri" w:cs="Amiri" w:ascii="Amiri" w:hAnsi="Amiri"/>
          <w:color w:val="111111"/>
          <w:sz w:val="28"/>
          <w:szCs w:val="28"/>
          <w:rtl w:val="true"/>
          <w:lang w:bidi="ar-SA"/>
        </w:rPr>
        <w:t xml:space="preserve">. </w:t>
      </w:r>
      <w:bookmarkStart w:id="157" w:name="pg15724_204215"/>
    </w:p>
    <w:p>
      <w:pPr>
        <w:pStyle w:val="Heading2"/>
        <w:numPr>
          <w:ilvl w:val="1"/>
          <w:numId w:val="1"/>
        </w:numPr>
        <w:rPr/>
      </w:pPr>
      <w:bookmarkStart w:id="158" w:name="__RefHeading___Toc12417975_2142443653"/>
      <w:bookmarkStart w:id="159" w:name="_Toc57"/>
      <w:bookmarkEnd w:id="157"/>
      <w:bookmarkEnd w:id="158"/>
      <w:r>
        <w:rPr/>
        <w:t>9</w:t>
      </w:r>
      <w:r>
        <w:rPr>
          <w:rtl w:val="true"/>
        </w:rPr>
        <w:t xml:space="preserve">- </w:t>
      </w:r>
      <w:r>
        <w:rPr>
          <w:rtl w:val="true"/>
        </w:rPr>
        <w:t>بَابُ أَنَّ الْقُبْلَةَ وَالْمُبَاشَرَةَ وَالْمُضَاجَعَةَ وَمَسَّ الْفَرْجِ مُطْلَقاً وَنَحْوَ ذَلِكَ مِمَّا دُونَ الْجِمَاعِ لَا يَنْقُضُ الْوُضُو ءَ</w:t>
      </w:r>
      <w:bookmarkEnd w:id="159"/>
    </w:p>
    <w:p>
      <w:pPr>
        <w:pStyle w:val="Heading3"/>
        <w:numPr>
          <w:ilvl w:val="2"/>
          <w:numId w:val="1"/>
        </w:numPr>
        <w:rPr/>
      </w:pPr>
      <w:bookmarkStart w:id="160" w:name="__RefHeading___Toc12417977_2142443653"/>
      <w:bookmarkStart w:id="161" w:name="_Toc58"/>
      <w:bookmarkEnd w:id="160"/>
      <w:r>
        <w:rPr>
          <w:rtl w:val="true"/>
        </w:rPr>
        <w:t>اشارة</w:t>
      </w:r>
      <w:bookmarkEnd w:id="16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الْقُبْلَةَ وَالْمُبَاشَرَةَ وَالْمُضَاجَعَةَ وَمَسَّ الْفَرْجِ مُطْلَقاً وَنَحْوَ ذَلِكَ مِمَّا دُونَ الْجِمَاعِ لَا يَنْقُضُ الْوُضُوءَ</w:t>
      </w:r>
    </w:p>
    <w:p>
      <w:pPr>
        <w:pStyle w:val="Heading3"/>
        <w:numPr>
          <w:ilvl w:val="2"/>
          <w:numId w:val="1"/>
        </w:numPr>
        <w:rPr/>
      </w:pPr>
      <w:bookmarkStart w:id="162" w:name="__RefHeading___Toc12417979_2142443653"/>
      <w:bookmarkStart w:id="163" w:name="_Toc59"/>
      <w:bookmarkEnd w:id="162"/>
      <w:r>
        <w:rPr>
          <w:rtl w:val="true"/>
        </w:rPr>
        <w:t>شرح الباب</w:t>
      </w:r>
      <w:r>
        <w:rPr>
          <w:rtl w:val="true"/>
        </w:rPr>
        <w:t>:</w:t>
      </w:r>
      <w:bookmarkEnd w:id="163"/>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اللَّثمة معروفة، والجمع القُبَل وفعله التَّقْبِيل، وقد قَبَّل المرأَةَ والصبيَّ</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والمباشرة هي الجماع، وبقيد دون الجماع يكون معناها الملامسة بالبشرة، أو بخصوص الذكر ومنه التفخيذ، وغيره، قال الزبيدي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 من لَمْسِ بَشَرةِ الرجلِ بَشَرَةَ المرأةِ، وقد يَرِدُ بمعنَی الوَطْءِ في الفِرْجِ، وخارجاً منه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وفُسّرت المضاجعة بالاضطجاع والنوم مع شخصٍ، قال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أَضْجَعَه وضاجَعَه مُضاجَعَة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 معه</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وخصّص الأزهري 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ضاجَعَ</w:t>
      </w:r>
      <w:r>
        <w:rPr>
          <w:rFonts w:eastAsia="Amiri" w:cs="Amiri" w:ascii="Amiri" w:hAnsi="Amiri"/>
          <w:color w:val="111111"/>
          <w:sz w:val="28"/>
          <w:szCs w:val="28"/>
          <w:rtl w:val="true"/>
          <w:lang w:bidi="ar-SA"/>
        </w:rPr>
        <w:t xml:space="preserve">. </w:t>
      </w:r>
      <w:bookmarkStart w:id="164" w:name="pg15724_204216"/>
    </w:p>
    <w:p>
      <w:pPr>
        <w:pStyle w:val="BookText"/>
        <w:rPr/>
      </w:pPr>
      <w:bookmarkEnd w:id="1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جاريته إِذا نام معها في شِعار واحد</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ضَجِيعُها وهي ضَجِيعَتُه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بمسّ الفرج مطلقاً، أي القبل والدبر من الرجل والمرأة، وسواء كان الممسوس فرج نفسه أو فرج غيره، يحلّ له لمسه أو يحرم عليه، وسواء كان المسّ لظاهر الفرج أو باطنه، وبظاهر الكف أو بباطنه، عمداً أو نسياناً</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2417981_2142443653"/>
      <w:bookmarkStart w:id="166" w:name="_Toc60"/>
      <w:bookmarkEnd w:id="165"/>
      <w:r>
        <w:rPr>
          <w:rtl w:val="true"/>
        </w:rPr>
        <w:t>أقوال الخاصّة</w:t>
      </w:r>
      <w:r>
        <w:rPr>
          <w:rtl w:val="true"/>
        </w:rPr>
        <w:t>:</w:t>
      </w:r>
      <w:bookmarkEnd w:id="166"/>
    </w:p>
    <w:p>
      <w:pPr>
        <w:pStyle w:val="BookText"/>
        <w:rPr/>
      </w:pPr>
      <w:r>
        <w:rPr>
          <w:rFonts w:ascii="Amiri" w:hAnsi="Amiri" w:eastAsia="Amiri" w:cs="Amiri"/>
          <w:color w:val="111111"/>
          <w:sz w:val="28"/>
          <w:sz w:val="28"/>
          <w:szCs w:val="28"/>
          <w:rtl w:val="true"/>
          <w:lang w:bidi="ar-SA"/>
        </w:rPr>
        <w:t>الأمور المذكورة في عنوان الباب لا تنقض الوضوء، وعليه أكثر علماء الإماميّة، وخالف بعضهم فذهب إلى النقض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القُبلة فقال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القبلة لا تنقض الوضوء، ذهب إليه أكثر علمائنا، 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بشهوة للجماع، ولذّة في المحرّم نقض الطهارة، والاحتياط إذا كانت في محلّل إعادة الوضوء</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لمس المرأة فعدم النقض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ينقل عن أحد فيه خلاف حتّى ابن الجنيد، والأصول والأخبار والإجماعات دالّة عليه</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مسّ الفرج مطلقاً باطناً وظاهراً من المحرّم والمحلَّل فأكثر علمائنا على عدم نقضه للوضوء، 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 القبل والدبر باطناً أو ظاهراً من المحرّم أو المحلّل لا ينقض الوضوء ولا يوجبه، ذهب إليه أكثر علمائنا كالشيخين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67" w:name="pg15724_204217"/>
    </w:p>
    <w:p>
      <w:pPr>
        <w:pStyle w:val="BookText"/>
        <w:rPr/>
      </w:pPr>
      <w:bookmarkEnd w:id="167"/>
      <w:r>
        <w:rPr>
          <w:rFonts w:ascii="Amiri" w:hAnsi="Amiri" w:eastAsia="Amiri" w:cs="Amiri"/>
          <w:color w:val="111111"/>
          <w:sz w:val="28"/>
          <w:sz w:val="28"/>
          <w:szCs w:val="28"/>
          <w:rtl w:val="true"/>
          <w:lang w:bidi="ar-SA"/>
        </w:rPr>
        <w:t>وابن أبي عقيل، وأتباعهم</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خالف في ذلك الصدوق وابن الجنيد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 باطن الدبر أو الإحليل يوجب إعادة الوضوء، وكذا فتح الإحليل، 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الرجل باطن دبره أو باطن إحليله فعليه أن يعيد الوضوء، وإن كان في الصلاة قطع الصلاة وتوضأ وأعاد الصلاة، وإن فتح إحليله أعاد الوضوء والصلاة</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في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المحقّق في المعتبر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مسّ ما انضم عليه الثقبان نقض وضوءه،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ظاهر الفرج من غيره بشهوة تطهّر إذا كان محرّماً، ومَنْ مسّ باطن الفرجين فعليه الوضوء من المحرّم والمحلّل</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12417983_2142443653"/>
      <w:bookmarkStart w:id="169" w:name="_Toc61"/>
      <w:bookmarkEnd w:id="168"/>
      <w:r>
        <w:rPr>
          <w:rtl w:val="true"/>
        </w:rPr>
        <w:t>أقوال العامّة</w:t>
      </w:r>
      <w:r>
        <w:rPr>
          <w:rtl w:val="true"/>
        </w:rPr>
        <w:t>:</w:t>
      </w:r>
      <w:bookmarkEnd w:id="169"/>
    </w:p>
    <w:p>
      <w:pPr>
        <w:pStyle w:val="BookText"/>
        <w:rPr/>
      </w:pPr>
      <w:r>
        <w:rPr>
          <w:rFonts w:ascii="Amiri" w:hAnsi="Amiri" w:eastAsia="Amiri" w:cs="Amiri"/>
          <w:color w:val="111111"/>
          <w:sz w:val="28"/>
          <w:sz w:val="28"/>
          <w:szCs w:val="28"/>
          <w:rtl w:val="true"/>
          <w:lang w:bidi="ar-SA"/>
        </w:rPr>
        <w:t>وقع الاختلاف بين علماء العامّة في إيجاب الأمور المذكورة للوضوء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لمس المرأة أو تقبيلها فقال ابن رشد في بداية المجتهد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العلماء في إيجاب الوضوء من لمس النساء باليد، أو بغير ذلك من الأعضاء الحسّاسة، فذهب قوم إلى أنّ من لمس امرأة بيده مفضياً إليها ليس بينها وبينه حجاب ولا ستر فعليه الوضوء، وكذلك من قبّلها، لأنّ القُبلة عندهم لمسٌ ما، سواء التذّ أو لم يلتذ، وبهذا القول قال الشافعي وأصحابه إلّا أنّه مرّة فرّق بين اللامس والملموس، فأوجب الوضوء على اللامس دون الملموس، ومرّة سوّى بينهما، </w:t>
      </w:r>
    </w:p>
    <w:p>
      <w:pPr>
        <w:pStyle w:val="BookText"/>
        <w:rPr/>
      </w:pPr>
      <w:r>
        <w:rPr>
          <w:rFonts w:ascii="IRNazanin" w:hAnsi="IRNazanin" w:eastAsia="IRNazanin"/>
          <w:color w:val="111111"/>
          <w:sz w:val="28"/>
          <w:sz w:val="28"/>
          <w:szCs w:val="28"/>
          <w:rtl w:val="true"/>
          <w:lang w:bidi="fa-IR"/>
        </w:rPr>
        <w:t>ومرّة فرّق أيضاً بين ذوات المحارم والزوجة فأوجب الوضوء علی من لمس الزوحة دون ذوات المحارم ومرّة سوّى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آخرون إلى إيجاب الوضوء من اللمس إذا فارقته اللذة، أو قصد اللذة في تفصيل لهم في ذلك، وقع بحائل أو بغير حائل بأيّ عضو اتفق ما عدا القُبلة؛ فإنّهم لم يشترطوا لذّة في ذلك، وهو مذهب مالك وجمهور أصحابه، ونفی قوم إيجاب الوضوء لمن لمس النساء، وهو مذهب أبي حنيفة، ولكلٍّ سلف من الصحابة إلّا اشتراط اللذة؛ فإنّي لا أذكر أحداً من الصحابة اشترطها</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 بعض مفسّري العامّة الرأي الموافق للخاصّة في معنی الملامسة وأنّها الجماع، ونسبوه إلى بعض الصحابة، بل قالوا بأنّه الصحيح، مستدلّين بروايات صحيحة عندهم</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مسّ الذكر فقال ابن رشد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العلماء فيه على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رأى الوضوء فيه كيفما مسّه، وهو مذهب الشافعي وأصحابه وأحمد وداود، ومنهم من لم ير فيه وضوءاً أصلاً، وهو أبو حنيفة وأصحابه، ولكلا الفريقين سلفٌ من الصحابة والتابعين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وقوم فرّقوا بين أن يمسّه بحال، أو لا يمسه بتلك الحال، وهؤلاء افترقوا فيه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فرّق فيه بين أن يلتذَّ أو لا يلتذّ، ومنهم من فرّق بين أن يمسّه </w:t>
      </w:r>
    </w:p>
    <w:p>
      <w:pPr>
        <w:pStyle w:val="BookText"/>
        <w:rPr/>
      </w:pPr>
      <w:r>
        <w:rPr>
          <w:rFonts w:ascii="Amiri" w:hAnsi="Amiri" w:eastAsia="Amiri" w:cs="Amiri"/>
          <w:color w:val="111111"/>
          <w:sz w:val="28"/>
          <w:sz w:val="28"/>
          <w:szCs w:val="28"/>
          <w:rtl w:val="true"/>
          <w:lang w:bidi="ar-SA"/>
        </w:rPr>
        <w:t>بباطن الكف، أو لا يمسّه، فأوجبوا الوضوء مع اللذّة، ولم يوجبوه مع عدمها، وكذلك أوجبه قوم مع المسّ بباطن الكف، ولم يوجبوه مع المسّ بظاهرها، وهذان الاعتباران مرويّان عن أصحاب مالك، وكأنّ اعتبار باطن الكف راجع إلى اعتبار سبب اللذّة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 قوم في ذلك بين العمد والنسيان، فأوجبوا الوضوء منه مع العمد، ولم يوجبوه مع النسيان، وهو مروي عن مالك، وهو قول داود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قوم أنّ الوضوء من مسّه سنّة لا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استقرّ من مذهب مالك عند أهل المغرب من أصحابه، والرواية عنه فيه مضطربة</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مُحَمَّدِ بْنِ أَحْمَدَ، عَنْ أَحْمَدَ بْنِ الْحَسَنِ بْنِ عَلِيٍّ، عَنْ عَمْرِو بْنِ سَعِيدٍ، عَنْ مُصَدِّقِ بْنِ صَدَقَةَ،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تَكُونُ فِي الصَّلَاةِ فَتَظُنُّ أَنَّهَا قَدْ حَاضَتْ؟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يَدَهَا فَتَمَسُّ الْمَوْضِعَ فَإِنْ رَأَتْ شَيْئاً انْصَرَفَتْ وَإِنْ لَمْ تَرَ شَيْئاً أَتَمَّتْ صَلَاتَهَا</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مُحَمَّدِ بْنِ أَحْمَدَ بْنِ يَحْيَى مِثْلَهُ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فتظنّ أنّها قد حاضت أي تظنّ أنّ الدم سال منها، والظنّ هنا يشمل الشك، وقد دلّ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الاعتناء بالظنّ بالحدث، وأنّه لابدّ من حصول العلم به فلو علمت به قطعت الصلاة، وإلّا أتمّت صلاتها، ودلّ أيضاً علی عدم بطلان الوضوء بمسّ الفرج لغرض، والغرض هنا هو استعلام حالها من حيث بقاء طهارتها أو انتقاضها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وفي 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وهو القمّي، ومحمد بن أحمد هو ابن يحيى القمّي، وأحمد بن الحسن بن علي هو ابن </w:t>
      </w:r>
    </w:p>
    <w:p>
      <w:pPr>
        <w:pStyle w:val="BookText"/>
        <w:rPr/>
      </w:pPr>
      <w:r>
        <w:rPr>
          <w:rFonts w:ascii="Amiri" w:hAnsi="Amiri" w:eastAsia="Amiri" w:cs="Amiri"/>
          <w:color w:val="111111"/>
          <w:sz w:val="28"/>
          <w:sz w:val="28"/>
          <w:szCs w:val="28"/>
          <w:rtl w:val="true"/>
          <w:lang w:bidi="ar-SA"/>
        </w:rPr>
        <w:t>فضّال، وعمرو بن سعيد هو المدائني، ومصدّق بن صدقة هو المدائني، وعمّار بن موسى هو الساباطي وقد مضى الكلام في أفراده، وهو موثّق</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الشيخ في التهذيب إلى محمد بن أحمد بن يحيی القمّي، وقد تقدّم أنّه معتبر، وبقيّة أفراد هذا السند كما في سابقه، فيكون موثّقاً أيضاً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الْحُسَيْنِ بْنِ سَعِيدٍ، عَنِ ابْنِ أَبِي عُمَيْرٍ، عَنْ غَيْرِ وَاحِدٍ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الْمَذْيِ مِنَ الشَّهْوَةِ وَلَا مِنَ الْإِنْعَاظِ</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الْقُبْلَةِ وَلَا مِنْ مَسِّ الْفَرْجِ وَلَا مِنَ الْمُضَاجَعَةِ وُضُوءٌ وَلَا يُغْسَلُ مِنْهُ الثَّوْبُ وَلَا الْجَسَدُ</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عند الملاعبة والتقبيل، وفيه الوضوء، مَذَى الرجلُ والفَحْلُ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مَذْياً وأَمْذَى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وهو أَرَقُّ ما يكون من النطفة، والاسم المَذْيُ والمَذِيُّ، والتخفيف أَعلى</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والإنعاظ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أَنْعَظَ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عَلَاهُمَا الشَّبَقُ واشْتَهَيَا الجِمَاعَ، وهَاجَا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والمضاجعة مرّ معناها في شرح الباب، والظاهر حملها هنا علی المضاجعة دون الفرج كما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لهذا الحديث احتمالان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من الإنعاظ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معطوفاً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فيصير الحديث متعرّضاً لعدم النقض بخروج المذي </w:t>
      </w:r>
    </w:p>
    <w:p>
      <w:pPr>
        <w:pStyle w:val="BookText"/>
        <w:rPr/>
      </w:pPr>
      <w:r>
        <w:rPr>
          <w:rFonts w:ascii="Amiri" w:hAnsi="Amiri" w:eastAsia="Amiri" w:cs="Amiri"/>
          <w:color w:val="111111"/>
          <w:sz w:val="28"/>
          <w:sz w:val="28"/>
          <w:szCs w:val="28"/>
          <w:rtl w:val="true"/>
          <w:lang w:bidi="ar-SA"/>
        </w:rPr>
        <w:t>فقط، حيث إنّ المعطوفات تكون أسباباً لخروجه، 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المذي الذي يخرج بسبب الشهوة، أو الانعاظ، أو القبلة، أو مسّ الفرج، أو المضاجعة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الاحتمال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المعطوفات كلّها، ولو لم تكن معطوفة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لناسب أن تذكر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المذي من الشهوة ولا في الإنعاظ ولا في القبلة ولا في مس الفرج ولا في المضاجعة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حكم غسل الثوب والجسد من إصابة المذي لهما، وهو مناسب للمذي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من الإنعاظ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معطوفاً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فيصير الحديث متعرّضاً لخمسة أمور لا يوجب حصولها نقض الوضوء، ويكون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المذي الذي يخرج بسبب الشهوة وضوء، ولا في الانعاظ وضوء إلی آخره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المذي من الشهوة يجتمع مع الإنعاظ و القبلة ومسّ الفرج والمضاجعة، وحينئذٍ لا وجه للمقابلة، فيكون الإنعاظ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خروج المذي غير ناقض للوضوء، وكذا البواقي</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وسيأتي في الباب الثاني عشر من هذه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علاج المتعارضات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المذي لا ينقض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سبق أنّ أحد طريقي الشيخ إلى الحسين بن سعيد صحيح</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إرسالاً، فالسند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فَضَالَةَ وَابْنِ أَبِي عُمَيْرٍ، عَنْ جَمِيلِ بْنِ دَرَّاجٍ وَحَمَّادِ بْنِ عُثْمَانَ،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الْقُبْلَةِ وَلَا الْمُبَاشَرَةِ وَلَا مَسِّ الْفَرْجِ وُضُوءٌ</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عَلِيِّ بْنِ إِبْرَاهِيمَ، عَنْ أَبِيهِ، عَنِ ابْنِ أَبِي عُمَيْرٍ، عَنْ جَمِيلٍ، عَنْ زُرَارَةَ</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مُرْسَلًا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أَيْضاً بِالإِسْنَادِ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الْمُلَامَسَةِ</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علی عدم نقض الوضوء بالقبلة أو المباشرة أو مسّ الفرج أو الملامسة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المسّ والإمساك والمصافحة ونحو ذلك باليد أو بغيرها من أعضاء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الأمور مطلقة فسواء كان الزوج هو الذي قبّل زوجته أم الزوجة قبّلت الزوج فإنّه لا يوجب الوضوء، وكذا البواقي بلا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بيان المراد من الملامسة للنساء المرادة في الآية الشريفة في الحديث الآتي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الماتن هذا الحديث بأربعة أنحاء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الشيخ عنه أي الحسين بن سعيد، وكذا ما يأتي من أحاديث هذا الباب إلی الحديث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الكليني، وهو 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الفقيه مرسلاً، وهو أيضاً معتبر، بناءً علی ما مرّ مراراً</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الشيخ أيضاً 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الإشارة لا التصريح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بن الحسن بن الوليد، عن أبيه، عن محمد بن الحسن الصفّار، عن أحمد بن محمد بن عيسی، عن الحسين بن سعيد، عن فضالة، عن جميل،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 أحمد بن محمد بن الحسن بن الوليد لم يوثق، إلا أنّ للشيخ طريقين معتبرين لجميع روايات أبيه</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أَحْمَدَ بْنِ مُحَمَّدٍ، عَنْ أَبَانِ بْنِ عُثْمَانَ،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يَتَوَضَّأُ ثُمَّ يَدْعُو جَارِيَتَهُ فَتَأْخُذُ بِيَدِهِ حَتَّى يَنْتَهِيَ إِلَى الْمَسْجِدِ فَإِنَّ مَنْ عِنْدَنَا يَزْعُمُونَ أَنَّهَا الْمُلَامَسَةُ؟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بِذَلِكَ بَأْسٌ، وَرُبَّمَا فَعَلْتُهُ، وَمَا يُعْنَى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الْمُوَاقَعَةُ فِي الْفَرْجِ</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على أنّ الملامسة الناقضة للوضوء هي المواقعة في الفرج، وأنّ المسّ والإمساك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تحصل به شهوة غالباً كما في الاستعانة بإمساك يد الجارية لغرض الوصول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ليس هو الملامسة الموجبة للطهارة المائيّة أو الترابيّة، فلا بأس به، إذ لا يوجب إعادة الوضوء، ولاحزازة فيه ولا 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وربما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ولم أتوضّأ، وهو تأكيد على عدم نقض المسّ بفعل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والألف واللام في كلمة الملامسة في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يزعمون أنّها الملامسة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عهديّة، أي الملامسة الواردة في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وافقنا بعض مفسّري العامّة في معنى الملامسة في الآية وأنّها كاللمس كناية عن الجماع، ونسبوه إلى بعض الصحابة، بل قالوا بأنّه الصحيح، كما مرّ في شرح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كنّى بالملامسة عن الجماع لأنّ بما يتوصّل إليه كما أفاده بعض علمائنا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النسخة التي نقلها الماتن في الهامش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المواقعة دون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تدلّ على عدم النقض باللمس والإمساك والمصافحة ونحو ذلك، وإن دلّت على النقض بمثل التفخيذ، لكنّه مخالف لما يأتي من أحاديث الباب المفسّرة للملامسة بخصوص الجماع، فالظاهر أنّ هذه النسخة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الحسين بن سعيد كما قدّمنا، وأحمد بن محمد هو ابن أبي نصر البزنطي، وأمّا أبو مريم فهو أبو مريم الأنصاري وقد مرّ أنّه عبد الغفّار بن القاسم</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وكتابه مشهور، فالسند صحيح</w:t>
      </w:r>
      <w:r>
        <w:rPr>
          <w:rFonts w:eastAsia="Amiri" w:cs="Amiri" w:ascii="Amiri" w:hAnsi="Amiri"/>
          <w:color w:val="111111"/>
          <w:sz w:val="28"/>
          <w:szCs w:val="28"/>
          <w:rtl w:val="true"/>
          <w:lang w:bidi="ar-SA"/>
        </w:rPr>
        <w:t xml:space="preserve">. </w:t>
      </w:r>
      <w:bookmarkStart w:id="170" w:name="pg15724_204229"/>
    </w:p>
    <w:p>
      <w:pPr>
        <w:pStyle w:val="BookText"/>
        <w:rPr/>
      </w:pPr>
      <w:bookmarkEnd w:id="17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صَفْوَانَ،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الْقُبْلَةِ تَنْقُضُ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على عدم نقض الوضوء بالقبلة، وذلك لأنّ الظاهر أنّ تقدير خبر لا النافية المحذوف في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بأس بالقبلة، ونفي البأس المطلق يشمل الحكمين الوضعي وهو عدم نقض الوضوء بها، والتكليفي وهو جواز القبلة وعدم حرمتها للمتوضّي، وان كان السؤال عن الحكم الوضعي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هو صفوان بن يحيی، وابن مسكان هو عبد الله بن مسكان، وقد تقدّم القول في وثاقتهم وجلالتهم</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2417985_2142443653"/>
      <w:bookmarkStart w:id="172" w:name="_Toc62"/>
      <w:bookmarkEnd w:id="171"/>
      <w:r>
        <w:rPr>
          <w:rtl w:val="true"/>
        </w:rPr>
        <w:t>وأمّا الحلبي فهو مشترك بين أربعة</w:t>
      </w:r>
      <w:r>
        <w:rPr>
          <w:rtl w:val="true"/>
        </w:rPr>
        <w:t>:</w:t>
      </w:r>
      <w:bookmarkEnd w:id="172"/>
    </w:p>
    <w:p>
      <w:p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عمران بن علي الحلبي، تقدّم توثيقه بأكثر من وجه</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علي بن أبي شعبة الحلبي، عدّه البرقي والشيخ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توثيقه ضمن ترجمة أخيه محمد بن علي</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وعدّه </w:t>
      </w:r>
    </w:p>
    <w:p>
      <w:pPr>
        <w:pStyle w:val="BookText"/>
        <w:rPr/>
      </w:pPr>
      <w:r>
        <w:rPr>
          <w:rFonts w:ascii="Amiri" w:hAnsi="Amiri" w:eastAsia="Amiri" w:cs="Amiri"/>
          <w:color w:val="111111"/>
          <w:sz w:val="28"/>
          <w:sz w:val="28"/>
          <w:szCs w:val="28"/>
          <w:rtl w:val="true"/>
          <w:lang w:bidi="ar-SA"/>
        </w:rPr>
        <w:t>الشيخ المفيد في رسالته العدديّة من الفقهاء والأعلام، المأخوذ منهم الحلال والحرام، والفتيا والأحكام، الذين لا يطعن عليهم ولا طريق لذمّ واحد منهم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علي الحلبي، عدّه البرقي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كوفي وكان متجره إلى حلب فغلب عليه هذا اللّقب، مولى ثقة صحيح، له كتاب، وهو أول كتاب صنّفه الشيعة</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الشيخ أيضاً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 الله بن علي بن أبي شعبه الحلبي الكوفي، مولى بني عجل</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في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 الله بن علي الحلبي، له كتاب مصنّف معوّل عليه،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عرض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رآه استحسنه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عبيد الله بن علي بن أبي شعبة الحلبي مولى بني تيم اللات بن ثعلبة أبو علي، كوفي، كان يتّجر هو وأبوه وإخوته إلى حلب فغلب عليهم النسبة إلى حلب، وآل أبي شعبة في الكوفة بيت مذكور من أصحابنا، وروى جدّهم أبو شعبة عن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وكانوا جميعهم ثقات مرجوعاً إلى ما يقولون، وكان عبيد الله كبيرهم ووجههم، وصنّف الكتاب المنسوب إليه وعرضه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قال عند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لهؤلاء مثل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 مختلفة الأوائل، والتفاوت فيها قريب، وقد روی هذا الكتاب خلق من أصحابنا، عن عبيد الله، والطرق إليه كثيرة، ونحن جارون على عادتنا في هذا الكتاب، وذاكرون إليه طريقاً واحداً، أخبرنا غير واحد عن علي بن حبشي بن قوني الكاتب الكوفي، عن حُميد بن زياد، عن عبيد الله بن أحمد بن نهيك عن ابن أبي عمير عن حمّاد عن الحلبي</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الحلبي، وقد تقدّم توثيقه</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 فهو يروي عن عبد الله بن مسكان، فلا يراد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الثاني فالراوي عنه في 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عيسی وحمّاد بن عثمان، مضافاً إلى أنّ المشهور لا ينصرف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طرق الشيخ في الفهرست كلّها تنتهي إلى حمّاد بن عثمان أيضاً، فهو راوي كتابه،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به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جعفر ابن بابويه، عن أبيه ومحمد بن الحسن جميعاً، عن سعد بن عبد الله وعبد الله بن جعفر الحميري، عن أحمد وعبد الله ابني محمد بن عيسى الأشعري، عن محمد بن أبي عمير، عن حمّاد بن عثمان، عن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به ابن أبي جيد، عن ابن الوليد، عن الصفّار، عن أحمد بن محمد، عن ابن أبي عمير، عن حمّاد، عن الحلبي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به جماعة، عن التلعكبري، عن أبي عيسى عبيد الله بن محمد بن </w:t>
      </w:r>
    </w:p>
    <w:p>
      <w:pPr>
        <w:pStyle w:val="BookText"/>
        <w:rPr/>
      </w:pPr>
      <w:r>
        <w:rPr>
          <w:rFonts w:ascii="Amiri" w:hAnsi="Amiri" w:eastAsia="Amiri" w:cs="Amiri"/>
          <w:color w:val="111111"/>
          <w:sz w:val="28"/>
          <w:sz w:val="28"/>
          <w:szCs w:val="28"/>
          <w:rtl w:val="true"/>
          <w:lang w:bidi="ar-SA"/>
        </w:rPr>
        <w:t>الفضل بن هلال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عثمان ذو الناب، عنه</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طريق النجاشي إليه فإنّه ينتهي إلى حمّاد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أنّ المراد بالحلبي هنا هو محمد بن علي الحلبي، والقرينة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ما تقدم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عنه في هذا السند هو عبد الله بن مسكان، وقد ورد عبد الله بن مسكان في طريق النجاشي والصدوق إلى محمد بن علي بن أبي شعبة،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الإمامة، وكتاب في الحلال والحرام، وأكثره عن محمد بن علي الحلبي</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فيه عن محمد بن علي الحلبي فقد رويته عن أبي ومحمد بن الحسن ومحمد بن موسی بن المتوكل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عبد الله بن جعفر الحميري، عن أيّوب بن نوح، عن صفوان بن يحيى، عن عبد الله بن مسكان، عن محمد بن علي الحلبي</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 في ترجمة محمد بن علي بن أبي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كتاب مبوّب في الحلال والحرام، أخبرنا ابن نوح عن البزوفري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عنه به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فيظهر من هذا أنّ راوي كتاب محمد بن علي الحلبي في الحلال والحرام هو عبد الله بن مسكان، كما هو الحال في هذا السند</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ذكر الشيخ أنّ طريقه في الفهرست إلى محمد بن علي الحلبي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جيد، عن ابن الوليد، عن الصفّار، عن أحمد بن محمد، عن الحسن بن علي بن فضّال، عن أبي جميلة المفضّل بن صالح، عنه</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الراوي عنه عبد الله 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في التهذيب حديثين وكرّرهما في الاستبصار وفي سندهما عبد الله بن مسكان عن عبيدالله الحلبي</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مورد تأمّل، لما عرفت من كون الراوي عن محمد بن علي هو عبد الله بن مسكان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فالسند صحيح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الْقَاسِمِ بْنِ مُحَمَّدٍ، عَنْ أَبَانِ بْنِ عُثْمَانَ، 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 فَرْجَ امْرَأَتِهِ؟ قَالَ لَيْسَ عَلَيْهِ شَيْ ءٌ، وَإِنْ شَاءَ غَسَلَ يَدَهُ، وَالْقُبْلَةُ لَا يُتَوَضَّأُ مِنْهَا</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الحديث علی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 فرج الزوجة لا ينقض الوضوء؛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عليه شيء، أي ليس عليه شيء لا تكليفاً ولا وضعاً، فليس عليه إثم، وليس عليه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له أن يغسل يده بعد المس، ولعلّه لإزالة نفور النفس من استعمال اليد في ملامسة المأكولات وغيرها بعد ذلك بلا غَسلٍ لليد، ولكنّه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تقبيل الزوجة لايوجب الوضوء، ولو كان ذلك بشهوة، بمقتضى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القاسم بن محمد تقدّم أنّه مشترك بين ستة عشر في هذا العنوان</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والمعروفون من بينهم أربعة، وعيّنّا هناك سبيل التمييز بينهم، والمراد به هنا الجوهري بقرينة رواية الحسين بن سعيد عنه، وروايته عن أبان بن عثمان الذي هومن أصحاب </w:t>
      </w:r>
    </w:p>
    <w:p>
      <w:pPr>
        <w:pStyle w:val="BookText"/>
        <w:rPr/>
      </w:pP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 الرحمن فقد تقدّم في الباب الأوّل من هذه الأبواب أنّه ثقة</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فالسند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فَضَالَةَ وَمُحَمَّدِ 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يَعْبَثُ بِذَكَرِهِ فِي الصَّلَاةِ الْمَكْتُوبَةِ؟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عبث يعبث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علم عبثاً بالتحريك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وعمل ما لا فائدة فيه، كمن ينزف الماء من البحر إلی البحر عابثاً</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يعبث بذكره، أي بلا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والعبث بالذكر مطلق فيشمل مسّ ظاهره وباطنه، أي إذا فتحه،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أي تكليفاً ووضعاً، فليس ذلك محرّماً ولا ناقضاً للوضوء، وإن كان منافياً للخشوع والاقبال علی الله تعالی المطلوبين للمصلّي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أفراده، وهو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أَخِيهِ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يَمَسُّ ذَكَرَهُ أَوْ فَرْجَهُ أَوْ أَسْفَلَ مِنْ ذَلِكَ وَهُوَ قَائِمٌ يُصَلِّي يُعِيدُ وُضُوءَهُ؟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إِنَّمَا هُوَ مِنْ جَسَدِهِ</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 فِي قَوَاطِعِ الصَّلَاةِ وَغَيْرِهَا</w:t>
      </w:r>
      <w:r>
        <w:rPr>
          <w:rFonts w:eastAsia="Amiri" w:cs="Amiri" w:ascii="Amiri" w:hAnsi="Amiri"/>
          <w:color w:val="111111"/>
          <w:sz w:val="28"/>
          <w:szCs w:val="28"/>
          <w:rtl w:val="true"/>
          <w:lang w:bidi="ar-SA"/>
        </w:rPr>
        <w:t>(</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مَا يَدُلُّ عَلَى ذَلِكَ فِي أَحَادِيثِ حَصْرِ النَّوَاقِضِ</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أن مسّ هذه الأعضاء حال الصلاة لا يوجب الوضوء ولو كان عبثاً، وإذا لم ينقض المسّ المذكور الوضوء في الصلاة، فكذا في غير حال الصلاة</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رجاله، وهو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عُثْمَانَ،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الرَّجُلُ الْمَرْأَةَ مِنْ شَهْوَةٍ أَوْ مَسَّ فَرْجَهَا أَعَادَ الْوُضُوءَ</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نقض الوضوء بتقبيل الرجل المرأة بشهوة أو بمسّ فرجها ولو من دون شهوة، كما هو مقتضى الإطلاق، وهذا الحديث ممّا احتج به الصدوق وابن الجنيد على نقض الوضوء بتقبيل المرأة بشهوة أو بمسّ فرجها، وهو خلاف ما عليه أكثر علمائنا، وما يظهر من الأحاديث المتقدّمة، وموافق للعامّة فيحمل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وهو ابن عيسی، وابن مسكان وهو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صحيح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أَحْمَدَ بْنِ يَحْيَى، عَنْ أَحْمَدَ بْنِ الْحَسَنِ بْنِ عَلِيِّ بْنِ فَضَّالٍ، عَنْ عَمْرِو بْنِ سَعِيدٍ، عَنْ مُصَدِّقِ بْنِ صَدَقَةَ،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يَتَوَضَّأُ ثُمَّ يَمَسُّ بَاطِنَ دُبُرِهِ؟ قَالَ نَقَضَ وُضُوءَهُ، وَإِنْ مَسَّ بَاطِنَ إِحْلِيلِهِ فَعَلَيْهِ أَنْ يُعِيدَ الْوُضُوءَ، وَإِنْ كَانَ فِي الصَّلَاةِ قَطَعَ الصَّلَاةَ وَيَتَوَضَّأُ وَيُعِيدُ الصَّلَاةَ، وَإِنْ فَتَحَ إِحْلِيلَهُ أَعَادَ الْوُضُوءَ وَأَعَادَ الصَّلَاةَ</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 الْحَدِيثَيْنِ عَلَى التَّقِيَّةِ لِمُوَافَقَتِهِمَا لَهَا، قَالَهُ جَمَاعَةٌ مِنَ الْأَصْحَابِ</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علی أنّ من كان علی وضوء ثم مسّ باطن دبره انتقض وضوؤه، وكذا إذا مسّ باطن إحليله، هذا إذا كان في غير حال الصلاة، وأمّا إذا كان ذلك منه وهو يصلّي فإنّ ذلك يبطل الصلاة فعليه أن يعيدها بعد إعادة الوضوء،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فتح إحليله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المراد فتح مجری الإحليل، ويحتمل أنّه كشفُ الإحليل، وهذا الحديث ممّا احتجّ به الصدوق وابن الجنيد علىنقض الوضوء بمسّ باطن الفرج، أو فتح الإحليل، وإذا حدث شيء من ذلك </w:t>
      </w:r>
      <w:bookmarkStart w:id="173" w:name="pg15724_204240"/>
    </w:p>
    <w:p>
      <w:pPr>
        <w:pStyle w:val="BookText"/>
        <w:rPr/>
      </w:pPr>
      <w:bookmarkEnd w:id="173"/>
      <w:r>
        <w:rPr>
          <w:rFonts w:ascii="Amiri" w:hAnsi="Amiri" w:eastAsia="Amiri" w:cs="Amiri"/>
          <w:color w:val="111111"/>
          <w:sz w:val="28"/>
          <w:sz w:val="28"/>
          <w:szCs w:val="28"/>
          <w:rtl w:val="true"/>
          <w:lang w:bidi="ar-SA"/>
        </w:rPr>
        <w:t>أثناء الصلاة فهو قاطع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فيقطع الصلاة ويتوضّأ ثم 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هذا الخبر أن نحمله على أنّه إذا صادف هناك شيئاً من النجاسة فإنّه يجب عليه حينئذ إعادة الوضوء والصلاة</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تقدّمت أفراده، وهو موثّق</w:t>
      </w:r>
      <w:r>
        <w:rPr>
          <w:rFonts w:eastAsia="IRNazanin" w:cs="IRNazanin"/>
          <w:color w:val="111111"/>
          <w:sz w:val="28"/>
          <w:szCs w:val="28"/>
          <w:rtl w:val="true"/>
          <w:lang w:bidi="fa-IR"/>
        </w:rPr>
        <w:t>.</w:t>
      </w:r>
    </w:p>
    <w:p>
      <w:pPr>
        <w:pStyle w:val="Heading3"/>
        <w:numPr>
          <w:ilvl w:val="2"/>
          <w:numId w:val="1"/>
        </w:numPr>
        <w:rPr/>
      </w:pPr>
      <w:bookmarkStart w:id="174" w:name="__RefHeading___Toc12417987_2142443653"/>
      <w:bookmarkStart w:id="175" w:name="_Toc63"/>
      <w:bookmarkEnd w:id="174"/>
      <w:r>
        <w:rPr>
          <w:rtl w:val="true"/>
        </w:rPr>
        <w:t>الجمع بين الأحاديث</w:t>
      </w:r>
      <w:r>
        <w:rPr>
          <w:rtl w:val="true"/>
        </w:rPr>
        <w:t>:</w:t>
      </w:r>
      <w:bookmarkEnd w:id="175"/>
    </w:p>
    <w:p>
      <w:pPr>
        <w:pStyle w:val="BookText"/>
        <w:rPr/>
      </w:pPr>
      <w:r>
        <w:rPr>
          <w:rFonts w:ascii="Amiri" w:hAnsi="Amiri" w:eastAsia="Amiri" w:cs="Amiri"/>
          <w:color w:val="111111"/>
          <w:sz w:val="28"/>
          <w:sz w:val="28"/>
          <w:szCs w:val="28"/>
          <w:rtl w:val="true"/>
          <w:lang w:bidi="ar-SA"/>
        </w:rPr>
        <w:t xml:space="preserve">جمع أكثر الأصحاب بين هذين الحديثين وأحاديث الباب بحملهما على التقيّة؛ لأنّ أحاديث الباب دالّة على عدم الناقضيّة، وقد سبق في شرح الباب أنّ المشهور بين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الناقضيّة فيكون الحديثان موافقَين لهم، ويكونان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مخالفين للأحاديث الحاصرة للنواقض في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إلى ذلك شذوذهما وعدم عمل الأصحاب بهما، مضافاً إلی أنّهما مخالفان للكتاب، بخلاف بقيّة الأحاديث فإنّها موافقة لإطلاق الكتاب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ورد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المراد مطلق المسّ كان موافقاً لهما إلّا أنّ الوارد في أحاديثنا أنّ المراد بالملامسة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 فيكون ظاهر الكتاب مرجّحاً لبقية أحاديث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جمع آخر وهو حمل الحديثين على الاستحباب، فمن مسّ الأشياء المذكورة أعاد الوضوء استحباباً، وهذا الوجه ذكره الشيخ وجماعة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ويوجد حمل ثالث وهو أنّ المراد من الوضوء في الحديث التاسع هو غَسل اليد، كما عن الشيخ في التهذيب</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ويحمل الحديث العاشر على أنّه إذا صادف هناك شيئاً من النجاسة فإنّه يجب عليه حينئذٍ إعادة الوضوء والصلاة، ومن لم يصادف شيئاً من ذلك لم يكن عليه شيء</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يُصار إلى الحمل على التقيّة إذا صحّ أحد الحملين الأخيرين؛ لتقدّم التصرّف الدلالي على التصرّف الجهتي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يقال بِبُعد هذين الحملين، وهو الصحيح، فقد ذكر في العروة أنّ جماعة من العلماء ذكروا استحباب الوضوء في موارد، ومنها ما في هذين الحديثين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 السيد الحكيم في المستمسك </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صاحب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الاستحباب في هذه الموارد غير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واستصوبه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الروايات المعارضة عدم كونها في مقام بيانالحكم المولوي حتى يقال إنّ المستفاد منها الوجوب أو الاستحباب، بل </w:t>
      </w:r>
    </w:p>
    <w:p>
      <w:pPr>
        <w:pStyle w:val="BookText"/>
        <w:rPr/>
      </w:pPr>
      <w:r>
        <w:rPr>
          <w:rFonts w:ascii="Amiri" w:hAnsi="Amiri" w:eastAsia="Amiri" w:cs="Amiri"/>
          <w:color w:val="111111"/>
          <w:sz w:val="28"/>
          <w:sz w:val="28"/>
          <w:szCs w:val="28"/>
          <w:rtl w:val="true"/>
          <w:lang w:bidi="ar-SA"/>
        </w:rPr>
        <w:t>ظاهرها بيان الحكم بناقضيّة تلك الأمور للوضوء، فالحمل على استحباب الوضوء في هذه الموارد غير صحيح، نعم، التوضّؤ بعد هذه الأمور برجاء المطلوبيّة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الحمل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المراد من الوضوء في الحديث التاسع هو غَسل اليد، والحمل في الحديث العاشر على أنّه إذا صادف في الموضع شيئاً من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حمل تبرّعي وغير صحيح؛ إذ جاء في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الوضوء الاصطلاحي ولا معنى لإعادة الوضوء اللغوي، الذي هو بمعنى الغَسل، ولو سلّمنا إرادة الغَسل فهو وإن تمّ في مسّ الفرج لكن لا يتمّ في القبلة، وقد ورد الجواب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العاشر فإنّه قد لا يتّفق خروج شيء مع الملامسة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هو الحمل على التقيّة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فِي مَجْمَعِ الْبَيَانِ،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 فَلَمْ تَجِدُوا ماءً فَتَيَمَّمُوا</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أنّ المراد من ملامسة النساء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الجماع، فهو الناقض للوضوء دون ما زعمه أكثر العامّة من أنّه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والمماسّة بالبشرة، فإذا مسّ الرجل المرأة فقد انتقض وضوؤه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مجمع البيان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r>
        <w:rPr>
          <w:rStyle w:val="FootnoteAnchor"/>
          <w:rtl w:val="true"/>
        </w:rPr>
        <w:footnoteReference w:id="49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شهرة الكتاب بلا ريب، وقد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الحديث الثاني عشر من الباب العشرين من أبواب مقدّمات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جلالة مصنِّفه الشيخ الفضل بن الحسن الطبرسي، وأنّ له طريقاً إلى جميع كتب وروايات الشيخ والصدوق أيضاً، إلا أنّا نقول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للشيخ الطوسي أو الصدوق طريق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الحديث مرسل</w:t>
      </w:r>
      <w:r>
        <w:rPr>
          <w:rFonts w:eastAsia="IRNazanin" w:cs="IRNazanin"/>
          <w:color w:val="111111"/>
          <w:sz w:val="28"/>
          <w:szCs w:val="28"/>
          <w:rtl w:val="true"/>
          <w:lang w:bidi="fa-IR"/>
        </w:rPr>
        <w:t xml:space="preserve">. </w:t>
      </w:r>
      <w:bookmarkStart w:id="176" w:name="pg15724_204244"/>
    </w:p>
    <w:p>
      <w:pPr>
        <w:pStyle w:val="BookText"/>
        <w:rPr/>
      </w:pPr>
      <w:bookmarkEnd w:id="17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فِي تَفْسِيرِهِ،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اللَّمْسُ</w:t>
      </w:r>
      <w:r>
        <w:rPr>
          <w:rFonts w:eastAsia="Amiri" w:cs="Amiri" w:ascii="Amiri" w:hAnsi="Amiri"/>
          <w:color w:val="111111"/>
          <w:sz w:val="28"/>
          <w:szCs w:val="28"/>
          <w:rtl w:val="true"/>
          <w:lang w:bidi="ar-SA"/>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 وَلَكِنَّ اللَّهَ سَتِيرٌ</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السَّتْرَ فَلَمْ يُسَمِّ كَمَا تُسَمُّونَ</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الألف واللام في كلمة اللمس عهديّة، أي الملامسة الواردة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بالجماع، فيكون هو ما ينقض الوضوء، وإنّما لم يصرّح به تعالى لأنّه ستّار يحب الستر، فلم يسمّه كما يسمّونه الناس ويتلفّظون به باللفظ الصريح، وهذا من جملة أدب القرآن، فهو يكنّي عمّا تأبى الطباع عن التصريح به، ويصون اللسان عن التصريح به، كما فعل في لفظ الغائط والفرج وغيرهما</w:t>
      </w:r>
      <w:r>
        <w:rPr>
          <w:rFonts w:eastAsia="IRNazanin" w:cs="IRNazanin"/>
          <w:color w:val="111111"/>
          <w:sz w:val="28"/>
          <w:szCs w:val="28"/>
          <w:rtl w:val="true"/>
          <w:lang w:bidi="fa-IR"/>
        </w:rPr>
        <w:t>.</w:t>
      </w:r>
    </w:p>
    <w:p>
      <w:pPr>
        <w:pStyle w:val="Heading3"/>
        <w:numPr>
          <w:ilvl w:val="2"/>
          <w:numId w:val="1"/>
        </w:numPr>
        <w:rPr/>
      </w:pPr>
      <w:bookmarkStart w:id="177" w:name="__RefHeading___Toc12417989_2142443653"/>
      <w:bookmarkStart w:id="178" w:name="_Toc64"/>
      <w:bookmarkEnd w:id="177"/>
      <w:r>
        <w:rPr>
          <w:rtl w:val="true"/>
        </w:rPr>
        <w:t>سند الحديث</w:t>
      </w:r>
      <w:r>
        <w:rPr>
          <w:rtl w:val="true"/>
        </w:rPr>
        <w:t>:</w:t>
      </w:r>
      <w:bookmarkEnd w:id="17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 العيّاشي، صاحب التفسير المعروف باسمه،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مسعود بن محمد بن عيّاش السلمي السمرقندي أبو النضر المعروف بالعيّاشي، ثقة، صدوق، عين من عيون هذه الطائفة، وكان يروي عن الضعفاء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أوّل أمره عامّي المذهب، وسمع حديث العامّة، فأكثر </w:t>
      </w:r>
    </w:p>
    <w:p>
      <w:pPr>
        <w:pStyle w:val="BookText"/>
        <w:rPr/>
      </w:pPr>
      <w:r>
        <w:rPr>
          <w:rFonts w:ascii="Amiri" w:hAnsi="Amiri" w:eastAsia="Amiri" w:cs="Amiri"/>
          <w:color w:val="111111"/>
          <w:sz w:val="28"/>
          <w:sz w:val="28"/>
          <w:szCs w:val="28"/>
          <w:rtl w:val="true"/>
          <w:lang w:bidi="ar-SA"/>
        </w:rPr>
        <w:t>منه ثم تبصّر وعاد إلينا، وكان حديث السِّن، سمع أصحاب علي بن الحسن بن فضّال وعبد الله بن محمد بن خالد الطيالسي وجماعة من شيوخ الكوفيّين والبغداديّين والقميّين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الحسن علي بن محمد قال لنا أبو جعفر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أبو النضر على العلم والحديث تركة أبيه سائرها، وكانت ثلاثمائة ألف دينار، وكانت داره كالمسجد بين ناسخ أو مقابل أو قارئ أو معلِّق، مملوءة من الناس، وصنّف أبو النضر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مسعود العياشي، من أهل سمرقند،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بني تميم، يكنى أبا النضر، جليل القدر، واسع الأخبار، بصير بالروايات، مطّلع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كثيرة تزيد على مائتي مصنَّف، ذكر فهرست كتبه ابن إسحاق النديم</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مسعود بن محمد بن عيّاش السمرقندي، يكنّی أبا النضر، أكثر أهل المشرق علماً وفضلاً وأدباً وفهماً ونبلاً في زمانه، صنَّف أكثر من مائتي مصنَّف ذكرناها في الفهرست، وكان له مجلس للخاص ومجلس للعام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وطريق النجاشي إلى كتب العياشي ومن جملتها التفسير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أبو </w:t>
      </w:r>
    </w:p>
    <w:p>
      <w:pPr>
        <w:pStyle w:val="BookText"/>
        <w:rPr/>
      </w:pPr>
      <w:r>
        <w:rPr>
          <w:rFonts w:ascii="Amiri" w:hAnsi="Amiri" w:eastAsia="Amiri" w:cs="Amiri"/>
          <w:color w:val="111111"/>
          <w:sz w:val="28"/>
          <w:sz w:val="28"/>
          <w:szCs w:val="28"/>
          <w:rtl w:val="true"/>
          <w:lang w:bidi="ar-SA"/>
        </w:rPr>
        <w:t>عبد الله بن شاذان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حيدر بن محمد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طريق الشيخ في الفهرست إلى كتب العياشي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 جماعة من أصحابنا، عن أبي المفضّل، عن جعفر بن محمد بن مسعود العيّاشي، عن أبيه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الطريق ضعيف بأبي المفضّل وبجعفر بن محمد بن مسعود العيّاشی، لكن يُصحّح بأنّ للشيخ طريقاً إلى مصنّفات ومرويّات الكشّي، والكشّي روى جميع مصنّفات العيّاشي، فيكون للشيخ طريق صحيح إلى التفسير، ففي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 جماعة، عن أبي محمد هارون بن موسى، عن محمد بن عمر بن عبد العزيز الكشي</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النجاشي بأنّه صحب العياشي وأخذ عنه وتخرّج عليه وفي داره التي كانت مرتعاً للشيعة وأهل العلم</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الشيخ في الرجال أنّ الكشي من غلمان العيّاشي</w:t>
      </w:r>
      <w:r>
        <w:rPr>
          <w:rFonts w:eastAsia="Amiri" w:cs="Amiri" w:ascii="Amiri" w:hAnsi="Amiri"/>
          <w:color w:val="111111"/>
          <w:sz w:val="28"/>
          <w:szCs w:val="28"/>
          <w:rtl w:val="true"/>
          <w:lang w:bidi="ar-SA"/>
        </w:rPr>
        <w:t>(</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من إجازة الآقا حسين الخونساري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يروي مصنَّفات ومرويّات أبي عمرو الكشّي بواسطة الشيخ الجليل هارون بن موسى التلعكبري</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والكشّي روی جميع مصنفات العيّاشي وبهذا يكون للشيخ طريق صحيح إلى التفسير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المراد بالحلبي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 شعبة، لأنّ له كتاباً في التفسير دون عبيد الله أو غيره من الحلبيين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الْجِمَاعُ</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أنّ المراد من الملامسة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 فيكون هو الناقض للوضوء، لا الملامسة بين الرجل والمرأة التي هي بمثل المصافحة أو الإمساك باليد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يُعلم طريق العيّاشي إلى منصور بن حازم، فالسند ضعيف ولكن يمكن تصحيحه من جهة طريق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كتابه وهو صحيح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سَأَلَهُ قَيْسُ بْنُ رُمَّانَةَ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ثُمَّ أَدْعُو الْجَارِيَةَ فَتُمْسِكُ بِيَدِي فَأَقُومُ فَأُصَلِّي أَعَلَيَّ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يَزْعُمُونَ أَنَّهُ اللَّمْسُ، قَالَ لَا، وَاللَّهِ مَا اللَّمْسُ إِلَّا الْوِقَاعَ، يَعْنِي الْجِمَاعَ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كَبِرَ يَتَوَضَّأُ ثُمَّ يَدْعُو الْجَارِيَةَ فَتَأْخُذُ بِيَدِهِ فَيَقُومُ فَيُصَلِّي</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على أنّ لمس المرأة لا ينقض الوضوء، وفيه ردّ على من زعم من العامّة أنّه اللمس الوارد في الآية، فقد زعموا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اللمس والمباشرة باليد ونحوها، وهو الذي نفاه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وأكّد النفي بالقسم بالله على أنّ المراد من اللمس فيها هو الجماع، ولكنّه لم يصرّح بالجماع في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الاستشهاد بفعل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يستعين بالجارية لكبره فتأخذ بيده بعد أن يتوضّأ فيقوم ويصلّي ولا يعيد الوضوء، ممّا يعني أنّ لمس المرأة لا يوجب نقض الوضوء، وهذا الاستشهاد تأكيد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للحكم بعدم النقض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يُعلم طريق العياشي إلى الحلبي، ويمكن الحكم بصحة السند ممّا تقدّم </w:t>
      </w:r>
      <w:bookmarkStart w:id="179" w:name="pg15724_204250"/>
    </w:p>
    <w:p>
      <w:pPr>
        <w:pStyle w:val="BookText"/>
        <w:rPr/>
      </w:pPr>
      <w:bookmarkEnd w:id="179"/>
      <w:r>
        <w:rPr>
          <w:rFonts w:ascii="Amiri" w:hAnsi="Amiri" w:eastAsia="Amiri" w:cs="Amiri"/>
          <w:color w:val="111111"/>
          <w:sz w:val="28"/>
          <w:sz w:val="28"/>
          <w:szCs w:val="28"/>
          <w:rtl w:val="true"/>
          <w:lang w:bidi="ar-SA"/>
        </w:rPr>
        <w:t>في الحديثين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أربعة عشر حديثاً، الأوّل موثّق بسنديه، وكذا الثامن والعاشر، والثالث صحيح بسنده الأوّل ومعتبر بأسانيده الثاني والثالث والرابع، وأمّا الثاني والرابع والخامس والسابع والتاسع فصحاح، وأمّا السادس والثاني عشر فمعتبران، وأمّا الحادي عشر والثالث عشر والرابع عشر فيمكن القول بصحّتها</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2417991_2142443653"/>
      <w:bookmarkStart w:id="181" w:name="_Toc65"/>
      <w:bookmarkEnd w:id="180"/>
      <w:r>
        <w:rPr>
          <w:rtl w:val="true"/>
        </w:rPr>
        <w:t>المتحصل من الأحادیث</w:t>
      </w:r>
      <w:bookmarkEnd w:id="181"/>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نقض الوضوء بمسّ الفرج لغرض، كاستعلام المرأة لحالها من الحيض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نقض الوضوء بالقُبلة أو المباشرة دون الفرج أو الملامسة، سواء كان ذلك من الرجل أو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الفرج أو الدبر ظاهراً وباطناً حال الصلاة لا يوجب الوضوء ولو كان عبثاً، بل وفي غير حال الصلاة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والإنعاظ والمضاجعة لا تنقض الوضوء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ملامسة النساء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الجماع، فهو الناقض للوضوء دون ما زعمه أكثر العامّة من أنّه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والمماسّة بالبشرة</w:t>
      </w:r>
      <w:r>
        <w:rPr>
          <w:rFonts w:eastAsia="Amiri" w:cs="Amiri" w:ascii="Amiri" w:hAnsi="Amiri"/>
          <w:color w:val="111111"/>
          <w:sz w:val="28"/>
          <w:szCs w:val="28"/>
          <w:rtl w:val="true"/>
          <w:lang w:bidi="ar-SA"/>
        </w:rPr>
        <w:t xml:space="preserve">. </w:t>
      </w:r>
      <w:bookmarkStart w:id="182" w:name="pg15724_204251"/>
    </w:p>
    <w:p>
      <w:pPr>
        <w:pStyle w:val="Heading2"/>
        <w:numPr>
          <w:ilvl w:val="1"/>
          <w:numId w:val="1"/>
        </w:numPr>
        <w:rPr/>
      </w:pPr>
      <w:bookmarkStart w:id="183" w:name="__RefHeading___Toc12417993_2142443653"/>
      <w:bookmarkStart w:id="184" w:name="_Toc66"/>
      <w:bookmarkEnd w:id="182"/>
      <w:bookmarkEnd w:id="183"/>
      <w:r>
        <w:rPr/>
        <w:t>10</w:t>
      </w:r>
      <w:r>
        <w:rPr>
          <w:rtl w:val="true"/>
        </w:rPr>
        <w:t xml:space="preserve">- </w:t>
      </w:r>
      <w:r>
        <w:rPr>
          <w:rtl w:val="true"/>
        </w:rPr>
        <w:t>بَابُ أَنَّ مُلَاقَاةَ الْبَوْلِ وَالْغَائِطِ لِلْبَدَنِ لَا يَنْقُضُ الْوُضُو ءَ</w:t>
      </w:r>
      <w:bookmarkEnd w:id="184"/>
    </w:p>
    <w:p>
      <w:pPr>
        <w:pStyle w:val="Heading3"/>
        <w:numPr>
          <w:ilvl w:val="2"/>
          <w:numId w:val="1"/>
        </w:numPr>
        <w:rPr/>
      </w:pPr>
      <w:bookmarkStart w:id="185" w:name="__RefHeading___Toc12417995_2142443653"/>
      <w:bookmarkStart w:id="186" w:name="_Toc67"/>
      <w:bookmarkEnd w:id="185"/>
      <w:r>
        <w:rPr>
          <w:rtl w:val="true"/>
        </w:rPr>
        <w:t>اشارة</w:t>
      </w:r>
      <w:bookmarkEnd w:id="18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مُلَاقَاةَ الْبَوْلِ وَالْغَائِطِ لِلْبَدَنِ لَا يَنْقُضُ الْوُضُوءَ</w:t>
      </w:r>
    </w:p>
    <w:p>
      <w:pPr>
        <w:pStyle w:val="Heading3"/>
        <w:numPr>
          <w:ilvl w:val="2"/>
          <w:numId w:val="1"/>
        </w:numPr>
        <w:rPr/>
      </w:pPr>
      <w:bookmarkStart w:id="187" w:name="__RefHeading___Toc12417997_2142443653"/>
      <w:bookmarkStart w:id="188" w:name="_Toc68"/>
      <w:bookmarkEnd w:id="187"/>
      <w:r>
        <w:rPr>
          <w:rtl w:val="true"/>
        </w:rPr>
        <w:t>شرح الباب</w:t>
      </w:r>
      <w:r>
        <w:rPr>
          <w:rtl w:val="true"/>
        </w:rPr>
        <w:t>:</w:t>
      </w:r>
      <w:bookmarkEnd w:id="18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الحديثان الواردان في هذا الباب في وطء العذرة أو البول،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النجسين، لكن عنوان الباب أشمل من الوطء بالرِّجل؛ وذلك لعدم خصوصيّة الوطء بالرِّجل في الحكم بعدم الانتقاض، ولذا عبّر الماتن بالملاقاة للبدن، والحكم هو عدم نقض الوضوء بذلك، ويدلّ عليه أيضاً الأحاديث التي حصرت النواقض في أمور معيّنة، فيكون سواها غير 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ولم نجد من تعرّض لهذا الفرع بخصوصه من الخاصّة والعامّة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الْمُفِيدِ، عَنْ جَعْفَرِ بْنِ مُحَمَّدِ بْنِ قُولَوَيْهِ، عَنْ أَبِيهِ، عَنْ سَعْدِ بْنِ عَبْدِ اللَّهِ، عَنْ أَحْمَدَ بْنِ مُحَمَّدٍ، عَنِ الْحُسَيْنِ بْنِ سَعِيدٍ وَعَلِيِّ بْنِ حَدِيدٍ وَعَبْدِ الرَّحْمَنِ بْنِ أَبِي نَجْرَانَ جَمِيعاً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وَطِئَ عَلَى عَذِرَةٍ فَسَاخَتْ</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 فِيهَا أَيَنْقُضُ ذَلِكَ وُضُوءَهُ وَهَلْ يَجِبُ عَلَيْهِ غَسْلُهَا؟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يَغْسِلُهَا إِلَّا أَنْ يَقْذَرَهَا، وَلَكِنَّهُ يَمْسَحُهَا حَتَّى يَذْهَبَ أَثَرُهَا وَيُصَلِّي</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علی أنّ ملاقاة الرّجل للعذرة لا تنقض الوضوء، ولا خصوصيّة للرِّجل بل يعمّ ذلك جميع البدن، ولا يختصّ بملاقاة العذرة فقط، بل يشمل الحكم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هذا الحديث ممّا استدل به علی تطهير الأرض لباطن القدم عن طريق مسحه بالأرض حتی يذهب أثر النجاسة ولا يبقی من أجزائها شيء وإلّا لم تطهر الرِّجل، وهذا ما يدلّ عليه جعلُ غاية المسح ذهاب الأثر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يمسحها حتى يذهب أثرها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دلّ على أنّ المسح يكفي في الطهارة بلا حاجة إلى الغسل، إلّا إذا استقذر رجله، كما لو كانت أجزاء النجاسة متفشّية بين الأصابع وأعلى من باطن الرِّجل، وفي الحديث جهات من البحث يأتي ذكرها في الباب الثاني والثلاثين من أبواب النجاسات عند تكرار </w:t>
      </w:r>
    </w:p>
    <w:p>
      <w:pPr>
        <w:pStyle w:val="BookText"/>
        <w:rPr/>
      </w:pPr>
      <w:r>
        <w:rPr>
          <w:rFonts w:ascii="Amiri" w:hAnsi="Amiri" w:eastAsia="Amiri" w:cs="Amiri"/>
          <w:color w:val="111111"/>
          <w:sz w:val="28"/>
          <w:sz w:val="28"/>
          <w:szCs w:val="28"/>
          <w:rtl w:val="true"/>
          <w:lang w:bidi="ar-SA"/>
        </w:rPr>
        <w:t>الماتن له هناك،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ينحلّ هذا السند المقرون إلى ثلاثة أسانيد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الطائفة الطوسي، عن المفيد محمد بن محمد بن النعمان، عن جعفر بن محمد بن قولويه، عن أبيه محمد بن جعفر بن موسی بن قولويه، عن سعد بن عبد الله الأشعري، عن أحمد بن محمد بن عيسى الأشعري، عن الحسين بن سعيد الأهوازي، عن حمّاد بن عيسی الجهني، عن حريز بن عبد الله السجستاني، عن زرارة بن أعين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أي شيخ الطائفة الطوسي، عن المفيد محمد بن محمد بن النعمان، عن جعفر بن محمد بن قولويه، عن أبيه محمد بن جعفر بن موسی بن قولويه، عن سعد بن عبد الله الأشعري، عن أحمد بن محمد بن عيسى الأشعري، عن علي بن حديد بن حكيم، عن حمّاد بن عيسى الجهني، عن حريز بن عبد الله السجستاني، عن زرارة بن أعين الشيباني وعلي بن حديد وإن كان في وثاقته خلاف إلا أنّا رجحنا وثاقته</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معتبر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أي شيخ الطائفة الطوسي، عن المفيد محمد بن محمد بن النعمان، عن جعفر بن محمد بن قولويه، عن أبيه محمد بن جعفر بن موسی بن قولويه، عن سعد بن عبد الله الأشعري، عن أحمد بن محمد بن عيسی الأشعري، عن عبدالرحمن بن أبي نجران، عن حمّاد بن عيسی الجهني، عن حريز بن عبد الله السجستاني، عن زرارة بن أعين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صحيح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مُحَمَّدٍ، عَنْ سَهْلِ بْنِ زِيَادٍ، عَنْ مُحَمَّدِ بْنِ سِنَانٍ، عَنِ ابْنِ مُسْكَانَ،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يَطَأُ فِي الْعَذِرَةِ أَوِ الْبَوْلِ أَيُعِيدُ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يَغْسِلُ مَا أَصَابَهُ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أَحَادِيثُ الْحَصْرِ لِلنَّوَاقِضِ وَقَدْ تَقَدَّمَتْ</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الْجَمْعُ بَيْنَهُمَا بِالتَّخْيِيرِ بَيْنَ الْغَسْلِ وَالْمَسْحِ أَوْ تَخْصِيصِ الْغَسْلِ بِمَا إِذَا أَصَابَتِ النَّجَاسَةُ غَيْرَ أَسْفَلِ الْقَدَمِ لِمَا يَأْتِي فِي النَّجَاسَاتِ إِنْ شَاءَ اللَّهُ تَعَالَى</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ملاقاة الرِّجل للعذرة أو البول لا توجب إعادة الوضوء، وهذا يعني أنّ الوضوء لا ينتقض بملاقاة العذرة أو البول، كما دلّ علی لزوم غَسل ما أصابه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شيخ الكليني، وهو مشترك بين ثقتين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إبراهيم بن أبان المعروف بعلّان، وهو خال </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الله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بندار</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ابن مسكان وهو عبد الله، والحلبي هو محمد بن علي بن أبي شعبة، لرواية عبد الله بن مسكان عنه كما تقدّم</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ضعيف بسهل بن زياد، ولكن يمكن تصحيحه بأنّ الشيخ يروي جميع كتب وروايات الشيخ الكليني، فهذا الحديث من جملة مرويّات الشيخ، وهو يروي أيضاً كتب وروايات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فيها من تخليط أو 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صحيح، فيكون هذا الطريق الصحيح طريقاً إلى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يجمع بينهما بأحد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أصابته النجاسة من الأرض في رجله مخيّر بين أن يمسحها بالأرض حتى يذهب أثرها، كما هو مقتضى الحديث الأوّل، وأن يغسلها حتّى يذهب أثر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والحديثان مثبتان ولا ينفي أحدهما الآخر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أصابته النجاسة من الأرض فله أن يمسحها بالأرض، كما هو مقتضى الحديث الأوّل، لكن إذا كانت النجاسة قد تعدّت أسفل القدم فهنا لابدّ من الغَسل، ولا يكفي المسح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حديثين، الأوّل ينحل إلى ثلاثة أسانيد أوّلها وثالثها من الصحيح، وثانيها معتبر، والثاني ضعيف، ويمكن تصحيحه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منهما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ملاقاة البدن للعذرة أو البول لا توجب نقض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مسح النجاسة عن الرِّجل بالأرض يكفي في طهارتها، وتكون الأرض من جملة المطهّرات، ولا حاجة إلى الغسل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تعدّت النجاسة باطن الرِّجل لم يكفِ في طهارتها مسحها بالأرض، بل لابدّ من غَسلها بالماء</w:t>
      </w:r>
      <w:r>
        <w:rPr>
          <w:rFonts w:eastAsia="Amiri" w:cs="Amiri" w:ascii="Amiri" w:hAnsi="Amiri"/>
          <w:color w:val="111111"/>
          <w:sz w:val="28"/>
          <w:szCs w:val="28"/>
          <w:rtl w:val="true"/>
          <w:lang w:bidi="ar-SA"/>
        </w:rPr>
        <w:t xml:space="preserve">. </w:t>
      </w:r>
      <w:bookmarkStart w:id="189" w:name="pg15724_204257"/>
    </w:p>
    <w:p>
      <w:pPr>
        <w:pStyle w:val="Heading2"/>
        <w:numPr>
          <w:ilvl w:val="1"/>
          <w:numId w:val="1"/>
        </w:numPr>
        <w:rPr/>
      </w:pPr>
      <w:bookmarkStart w:id="190" w:name="__RefHeading___Toc12417999_2142443653"/>
      <w:bookmarkStart w:id="191" w:name="_Toc69"/>
      <w:bookmarkEnd w:id="189"/>
      <w:bookmarkEnd w:id="190"/>
      <w:r>
        <w:rPr/>
        <w:t>11</w:t>
      </w:r>
      <w:r>
        <w:rPr>
          <w:rtl w:val="true"/>
        </w:rPr>
        <w:t xml:space="preserve">- </w:t>
      </w:r>
      <w:r>
        <w:rPr>
          <w:rtl w:val="true"/>
        </w:rPr>
        <w:t>بَابُ أَنَّ لَمْسَ الْكَلْبِ وَالْكَافِرِ لَا يَنْقُضُ الْوُضُو ءَ</w:t>
      </w:r>
      <w:bookmarkEnd w:id="191"/>
    </w:p>
    <w:p>
      <w:pPr>
        <w:pStyle w:val="Heading3"/>
        <w:numPr>
          <w:ilvl w:val="2"/>
          <w:numId w:val="1"/>
        </w:numPr>
        <w:rPr/>
      </w:pPr>
      <w:bookmarkStart w:id="192" w:name="__RefHeading___Toc12418001_2142443653"/>
      <w:bookmarkStart w:id="193" w:name="_Toc70"/>
      <w:bookmarkEnd w:id="192"/>
      <w:r>
        <w:rPr>
          <w:rtl w:val="true"/>
        </w:rPr>
        <w:t>اشارة</w:t>
      </w:r>
      <w:bookmarkEnd w:id="19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لَمْسَ الْكَلْبِ وَالْكَافِرِ لَا يَنْقُضُ الْوُضُوءَ</w:t>
      </w:r>
    </w:p>
    <w:p>
      <w:pPr>
        <w:pStyle w:val="Heading3"/>
        <w:numPr>
          <w:ilvl w:val="2"/>
          <w:numId w:val="1"/>
        </w:numPr>
        <w:rPr/>
      </w:pPr>
      <w:bookmarkStart w:id="194" w:name="__RefHeading___Toc12418003_2142443653"/>
      <w:bookmarkStart w:id="195" w:name="_Toc71"/>
      <w:bookmarkEnd w:id="194"/>
      <w:r>
        <w:rPr>
          <w:rtl w:val="true"/>
        </w:rPr>
        <w:t>شرح الباب</w:t>
      </w:r>
      <w:r>
        <w:rPr>
          <w:rtl w:val="true"/>
        </w:rPr>
        <w:t>:</w:t>
      </w:r>
      <w:bookmarkEnd w:id="19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الأمور التي قد يتوهّم أنّها ناقضة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الكلب والكافر، لمبغوضيّتهما ولما في الحثّ الأكيد علی الاجتناب عنهما، وقد جاء الحكم بعدم نقض الوضوء بمسّهما دفعاً لذاك التوهّم، ويدلّ عليه أيضاً الأحاديث التي حصرت النواقض في أمور معيّنة، فيكون سواها غير ناقض، وأحاديث الباب وإن كان موردها المجوسي، وفي أحدها الكلب السلوقي، لكن ما في عنوان الباب من ذكر الكلب مطلقاً ومن ذكر الكافر بدل المجوسي هو الصحيح؛ إذ لا فرق بين أفراد الكلاب من حيث النوع ولا بلد المنشأ، كما لا فرق بين أقسام الكفّار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ابْنِ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 السَّلُوقِيِ</w:t>
      </w:r>
      <w:r>
        <w:rPr>
          <w:rFonts w:eastAsia="Amiri" w:cs="Amiri" w:ascii="Amiri" w:hAnsi="Amiri"/>
          <w:color w:val="111111"/>
          <w:sz w:val="28"/>
          <w:szCs w:val="28"/>
          <w:rtl w:val="true"/>
          <w:lang w:bidi="ar-SA"/>
        </w:rPr>
        <w:t>(</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مَسِسْتَهُ فَاغْسِلْ يَدَكَ</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على أنّ الكلب السلوقي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كلب الصيد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للأمر بغَسل اليد، وكذا غيره من الكلاب لما مرّ في الباب الأوّل من أبواب الأسآر وما يأتي في الباب الثاني عشر من أبواب النجاسات وغيرهما، ودلّ أيضاً على أنّ وظيفة من مسّ الكلب هي غَسل اليد فقط، وهو بإطلاقه يشمل الماسّ المتوضّئ وغيره، فلمّا لم يفصّل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المتوضّي وغيره عُلم أنّه لا توجد وظيفة على الماسّ مطلقاً سوى غَسل اليد، فهذا الحديث بإطلاقه يدلّ على ما في عنوان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وهو الحسن بن محبوب، والعلاء، وهو العلاء بن رزين، والسند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الْحُسَيْنِ بْنِ سَعِيدٍ، عَنْ صَفْوَانَ،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صَافَحَ مَجُوسِيّاً؟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يَدَهُ، وَلَا يَتَوَضَّأُ</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كَمَا يَأْتِي فِي النَّجَاسَاتِ</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نجاسة المجوسي، وعلى وجوب غسل ما يلاقيه، وعلى أنّ مسّ المجوسي ومصافحته لا توجب الحدث كي يحتاج في رفعه إلى الوضوء، والوضوء المنفي هنا هو الوضوء الاصطلاحي لا اللغوي بقرينة ذكر غسل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الماتن سند الشيخ في التهذيب،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وهو ابن يحيی، والعلاء وهو ابن رزين، والسند صحيح</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إلى سند الكليني، وهو ما يأتي في الحديث الثالث من الباب الرابع عشر من أبواب النجاسات، والسند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وهو أحمد بن إدريس عن محمد بن عبد الجبّار، عن صفوان، وهو ابن يحيى، عن العلاء بن رزين، عن محمد بن مسلم، وهو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 يُصِيبُ شَيْئاً مِنْ جَسَدِ الرَّجُلِ</w:t>
      </w:r>
      <w:r>
        <w:rPr>
          <w:rFonts w:eastAsia="Amiri" w:cs="Amiri" w:ascii="Amiri" w:hAnsi="Amiri"/>
          <w:color w:val="111111"/>
          <w:sz w:val="28"/>
          <w:szCs w:val="28"/>
          <w:rtl w:val="true"/>
          <w:lang w:bidi="ar-SA"/>
        </w:rPr>
        <w:t>(</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الْمَكَانَ الَّذِي أَصَابَهُ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أَيْضاً أَحَادِيثُ حَصْرِ النَّوَاقِضِ، وَقَدْ تَقَدَّمَتْ</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علی نجاسة الكلب مطلقاً سواء كان سلوقياً أم غيره، وعلی وجوب غسل ما يلاقيه فقط، وهو بإطلاقه يشمل المتوضي وغيره، فلمّا لم يفصّل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المتوضّي وغيره عُلم أنّه لا توجد وظيفة علی من أصابه الكلب مطلقاً سوی غَسل المكان الذي أصابه، وظاهره لزوم الغَسل مطلقاً وإن لم يكن قد لاقاه برطوبة، وقد ذهب إليه بعضهم، وأنّ النجاسة في الملاقاة برطوبة نجاسة عينيّة، وفي الملاقاة بيبوسة نجاسة حكميّة، لكنّ المشهور أوجبوا الغَسل من الملاقاة برطوبة فقط</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 الحسين بن سعيد، وحمّاد هو حمّاد بن عيسی الجهني، وحريز هو حريز بن عبد الله السجستاني، والسند صحيح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عَلِيِّ بْنِ مَحْبُوبٍ، عَنْ أَحْمَدَ بْنِ مُحَمَّدٍ، عَنْ عُثْمَانَ بْنِ عِيسَى، عَنْ عَبْدِ اللَّهِ 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كَلْباً فَلْيَتَوَضَّأْ</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ظاهره أنّ من مسّ كلباً مطلقاً ولو بدون رطوبة يلزمه الوضوء، وهذا مخالف للأحاديث الصحيحة المتقدّمة، ولذا حمله الشيخ في التهذيب والاستبصار علی غَسل اليد؛ لأنّه يسمّی وضوءاً في اللغة، وحينئذٍ لا ينافي ما تقدّم من الأحاديث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وهو أحمد بن محمد بن عيسی الأشعري، والسند صحيح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أَبِي عَبْدِ اللَّهِ الرَّازِيِّ، عَنِ الْحَسَنِ بْنِ عَلِيِّ بْنِ أَبِي حَمْزَةَ، عَنْ سَيْفِ بْنِ عَمِيرَةَ، عَنْ عِيسَى بْنِ عُمَرَ مَوْلَى الْأَنْصَارِ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يَحِلُّ لَهُ أَنْ يُصَافِحَ 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فَسَأَلَهُ أَيَتَوَضَّأُ إِذَا صَافَحَهُمْ؟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مُصَافَحَتَهُمْ تَنْقُضُ الْوُضُوءَ</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الشَّيْخُ الْوُضُوءَ فِي هَذَيْنِ الْحَدِيثَيْنِ عَلَى غَسْلِ الْيَدِ؛ لِأَنَّ ذَلِكَ يُسَمَّى وُضُوءاً،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الطَّائِفَةِ عَلَى أَنَّ ذَلِكَ لَا يُوجِبُ نَقْضَ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هذا الحديث على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مبغوضيّة مصافحة المجوسي الذي هو أحد أقسام الكفّار، ولعلّ الحكمة من ذلك تنفير المؤمنين من المخالطة لهم إمعاناً في التبعيد عن طريقتهم، فلو أحرز عدم التأثّر بهم ارتفعت المبغوضيّة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مصافحة المجوسي تنقض الوضوء، وظاهره إرادة الوضوء الاصطلاحي، لا غَسل اليد؛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مصافحتهم تنقض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يتناسب مع الحمل على غَسل اليد، فلا يقال إنّ ملامستهم تنقض التنظيف، فلابدّ من إرادة الوضوء الاصطلاحي، ويبقى أنّ هذا الحديث لا يعارض الأحاديث الصحاح المتقدّمة لضعفه سنداً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الرازي،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الرازي الجاموراني،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الجاموراني ابن بطّة، عن البرقي، عن أبي عبد الله الجاموراني بكتابه</w:t>
      </w:r>
      <w:r>
        <w:rPr>
          <w:rFonts w:eastAsia="Amiri" w:cs="Amiri" w:ascii="Amiri" w:hAnsi="Amiri"/>
          <w:color w:val="111111"/>
          <w:sz w:val="28"/>
          <w:szCs w:val="28"/>
          <w:rtl w:val="true"/>
          <w:lang w:bidi="ar-SA"/>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الشيخ في الرجال في من لم يرو عن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الجاموراني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عنهم محمد بن أحمد بن يحيی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الجاموراني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عنهم أحمد بن أبي عبد الله</w:t>
      </w:r>
      <w:r>
        <w:rPr>
          <w:rFonts w:eastAsia="IRNazanin" w:cs="IRNazanin"/>
          <w:color w:val="111111"/>
          <w:sz w:val="28"/>
          <w:szCs w:val="28"/>
          <w:rtl w:val="true"/>
          <w:lang w:bidi="fa-IR"/>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الجاموراني، له كتاب، رويناه 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أبي المفضل عن 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عنه</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لم يوثّق، بل قد ضُعّف فقد كان محمد بن الحسن بن الوليد يستثني من رواية محمد بن أحمد بن يحيى ما رواه عن أبي عبد الله الرازي الجاموراني، وصدّقه أبو العباس بن نوح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أبو جعفر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إلّا في محمد بن عيسى بن عبيد فلا أدري ما رابه فيه، لأنّه كان على ظاهر العدالة والثقة</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الشيخ في الفهرست الاستثناء عن الشيخ الصدوق</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196" w:name="pg15724_204264"/>
    </w:p>
    <w:p>
      <w:pPr>
        <w:pStyle w:val="BookText"/>
        <w:rPr/>
      </w:pPr>
      <w:bookmarkEnd w:id="196"/>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حمزة، أي البطائني، وقد مرّ أنّ له توثيقاً معارضاً بالتضعيف بالكذب فيعامل معاملة المجهول</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عميرة، وقد تقدّم انّه ثقة كتابه مشهور</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عيسی بن عمر مولى الأنصار، لم يرد فيه شيء، واحتمل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متّحد مع عيسی بن عمر الأسدي الكوفي 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يرد فيه غير قول الشيخ أسند عنه، وعلى هذا فالسند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خمسة أحاديث، أوّلها معتبر، والثاني صحيح بسنديه، والثالث والرابع صحيحان، والخامس ضعيف</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2418005_2142443653"/>
      <w:bookmarkStart w:id="198" w:name="_Toc72"/>
      <w:bookmarkEnd w:id="197"/>
      <w:r>
        <w:rPr>
          <w:rtl w:val="true"/>
        </w:rPr>
        <w:t>المتحصل من الأحادیث</w:t>
      </w:r>
      <w:bookmarkEnd w:id="198"/>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الكلب السلوقي، بل جميع الكلاب، وكذا المجوسي، بل جميع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غسل ما يلاقيه الكلب والكافر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نقض الوضوء بلمس الكلب أو الكافر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مبغوضيّة مصافحة المجوسی</w:t>
      </w:r>
      <w:r>
        <w:rPr>
          <w:rFonts w:eastAsia="IRNazanin" w:cs="IRNazanin"/>
          <w:color w:val="111111"/>
          <w:sz w:val="28"/>
          <w:szCs w:val="28"/>
          <w:rtl w:val="true"/>
          <w:lang w:bidi="fa-IR"/>
        </w:rPr>
        <w:t xml:space="preserve">. </w:t>
      </w:r>
      <w:bookmarkStart w:id="199" w:name="pg15724_204265"/>
    </w:p>
    <w:p>
      <w:pPr>
        <w:pStyle w:val="Heading2"/>
        <w:numPr>
          <w:ilvl w:val="1"/>
          <w:numId w:val="1"/>
        </w:numPr>
        <w:rPr/>
      </w:pPr>
      <w:bookmarkStart w:id="200" w:name="__RefHeading___Toc12418007_2142443653"/>
      <w:bookmarkStart w:id="201" w:name="_Toc73"/>
      <w:bookmarkEnd w:id="199"/>
      <w:bookmarkEnd w:id="200"/>
      <w:r>
        <w:rPr/>
        <w:t>12</w:t>
      </w:r>
      <w:r>
        <w:rPr>
          <w:rtl w:val="true"/>
        </w:rPr>
        <w:t>-</w:t>
      </w:r>
      <w:r>
        <w:rPr>
          <w:rtl w:val="true"/>
        </w:rPr>
        <w:t>بَابُ أَنَّ الْمَذْيَ وَالْوَذْيَ وَالْوَدْيَ وَالْإِنْعَاظَ وَالنُّخَامَةَ وَالْبُصَاقَ وَالْمُخَاطَ لَا يَنْقُضُ شَيْ ءٌ مِنْهَا الْوُضُو ءَ لَكِنْ يُسْتَحَبُّ الْوُضُو ءُ مِنَ الْمَذْيِ عَنْ شَهْوَةٍ</w:t>
      </w:r>
      <w:bookmarkEnd w:id="201"/>
    </w:p>
    <w:p>
      <w:pPr>
        <w:pStyle w:val="Heading3"/>
        <w:numPr>
          <w:ilvl w:val="2"/>
          <w:numId w:val="1"/>
        </w:numPr>
        <w:rPr/>
      </w:pPr>
      <w:bookmarkStart w:id="202" w:name="__RefHeading___Toc12418009_2142443653"/>
      <w:bookmarkStart w:id="203" w:name="_Toc74"/>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بَابُ أَنَّ الْمَذْيَ وَالْوَذْيَ وَالْوَدْيَ وَالْإِنْعَاظَ وَالنُّخَامَةَ وَالْبُصَاقَ وَالْمُخَاطَ لَا يَنْقُضُ شَيْ ءٌ مِنْهَا الْوُضُو ءَ لَكِنْ يُسْتَحَبُّ الْوُضُو ءُ مِنَ الْمَذْيِ عَنْ شَهْوَةٍ</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الْمَذْيَ وَالْوَذْيَ وَالْوَدْيَ وَالْإِنْعَاظَ وَالنُّخَامَةَ وَالْبُصَاقَ وَالْمُخَاطَ لَا يَنْقُضُ شَيْ ءٌ مِنْهَا الْوُضُوءَ لَكِنْ يُسْتَحَبُّ الْوُضُوءُ مِنَ الْمَذْيِ عَنْ شَهْوَةٍ</w:t>
      </w:r>
    </w:p>
    <w:p>
      <w:pPr>
        <w:pStyle w:val="Heading3"/>
        <w:numPr>
          <w:ilvl w:val="2"/>
          <w:numId w:val="1"/>
        </w:numPr>
        <w:rPr/>
      </w:pPr>
      <w:bookmarkStart w:id="204" w:name="__RefHeading___Toc12418011_2142443653"/>
      <w:bookmarkStart w:id="205" w:name="_Toc75"/>
      <w:bookmarkEnd w:id="204"/>
      <w:r>
        <w:rPr>
          <w:rtl w:val="true"/>
        </w:rPr>
        <w:t>شرح الباب</w:t>
      </w:r>
      <w:r>
        <w:rPr>
          <w:rtl w:val="true"/>
        </w:rPr>
        <w:t>:</w:t>
      </w:r>
      <w:bookmarkEnd w:id="205"/>
    </w:p>
    <w:p>
      <w:pPr>
        <w:pStyle w:val="BookText"/>
        <w:rPr/>
      </w:pPr>
      <w:r>
        <w:rPr>
          <w:rFonts w:ascii="Amiri" w:hAnsi="Amiri" w:eastAsia="Amiri" w:cs="Amiri"/>
          <w:color w:val="111111"/>
          <w:sz w:val="28"/>
          <w:sz w:val="28"/>
          <w:szCs w:val="28"/>
          <w:rtl w:val="true"/>
          <w:lang w:bidi="ar-SA"/>
        </w:rPr>
        <w:t>المَذْيُ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عند الملاعبة والتقبيل، وفيه الوضوء، مَذَى الرجلُ والفَحْلُ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مَذْياً وأَمْذَی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وهو أَرَقُّ ما يكون من النطفة، والاسم المَذْيُ والمَذِيُّ، والتخفيف أَعلى</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بالذال المعجمة الساكنة والياء المخفّفة، وعن الأموي بتشديد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يخرج عقيب إنزال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يخرج من الأدواء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 جمع داء وهو المرض وذِكر الوذي مفقود في كثير من كتب اللغة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بسكون الدال وكسرها وتشديد الياء، وهو على ما قيل أصحّ </w:t>
      </w:r>
    </w:p>
    <w:p>
      <w:pPr>
        <w:pStyle w:val="BookText"/>
        <w:rPr/>
      </w:pPr>
      <w:r>
        <w:rPr>
          <w:rFonts w:ascii="Amiri" w:hAnsi="Amiri" w:eastAsia="Amiri" w:cs="Amiri"/>
          <w:color w:val="111111"/>
          <w:sz w:val="28"/>
          <w:sz w:val="28"/>
          <w:szCs w:val="28"/>
          <w:rtl w:val="true"/>
          <w:lang w:bidi="ar-SA"/>
        </w:rPr>
        <w:t>وأفصح من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البلل اللّزج الذي يخرج من الذكر بعد البول</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وَالْإِنْعَاظ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أَنْعَظَ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عَلَاهُمَا الشَّبَقُ واشْتَهَيَا الجِمَاعَ، وهَاجَا</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وَالنُّخَامَة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نَخِمَ الرجلُ نَخَماً ونَخْماً وتَنَخَّمَ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بشيء من صَدْرِه أَو أَنفِه، واسم ذلك الشيء النُّخامةُ، وهي النُّخاعةُ وتَنَخَّمَ أَي نَخَع</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وَالْبُصَاق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البصاق، كغراب، والبساق والبزاق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الفم إذا خرج منه، وما دام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البَزْقُ والبَصْق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 في البُزاق والبُصاق، بَزَق يَبْزُق بَزْقاً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وَالْمُخَاط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يسيل من أنف الحيوان من الماء</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وأحاديث الباب متعرّضة لحكم خروج المني مطلقاً أو بشهوة، ولحكم خروج الودي والوذي، والماتن أضاف في عنوان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الإنعاظ؛ لكونه مفهوماً من بعض الأحاديث الدالّة على وجود الشهوة، كما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النّخامة والمخاط والبصاق أو البزاق، لا لأجل القول بناقضيّتها عند العامّة، بل لورودها مشبّهاً بها في بعض أحاديث الباب فيُفهَم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الناقضيّة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بالأولويّة، حيث ورد تشبيه المذي والودي بها من حيث كونها فضلات طاهرة </w:t>
      </w:r>
      <w:bookmarkStart w:id="206" w:name="pg15724_204267"/>
    </w:p>
    <w:p>
      <w:pPr>
        <w:pStyle w:val="BookText"/>
        <w:rPr/>
      </w:pPr>
      <w:bookmarkEnd w:id="206"/>
      <w:r>
        <w:rPr>
          <w:rFonts w:ascii="Amiri" w:hAnsi="Amiri" w:eastAsia="Amiri" w:cs="Amiri"/>
          <w:color w:val="111111"/>
          <w:sz w:val="28"/>
          <w:sz w:val="28"/>
          <w:szCs w:val="28"/>
          <w:rtl w:val="true"/>
          <w:lang w:bidi="ar-SA"/>
        </w:rPr>
        <w:t>بالاتفاق وكونها غير ناقضة، وعدم الناقضيّة في المشبّه به واضح لا ريب فيه فلذا جُعل في تلك الأحاديث مشبّهاً به</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2418013_2142443653"/>
      <w:bookmarkStart w:id="208" w:name="_Toc76"/>
      <w:bookmarkEnd w:id="207"/>
      <w:r>
        <w:rPr>
          <w:rtl w:val="true"/>
        </w:rPr>
        <w:t>أقوال الخاصّة</w:t>
      </w:r>
      <w:r>
        <w:rPr>
          <w:rtl w:val="true"/>
        </w:rPr>
        <w:t>:</w:t>
      </w:r>
      <w:bookmarkEnd w:id="208"/>
    </w:p>
    <w:p>
      <w:pPr>
        <w:pStyle w:val="BookText"/>
        <w:rPr/>
      </w:pPr>
      <w:r>
        <w:rPr>
          <w:rFonts w:ascii="Amiri" w:hAnsi="Amiri" w:eastAsia="Amiri" w:cs="Amiri"/>
          <w:color w:val="111111"/>
          <w:sz w:val="28"/>
          <w:sz w:val="28"/>
          <w:szCs w:val="28"/>
          <w:rtl w:val="true"/>
          <w:lang w:bidi="ar-SA"/>
        </w:rPr>
        <w:t>قام إجماع الإماميّة على عدم نقض هذه الأمور المذكورة في عنوان الباب للوضوء، 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المذي والودي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يخرج بعد البول ثخين 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ينقضان الوضوء، ذهب إليه علماؤنا أجمع</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أكثر علمائنا على أنّ المذي لا ينقض الوضوء ولا أعلم فيه مخالفاً منّا إلّا ابن الجنيد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عقيب شهوة ففيه الوضوء</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2418015_2142443653"/>
      <w:bookmarkStart w:id="210" w:name="_Toc77"/>
      <w:bookmarkEnd w:id="209"/>
      <w:r>
        <w:rPr>
          <w:rtl w:val="true"/>
        </w:rPr>
        <w:t>أقوال العامّة</w:t>
      </w:r>
      <w:r>
        <w:rPr>
          <w:rtl w:val="true"/>
        </w:rPr>
        <w:t>:</w:t>
      </w:r>
      <w:bookmarkEnd w:id="21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الباب الثاني من هذه الأبواب نقل كلام ابن قدامة في إجماعهم على نقض ما يخرج من السبيلين ومنه المذي والودي</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من السبيلين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معتاد كالبول والغائط والمني والمذي والودي والريح، فهذا ينقض الوضوء إجماعاً، 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أنّ خروج الغائط من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المذي وخروج الريح من الدبر أحداث ينقض كل واحد منها الطهارة، ويوجب الوضوء</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المذي والودي على وجه الصحّة ناقض بالاتفاق، قال في بداية المجتهد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اتفقوا في هذا الباب على انتقاض الوضوء من البول والغائط، والريح، والمذي، والودي؛ لصحّة الآثار في ذلك، إذا كان خروجها على وجه الصحة</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ابْنِ أَبِي عُمَيْرٍ، عَنْ عُمَرَ بْنِ أُذَيْنَةَ،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الْمَذْيِ</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وَلَا يُغْسَلُ مِنْهُ ثَوْبٌ، وَلَا جَسَدٌ، إِنَّمَا هُوَ بِمَنْزِلَةِ الْمُخَاطِ وَالْبُصَاقِ</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صراحة على عدم ناقضيّة المذي للوضوء مطلقاً، قلّ أو كثر، سواء أكان بشهوة أم من دونها، وعلى عدم نجاسته؛ إذ لا يُغسل منه ثوب ولا جسد إذا أصابهما، وتنزيله منزلة المخاط والبصاق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 المذي مثلهما في كلا الحكمين؛ إذ هما من الفضلات الطاهرة بلا خلاف، كما أنّه لا ينتقض الوضوء بخروجهما، وغَسلهما يكون لأجل استقذارهما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الماتن بسندين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وقد سبق الكلام في أفراده، وهو معتبر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الصدوق في كتابه علل الشرائع، وسيذكره في ذيل الحديث الثاني من الباب، وهو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أَبِيهِ، عَنْ حَمَّادٍ، عَنْ حَرِيزٍ،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 مِنْ ذَكَرِكَ شَيْ ءٌ مِنْ مَذْيٍ أَوْ وَدْيٍ وَأَنْتَ فِي الصَّلَاةِ فَلَا تَغْسِلْهُ، وَلَا تَقْطَعْ لَهُ الصَّلَاةَ، وَلَا تَنْقُضْ لَهُ الْوُضُوءَ، وَإِنْ بَلَغَ عَقِبَيْكَ، فَإِنَّمَا ذَلِكَ بِمَنْزِلَةِ النُّخَامَةِ، وَكُلُّ شَيْ ءٍ خَرَجَ مِنْكَ بَعْدَ الْوُضُوءِ فَإِنَّهُ مِنَ الْحَبَائِلِ</w:t>
      </w:r>
      <w:r>
        <w:rPr>
          <w:rFonts w:eastAsia="Amiri" w:cs="Amiri" w:ascii="Amiri" w:hAnsi="Amiri"/>
          <w:color w:val="111111"/>
          <w:sz w:val="28"/>
          <w:szCs w:val="28"/>
          <w:rtl w:val="true"/>
          <w:lang w:bidi="ar-SA"/>
        </w:rPr>
        <w:t>(</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الْبَوَاسِيرِ وَلَيْسَ بِشَيْ ءٍ، فَلَا تَغْسِلْهُ مِنْ ثَوْبِكَ إِلَّا أَنْ تَقْذَرَهُ</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بِإِسْنَادِهِ عَنِ الْحُسَيْنِ بْنِ سَعِيدٍ، عَنْ حَمَّادٍ، عَنْ حَرِيزٍ، عَنْ زَيْدٍ الشَّحَّامِ وَزُرَارَةَ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فِي الْعِلَلِ عَنْ أَبِيهِ، عَنْ عَلِيِّ بْنِ إِبْرَاهِيمَ، عَنْ أَبِيهِ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قَبْلَهُ عَنْ مُحَمَّدِ بْنِ الْحَسَنِ، عَنِ الصَّفَّارِ، عَنْ إِبْرَاهِيمَ بْنِ هَاشِمٍ، عَنِ ابْنِ أَبِي عُمَيْرٍ، مِثْلَهُ</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عقبيك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العقبان مثنی عقب، جاء في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عَقِبُ القَدَم </w:t>
      </w:r>
    </w:p>
    <w:p>
      <w:pPr>
        <w:pStyle w:val="BookText"/>
        <w:rPr/>
      </w:pPr>
      <w:r>
        <w:rPr>
          <w:rFonts w:ascii="Amiri" w:hAnsi="Amiri" w:eastAsia="Amiri" w:cs="Amiri"/>
          <w:color w:val="111111"/>
          <w:sz w:val="28"/>
          <w:sz w:val="28"/>
          <w:szCs w:val="28"/>
          <w:rtl w:val="true"/>
          <w:lang w:bidi="ar-SA"/>
        </w:rPr>
        <w:t>وعَقْبُها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على أَعْقاب</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وحَبائِل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والبواسير جمع باسور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الباسور كالنَّاسُور، 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معروف ويُجمَعُ البَوَاسِيرَ،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علّة تحدث في المقعدة وفي داخل الأَنف أيضاً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على عدم ناقضيّة المذي للوضوء مطلقاً، قلّ أو كثر، يُفهم ذلك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تقطع له الصلاة، ولا تنقض له الوضوء وإن بلغ عقبيك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وإن كثر وسال حتى بلغ مؤخّر قدمك، سواء أكان خروجه بشهوة أم من دونها، ودلّ أيضاً على أنّه لا يوجب قطع الصلاة، كما دلّ على طهارته وعدم لزوم غَسله، إلّا أن يحصل الاستقذار منه عند العرف فيغسله حينئذٍ كما يغسل سائر الأوساخ، ويشاركه في كلّ ذلك الودي، بل كل شيء يخرج بعد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البول والمني وما يصاحباه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ينقض الوضوء ولا يقطع الصلاة، وهو طاهر لا يلزم غَسله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الماتن له ثلاثة أسانيد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علي بن إبراهيم، عن </w:t>
      </w:r>
    </w:p>
    <w:p>
      <w:pPr>
        <w:pStyle w:val="BookText"/>
        <w:rPr/>
      </w:pPr>
      <w:r>
        <w:rPr>
          <w:rFonts w:ascii="IRNazanin" w:hAnsi="IRNazanin" w:eastAsia="IRNazanin"/>
          <w:color w:val="111111"/>
          <w:sz w:val="28"/>
          <w:sz w:val="28"/>
          <w:szCs w:val="28"/>
          <w:rtl w:val="true"/>
          <w:lang w:bidi="fa-IR"/>
        </w:rPr>
        <w:t>أبيه إبراهيم بن هاشم،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أي ابن عيسی، وحريز، أي ابن عبد الله، والسند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 والاستبصار، وقد سبق الكلام في أفراده، وهو صحيح</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الصدوق في كتابه علل الشرائع، وقد سبق الكلام في أفراده، وهو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الْمَذْيِ يَسِيلُ حَتَّى يُصِيبَ الْفَخِذَ؟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صَلَاتَهُ، وَلَا يَغْسِلُهُ مِنْ فَخِذِهِ، إِنَّهُ لَمْ يَخْرُجْ مِنْ مَخْرَجِ الْمَنِيِّ، إِنَّمَا هُوَ بِمَنْزِلَةِ النُّخَامَةِ</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فِي الْعِلَلِ عَنْ أَبِيهِ، عَنْ عَلِيِّ بْنِ إِبْرَاهِيمَ، عَنْ أَبِيهِ، مِثْلَهُ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طهارة المذي، وعدم نقضه للوضوء ولا قطعه للصلاة، وإن كان كثيراً بحيث يصيب الفخذ، سواء أكان خروجه عن شهوة أم عن غيرها، والعلّة في ذلك أنّه لم يخرج من مخرج المني الذي هو نجس وناقض للطهارة وقاطع للصلاة ويلزم غَسله من الثوب أو الجسد، بل هو كالنخامة التي لا يضرّ وجودها فلا يجب غَسلها عن الجسد للصلاة؛ إذ هي ليست نجسة، نعم، تغسل للاستقذار، كما أنّها غير ناقضة للطهارة 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له 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وقد سبق الكلام في أفراده، وهو معتبر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الصدوق في كتابه علل الشرائع، وقد سبق الكلام في أفراده، وهو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الْحُسَيْنِ بْنِ مُحَمَّدٍ، عَنْ مُعَلَّى بْنِ مُحَمَّدٍ، عَنِ الْوَشَّاءِ، عَنْ أَبَانٍ،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فِي الْمَذْيِ وُضُوءاً وَلَا غَسْلًا مَا أَصَابَ الثَّوْبَ مِنْهُ إِلَّا فِي الْمَاءِ الْأَكْبَرِ</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مُحَمَّدِ بْنِ يَعْقُوبَ، مِثْلَهُ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يكون من تفخيم المتكلّم نفسه، أو هو على الحقيقة فيراد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وعلى كلٍّ يكون نفي الوضوء والغَسل لما يصيب الثياب منه إمّا هو بيان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وإمّا أنّه بيان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للحكم الواقعي، وسواء أكان خروجه عن شهوة أم غيرها، وأنّ الطهارة والغَسل من الماء الأكبر أي المني، في قِبال رأي أهل الخلاف، حيث إنّهم يرون الوضوء منه، كما يرونه نجساً</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له سندين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وهو الأشعري، وقد تقدّم أنّه </w:t>
      </w:r>
    </w:p>
    <w:p>
      <w:pPr>
        <w:pStyle w:val="BookText"/>
        <w:rPr/>
      </w:pPr>
      <w:r>
        <w:rPr>
          <w:rFonts w:ascii="Amiri" w:hAnsi="Amiri" w:eastAsia="Amiri" w:cs="Amiri"/>
          <w:color w:val="111111"/>
          <w:sz w:val="28"/>
          <w:sz w:val="28"/>
          <w:szCs w:val="28"/>
          <w:rtl w:val="true"/>
          <w:lang w:bidi="ar-SA"/>
        </w:rPr>
        <w:t>من مشايخ الكليني، روى عنه كثيراً، ووثّقه النجاشي، وورد في القسم الثاني من التفسير</w:t>
      </w:r>
      <w:r>
        <w:rPr>
          <w:rFonts w:eastAsia="Amiri" w:cs="Amiri" w:ascii="Amiri" w:hAnsi="Amiri"/>
          <w:color w:val="111111"/>
          <w:sz w:val="28"/>
          <w:szCs w:val="28"/>
          <w:rtl w:val="true"/>
          <w:lang w:bidi="ar-SA"/>
        </w:rPr>
        <w:t>(</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وروده في القسم الثاني من التفسير ليس دليلاً علی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ومعلّی بن محمد، هو الزيادي، وقد مضى أنّه ثقة وإن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مضطرب الحديث والمذهب</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والوشّاء، هو الحسن بن علي، وقد مضى توثيقه</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أبان بن عثمان، لرواية الوشّاء عنه، وفي بعض الموارد التصريح باسم أبيه مع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وعنبسة بن مصعب سبق أنّه وَقَف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المشايخ الثقات</w:t>
      </w:r>
      <w:r>
        <w:rPr>
          <w:rFonts w:eastAsia="Amiri" w:cs="Amiri" w:ascii="Amiri" w:hAnsi="Amiri"/>
          <w:color w:val="111111"/>
          <w:sz w:val="28"/>
          <w:szCs w:val="28"/>
          <w:rtl w:val="true"/>
          <w:lang w:bidi="ar-SA"/>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فالسند معتبر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عن الكليني، والسند كسابقه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الْمُفِيدِ، عَنْ أَحْمَدَ بْنِ مُحَمَّدٍ، عَنْ أَبِيهِ، عَنِ الصَّفَّارِ، عَنْ أَحْمَدَ بْنِ مُحَمَّدِ بْنِ عِيسَى، عَنْ أَبِيهِ، عَنِ ابْنِ أَبِي عُمَيْرٍ، عَنِ ابْنِ أُذَيْنَةَ،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يُغْسَلُ مِنْهُ الثَّوْبُ، وَلَا الْجَسَدُ إِنَّمَا هُوَ بِمَنْزِلَةِ الْبُزَاقِ وَالْمُخَاطِ</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عدم نقض المذي مطلقاً للوضوء، سواء أكان خروجه قليلاً أم كثيراً وعن شهوة أم غير شهوة، كما هو مقتضى الإطلاق، كما دلّ على أنّه طاهر فلا يغسل منه الثوب ولا الجسد لكونه من الفضلات الطاهرة مثل البزاق والمخاط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وهو أحمد بن محمد بن الحسن بن الوليد، بقرينة رواية الشيخ المفيد عنه، والأسانيد التي مضت والتي تأتي، وهو وإن لم يرد فيه توثيق لكنّ رواية المفيد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الوليد لجميع 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وهو محمد بن الحسن، وأحمد بن محمد بن عيسى، وهو الأشعري القمي، 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الأشعري،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عيسى بن عبد الله بن سعد بن مالك الأشعري أبو علي، شيخ القميّين، ووجه </w:t>
      </w:r>
    </w:p>
    <w:p>
      <w:pPr>
        <w:pStyle w:val="BookText"/>
        <w:rPr/>
      </w:pPr>
      <w:r>
        <w:rPr>
          <w:rFonts w:ascii="IRNazanin" w:hAnsi="IRNazanin" w:eastAsia="IRNazanin"/>
          <w:color w:val="111111"/>
          <w:sz w:val="28"/>
          <w:sz w:val="28"/>
          <w:szCs w:val="28"/>
          <w:rtl w:val="true"/>
          <w:lang w:bidi="fa-IR"/>
        </w:rPr>
        <w:t xml:space="preserve">الأشاعرة، متقدّم عند السلطان، ودخل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منه، وروی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 الخطب</w:t>
      </w:r>
      <w:r>
        <w:rPr>
          <w:rFonts w:eastAsia="IRNazanin" w:cs="IRNazanin"/>
          <w:color w:val="111111"/>
          <w:sz w:val="28"/>
          <w:szCs w:val="28"/>
          <w:rtl w:val="true"/>
          <w:lang w:bidi="fa-IR"/>
        </w:rPr>
        <w:t>»(</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والظاهر وثاقته؛ فإنّ مدحه بكونه شيخ القميين ووجه الأشاعرة حسنٌ لا يقلّ عن التوثيق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أذينة، وهو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عَنِ الصَّفَّارِ، عَنِ الْهَيْثَمِ بْنِ أَبِي مَسْرُوقٍ النَّهْدِيِّ، عَنْ عَلِيِّ بْنِ الْحَسَنِ الطَّاطَرِيِّ، عَنِ ابْنِ رِبَاطٍ،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الْإِحْلِيلِ الْمَنِيُّ وَالْمَذْيُ وَالْوَذْيُ وَالْوَدْيُ، فَأَمَّا الْمَنِيُّ فَهُوَ الَّذِي يَسْتَرْخِي لَهُ الْعِظَامُ، وَيَفْتُرُ مِنْهُ الْجَسَدُ، وَفِيهِ الْغُسْلُ، وَأَمَّا الْمَذْيُ يَخْرُجُ مِنْ شَهْوَةٍ وَلَا</w:t>
      </w:r>
    </w:p>
    <w:p>
      <w:pPr>
        <w:pStyle w:val="BookText"/>
        <w:rPr/>
      </w:pPr>
      <w:r>
        <w:rPr>
          <w:rFonts w:ascii="Amiri" w:hAnsi="Amiri" w:eastAsia="Amiri" w:cs="Amiri"/>
          <w:color w:val="111111"/>
          <w:sz w:val="28"/>
          <w:sz w:val="28"/>
          <w:szCs w:val="28"/>
          <w:rtl w:val="true"/>
          <w:lang w:bidi="ar-SA"/>
        </w:rPr>
        <w:t>شَيْ ءَ فِيهِ، وَأَمَّا الْوَدْيُ فَهُوَ الَّذِي يَخْرُجُ بَعْدَ الْبَوْلِ، وَأَمَّا الْوَذْيُ فَهُوَ الَّذِي يَخْرُجُ مِنَ الْأَدْوَاءِ، وَلَا شَيْ ءَ فِيهِ</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على أنّ المني يوجب الغسل، وأنّ علامته استرخاء العظام وفتور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ضعفه وانكساره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خروجه، وأنّ المذي لا يوجب نقض الطهارة وعلامته أنّه يخرج غالباً بسبب الشهوة، كما دلّ على أنّ علامة الودي أن يخرج بعد البول، وأنّ الوذي لا ينقض الطهارة أيضاً، وعلامته أنّه يخرج من الأدواء، والظاهر أنّ المراد بها العِلَل، أي أنّه يخرج بسببها، وسيأتي في الحديث الرابع عشر من هذا الباب وهو صحيح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المياه التي تخرج من الإحليل ثلاثة، ولم يذكر الوذي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عن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في التهذيب والاستبصار قبل هذا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عن أحمد بن محمد، عن أبيه، عن الصفّار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طرقه إلى محمد بن الحسن الصفّار في الفهرست</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ورواياته ابن أبي جيد، عن ابن الوليد،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أبي جيّد من مشايخ النجاشي فهو ثقة، فهذا الطريق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بذلك أيضاً جماعة، عن ابن بابويه، عن محمد بن الحسن، عن محمد بن الحسن الصفّار، عن رجاله، إلّا كتاب بصائر الدرجات، فإنّه لم يروه عنه 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صحيح؛ لأنّ الشيخ المفيد من ضمن الجماعة التي تروي عن الشيخ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به الحسين بن عبيد الله، عن أحمد بن محمد بن يحيى، عن أبيه، عن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ضعيف بأحمد بن محمد بن يحيى علی ما هو معروف، لكنّا رجّحنا وثاقته لترضّي الصدوق عنه، والظاهر أنّ هذا الطريق لكتاب 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وزاد طريقين في مشيخة التهذيب والاستبصار</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أحدهما الطريق الأوّل المذكور في الفهرست، وثانيهما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محمد بن النعمان والحسين بن عبيد الله وأحمد بن عبدون كلّهم عن أحمد بن محمد بن الحسن بن الوليد،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بأحمد بن محمد بن الحسن، لكن سبق أنّ للشيخ طريقين معتبرين </w:t>
      </w:r>
    </w:p>
    <w:p>
      <w:pPr>
        <w:pStyle w:val="BookText"/>
        <w:rPr/>
      </w:pPr>
      <w:r>
        <w:rPr>
          <w:rFonts w:ascii="Amiri" w:hAnsi="Amiri" w:eastAsia="Amiri" w:cs="Amiri"/>
          <w:color w:val="111111"/>
          <w:sz w:val="28"/>
          <w:sz w:val="28"/>
          <w:szCs w:val="28"/>
          <w:rtl w:val="true"/>
          <w:lang w:bidi="ar-SA"/>
        </w:rPr>
        <w:t>إلى جميع روايات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الهيثم فهو شيخ محمد بن أحمد بن يحيى الأشعري القمّي صاحب النوادر قد مرّ أنّه ممدوح، بل ثقة؛ لوجوده في كتاب النوادر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ابن رباط فهو علي بن الحسن بن رباط، وقد تقدّمت وثاقته</w:t>
      </w:r>
      <w:r>
        <w:rPr>
          <w:rFonts w:eastAsia="Amiri" w:cs="Amiri" w:ascii="Amiri" w:hAnsi="Amiri"/>
          <w:color w:val="111111"/>
          <w:sz w:val="28"/>
          <w:szCs w:val="28"/>
          <w:rtl w:val="true"/>
          <w:lang w:bidi="ar-SA"/>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فالسند إليه معتبر، ولكنّه مبتلی بالإرسال بعده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الْحُسَيْنِ بْنِ سَعِيدٍ، عَنْ صَفْوَانَ،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الْمَذْيِ؟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مَذَّاءً، فَاسْتَحْيَا أَنْ يَسْأَلَ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لِمَكَانِ فَاطِمَةَ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فَأَمَرَ الْمِقْدَادَ أَنْ يَسْأَلَهُ وَهُوَ جَالِسٌ، فَسَأَلَهُ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 ءٍ</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رجلاً مذّاء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مذّاء صيغة مبالغة على وزن فعّال من المذي، أي يخرج منه المذي كثيراً وفي أوقات كثيرة، وقد دلّ الحديث على عدم نقض الوضوء بخروج المذي وإن كان كثيراً، كما أنّ المذي ليس بنجس، فمَن كان يخرج منه المذي كثيراً لم يجب عليه شيء، كما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ليس عليه غُسل ولا وضوء، ولا 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الاستحياء من السؤال أنّ المذي كان عن 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ذكر حادثة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المقداد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لأجل التقيّة؛ فإنّ القوم رووها بأنحاء مختلفة، وإن نقلوا جواباً آخر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ستأتي الإشارة إليه في الحديث 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الشيخ إلى الحسين بن سعيد سبق بيان صحّته مراراً</w:t>
      </w:r>
      <w:r>
        <w:rPr>
          <w:rFonts w:eastAsia="Amiri" w:cs="Amiri" w:ascii="Amiri" w:hAnsi="Amiri"/>
          <w:color w:val="111111"/>
          <w:sz w:val="28"/>
          <w:szCs w:val="28"/>
          <w:rtl w:val="true"/>
          <w:lang w:bidi="ar-SA"/>
        </w:rPr>
        <w:t>(</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السند</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صفوان وهو ابن يحيى الثقة الجليل،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وقد مرّ بيان وثاقته وشهرة كتابه</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الْمُفِيدِ، عَنْ أَحْمَدَ بْنِ مُحَمَّدٍ، عَنْ أَبِيهِ، عَنْ سَعْدِ بْنِ عَبْدِ اللَّهِ، عَنْ أَحْمَدَ بْنِ مُحَمَّدِ بْنِ عِيسَى، عَنِ الْحَسَنِ بْنِ عَلِيِّ بْنِ فَضَّالٍ، عَنْ عَبْدِ اللَّهِ بْنِ بُكَيْرٍ،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الْمَذْيِ؟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عِنْدِي إِلَّا كَالنُّخَامَةِ</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مُحَمَّدِ بْنِ يَحْيَى، عَنْ أَحْمَدَ بْنِ مُحَمَّدٍ، نَحْوَهُ</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فِي الْعِلَلِ عَنْ أَبِيهِ، عَنْ مُحَمَّدِ بْنِ يَحْيَى، مِثْلَهُ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تشبيه المذي بالنخامة أنّه مثلها في كونه من الفضلات الطاهرة التي تخرج من جسم الإنسان، فلا يلزم غَسله عن الجسم والثوب، اللّهم إلّا أن يستقذره فله أن يغسله، وهو مثل النخامة أيضاً في أنّه لا يوجب نقض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ثلاثة أسانيد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 والاستبصار،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وقد سبق أنّه أحمد بن محمد بن الحسن بن الوليد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عمر بن حنظلة، وقد مرّ أنّا قبلنا وثاقته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رواية المشايخ </w:t>
      </w:r>
    </w:p>
    <w:p>
      <w:pPr>
        <w:pStyle w:val="BookText"/>
        <w:rPr/>
      </w:pPr>
      <w:r>
        <w:rPr>
          <w:rFonts w:ascii="Amiri" w:hAnsi="Amiri" w:eastAsia="Amiri" w:cs="Amiri"/>
          <w:color w:val="111111"/>
          <w:sz w:val="28"/>
          <w:sz w:val="28"/>
          <w:szCs w:val="28"/>
          <w:rtl w:val="true"/>
          <w:lang w:bidi="ar-SA"/>
        </w:rPr>
        <w:t>الثقات عنه، والآخر معتبرة يزيد بن خليفة الدالّة على أنّه صدوق لا يكذب</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أي العطار، وأحمد بن محمد، أي ابن عيسى الأشعري، وهو يروي هنا عن الحسن بن علي بن فضّال، وهذا السند أيضاً معتبر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الصدوق في كتاب علل الشرائع عن أبيه، وهو سند الكليني نفسه، فهو أيضاً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الْحُسَيْنِ بْنِ سَعِيدٍ، عَنْ مُحَمَّدِ بْنِ إِسْمَاعِيلَ،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الْمَذْيِ؟ فَأَمَرَنِي بِالْوُضُوءِ مِنْهُ، ثُمَّ أَعَدْتُ عَلَيْهِ سَنَةً أُخْرَى، فَأَمَرَنِي بِالْوُضُوءِ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وَاسْتَحْيَا أَنْ 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على وجوب الوضوء في المذي مطلقاً، سواء أكان عن شهوة أم لم يكن؛ لعدم الاستفصال في الجواب، وهذا محمول إمّا على التقيّة، والشاهد عليه الاستشهاد بقضيّة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عند القوم، وقد جاء جواب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موافقاً لهم، وإمّا على الاستحباب؛ لأنّ السائل بعد سماعه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واستشهاده بقضيّة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لم يفهم وجوب الوضوء فقال مستفهماً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أتوضّأ؟، وجواب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البأس يعطي أنّ الوضوء غير واجب وإنّما هو مستحب، ولو كان المراد من قضيّة الأمير الوجوب لما حَسُن من السائل السؤال عن عدم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وسيتكرّر هذا المتن في الحديث السابع عشر من دون هذا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وهو محمد بن إسماعيل بن بزيع، تقدّم أنّه ثقة ثقة عين، صحيح، ومن صالحي هذه الطائفة، كثير العمل</w:t>
      </w:r>
      <w:r>
        <w:rPr>
          <w:rFonts w:eastAsia="Amiri" w:cs="Amiri" w:ascii="Amiri" w:hAnsi="Amiri"/>
          <w:color w:val="111111"/>
          <w:sz w:val="28"/>
          <w:szCs w:val="28"/>
          <w:rtl w:val="true"/>
          <w:lang w:bidi="ar-SA"/>
        </w:rPr>
        <w:t>(</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الصَّفَّارِ، عَنْ مُوسَى بْنِ عُمَرَ، عَنْ عَلِيِّ بْنِ النُّعْمَانِ، عَنْ أَبِي سَعِيدٍ الْمُكَارِي،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الْمَذْيُ يَخْرُجُ 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لَكَ فِيهِ 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مِنْكَ عَلَى شَهْوَةٍ فَتَوَضَّأْ، وَإِنْ خَرَجَ مِنْكَ عَلَى غَيْرِ ذَلِكَ فَلَيْسَ عَلَيْكَ فِيهِ وُضُوءٌ</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أَحَادِيثِ الْقُبْلَةِ أَنَّ الْمَذْيَ عَنْ شَهْوَةٍ لَا يَنْقُضُ الْوُضُوءَ فَيُحْمَلُ هَذَا وَأَمْثَالُهُ عَلَى التَّقِيَّةِ أَوِ الِاسْتِحْبَابِ</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التفصيل بين المذي الخارج عن شهوة ففيه الوضوء، وبين المذي الخارج لا عن شهوة فليس فيه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فيه الحملان المتقدّمان في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الصفّار، أي الشيخ المفيد، عن أحمد بن محمد بن الحسن بن الوليد، عن أبيه، عن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أسانيد الشيخ في الفهرست ومشيختي التهذيب والاستبصار في الحديث السادس من هذا الباب</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 وقد سبق أنّه مشترك</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والظاهر أنّ المراد به هنا هو موسی بن عمر بن يزيد بن ذبيان الصيقل، وقلنا هناك إنّه متّحد مع موسی بن عمر الحضيني الذي عدّه الشيخ في رجاله من أصحاب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حقّه توثيق، إلّا أنّه ورد في أسناد نوادر الحكمة، فيكون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المكاري، وهو هاشم بن حيّان، وقد مضى عن النجاشي أنّه وجه في الواقفة</w:t>
      </w:r>
      <w:r>
        <w:rPr>
          <w:rFonts w:eastAsia="Amiri" w:cs="Amiri" w:ascii="Amiri" w:hAnsi="Amiri"/>
          <w:color w:val="111111"/>
          <w:sz w:val="28"/>
          <w:szCs w:val="28"/>
          <w:rtl w:val="true"/>
          <w:lang w:bidi="ar-SA"/>
        </w:rPr>
        <w:t>(</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ووثّق ابنه الحسين ولم يتعرّض له مع أنّه ذكره معه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هو وأبوه وجهين في الواقفة، وكان الحسين ثقة في حديثه</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بوثاقة الابن يشعر بعدم وثاقة الأب، ولكنّه ورد في كتاب نوادر الحكمة وروى عنه المشايخ الثقات</w:t>
      </w:r>
      <w:r>
        <w:rPr>
          <w:rFonts w:eastAsia="Amiri" w:cs="Amiri" w:ascii="Amiri" w:hAnsi="Amiri"/>
          <w:color w:val="111111"/>
          <w:sz w:val="28"/>
          <w:szCs w:val="28"/>
          <w:rtl w:val="true"/>
          <w:lang w:bidi="ar-SA"/>
        </w:rPr>
        <w:t>(</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الجمع بين تضعيفه وتوثيقه بالقول بضعفه في المذهب ووثاقته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الصَّفَّارِ، عَنْ أَحْمَدَ بْنِ مُحَمَّدٍ، عَنِ الْحَسَنِ بْنِ عَلِيِّ بْنِ يَقْطِينٍ، عَنْ أَخِيهِ الْحُسَيْنِ، عَنْ أَبِيهِ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الْمَذْيِ أَيَنْقُضُ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شَهْوَةٍ نَقَضَ</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كان من شهوة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بالمنطوق لحكم خروج المذي في حال الشهوة، ويدلّ بالمفهوم على حكم خروجه لا عن شهوة، فهذا الحديث يدلّ على التفصيل بين المذي الخارج عن شهوة فهو ينقض الوضوء، وبين الخارج لا عن شهوة فلا ينقض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سند الشيخ إلى الصفّار في الحديث السابق وغيره، وفي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وهو إمّا أحمد بن محمد بن عيسى أو أحمد بن محمد بن خالد البرقي؛ لروايتهما عن الحسن بن علي بن يقطين، ولكن رواية أحمد بن محمد بن عيسی عنه أكثر، وعند الإطلاق ينصرف إليه، فهاتان قرينتان على إرادة أحمد بن محمد بن عيسی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الحسن وأخوه الحسين وأبوهما فقد تقدّم بيان وثاقتهم، فالسند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مُعَاوِيَةَ بْنِ حُكَيْمٍ، عَنْ عَلِيِّ بْنِ الْحَسَنِ بْنِ رِبَاطٍ،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الْمَذْيِ؟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 لِشَهْوَةٍ</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مِنْهُ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التفصيل بين المذي الخارج عن شهوة ففيه الوضوء، وبين المذي الخارج لا عن شهوة فليس فيه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فيه الحملان المتقدّمان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 محمد بن الحسن الصفّار،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الكاهلي، وقد سبق أنّه عبد الله بن يحيی، وأنّه كان وجهاً عند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الْحَسَنِ بْنِ مَحْبُوبٍ فِي كِتَابِ الْمَشِيخَةِ</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اغْتَسَلْتُ يَوْمَ الْجُمُعَةِ بِالْمَدِينَةِ، وَلَبِسْتُ أَثْوَابِي، وَتَطَيَّبْتُ فَمَرَّتْ بِي وَصِيفَةٌ فَفَخَّذْتُ لَهَا فَأَمْذَيْتُ أَنَا وَأَمْنَتْ هِيَ، فَدَخَلَنِي مِنْ ذَلِكَ ضِيقٌ،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وُضُوءٌ، وَلَا عَلَيْهَا غُسْلٌ</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وَجْهُ نَفْيِ الْغُسْلِ فِي مَحَلِّهِ إِنْ شَاءَ اللَّهُ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عدم ناقضيّة المذي الخارج بشهوة؛ فإنّ مورده من أظهر موارد خروج المني بشهوة لحصول التفخيذ، وهو يلازم خروج المذي عن شهوة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الوجه في نفي الغسل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اشتبهت أو لم يتحقّق أنّ الخارج منها مني، أو أنّها أحسّت بانتقال المني عن محلّه إلى موضع آخر ولم يخرج منه شيء، وغير ذلك من الوجوه التي سيذكرها الماتن في أبواب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الشيخ إلى كتاب المشيخة للحسن بن محبوب في الفهرست</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طرق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ورواياته عدّة من أصحابنا، عن أبي جعفر محمد بن علي بن الحسين بن بابويه القمّي، عن أبيه، عن سعد بن عبد الله، عن الهيثم بن أبي مسروق ومعاوية بن حكيم وأحمد بن محمد بن عيسى،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الطريق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ابن أبي جيد، عن ابن الوليد، عن الصفّار، عن أحمد بن محمد ومعاوية بن حكيم والهيثم بن أبي مسروق، كلّهم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الطريق صحيح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أحمد بن محمد بن موسی بن الصلت، عن أحمد بن محمد بن سعيد بن عقدة، عن جعفر بن عبيد الله،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موسی بن الصلت الأهوازي، من مشايخ النجاشي، فهو ثقة، 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عبيد الله، والظاهر أنّ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الله، وهو المعروف برأس المذرى،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وجهاً في أصحابنا، وفقيهاً، وأوثق الناس في حديثه</w:t>
      </w:r>
      <w:r>
        <w:rPr>
          <w:rFonts w:eastAsia="IRNazanin" w:cs="IRNazanin"/>
          <w:color w:val="111111"/>
          <w:sz w:val="28"/>
          <w:szCs w:val="28"/>
          <w:rtl w:val="true"/>
          <w:lang w:bidi="fa-IR"/>
        </w:rPr>
        <w:t>»(</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الطريق معتبر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بكتاب المشيخة قراءة عليه أحمد بن عبدون، عن علي بن محمد بن الزبير، عن أحمد بن الحسين بن عبد الملك 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بعلي بن محمد بن الزبير؛ حيث لم تثبت وثاقته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مشيخة التهذيب والاستبصار ذكر الطريقين الثاني والرابع، وأضاف</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أخذه من كتبه ومصنّفاته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الشيخ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بن عبيد الله وأحمد بن عبدون، عن أبي الحسن أحمد بن محمد بن الحسن بن الوليد، عن أبيه محمد بن الحسن بن الوليد،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بن الوليد، وقد مرّ تصحيحه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مشيخة التهذيب</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عبيد الله وأبو الحسين بن أبي جيد جميعاً، عن أحمد بن محمد بن يحيی، عن أبيه محمد بن يحيى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أسانيد الشيخ في أوائل المشيخة إلى محمد بن يعقوب الكليني، وقد مضت في بيان طرق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الحسن بن محبوب</w:t>
      </w:r>
      <w:r>
        <w:rPr>
          <w:rFonts w:eastAsia="Amiri" w:cs="Amiri" w:ascii="Amiri" w:hAnsi="Amiri"/>
          <w:color w:val="111111"/>
          <w:sz w:val="28"/>
          <w:szCs w:val="28"/>
          <w:rtl w:val="true"/>
          <w:lang w:bidi="ar-SA"/>
        </w:rPr>
        <w:t>(</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معتبر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عمر بن يزيد فقد مرّ أنّه مشترك بين الصيقل وبيّاع السابري</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والمعروف هو الثاني، وإليه ينصرف عند الإطلاق، وأنّه ثقة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يَخْرُجْنَ مِنَ الْإِحْلِيلِ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وَفِيهِ</w:t>
      </w:r>
      <w:r>
        <w:rPr>
          <w:rFonts w:eastAsia="Amiri" w:cs="Amiri" w:ascii="Amiri" w:hAnsi="Amiri"/>
          <w:color w:val="111111"/>
          <w:sz w:val="28"/>
          <w:szCs w:val="28"/>
          <w:rtl w:val="true"/>
          <w:lang w:bidi="ar-SA"/>
        </w:rPr>
        <w:t>(</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وَالْوَدْيُ فَمِنْهُ الْوُضُوءُ؛ لِأَنَّهُ يَخْرُجُ مِنْ دَرِيرَةِ</w:t>
      </w:r>
      <w:r>
        <w:rPr>
          <w:rFonts w:eastAsia="Amiri" w:cs="Amiri" w:ascii="Amiri" w:hAnsi="Amiri"/>
          <w:color w:val="111111"/>
          <w:sz w:val="28"/>
          <w:szCs w:val="28"/>
          <w:rtl w:val="true"/>
          <w:lang w:bidi="ar-SA"/>
        </w:rPr>
        <w:t>(</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وَالْمَذْيُ لَيْسَ فِيهِ وُضُوءٌ، إِنَّمَا هُوَ بِمَنْزِلَةِ مَا يَخْرُجُ مِنَ الْأَنْفِ</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مَنْ تَرَكَ الِاسْتِبْرَاءَ بَعْدَ الْبَوْلِ وَخَرَجَ مِنْهُ شَيْ ءٌ؛ لِأَنَّهُ يَكُونُ مِنْ بَقِيَّةِ الْبَوْلِ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الْحَمْلُ عَلَى التَّقِيَّةِ، وَعَلَى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السيلان، فتكون دريرة البول سيلانه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الحديث على أنّ المياه التي تخرج من الإحليل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وفيه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 وفيه الوضوء، وعُلّل بأنّه يخرج من دريرة البول، ولا معنى لخروجه من سيلان البول، ولا معنى أيضاً لخروجه من محلّ سيلانه لاشتراك المياه الثلاثة في الخروج منه، فيبقى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مع سيلان البول كأنّه منه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ترك الاستبراء بعد البول وخرج منه بلل، فإنّه </w:t>
      </w:r>
    </w:p>
    <w:p>
      <w:pPr>
        <w:pStyle w:val="BookText"/>
        <w:rPr/>
      </w:pPr>
      <w:r>
        <w:rPr>
          <w:rFonts w:ascii="Amiri" w:hAnsi="Amiri" w:eastAsia="Amiri" w:cs="Amiri"/>
          <w:color w:val="111111"/>
          <w:sz w:val="28"/>
          <w:sz w:val="28"/>
          <w:szCs w:val="28"/>
          <w:rtl w:val="true"/>
          <w:lang w:bidi="ar-SA"/>
        </w:rPr>
        <w:t>يكون من بقيّة البول، لا أنّه رطوبة أخرى، وسيأتي ما فيه عند بيان الجمع بين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وليس فيه وضوء، فهو من الفضلات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الحسن بن محبوب، وما ورد في التهذيب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محبوب الظاهر أنّه غير صحيح، إذ ليس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محبوب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توضيحاً للمراد من ابن سنان، هو من إضافات الماتن ولا توجد في المصدر، ولكنّه صحيح؛ لرواية الحسن بن محبوب عن عبد الله بن سنان، ورواية عبد الله عن الإمام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الْحُسَيْنِ بْنِ سَعِيدٍ، عَنْ حَمَّادٍ، عَنْ حَرِيزٍ،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 لَا يَنْقُضُ الْوُضُوءَ، إِنَّمَا هُوَ بِمَنْزِلَةِ الْمُخَاطِ وَالْبُزَاقِ</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بالصراحة على أنّ الودي لا ينقض الوضوء، وأنّه مثل المخاط والبزاق في الطهارة وعدم نقض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وهو ابن عيسی، وحريز وهو ابن عبد الله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ضعيف بالإرسال، لكن يصحّح الحديث بكونه من كتاب الحسين بن سعيد، وهو من جملة الكتب المشهورة والمعوّل عليها، فيكون الحديث معتبراً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ابْنِ أَبِي عُمَيْرٍ، عَنْ يَعْقُوبَ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شَهْوَةٍ أَوْ مِنْ غَيْرِ شَهْوَةٍ؟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مِنْهُ الْوُضُوءُ</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التَّعَجُّبِ لَا الْإِخْبَارِ،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نَحْمِلَهُ عَلَى التَّقِيَّةِ؛ لِأَنَّهُ يُوَافِقُ مَذْهَبَ أَكْثَرِ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الْحَمْلُ عَلَى الِاسْتِفْهَامِ الْإِنْكَارِيِ</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ناقضيّة المذي مطلقاً، سواء أكان عن شهوة أم لم يكن، بل هنا صرّح في السؤال بالإطلاق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شهوة أو من غير شهوة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 الشيخ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التعجّب، وحمل الماتن له على الإستفهام الانكاري بعيد؛ لأنّه ليس في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المذي هل فيه وضوء، ليصحّ التعجّب منه أو يُستَفهَم إنكاراً بسببه، وإنّما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المذي مطلقاً في الصلاة ما هو حكمه؟، فجاء الجواب بأنّ فيه الوضوء، فيبقى الحمل على التقيّة أو الحمل على الاستحباب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الحسين بن سعيد، وفي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يقطين، عدّه البرقي من أصحاب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وذكره الشيخ في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 بن يقطين، ثقة</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أَحْمَدَ بْنِ مُحَمَّدِ بْنِ عِيسَى،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الْمَذْيِ؟ فَأَمَرَنِي بِالْوُضُوءِ مِنْهُ ثُمَّ أَعَدْتُ عَلَيْهِ فِي سَنَةٍ أُخْرَى فَأَمَرَنِي بِالْوُضُوءِ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الْمِقْدَادَ بْنَ الْأَسْوَدِ أَنْ يَسْأَلَ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وَاسْتَحْيَا أَنْ 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الِاسْتِحْبَابِ،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الرَّاوِي تَرَكَ بَعْضَ الْخَبَرِ؛ لِمَا مَرَّ فِي رِوَايَةِ هَذَا الْخَبَرِ بِعَيْنِهِ مِنْ جَوَازِ تَرْكِ الْوُضُوءِ</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وَالْحَمْلُ عَلَى التَّقِيَّةِ مُمْكِنٌ، وَيَكُونُ أَمْرُ الْمِقْدَادِ مَنْسُوخاً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هذا الحديث هو متن الحديث التاسع، إلّا أنّه خالٍ عن قوله في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يضرّ وروده من دون هذه الزيادة؛ فإنّه إذا دار الأمر بين الزيادة والنقيصة فإنّ الأصل هو عدم الزيادة، فيؤخذ بما في الحديث التاسع، على ما هو 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الكلام في إسناد الشيخ إلى أحمد بن محمد بن عيسى، في الحديث الثاني عشر من الباب الثالث من أبواب الماء المطلق، وقلنا إنّ له عدّة طرق معتبرة</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ومحمد بن إسماعيل بن بزيع سبقت الإشارة في الحديث التاسع إلى جلالته</w:t>
      </w:r>
      <w:r>
        <w:rPr>
          <w:rFonts w:eastAsia="Amiri" w:cs="Amiri" w:ascii="Amiri" w:hAnsi="Amiri"/>
          <w:color w:val="111111"/>
          <w:sz w:val="28"/>
          <w:szCs w:val="28"/>
          <w:rtl w:val="true"/>
          <w:lang w:bidi="ar-SA"/>
        </w:rPr>
        <w:t>(</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فِي الْمَذْيِ وُضُوءاً، وَلَا غَسْلَ</w:t>
      </w:r>
      <w:r>
        <w:rPr>
          <w:rFonts w:eastAsia="Amiri" w:cs="Amiri" w:ascii="Amiri" w:hAnsi="Amiri"/>
          <w:color w:val="111111"/>
          <w:sz w:val="28"/>
          <w:szCs w:val="28"/>
          <w:rtl w:val="true"/>
          <w:lang w:bidi="ar-SA"/>
        </w:rPr>
        <w:t>(</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الثَّوْبَ مِنْهُ</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عدم نقض المذي مطلقاً للوضوء، سواء أكان خروجه قليلاً أم كثيراً وعن شهوة أم عن غير شهوة، كما دل على أنّه طاهر فلا يغسل منه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مراسيل الصدوق في الفقيه، ومرّ مراراً البحث في أنّها معتبرة</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211" w:name="pg15724_204301"/>
    </w:p>
    <w:p>
      <w:pPr>
        <w:pStyle w:val="BookText"/>
        <w:rPr/>
      </w:pPr>
      <w:bookmarkEnd w:id="21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الْمَذْيَ وَالْوَدْيَ بِمَنْزِلَةِ الْبُصَاقِ وَالْمُخَاطِ فَلَا يُغْسَلُ مِنْهُمَا الثَّوْبُ، وَلَا الْإِحْلِيلُ</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Fonts w:eastAsia="Amiri" w:cs="Amiri" w:ascii="Amiri" w:hAnsi="Amiri"/>
          <w:color w:val="111111"/>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مَا يَدُلُّ عَلَيْهِ هُنَا</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النَّجَاسَاتِ</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طهارة المذي والودي، وأنّهما كالبصاق والمخاط الطاهرين بالاتفاق فلا يغسل منهما الثوب ولا الإحليل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مراسيل الصدوق في الفقيه، والكلام فيه كما سبق</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2418017_2142443653"/>
      <w:bookmarkStart w:id="213" w:name="_Toc78"/>
      <w:bookmarkEnd w:id="212"/>
      <w:r>
        <w:rPr>
          <w:rtl w:val="true"/>
        </w:rPr>
        <w:t>الجمع بين الأحاديث</w:t>
      </w:r>
      <w:r>
        <w:rPr>
          <w:rtl w:val="true"/>
        </w:rPr>
        <w:t>:</w:t>
      </w:r>
      <w:bookmarkEnd w:id="213"/>
    </w:p>
    <w:p>
      <w:pPr>
        <w:pStyle w:val="BookText"/>
        <w:rPr/>
      </w:pPr>
      <w:r>
        <w:rPr>
          <w:rFonts w:ascii="Amiri" w:hAnsi="Amiri" w:eastAsia="Amiri" w:cs="Amiri"/>
          <w:color w:val="111111"/>
          <w:sz w:val="28"/>
          <w:sz w:val="28"/>
          <w:szCs w:val="28"/>
          <w:rtl w:val="true"/>
          <w:lang w:bidi="ar-SA"/>
        </w:rPr>
        <w:t>الأحاديث الموجودة في هذا الباب بالنسبة للمذي على أربع طوائف</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عدم كون المذي ناقضاً للوضوء، وهي تسعة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كونه ناقضاً، وهي حديثان وردا بنحو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أنّه إذا كان عن شهوة فهو ناقض، وهي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عدم ناقضيّته إذا كان عن شهوة، وهي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الطائفتين الأولى والثانية هي التباين، فهما متعارضتان، والترجيح مع الطائفة الأولى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مشهورة فترجّح على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موافقة لإطلاق الكتاب،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إِلَی الصَّلَاةِ فَاغْسِلُوا وُجُوهَكُمْ وَأَيدِيكُمْ إِلَی الْمَرَافِقِ وَامْسَحُوا بِرُءُوسِكُمْ وَأَرْجُلَكُمْ إِلَی الْكَعْبَينِ وَإِنْ كُنْتُمْ جُنُبًا فَاطَّهَّرُوا</w:t>
      </w:r>
      <w:r>
        <w:rPr>
          <w:rFonts w:eastAsia="Amiri" w:cs="Amiri" w:ascii="Amiri" w:hAnsi="Amiri"/>
          <w:color w:val="111111"/>
          <w:sz w:val="28"/>
          <w:szCs w:val="28"/>
          <w:rtl w:val="true"/>
          <w:lang w:bidi="ar-SA"/>
        </w:rPr>
        <w:t>}(</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إذا قمتم من النوم أو غيره من الأحداث الصغيرة إلى الصلاة فتوضّؤوا، وإن كنتم جنباً فاغتسلوا، فمن فعل ذلك كان له الدخول في الصلاة مطلقاً، أي سواء خرج منه المذي بعد الوضوء أو الغسل أم لم يخرج، فالآية تدلّ بإطلاقها على عدم انتقاض الوضوء بالمذي، وأمّا الطائفة الثانية فهي مخالفة لإطلاق الكتاب فتسقط عن الحجيّة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مخالفة للعامّة، بينما الطائفة الثانية موافقة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فرض تماميّة التعارض تتساقط الطائفتان والمرجع حينئذٍ العمومات، وهي الأحاديث الحاصرة لنواقض الوضوء في ثلاثة نواقض أو أربعة أو خمسة، وخروج المذي ليس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الطائفتان الثالثة والرابعة فهما متعارضتان أيضاً والنسبة بينهما هو التباين، والترجيح للطائفة الرابعة بالمرجّحات المتقدّمة في الطائفة الأولى، وهنا مع قطع النظر عن المرجّحات في الطائفة الأولى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الطائفة الثالثة لا تصلح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لتقييد الطائفة الأولى؛ 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المذي إذا كان هو السائل الرقيق الخارج عن شهوة كانت الطائفة الثالثة تعارض الطائفة الأولى بالتباين؛ لدلالة الثالثة على أنّ المذي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السائل الخارج عند الشهوة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للوضوء، ودلالة الأولى على أنّ المذي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ناقض له، والترجيح مع الطائفة الأولى كما مرّ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كان المذي هو الأعم من السائل الذي يخرج عند الشهوة أو لا معها فكذلك لا تصلح للتقييد؛ لأنّ الغالب والمنصَرَف إليه من المذي هو ما يخرج عن شهوة، وندرة خروجه لا عن شهوة، وتخصيص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كثرتها وتواترها الإجمالي، ومع التأكيد بأنّ المذي كالنخامة وغيرها من الفضلات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بالفرد النادر غير صحيح، فلابدّ من إلغائها أو حملها على الاستحباب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من هذا أنّ مقتضى الجمع بين هذه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دلّ على نقض المذي للوضوء مطلقاً أو إذا كان خروجه عن شهوة إمّا ملغی أو يلزم حمله </w:t>
      </w:r>
    </w:p>
    <w:p>
      <w:pPr>
        <w:pStyle w:val="BookText"/>
        <w:rPr/>
      </w:pPr>
      <w:r>
        <w:rPr>
          <w:rFonts w:ascii="Amiri" w:hAnsi="Amiri" w:eastAsia="Amiri" w:cs="Amiri"/>
          <w:color w:val="111111"/>
          <w:sz w:val="28"/>
          <w:sz w:val="28"/>
          <w:szCs w:val="28"/>
          <w:rtl w:val="true"/>
          <w:lang w:bidi="ar-SA"/>
        </w:rPr>
        <w:t>على التقيّة، كما هو اختيار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بينها بالحمل على الاستحباب</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القاعدة عند الدوران بين التصرّف في الجهة والتصرّف في الظهور هي تقديم التصرّف في الظهور، والأحاديث الدالّة على النقض ولو من دون شهوة ظاهرة في وجوب الوضوء، فيُتَصَرَّف فيها بحملها على استحباب الوضوء عقيب خروج المذي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ما ورد في الحديث التاسع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مطلق شامل لما كان خروجه عن شهوة ولما كان خروجه لا عنها، ولا يضرّ ورود هذا الحديث نفسه من دون هذه الزيادة، وهو الحديث السابع عشر؛ فإنّه إذا دار الأمر بين الزيادة والنقيصة فإنّ الأصل هو عدم الزيادة، فيؤخذ بما في الحديث التاسع، هذا هو المعروف، وفيه كلام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إذا أمكن، والسيد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 إمكان حملها على الاستحباب، لورود الأخبار بالنقض وعدم النقض، وهذا ممّا لا يقبل التصرّف في ظهوره؛ لأنّهما عبارة عن الإخبار عن الفساد وعدمه، والفساد والنقض ليس لهما مراتب، فلا يمكن الجمع بينهما عرفاً؛ لما عرفت من عدم قبول الفساد والنقض للشدّة والضعف، وعليه لابد من الجمع الجهتي، </w:t>
      </w:r>
    </w:p>
    <w:p>
      <w:pPr>
        <w:pStyle w:val="BookText"/>
        <w:rPr/>
      </w:pPr>
      <w:r>
        <w:rPr>
          <w:rFonts w:ascii="Amiri" w:hAnsi="Amiri" w:eastAsia="Amiri" w:cs="Amiri"/>
          <w:color w:val="111111"/>
          <w:sz w:val="28"/>
          <w:sz w:val="28"/>
          <w:szCs w:val="28"/>
          <w:rtl w:val="true"/>
          <w:lang w:bidi="ar-SA"/>
        </w:rPr>
        <w:t>وترجّح الطائفة الأولى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يلحظ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الوضوء مع النقض ومع عدمه فيظهر من هذا أنّ للنقض مراتب، فيكون المنتَقض بخروج المذي هو الطهارة الكاملة لا أصل الطهارة، وعلى هذا يصحّ كلام السيّد الحكيم،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للودي فقد ورد ذكره في أربعة أحاديث،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وهو معتبر أو صحيح زرارة، والسادس وهو مرسل علي بن الحسن بن رباط، والرابع عشر وهو صحيح عبد الله بن سنان، والخامس عشر وهو معتبر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مرسل ابن رباط فلم يرد فيه حكم الودي، واقتصر على تفسيره فقط، كما مرّ، اللّهم إلّا أن يستفاد حكمه من المذكور في المذي بقرينة السياق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المرسل خارج عن دائرة التعارض على كلّ حال، فيبقی صحيح زرارة ومعتبر حمّاد الدالّان على عدم انتقاض الوضوء بخروج الودي، وصحيح عبد الله بن سنان الدالّ على الانتقاض بخروجه، وقد سبق أنّ الشيخ حمل صحيح زرارة على من ترك الاستبراء بعد البول؛ لكون الخارج حينئذٍ من بقيّة البول فينتقض الوضوء، فلا يتنافى مع صحيح عبد الله بن سنان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لكنّه حمل لا يمكن قبوله؛ لأنّ هذا الحكم مختصّ بما إذا لم يستبرئ من البول واشتبه في البلل الخارج بعده بأن دار أمره بين البول والمذي مثلاً لما يأتي في الباب اللاحق، وأمّا إذا علم بأنّ الخارج ليس ببول وأنّه إمّا ودي أو مذي أو غيرهما فلا موجب للقول بانتقاض الوضوء؛ إذ لم يتحقّق سببه،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الحديثين متعارضان ولا بدّ من الترجيح بينهما، وهو يتمّ بما تقدّم من الوجوه في </w:t>
      </w:r>
      <w:bookmarkStart w:id="214" w:name="pg15724_204306"/>
    </w:p>
    <w:p>
      <w:pPr>
        <w:pStyle w:val="BookText"/>
        <w:rPr/>
      </w:pPr>
      <w:bookmarkEnd w:id="214"/>
      <w:r>
        <w:rPr>
          <w:rFonts w:ascii="Amiri" w:hAnsi="Amiri" w:eastAsia="Amiri" w:cs="Amiri"/>
          <w:color w:val="111111"/>
          <w:sz w:val="28"/>
          <w:sz w:val="28"/>
          <w:szCs w:val="28"/>
          <w:rtl w:val="true"/>
          <w:lang w:bidi="ar-SA"/>
        </w:rPr>
        <w:t>المذي، ويجري فيه الحمل على استحباب الوضوء بعد خروجه كما مرّ آنفاً</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2418019_2142443653"/>
      <w:bookmarkStart w:id="216" w:name="_Toc79"/>
      <w:bookmarkEnd w:id="215"/>
      <w:r>
        <w:rPr>
          <w:rtl w:val="true"/>
        </w:rPr>
        <w:t>المتحصل من الأحادیث</w:t>
      </w:r>
      <w:bookmarkEnd w:id="216"/>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تسعة عشر حديثاً، الأوّل معتبر بسنديه الاوّل والثاني، والثاني معتبر بسنديه الأوّل والثالث وصحيح بسنده الثاني، والثالث معتبر بسنديه وكذا الرابع، والخامس والثامن بأسانيده الثلاثة والعاشر والثاني عشر والسابع عشر والثامن عشر والتاسع عشر كلّها معتبرة، والسابع والتاسع والحادي عشر والثالث عشر والرابع عشر والسادس عشر كلّها صحاح، وأمّا السادس فضعيف بالإرسال، ومثله الخامس عشر إلّا أنّه يمكن تصحيحه</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2418021_2142443653"/>
      <w:bookmarkStart w:id="218" w:name="_Toc80"/>
      <w:bookmarkEnd w:id="217"/>
      <w:r>
        <w:rPr>
          <w:rtl w:val="true"/>
        </w:rPr>
        <w:t>المتحصل من الأحادیث</w:t>
      </w:r>
      <w:bookmarkEnd w:id="218"/>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ناقضيّة المذي للوضوء مطلقاً، قل أو كثر، سواء أكان بشهوة أم بدونها، وعدم نجاسته، وهو لا يوجب قطع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ناقضيّة الودي والوذي للوضوء مطلقاً، قلّ أو كثر، وعدم نجاسته، وهو لا يوجب قطع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شيء يخرج بعد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البول والمني وما يصاحباه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ولا يقطع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المني نجس يجب تطهير الثوب والجسد منه لما يشترط فيه الطهارة كالصلاة، وخروجه موجب للغُسل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النخامة والبصاق والمخاط لا يجب غَسلها عن الجسد لما يشترط فيه الطهارة؛ لعدم كونها نجسة، وتغسل للاستقذار، كما أنّها غير ناقضة للطهارة</w:t>
      </w:r>
      <w:r>
        <w:rPr>
          <w:rFonts w:eastAsia="Amiri" w:cs="Amiri" w:ascii="Amiri" w:hAnsi="Amiri"/>
          <w:color w:val="111111"/>
          <w:sz w:val="28"/>
          <w:szCs w:val="28"/>
          <w:rtl w:val="true"/>
          <w:lang w:bidi="ar-SA"/>
        </w:rPr>
        <w:t xml:space="preserve">. </w:t>
      </w:r>
      <w:bookmarkStart w:id="219" w:name="pg15724_204307"/>
    </w:p>
    <w:p>
      <w:pPr>
        <w:pStyle w:val="Heading2"/>
        <w:numPr>
          <w:ilvl w:val="1"/>
          <w:numId w:val="1"/>
        </w:numPr>
        <w:rPr/>
      </w:pPr>
      <w:bookmarkStart w:id="220" w:name="__RefHeading___Toc12418023_2142443653"/>
      <w:bookmarkStart w:id="221" w:name="_Toc81"/>
      <w:bookmarkEnd w:id="219"/>
      <w:bookmarkEnd w:id="220"/>
      <w:r>
        <w:rPr/>
        <w:t>13</w:t>
      </w:r>
      <w:r>
        <w:rPr>
          <w:rtl w:val="true"/>
        </w:rPr>
        <w:t xml:space="preserve">- </w:t>
      </w:r>
      <w:r>
        <w:rPr>
          <w:rtl w:val="true"/>
        </w:rPr>
        <w:t>بَابُ حُكْمِ الْبَلَلِ الْمُشْتَبِهِ الْخَارِجِ بَعْدَ الْبَوْلِ وَالْمَنِيِ</w:t>
      </w:r>
      <w:bookmarkEnd w:id="221"/>
    </w:p>
    <w:p>
      <w:pPr>
        <w:pStyle w:val="Heading3"/>
        <w:numPr>
          <w:ilvl w:val="2"/>
          <w:numId w:val="1"/>
        </w:numPr>
        <w:rPr/>
      </w:pPr>
      <w:bookmarkStart w:id="222" w:name="__RefHeading___Toc12418025_2142443653"/>
      <w:bookmarkStart w:id="223" w:name="_Toc82"/>
      <w:bookmarkEnd w:id="222"/>
      <w:r>
        <w:rPr>
          <w:rtl w:val="true"/>
        </w:rPr>
        <w:t>اشارة</w:t>
      </w:r>
      <w:bookmarkEnd w:id="22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حُكْمِ الْبَلَلِ الْمُشْتَبِهِ الْخَارِجِ بَعْدَ الْبَوْلِ وَالْمَنِيِ</w:t>
      </w:r>
    </w:p>
    <w:p>
      <w:pPr>
        <w:pStyle w:val="Heading3"/>
        <w:numPr>
          <w:ilvl w:val="2"/>
          <w:numId w:val="1"/>
        </w:numPr>
        <w:rPr/>
      </w:pPr>
      <w:bookmarkStart w:id="224" w:name="__RefHeading___Toc12418027_2142443653"/>
      <w:bookmarkStart w:id="225" w:name="_Toc83"/>
      <w:bookmarkEnd w:id="224"/>
      <w:r>
        <w:rPr>
          <w:rtl w:val="true"/>
        </w:rPr>
        <w:t>شرح الباب</w:t>
      </w:r>
      <w:r>
        <w:rPr>
          <w:rtl w:val="true"/>
        </w:rPr>
        <w:t>:</w:t>
      </w:r>
      <w:bookmarkEnd w:id="225"/>
    </w:p>
    <w:p>
      <w:pPr>
        <w:pStyle w:val="BookText"/>
        <w:rPr/>
      </w:pPr>
      <w:r>
        <w:rPr>
          <w:rFonts w:ascii="IRNazanin" w:hAnsi="IRNazanin" w:eastAsia="IRNazanin"/>
          <w:color w:val="111111"/>
          <w:sz w:val="28"/>
          <w:sz w:val="28"/>
          <w:szCs w:val="28"/>
          <w:rtl w:val="true"/>
          <w:lang w:bidi="fa-IR"/>
        </w:rPr>
        <w:t>ما يخرج من الإنسان بعد البول أو المني علی قسمين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أنّه بول أو مني، فيحكم عليه بحكمهما سواء حصل الاستبراء قبل خروجه أم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 أنّه بول أو مني، ويُصطلح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البلل المشتبه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الباب معقود لبيان حكم البلل المشتبه، وهو علی قسمين؛ فإنّه تارة يخرج بعد البول وأخری بعد المني، وحكمه يختلف تبعاً لحصول الاستبراء قبله وعدمه، والاستبراء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البراءة</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والمراد من الاستبراء هنا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براءة الذكر من البول أو المني، وفي أحاديث الباب بيانٌ لكيفية الاستبراء من البول، وإن كان فيها اختلاف، وأمّا الاستبراء من المني فيتحقّق بخروج البول بعده، لأنّه ينظّف مجرى المني منه</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2418029_2142443653"/>
      <w:bookmarkStart w:id="227" w:name="_Toc84"/>
      <w:bookmarkEnd w:id="226"/>
      <w:r>
        <w:rPr>
          <w:rtl w:val="true"/>
        </w:rPr>
        <w:t>أقوال الخاصّة</w:t>
      </w:r>
      <w:r>
        <w:rPr>
          <w:rtl w:val="true"/>
        </w:rPr>
        <w:t>:</w:t>
      </w:r>
      <w:bookmarkEnd w:id="22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بين الخاصّة في عدم الاعتناء بالبلل المشتبه بعد الاستبراء، ونقل </w:t>
      </w:r>
      <w:bookmarkStart w:id="228" w:name="pg15724_204308"/>
    </w:p>
    <w:p>
      <w:pPr>
        <w:pStyle w:val="BookText"/>
        <w:rPr/>
      </w:pPr>
      <w:bookmarkEnd w:id="228"/>
      <w:r>
        <w:rPr>
          <w:rFonts w:ascii="Amiri" w:hAnsi="Amiri" w:eastAsia="Amiri" w:cs="Amiri"/>
          <w:color w:val="111111"/>
          <w:sz w:val="28"/>
          <w:sz w:val="28"/>
          <w:szCs w:val="28"/>
          <w:rtl w:val="true"/>
          <w:lang w:bidi="ar-SA"/>
        </w:rPr>
        <w:t>الاتفاق بينهم على ذلك</w:t>
      </w:r>
      <w:r>
        <w:rPr>
          <w:rFonts w:eastAsia="Amiri" w:cs="Amiri" w:ascii="Amiri" w:hAnsi="Amiri"/>
          <w:color w:val="111111"/>
          <w:sz w:val="28"/>
          <w:szCs w:val="28"/>
          <w:rtl w:val="true"/>
          <w:lang w:bidi="ar-SA"/>
        </w:rPr>
        <w:t>(</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والمشهور هو استحباب الاستبراء عن البول 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الشيخ في الاستبصار إلى وجوب الاستبراء من البول، والمشهور الاستحباب</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منّا في آخر الباب الكلام حول الأقوال في كيفيّة الاستبراء</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2418031_2142443653"/>
      <w:bookmarkStart w:id="230" w:name="_Toc85"/>
      <w:bookmarkEnd w:id="229"/>
      <w:r>
        <w:rPr>
          <w:rtl w:val="true"/>
        </w:rPr>
        <w:t>أقوال العامّة</w:t>
      </w:r>
      <w:r>
        <w:rPr>
          <w:rtl w:val="true"/>
        </w:rPr>
        <w:t>:</w:t>
      </w:r>
      <w:bookmarkEnd w:id="230"/>
    </w:p>
    <w:p>
      <w:pPr>
        <w:pStyle w:val="BookText"/>
        <w:rPr/>
      </w:pPr>
      <w:r>
        <w:rPr>
          <w:rFonts w:ascii="Amiri" w:hAnsi="Amiri" w:eastAsia="Amiri" w:cs="Amiri"/>
          <w:color w:val="111111"/>
          <w:sz w:val="28"/>
          <w:sz w:val="28"/>
          <w:szCs w:val="28"/>
          <w:rtl w:val="true"/>
          <w:lang w:bidi="ar-SA"/>
        </w:rPr>
        <w:t xml:space="preserve">تقدّم في الباب الثاني من هذه الأبواب نقل إجماعهم على نقض ما يخرج من السبيلين ومنه المذي والودي، فإذا اشتبه البلل الخارج بين المني والمذي أو اشتبه بين البول والودي لم يكن له أثر؛ لقولهم بالناقضيّة في الجميع، وكذا لو خرجت رطوبة أخرى من السبيلين غير ما ذُكر فإنّها ناقضة أيضاً عند أكثرهم وإن كان خروجها نادراً،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قال الثوري والشافعي وإسحاق وأصحاب الرأي، وكان عطاء والحسن وأبو مجلز والحكم وحمّاد والأوزاعي وابن المبارك يرون الوضوء من الدود يخرج من الدبر، ولم يوجب مالك الوضوء من هذا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الودي فهو ماء أبيض ثخين يخرج بعد البول كدراً فليس فيه وفي بقيّة الخوارج إلّا الوضوء</w:t>
      </w:r>
      <w:r>
        <w:rPr>
          <w:rFonts w:eastAsia="Amiri" w:cs="Amiri" w:ascii="Amiri" w:hAnsi="Amiri"/>
          <w:color w:val="111111"/>
          <w:sz w:val="28"/>
          <w:szCs w:val="28"/>
          <w:rtl w:val="true"/>
          <w:lang w:bidi="ar-SA"/>
        </w:rPr>
        <w:t>»(</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صريح في ناقضيّة كلّ ما يخرج من السبيلين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لهم في الاستبراء من الخارج من السبيلين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بالوجوب، و هو </w:t>
      </w:r>
    </w:p>
    <w:p>
      <w:pPr>
        <w:pStyle w:val="BookText"/>
        <w:rPr/>
      </w:pPr>
      <w:r>
        <w:rPr>
          <w:rFonts w:ascii="Amiri" w:hAnsi="Amiri" w:eastAsia="Amiri" w:cs="Amiri"/>
          <w:color w:val="111111"/>
          <w:sz w:val="28"/>
          <w:sz w:val="28"/>
          <w:szCs w:val="28"/>
          <w:rtl w:val="true"/>
          <w:lang w:bidi="ar-SA"/>
        </w:rPr>
        <w:t>قول الحنفيّة والمالكيّة وبعض الشافعيّة، وقول بالاستحباب، وهو قول جمهور الشافعيّة والحنابلة</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بعضهم في كيفيته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 أن يمكث بعد البول قليلاً ويضع يده علی أصل الذكر من تحت الأنثيين ثمّ يسلته إلی رأسه فينتر ذكره ثلاثاً برفق،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توضّأت فضع يدك في سفلتك ثمّ اسلت ما ثَمّ حتّی ينزل ولا تجعل ذلك من همّك، ولا تلتفت إلی ظنّك</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أَحْمَدَ بْنِ مُحَمَّدٍ وَعَنْ أَبِي دَاوُدَ جَمِيعاً، عَنِ الْحُسَيْنِ بْنِ سَعِيدٍ، عَنْ صَفْوَانَ بْنِ يَحْيَى، عَنِ الْعَلَاءِ،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بَالَ ثُمَّ تَوَضَّأَ ثُمَّ قَامَ إِلَى الصَّلَاةِ ثُمَّ وَجَدَ بَلَلًا؟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يَتَوَضَّأُ، إِنَّمَا ذَلِكَ مِنَ الْحَبَائِلِ</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بِإِسْنَادِهِ عَنْ عَبْدِ اللَّهِ بْنِ أَبِي يَعْفُورٍ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 ءَ عَلَيْهِ وَلَا يَتَوَضَّأُ وَلَمْ يَزِدْ عَلَى ذَلِكَ</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على عدم نقض البلل الخارج بعد البول للوضوء، ودلّ أيضاً علی أنّه لا يقطع الصلاة، وإلّا لنصّ على ذلك، وظاهره الإطلاق فيشمل ما إذا بال ثمّ استبرأ وما إذا لم يستبرئ ويأتي في الأحاديث ما يقيّد هذا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وهو سند مقرون ينحلّ إلى 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أبي داود، عن الحسين بن سعيد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وأحمد بن محمد فيهما هو أحمد بن محمد بن عيسی؛ لروايته عن الحسين بن سعيد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وأبو داود سبق أنّ المراد به سليمان بن سفيان المسترق المنشد</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الكشّي وثّقه، وورد في أسانيد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والعلاء في كلا السندين هو العلاء بن رزين، والسند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الصدوق إلی عبد الله بن أبي يعفور، وسنده إليه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يحيی العطّار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سعد بن عبد الله، عن أحمد بن أبي عبد الله البرقي، عن أبيه، عن محمد بن أبي عمير، عن حمّاد بن عثمان، عن عبد الله بن أبي يعفور</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يضرّ وجود أحمد بن محمد بن يحيی العطّار الذي لم يرد فيه توثيق خاص في السند؛ لترضّي الشيخ الصدوق عنه، فهو ثقة، فهذا 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مُحَمَّدِ بْنِ أَحْمَدَ بْنِ يَحْيَى، عَنْ يَعْقُوبَ بْنِ يَزِيدَ، عَنِ ابْنِ أَبِي عُمَيْرٍ، عَنْ جَمِيلِ بْنِ صَالِحٍ، عَنْ عَبْدِ الْمَلِكِ بْنِ عَمْرٍو،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يَبُولُ ثُمَّ يَسْتَنْجِي ثُمَّ يَجِدُ بَعْدَ ذَلِكَ بَلَلًا؟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فَخَرَطَ مَا بَيْنَ الْمَقْعَدَةِ وَالْأُنْثَيَيْنِ ثَلَاثَ مَرَّاتٍ وَغَمَزَ مَا بَيْنَهُمَا ثُمَّ اسْتَنْجَى فَإِنْ سَالَ حَتَّى يَبْلُغَ السُّوقَ فَلَا يُبَالِي</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الصَّدُوقُ مُرْسَلًا</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القبض باليد على طرف الشيء ثم إمرارها إلى طرفه الآخر،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خَرَطْتُ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حَتَتُّه، وهو أنْ تَقْبِضَ على أَعلاه ثم تُمِرَّ يدك عليه إلى أَسفله، 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خَرَطْتُ العُنْقُودَ خَرْطاً إِذا اجتذبت حبّه بجميع أَصابعك، وما سقط منه فهو الخُراطةُ</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الحديث بمنطوقه على أنّ مَن جاء بالخرطات لا يعتدّ بما يخرج منه بعدها من البلل المشتبه، وإن كان كثيراً بحيث بلغ السوق، جمع الساق وهو ما بين الكعب والركبة، وبلوغ البلل إلى الساق شيء نادر، فقيّد عدم الاعتداد </w:t>
      </w:r>
    </w:p>
    <w:p>
      <w:pPr>
        <w:pStyle w:val="BookText"/>
        <w:rPr/>
      </w:pPr>
      <w:r>
        <w:rPr>
          <w:rFonts w:ascii="Amiri" w:hAnsi="Amiri" w:eastAsia="Amiri" w:cs="Amiri"/>
          <w:color w:val="111111"/>
          <w:sz w:val="28"/>
          <w:sz w:val="28"/>
          <w:szCs w:val="28"/>
          <w:rtl w:val="true"/>
          <w:lang w:bidi="ar-SA"/>
        </w:rPr>
        <w:t>بالبلل المشتبه بحصول الخرطات ثلاث مرّات، ويفهم من عدم الاعتداد عدم النقض للطهارة وعدم نجاسة البلل أيضاً،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وغمز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أخرى عن الخرط ما بين المقعدة والأنثيين، فيكون العطف تفسيريّاً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المصنّف الحديث بنحوين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التهذيب والاستبصار، وسند الشيخ إلى محمد بن أحمد بن يحيی معتبر كما تقدّم، وعبد الملك بن عمرو لم يرد فيه توثيق، لكنّه ورد في أسناد كتاب نوادر الحكمة</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هذا فالسند معتبر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من لا يحضره الفقيه، وقد تقدّم الكلام في اعتبار مراسيله</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الْمُفِيدِ، عَنْ أَحْمَدَ بْنِ مُحَمَّدٍ، عَنْ أَبِيهِ، عَنْ سَعْدِ بْنِ عَبْدِ اللَّهِ، عَنْ أَحْمَدَ بْنِ مُحَمَّدٍ، عَنِ الْحُسَيْنِ بْنِ سَعِيدٍ وَمُحَمَّدِ بْنِ خَالِدٍ الْبَرْقِيِّ، عَنْ مُحَمَّدِ بْنِ أَبِي عُمَيْرٍ،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يَنْتُرُهُ ثَلَاثاً ثُمَّ إِنْ سَالَ حَتَّى يَبْلُغَ السُّوقَ</w:t>
      </w:r>
      <w:r>
        <w:rPr>
          <w:rFonts w:eastAsia="Amiri" w:cs="Amiri" w:ascii="Amiri" w:hAnsi="Amiri"/>
          <w:color w:val="111111"/>
          <w:sz w:val="28"/>
          <w:szCs w:val="28"/>
          <w:rtl w:val="true"/>
          <w:lang w:bidi="ar-SA"/>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يُبَالِي</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الجَذْبُ بِجَفاءٍ، نَتَرَه يَنْتُرُه نَتْراً فانْتترَ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واستَنْترَ الرجلُ من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اجْتَذَبَه واستخرج بقيّته من الذَّكَرِ عند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أَحدكم فلْيَنْتُرْ ذكَرَه ثلاث نَتَراتٍ، يعني بعد البول، هو الجَذْب بقوّة</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على أنّ الاستبراء بعد البول هو بنتر الذكر وجذبه بقوّة ثلاث مرّات، وأحاديث الباب مختلفة في بيان كيفيّة حصول الاستبراء كما يأتي، ودلّ أيضاً على أنّ الفائدة المترتّبة على الاستبراء هي عدم الاعتناء بالبلل المشتبه، فهو طاهر وليس بناقض للوضوء وإن كان كثيراً، وهذا الحديث يقيّد إطلاق الحديث الأوّل، ومثله معتبر محمد بن مسلم الآتي في أبواب أحكام الخلوة، حيث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بال ولم يكن معه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يعصر أصل ذكره إلى طرفه ثلاث عصرات، وينتر طرفه فإن خرج بعد ذلك شيء </w:t>
      </w:r>
    </w:p>
    <w:p>
      <w:pPr>
        <w:pStyle w:val="BookText"/>
        <w:rPr/>
      </w:pPr>
      <w:r>
        <w:rPr>
          <w:rFonts w:ascii="Amiri" w:hAnsi="Amiri" w:eastAsia="Amiri" w:cs="Amiri"/>
          <w:color w:val="111111"/>
          <w:sz w:val="28"/>
          <w:sz w:val="28"/>
          <w:szCs w:val="28"/>
          <w:rtl w:val="true"/>
          <w:lang w:bidi="ar-SA"/>
        </w:rPr>
        <w:t>فليس من البول، ولكنّه من الحبائل</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حقّه أن يذكر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أي أحمد بن محمد بن الحسن بن الوليد عن أبيه محمد بن الحسن بن الوليد، وأحمد بن محمد بن الحسن بن الوليد لم يرد فيه توثيق، فيكون السند ضعيفاً، لكن ما دامت روايات أحمد بن محمد بن الحسن بن الوليد الواردة في الكتب الأربعة كلّها عن أبيه محمد بن الحسن، وللشيخ في الفهرست ثلاثة طرق إلى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منها ليس فيهما أحمد، وهما معتبران</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القول بأنّ الطريق إليه 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أحمد بن محمد الذي يروي عنه سعد بن عبد الله فهو أحمد بن محمد بن عيسی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فالسند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مُحَمَّدِ بْنِ عَلِيِّ بْنِ مَحْبُوبٍ، عَنِ الْهَيْثَمِ بْنِ أَبِي مَسْرُوقٍ النَّهْدِيِّ، عَنِ الْحَكَمِ بْنِ مِسْكِينٍ،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أَبُولُ ثُمَّ أَتَمَسَّحُ بِالْأَحْجَارِ فَيَجِي ءُ مِنِّي الْبَلَلُ</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يُفْسِدُ سَرَاوِيلِي؟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فيه نفي البأس عن البلل بعد البول والتمسّح بالأحجار، وبعد الاستبراء كما في المصدر، ويحتمل إرادة عدم البأس في البلل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الملاقاة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يحكم بكونه بولاً، وإلّا فإنّ ملاقي النجس يتنجّس، ويحتمل حمله علی التقيّة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الشيخ إلی محمد بن علي بن محبوب صحيح كما مرّ</w:t>
      </w:r>
      <w:r>
        <w:rPr>
          <w:rFonts w:eastAsia="IRNazanin" w:cs="IRNazanin"/>
          <w:color w:val="111111"/>
          <w:sz w:val="28"/>
          <w:szCs w:val="28"/>
          <w:rtl w:val="true"/>
          <w:lang w:bidi="fa-IR"/>
        </w:rPr>
        <w:t>(</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الهيثم بن أبي مسروق فقد تقدّم أنّه ممدوح، وهو من مشايخ صاحب النوادر</w:t>
      </w:r>
      <w:r>
        <w:rPr>
          <w:rFonts w:eastAsia="Amiri" w:cs="Amiri" w:ascii="Amiri" w:hAnsi="Amiri"/>
          <w:color w:val="111111"/>
          <w:sz w:val="28"/>
          <w:szCs w:val="28"/>
          <w:rtl w:val="true"/>
          <w:lang w:bidi="ar-SA"/>
        </w:rPr>
        <w:t>(</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الحكم بن مسكين فقد سبق أيضاً أنّه ورد في أسانيد نوادر الحكمة، وروی عنه المشايخ الثقات</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فهو ثقة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سماعة فهو سماعة بن مهران، فهذا 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الْحُسَيْنِ بْنِ سَعِيدٍ،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اغْتَسَلَ وَهُوَ جُنُبٌ قَبْلَ أَنْ يَبُولَ ثُمَّ يَجِدُ بَلَلًا فَقَدِ انْتَقَضَ غُسْلُهُ، وَإِنْ كَانَ بَالَ ثُمَّ اغْتَسَلَ ثُمَّ وَجَدَ بَلَلًا فَلَيْسَ يَنْقُضُ غُسْلَهُ، وَلَكِنْ عَلَيْهِ الْوُضُوءُ؛ لِأَنَّ الْبَوْلَ لَمْ يَدَعْ شَيْئاً</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على أنّ من اغتسل من الجنابة قبل أن يستبرئ من المني بالبول وخرج منه بلل مشتبه فقد انتقض غُسله، وعليه إعادته، وأمّا إن كان خروج البلل المشتبه بعد الاستبراء بالبول والغُسل لم ينتقض غُسله، فليس عليه إعادة غُسله، وعلّل ذلك بأنّ البول لم يدع شيئاً، أي لم يُبقِ شيئاً من المني في المجرى فما خرج من البلل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منيّاً فليس بناقض للغسل، فهذا 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ينقض غُسله، لا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عليه الوضوء فهو محمول على عدم وقوع الاستبراء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الشيخ إلى الحسين بن سعيد طريقان أحدهما صحيح كما مرّ</w:t>
      </w:r>
      <w:r>
        <w:rPr>
          <w:rFonts w:eastAsia="Amiri" w:cs="Amiri" w:ascii="Amiri" w:hAnsi="Amiri"/>
          <w:color w:val="111111"/>
          <w:sz w:val="28"/>
          <w:szCs w:val="28"/>
          <w:rtl w:val="true"/>
          <w:lang w:bidi="ar-SA"/>
        </w:rPr>
        <w:t>(</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وحمّاد هو حمّاد بن عيسی؛ لتوسّطه بين الحسين بن سعيد وحريز بن عبد الله مضافاً إلی أنّ كتابه مشهور ومعوّل عليه، فهذا السند صحيح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أَخِيهِ</w:t>
      </w:r>
      <w:r>
        <w:rPr>
          <w:rFonts w:eastAsia="Amiri" w:cs="Amiri" w:ascii="Amiri" w:hAnsi="Amiri"/>
          <w:color w:val="111111"/>
          <w:sz w:val="28"/>
          <w:szCs w:val="28"/>
          <w:rtl w:val="true"/>
          <w:lang w:bidi="ar-SA"/>
        </w:rPr>
        <w:t>(</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عَنْ زُرْعَةَ، 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بَالَ قَبْلَ أَنْ يَغْتَسِلَ فَلَا يُعِيدُ غُسْلَهُ، وَلَكِنْ يَتَوَضَّأُ وَيَسْتَنْجِي</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أَنَّهُمَا مَحْمُولَانِ عَلَى الِاسْتِحْبَابِ أَوْ عَلَى خُرُوجِ شَيْ ءٍ مِنْ نَوَاقِضِ الْوُضُوءِ بِقَرِينَةِ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من اغتسل من الجنابة بعد أن استبرأ من المني بالبول وخرج منه بلل مشتبه بعد الغُسل فغُسله باقٍ لم ينتقض، وليس عليه إعادته، ولكن يتوضّأ ويستنجي، وهذا محمول علی عدم وقوع الاستبراء من البول، فالوضوء والاستنجاء؛ لأنّ البلل الخارج محكوم بكونه بولاً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ترجمة رجاله، وهو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مُحَمَّدِ بْنِ أَبِي عُمَيْرٍ،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بُلْتُ فَلَا أَقْدِرُ عَلَى الْمَاءِ وَيَشْتَدُّ ذَلِكَ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وَتَمَسَّحْتَ فَامْسَحْ ذَكَرَكَ بِرِيقِكَ فَإِنْ وَجَدْتَ شَيْئاً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ذَاكَ</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عَلِيِّ بْنِ إِبْرَاهِيمَ، عَنْ أَبِيهِ عَنْ حَنَانِ بْنِ سَدِيرٍ</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بِإِسْنَادٍ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مُحَمَّدِ بْنِ أَحْمَدَ بْنِ يَحْيَى، عَنْ أَحْمَدَ بْنِ مُحَمَّدٍ، عَنِ الْحُسَيْنِ بْنِ سَعِيدٍ مِثْلَهُ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الْمَسْحُ بِالرِّيقِ فِي غَيْرِ مَحَلِّ النَّجَاسَةِ لِئَلَّا تَتَعَدَّى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هذا الحديث علی أمور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مسح مخرج البول بالحجر ونحوه عند فقد الماء، وهذا لا يعني </w:t>
      </w:r>
    </w:p>
    <w:p>
      <w:pPr>
        <w:pStyle w:val="BookText"/>
        <w:rPr/>
      </w:pPr>
      <w:r>
        <w:rPr>
          <w:rFonts w:ascii="Amiri" w:hAnsi="Amiri" w:eastAsia="Amiri" w:cs="Amiri"/>
          <w:color w:val="111111"/>
          <w:sz w:val="28"/>
          <w:sz w:val="28"/>
          <w:szCs w:val="28"/>
          <w:rtl w:val="true"/>
          <w:lang w:bidi="ar-SA"/>
        </w:rPr>
        <w:t>أنّ المسح المذكور مطهّر لمخرج البول، بل فائدته عدم انتشار النجاسة وتعدّيها عن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العرق الملاقي لمخرج البول قبل الاستنجاء بالماء نجس، وإن تمسّحَ المحدِثُ بحجر أو نحوه، وكذا البلل الذي قد يخرج بعد الاستبراء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طريق التخلّص من البناء على نجاسة الثوب أو الجسد الملاقيين للعرق الموجود على مخرج البول، أو للبلل الذي يخرج أحياناً بعد الاستبراء هو أن يمسح ذكره بريقه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محلّ النجاسة لئلّا تتعدّی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وجد بللاً في جسده أو في ثوبه بنی على أنّه من الريق الذي هو طاهر، لا من العرق أو البلل المتنجّسين بالمخرَج، ولا يجب التطهير إلّا إذا كان التنجّس أمراً يقينيّاً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المصنّف الحديث بأربعة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 وهو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في الكافي، وهو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الصدوق في الفقيه، وإسناده إلى حنان بن سدير في المشيخة ثلاثة أسانيد</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ومحمد بن الحسن</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 عن سعد بن عبد الله، وعبد الله بن جعفر الحميري جميعاً، عن محمد بن عيسى بن عبيد، عن حنان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الحسن الصفّار، عن عبد الصمد بن محمد، عن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الصمد بن محمد من مشايخ محمد بن أحمد بن يحيی صاحب كتاب نوادر الحكمة</w:t>
      </w:r>
      <w:r>
        <w:rPr>
          <w:rFonts w:eastAsia="IRNazanin" w:cs="IRNazanin"/>
          <w:color w:val="111111"/>
          <w:sz w:val="28"/>
          <w:szCs w:val="28"/>
          <w:rtl w:val="true"/>
          <w:lang w:bidi="fa-IR"/>
        </w:rPr>
        <w:t>(</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إبراهيم بن هاشم، عن أبيه، عن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الأسانيد الثلاثة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 أيضاً، وإسناده إلى محمد بن أحمد بن يحيى عدّة طرق في الفهرست والمشيخة، وأكثرها معتبر كما سبق</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بأحمد بن محمد هو أحمد بن محمد بن عيسى الأشعري، والسند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عَلِيِّ بْنِ مَحْبُوبٍ، عَنْ سَعْدَانَ بْنِ مُسْلِمٍ، عَنْ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الْخَصِيِّ يَبُولُ فَيَلْقَى مِنْ ذَلِكَ شِدَّةً وَيَرَى الْبَلَلَ بَعْدَ الْبَلَلِ؟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وَيَنْتَضِحُ فِي النَّهَارِ مَرَّةً وَاحِدَةً</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سَعْدٍ، عَنْ أَحْمَدَ بْنِ مُحَمَّدٍ، عَنِ الْعَبَّاسِ بْنِ مَعْرُوفٍ، عَنْ سَعْدَانَ مِثْلَهُ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الخصي هو مَن سُلّت منه الخصيتان،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خَصی الفحلَ خِصاءً،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خُصْيَيْه، يكون في الناس والدواب والغنم</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الانتضاح هو الترشّش، قال الفيومي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نضحتُ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ضَرَبَ ونَفَعَ وهو البَلُّ بالماء والرَّش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بول الغلام أي يُرَشُّ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على الثوب تَرَشَّشَ</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الخصي يرى البلل بعد البول، وتتكرّر رؤيته له وجب عليه الوضوء عن البول، وبلّ ثوبه أو محلّ فرجه مرّة في النهار عن البول الخارج بعد ذلك </w:t>
      </w:r>
    </w:p>
    <w:p>
      <w:pPr>
        <w:pStyle w:val="BookText"/>
        <w:rPr/>
      </w:pPr>
      <w:r>
        <w:rPr>
          <w:rFonts w:ascii="Amiri" w:hAnsi="Amiri" w:eastAsia="Amiri" w:cs="Amiri"/>
          <w:color w:val="111111"/>
          <w:sz w:val="28"/>
          <w:sz w:val="28"/>
          <w:szCs w:val="28"/>
          <w:rtl w:val="true"/>
          <w:lang w:bidi="ar-SA"/>
        </w:rPr>
        <w:t>تخفيفاً</w:t>
      </w:r>
    </w:p>
    <w:p>
      <w:pPr>
        <w:pStyle w:val="BookText"/>
        <w:rPr/>
      </w:pPr>
      <w:r>
        <w:rPr>
          <w:rFonts w:ascii="Amiri" w:hAnsi="Amiri" w:eastAsia="Amiri" w:cs="Amiri"/>
          <w:color w:val="111111"/>
          <w:sz w:val="28"/>
          <w:sz w:val="28"/>
          <w:szCs w:val="28"/>
          <w:rtl w:val="true"/>
          <w:lang w:bidi="ar-SA"/>
        </w:rPr>
        <w:t>وَرَوَاهُ الْكُلَيْنِيُ، عَنِ الْحُسَيْنِ بْنِ مُحَمَّدٍ، عَنْ أَحْمَدَ بْنِ مُحَمَّدٍ، عَنْ أَحْمَدَ بْنِ إِسْحَاقَ، عَنْ 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مُرْسَلًا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يَنْضِحُ ثَوْبَهُ</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 الْبَلَلِ مُشْتَبِهاً وَالنَّضْحِ مُسْتَحَبّاً وَالْوُضُوءِ غَيْرَ مَأْمُورٍ بِهِ إِلَّا مَرَّةً بِسَبَبِ الْبَوْلِ فَلَا يَكُونُ وَاجِباً لِأَجْلِ الْبَلَلِ وَيَحْتَمِلُ كَوْنُ الْبَلَلِ مَعْلُوماً أَنَّهُ مِنَ الْبَوْلِ وَحِينَئِذٍ فَالْوُضُوءُ وَاجِبٌ وَكَذَا النَّضْحُ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كما هو الحال في المربيّة ذات الثوب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بالوضوء تطهير وغَسل محلّ البلل المشكوك مرّة واحدة في النهار استحباباً بعد الوضوء عن البول، ويكون الحديث موافقاً لعنوان الباب على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المصنّف الحديث بأربعة أنحاء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التهذيب، وسند الشيخ إلى محمد بن علي بن محبوب </w:t>
      </w:r>
    </w:p>
    <w:p>
      <w:pPr>
        <w:pStyle w:val="BookText"/>
        <w:rPr/>
      </w:pPr>
      <w:r>
        <w:rPr>
          <w:rFonts w:ascii="Amiri" w:hAnsi="Amiri" w:eastAsia="Amiri" w:cs="Amiri"/>
          <w:color w:val="111111"/>
          <w:sz w:val="28"/>
          <w:sz w:val="28"/>
          <w:szCs w:val="28"/>
          <w:rtl w:val="true"/>
          <w:lang w:bidi="ar-SA"/>
        </w:rPr>
        <w:t>صحيح كما مرّ</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السند سعدان بن مسلم، واسمه عبد الرحمن بن مسلم، وسعدان لقبه، وقد سبق أنّه ممّن روى عنه المشايخ الثقات، وورد في أسناد كتاب نوادر الحكمة وتفسير القمّي</w:t>
      </w:r>
      <w:r>
        <w:rPr>
          <w:rFonts w:eastAsia="Amiri" w:cs="Amiri" w:ascii="Amiri" w:hAnsi="Amiri"/>
          <w:color w:val="111111"/>
          <w:sz w:val="28"/>
          <w:szCs w:val="28"/>
          <w:rtl w:val="true"/>
          <w:lang w:bidi="ar-SA"/>
        </w:rPr>
        <w:t>(</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وأمّا عبد الرحيم فالظاهر أنّه عبد الرحيم القصير، وقد مضى أنّه ورد في أسناد تفسير القمّي، وروی عنه المشايخ الثقات</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التهذيب أيضاً، وسند الشيخ إلى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سعد بن عبد الله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له أربعة طرق اثنان في المشيخة صحيحان واثنان في الفهرست أحدهما صحيح والآخر معتبر</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أحمد بن محمد هو أحمد بن محمد بن عيسى الأشعري، وهذا السند معتبر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الكافي، فيه أحمد بن محمد والظاهر أنّه ابن عيسی</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وهو أحمد بن إسحاق بن عبد الله الأشعري، أبو علي القمّي، تقدّم توثيقه عن الشيخ، وبيان النجاشي والشيخ لجلالته وعظم </w:t>
      </w:r>
    </w:p>
    <w:p>
      <w:pPr>
        <w:pStyle w:val="BookText"/>
        <w:rPr/>
      </w:pPr>
      <w:r>
        <w:rPr>
          <w:rFonts w:ascii="IRNazanin" w:hAnsi="IRNazanin" w:eastAsia="IRNazanin"/>
          <w:color w:val="111111"/>
          <w:sz w:val="28"/>
          <w:sz w:val="28"/>
          <w:szCs w:val="28"/>
          <w:rtl w:val="true"/>
          <w:lang w:bidi="fa-IR"/>
        </w:rPr>
        <w:t xml:space="preserve">منزلته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بن عبد الرحمن، والموجود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عبد الرحمن، وقد سبق أنّ سعدان اسمه عبد الرحمن، فلعلّ الموجود هنا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عبد الرحمن، فالسند معتبر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من لا يحضره الفقيه، وقد سبق الكلام في اعتبارها</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الصَّفَّارِ،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رَجُلٌ هَلْ يَجِبُ الْوُضُوءُ مِمَّا خَرَجَ مِنَ الذَّكَرِ بَعْدَ الِاسْتِبْرَاءِ؟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الِاسْتِحْبَابِ تَارَةً وَعَلَى التَّقِيَّةِ أُخْرَى لِمُوَافَقَتِهِ لِلْعَامَّةِ، وَحَمَلَهُ الْعَلَّامَةُ عَلَى كَوْنِ الْخَارِجِ مِنْ بَقِيَّةِ الْبَوْلِ، وَالْجَمِيعُ مُتَّجِهٌ</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تَقَدَّمَتْ أَحَادِيثُ اشْتِرَاطِ الْيَقِينِ بِحُصُولِ الْحَدَثِ</w:t>
      </w:r>
      <w:r>
        <w:rPr>
          <w:rFonts w:eastAsia="Amiri" w:cs="Amiri" w:ascii="Amiri" w:hAnsi="Amiri"/>
          <w:color w:val="111111"/>
          <w:sz w:val="28"/>
          <w:szCs w:val="28"/>
          <w:rtl w:val="true"/>
          <w:lang w:bidi="ar-SA"/>
        </w:rPr>
        <w:t>(</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 حَصْرِ النَّوَاقِضِ وَفِيهَا دَلَالَةٌ عَلَى الْمَطْلُوبِ هُنَا</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الحديث مخالف لبقيّة أحاديث الباب، فقد دلّ بظاهره علی أنّ البلل الخارج من الذكر بعد الاستبراء ناقض للوضوء، وقد حمله الشيخ تارة علی الاستحباب وأخری علی التقيّة، كما حمله العلّامة في المنتهی علی كون الخارج من بقيّة البول فيجب منه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الماتن بأنّ الجميع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الحمل على الاستحباب بعيد؛ فإنّ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السائل يبعّده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حمل العلّامة فكذلك؛ لأنّ الاستبراء هو الاستخلاص من البول، فلا بول في المجرى حتى يُحكم بأنّ البلل بول، وعليه فقول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متّجه، </w:t>
      </w:r>
    </w:p>
    <w:p>
      <w:pPr>
        <w:pStyle w:val="BookText"/>
        <w:rPr/>
      </w:pP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الحمل على التقيّة فلا بأس به، لكون العامّة ترى ناقضيّة ما يخرج بعد الاستبراء وهو الودي، ويؤيّده أنّ هذا الحديث مكاتبة فيقوی فيها احتمال الصدور عن تقيّة موافقةً لما 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الأظهر عند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وأمّا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الحمل على التقيّة؛ لذهابه إلى أنّ التصرّف في الظهور والدلالة ما دام ممكناً لا تصل النوبة إلى التصرّف في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الباب السابق</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للشيخ ثلاث طرق إلى الصفّار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معتبران والثالث صحيح، وفي المشيخة طريق معتبر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عيسى فهو مشترك بين محمد بن عيسى بن عبيد اليقطيني ومحمد بن عيسى الأشعري، والد أحمد، لكنّ رواية الصفار عن الأوّل منهما كثيرة جداً، وأمّا روايته عن الثاني فهي قليلة، ولعلّها لا تتجاوز مورداً واحداً في الكتب الأربعة، فالظاهر أنّه محمد بن عيسى العبيدي، وكيف كان فالأمر سهل بعد أن كان كلاهما من الثقات، وعليه فالسند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 فِي قُرْبِ الْإِسْنَادِ، عَنْ مُحَمَّدِ بْنِ خَالِدٍ الطَّيَالِسِيِّ،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يَبُولُ وَيَنْتَفِضُ وَيَتَوَضَّأُ ثُمَّ يَجِدُ الْبَلَلَ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شَيْئاً</w:t>
      </w:r>
      <w:r>
        <w:rPr>
          <w:rFonts w:eastAsia="Amiri" w:cs="Amiri" w:ascii="Amiri" w:hAnsi="Amiri"/>
          <w:color w:val="111111"/>
          <w:sz w:val="28"/>
          <w:szCs w:val="28"/>
          <w:rtl w:val="true"/>
          <w:lang w:bidi="ar-SA"/>
        </w:rPr>
        <w:t>(</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ذَلِكَ مِنَ الْحَبَائِلِ</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Fonts w:eastAsia="Amiri" w:cs="Amiri" w:ascii="Amiri" w:hAnsi="Amiri"/>
          <w:color w:val="111111"/>
          <w:sz w:val="28"/>
          <w:szCs w:val="28"/>
          <w:rtl w:val="true"/>
          <w:lang w:bidi="ar-SA"/>
        </w:rPr>
        <w:t>(</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عَلَيْهِ فِي أَحْكَامِ الْخَلْوَةِ وَالْجَنَابَةِ وَغَيْرِهَا إِنْ شَاءَ اللَّهُ</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قواطع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ينتفض، أي يزيل ويدفع ويتمسّح، فيكون عبارة أخری عن الاستبراء، قال 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ابغني أحجاراً أستنفض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أستنجي بها، وهو من نفض الثوب؛ لأنّ المستنجي ينفض عن نفسه الأذى بالحجر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يزيله ويدفعه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حديث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يمرّ بالشعب من مزدلفة فينتفض ويتوضّأ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بمنديل فلم ينتفض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يتمسّح</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على أنّ من استبرأ بعد البول ثمّ وجد بللاً فهذا البلل ليس شيئاً أو ليس بشيء، أي أنّه طاهر فلا يجب غَسل الموضع الذي أصابه من ثوب أو جسد، كما أنّه ليس من النواقض، وهو من الحبائل أي عروق الذكر أو عروق الظهر، فليس وزانه وزان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محمد بن خالد الطيالسي، وقد سبق أنّه لم يرد فيه شيء</w:t>
      </w:r>
      <w:r>
        <w:rPr>
          <w:rFonts w:eastAsia="Amiri" w:cs="Amiri" w:ascii="Amiri" w:hAnsi="Amiri"/>
          <w:color w:val="111111"/>
          <w:sz w:val="28"/>
          <w:szCs w:val="28"/>
          <w:rtl w:val="true"/>
          <w:lang w:bidi="ar-SA"/>
        </w:rPr>
        <w:t>(</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وتوثيقه لورود عنوان محمد بن خالد في أسناد كتاب النوادر متوقّف علی كونه الطيالسي لا شخص آخر، والظاهر أنّه الطيالسي</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عبد الخالق،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إسماعيل بن عبد الخالق بن عبد ربّه بن أبي ميمونة بن يسار، مولى بني أسد، وجه من وجوه أصحابنا وفقيه من فقهائنا، وهو من بيت الشيعة، عمومته شهاب وعبد الرحيم ووهب وأبوه عبد الخالق كلّهم ثقات، رووا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وإسماعيل نفسه </w:t>
      </w:r>
    </w:p>
    <w:p>
      <w:pPr>
        <w:pStyle w:val="BookText"/>
        <w:rPr/>
      </w:pPr>
      <w:r>
        <w:rPr>
          <w:rFonts w:ascii="IRNazanin" w:hAnsi="IRNazanin" w:eastAsia="IRNazanin"/>
          <w:color w:val="111111"/>
          <w:sz w:val="28"/>
          <w:sz w:val="28"/>
          <w:szCs w:val="28"/>
          <w:rtl w:val="true"/>
          <w:lang w:bidi="fa-IR"/>
        </w:rPr>
        <w:t xml:space="preserve">روی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 رواه عنه جماعة</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الحسن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المشايخ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وهب وشهاب وعبد الرحمن بني عبد ربّه وإسماعيل بن عبد الخالق 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خيار فاضلون كوفيّون</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الشيخ في رجاله في أصحاب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إسماعيل بن عبد الخالق لحقه، وعاش إلى أيّام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وذكره أيضاً في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توصيفه بالجعفي، وفي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توصيفه بالأسدي</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الأقوال في الاستبراء بالخرطات، وكيفيّة الجمع بين الأحاديث</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أنّ المطلقات تقيّد بالمقيّدات ثمّ يجمع بين المقيّدات، فيقال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الاستبراء يكون بتسع خرطات، قال السيّد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الاستبراء، والأولى في كيفيّاته أن يصبر حتى تنقطع دريرة البول، ثمّ يبدأ بمخرج الغائط فيطهّره، ثمّ يضع إصبعه الوسطى من اليد اليسرى على مخرج الغائط، ويمسح إلى أصل الذكر ثلاث مرات، ثمّ يضع سبّابته فوق الذكر وإبهامه تحته ويمسح بقوّة إلى رأسه ثلاث مرّات، ثمّ يعصر رأسه ثلاث مرّات، ويكفي سائر الكيفيّات مع مراعاة ثلاث مرّات</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في كيفيّاته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يوجد هذا الترتيب في أحاديث الباب، فلا تكون هذه الكيفيّة 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وضع الإصبع الوسطى من اليد اليسرى على مخرج الغائط فلم يرد إلّا في المستدرك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 فليضع إصبعه الوسطى في أصل العجان ثمّ يسلتها ثلاثاً</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وضع السبّابة فوق الذكر والإبهام تحته فلم ترد به النصوص، وقد 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وضع السبّابة تحت الذكر والإبهام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وأسهل وأنسب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كلمات الفقهاء في عدد المسحات المعتبرة في الاستبراء على أقوال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أن تكون المسحات تسعاً بأن يمسح من مخرج الغائط إلى أصل القضيب ثلاث مرّات بقوّة ويمسح القضيب ثلاثاً ويعصر الحشفة وينترها ثلاثاً كما ذكره صاحب العروة وهو 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جملة من العلماء من كفاية الست بالمسح من مخرج النجو إلى أصل القضيب ثلاثاً وينتره ثلاثاً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علم الهدى وابن الجنيد من أنّ المسحات المعتبرة في الاستبراء ثلاث، وهو بأن ينتر الذكر من أصله إلى طرفه ثلاثاً</w:t>
      </w:r>
      <w:r>
        <w:rPr>
          <w:rFonts w:eastAsia="Amiri" w:cs="Amiri" w:ascii="Amiri" w:hAnsi="Amiri"/>
          <w:color w:val="111111"/>
          <w:sz w:val="28"/>
          <w:szCs w:val="28"/>
          <w:rtl w:val="true"/>
          <w:lang w:bidi="ar-SA"/>
        </w:rPr>
        <w:t xml:space="preserve">. </w:t>
      </w:r>
      <w:bookmarkStart w:id="231" w:name="pg15724_204332"/>
    </w:p>
    <w:p>
      <w:pPr>
        <w:pStyle w:val="BookText"/>
        <w:rPr/>
      </w:pPr>
      <w:bookmarkEnd w:id="231"/>
      <w:r>
        <w:rPr>
          <w:rFonts w:ascii="Amiri" w:hAnsi="Amiri" w:eastAsia="Amiri" w:cs="Amiri"/>
          <w:color w:val="111111"/>
          <w:sz w:val="28"/>
          <w:sz w:val="28"/>
          <w:szCs w:val="28"/>
          <w:rtl w:val="true"/>
          <w:lang w:bidi="ar-SA"/>
        </w:rPr>
        <w:t>والقول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 من أنّ المعتبر أن يمسح بإصبعه الوسطى تحت أنثييه إلى أصل القضيب مرّة أو مرّتين أو ثلاثاً ثمّ يضع مسبحته تحت القضيب وإبهامه فوقه ويمرّهما عليه باعتماد قوي من أصله إلى رأس الحشفة مرّة أو مرّتين أو ثلاثاً ليخرج ما فيه من بقيّة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الكلام عدم اعتبار العدد في الاستبراء والمدار فيه على الوثوق بالنقاء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أقوال المسألة ومنشأ اختلافها هو اختلاف الأحاديث الواردة في المقام</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2418033_2142443653"/>
      <w:bookmarkStart w:id="233" w:name="_Toc86"/>
      <w:bookmarkEnd w:id="232"/>
      <w:r>
        <w:rPr>
          <w:rtl w:val="true"/>
        </w:rPr>
        <w:t>كيفيّة استفادة قول المشهور من الأحاديث</w:t>
      </w:r>
      <w:r>
        <w:rPr>
          <w:rtl w:val="true"/>
        </w:rPr>
        <w:t>:</w:t>
      </w:r>
      <w:bookmarkEnd w:id="233"/>
    </w:p>
    <w:p>
      <w:pPr>
        <w:pStyle w:val="BookText"/>
        <w:rPr/>
      </w:pPr>
      <w:r>
        <w:rPr>
          <w:rFonts w:ascii="IRNazanin" w:hAnsi="IRNazanin" w:eastAsia="IRNazanin"/>
          <w:color w:val="111111"/>
          <w:sz w:val="28"/>
          <w:sz w:val="28"/>
          <w:szCs w:val="28"/>
          <w:rtl w:val="true"/>
          <w:lang w:bidi="fa-IR"/>
        </w:rPr>
        <w:t>جاء في معتبر عبد الملك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بال فخرط ما بين المقعدة والاُنثيين ثلاث مرّات، وغمز ما بينهما ثمّ استنجی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دالّ على كفاية خرط ما بين المقعدة والأنثيين ثلاثاً وغمز ما بينهما، وفي معتبر حفص بن البختري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ينتره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دالّ على مسح الذكر ثلاثاً، وفي معتبر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يعصر أصل ذكره إلى طرفه ثلاث عصرات، وينتر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دالّ على مسح الحشفة، بالإضافة إلى عصر أصل الذكر إلى طرفه، وما دام لا يوجد مانع من تقييد المطلق منها بالمقيّد، يقيّد معتبر عبد الملك بن عمرو بمعتبر حفص، ويقيّد معتبر حفص بمعتبر محمد بن مسلم، والنتيجة هي أنّ المعتبر في الاستبراء تسع مسحات، كما هو قول المشهور</w:t>
      </w:r>
      <w:r>
        <w:rPr>
          <w:rFonts w:eastAsia="IRNazanin" w:cs="IRNazanin"/>
          <w:color w:val="111111"/>
          <w:sz w:val="28"/>
          <w:szCs w:val="28"/>
          <w:rtl w:val="true"/>
          <w:lang w:bidi="fa-IR"/>
        </w:rPr>
        <w:t>.</w:t>
      </w:r>
    </w:p>
    <w:p>
      <w:pPr>
        <w:pStyle w:val="Heading3"/>
        <w:numPr>
          <w:ilvl w:val="2"/>
          <w:numId w:val="1"/>
        </w:numPr>
        <w:rPr/>
      </w:pPr>
      <w:bookmarkStart w:id="234" w:name="__RefHeading___Toc12418035_2142443653"/>
      <w:bookmarkStart w:id="235" w:name="_Toc87"/>
      <w:bookmarkEnd w:id="234"/>
      <w:r>
        <w:rPr>
          <w:rtl w:val="true"/>
        </w:rPr>
        <w:t>المتحصل من الأحادیث</w:t>
      </w:r>
      <w:bookmarkEnd w:id="23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الباب عشرة أحاديث، أوّلها صحيح بسنده الأوّل ومعتبر بسنده الثاني، وخامسها صحيح، وسادسها موثّق، وسابعها موثّق بسنده الأوّل، ومعتبر بالثاني والثالث وصحيح بالرابع والتاسع صحيح، والبقيّة معتبرة </w:t>
      </w:r>
    </w:p>
    <w:p>
      <w:pPr>
        <w:pStyle w:val="BookText"/>
        <w:rPr/>
      </w:pPr>
      <w:r>
        <w:rPr>
          <w:rFonts w:ascii="Amiri" w:hAnsi="Amiri" w:eastAsia="Amiri" w:cs="Amiri"/>
          <w:color w:val="111111"/>
          <w:sz w:val="28"/>
          <w:sz w:val="28"/>
          <w:szCs w:val="28"/>
          <w:rtl w:val="true"/>
          <w:lang w:bidi="ar-SA"/>
        </w:rPr>
        <w:t>بأسانيدها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البلل المشتبه طاهر ولا ينقض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الاستبراء من البول يتحقّق بفعل الخرطات التسع على 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الاستبراء من المني يتحقّق بخروج البول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للاستبراء كيفيات متعدّدة، لكن المشهور أن يمسح من مخرج الغائط إلى أصل القضيب ثلاث مرّات بقوّة ويمسح القضيب ثلاثاً ويعصر الحشفة وينترها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فائدة الاستبراء عدم الاعتداد بما يخرج منه بعده من البلل المشتبه، وإن كان كثيراً، فلا يجب عليه إعادة الوضوء، ولا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اغتسل من الجنابة قبل أن يستبرئ من المني بالبول وخرج منه بلل مشتبه فقد انتقض غُسله، وعليه 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مسح مخرج البول بالحجر ونحوه عند فقد الماء، ويبقى مخرج البول على نجاسته، وما يلاقيه من البلل ينجس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طريق التخلّص من البناء على نجاسة الثوب أو الجسد الملاقيين للعرق الموجود على مخرج البول، أو للبلل الخارج بعد الاستبراء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يمسح ذكره بريقه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محلّ النجاسة لئلّا تتعدّی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فيبني على أنّ البلل من الريق، لا من غيره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الخصي الذي يجد البلل بعد البول يغسل محلّ البلل المشكوك مرّة واحدة في النهار استحباباً بعد الوضوء عن البول، ولو خرج بعد ذلك مراراً لم يعتن به</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5724_204335"/>
      <w:bookmarkStart w:id="237" w:name="pg15724_204335"/>
      <w:bookmarkEnd w:id="237"/>
    </w:p>
    <w:p>
      <w:pPr>
        <w:pStyle w:val="Heading2"/>
        <w:numPr>
          <w:ilvl w:val="1"/>
          <w:numId w:val="1"/>
        </w:numPr>
        <w:rPr/>
      </w:pPr>
      <w:bookmarkStart w:id="238" w:name="pg15724_204335"/>
      <w:bookmarkStart w:id="239" w:name="__RefHeading___Toc12418037_2142443653"/>
      <w:bookmarkStart w:id="240" w:name="_Toc88"/>
      <w:bookmarkEnd w:id="238"/>
      <w:bookmarkEnd w:id="239"/>
      <w:r>
        <w:rPr/>
        <w:t>14</w:t>
      </w:r>
      <w:r>
        <w:rPr>
          <w:rtl w:val="true"/>
        </w:rPr>
        <w:t xml:space="preserve">- </w:t>
      </w:r>
      <w:r>
        <w:rPr>
          <w:rtl w:val="true"/>
        </w:rPr>
        <w:t>بَابُ أَنَّ تَقْلِيمَ الْأَظْفَارِ وَالْحَلْقَ وَنَتْفَ الْإِبْطِ وَأَخْذَ الشَّعْرِ لَا يَنْقُضُ الْوُضُو ءَ وَلَكِنْ يُسْتَحَبُّ مَسْحُ الْمَوْضِعِ بِالْمَا ءِ إِذَا كَانَ بِالْحَدِيدِ</w:t>
      </w:r>
      <w:bookmarkEnd w:id="240"/>
    </w:p>
    <w:p>
      <w:pPr>
        <w:pStyle w:val="Heading3"/>
        <w:numPr>
          <w:ilvl w:val="2"/>
          <w:numId w:val="1"/>
        </w:numPr>
        <w:rPr/>
      </w:pPr>
      <w:bookmarkStart w:id="241" w:name="__RefHeading___Toc12418039_2142443653"/>
      <w:bookmarkStart w:id="242" w:name="_Toc89"/>
      <w:bookmarkEnd w:id="241"/>
      <w:r>
        <w:rPr>
          <w:rtl w:val="true"/>
        </w:rPr>
        <w:t>اشارة</w:t>
      </w:r>
      <w:bookmarkEnd w:id="24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تَقْلِيمَ الْأَظْفَارِ وَالْحَلْقَ وَنَتْفَ الْإِبْطِ وَأَخْذَ الشَّعْرِ لَا يَنْقُضُ الْوُضُوءَ وَلَكِنْ يُسْتَحَبُّ مَسْحُ الْمَوْضِعِ بِالْمَاءِ إِذَا كَانَ بِالْحَدِيدِ</w:t>
      </w:r>
    </w:p>
    <w:p>
      <w:pPr>
        <w:pStyle w:val="Heading3"/>
        <w:numPr>
          <w:ilvl w:val="2"/>
          <w:numId w:val="1"/>
        </w:numPr>
        <w:rPr/>
      </w:pPr>
      <w:bookmarkStart w:id="243" w:name="__RefHeading___Toc12418041_2142443653"/>
      <w:bookmarkStart w:id="244" w:name="_Toc90"/>
      <w:bookmarkEnd w:id="243"/>
      <w:r>
        <w:rPr>
          <w:rtl w:val="true"/>
        </w:rPr>
        <w:t>شرح الباب</w:t>
      </w:r>
      <w:r>
        <w:rPr>
          <w:rtl w:val="true"/>
        </w:rPr>
        <w:t>:</w:t>
      </w:r>
      <w:bookmarkEnd w:id="244"/>
    </w:p>
    <w:p>
      <w:pPr>
        <w:pStyle w:val="BookText"/>
        <w:rPr/>
      </w:pPr>
      <w:r>
        <w:rPr>
          <w:rFonts w:ascii="Amiri" w:hAnsi="Amiri" w:eastAsia="Amiri" w:cs="Amiri"/>
          <w:color w:val="111111"/>
          <w:sz w:val="28"/>
          <w:sz w:val="28"/>
          <w:szCs w:val="28"/>
          <w:rtl w:val="true"/>
          <w:lang w:bidi="ar-SA"/>
        </w:rPr>
        <w:t>تقليم الأظفار هو أخذ ما طال منها، 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قَلَمْتُ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ما طال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وقَلَّمْتُ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وتكثير</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وحلق الشعر هو إزالته، ونتف الإبط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الشعر النابت فيه،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الشعر وما أَشبهه</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الأمور من جملة المسنونات المتعلّقة بالنظافة، وقد ورد الحثّ عليها والترغيب فيها، بل وذمّ تركها كما يأتي في أبواب آداب الحمّام والتنظيف والزينة إن شاء الله، لكنّ المقصود من إيرادها هنا هو بيان أنّها غير ناقضة للوضوء</w:t>
      </w:r>
      <w:r>
        <w:rPr>
          <w:rFonts w:eastAsia="Amiri" w:cs="Amiri" w:ascii="Amiri" w:hAnsi="Amiri"/>
          <w:color w:val="111111"/>
          <w:sz w:val="28"/>
          <w:szCs w:val="28"/>
          <w:rtl w:val="true"/>
          <w:lang w:bidi="ar-SA"/>
        </w:rPr>
        <w:t xml:space="preserve">. </w:t>
      </w:r>
      <w:bookmarkStart w:id="245" w:name="pg15724_204336"/>
    </w:p>
    <w:p>
      <w:pPr>
        <w:pStyle w:val="Heading3"/>
        <w:numPr>
          <w:ilvl w:val="2"/>
          <w:numId w:val="1"/>
        </w:numPr>
        <w:rPr/>
      </w:pPr>
      <w:bookmarkStart w:id="246" w:name="__RefHeading___Toc12418043_2142443653"/>
      <w:bookmarkStart w:id="247" w:name="_Toc91"/>
      <w:bookmarkEnd w:id="245"/>
      <w:bookmarkEnd w:id="246"/>
      <w:r>
        <w:rPr>
          <w:rtl w:val="true"/>
        </w:rPr>
        <w:t>أقوال الخاصّة</w:t>
      </w:r>
      <w:r>
        <w:rPr>
          <w:rtl w:val="true"/>
        </w:rPr>
        <w:t>:</w:t>
      </w:r>
      <w:bookmarkEnd w:id="247"/>
    </w:p>
    <w:p>
      <w:pPr>
        <w:pStyle w:val="BookText"/>
        <w:rPr/>
      </w:pPr>
      <w:r>
        <w:rPr>
          <w:rFonts w:ascii="Amiri" w:hAnsi="Amiri" w:eastAsia="Amiri" w:cs="Amiri"/>
          <w:color w:val="111111"/>
          <w:sz w:val="28"/>
          <w:sz w:val="28"/>
          <w:szCs w:val="28"/>
          <w:rtl w:val="true"/>
          <w:lang w:bidi="ar-SA"/>
        </w:rPr>
        <w:t>لم ينقل عن الخاصّة قاطبة القول بالنقض بالأمور المذكورة في عنوان الباب، ولذا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خلاف أجده، بل الإجماع منقول عليه</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الخلاف في أخذ الشعر بالحديد من حيث استحباب المسح بالماء على محلّ الأخذ ووجوبه، ويظهر من الماتن وبعض المحدّثين الاستحباب</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2418045_2142443653"/>
      <w:bookmarkStart w:id="249" w:name="_Toc92"/>
      <w:bookmarkEnd w:id="248"/>
      <w:r>
        <w:rPr>
          <w:rtl w:val="true"/>
        </w:rPr>
        <w:t>أقوال العامّة</w:t>
      </w:r>
      <w:r>
        <w:rPr>
          <w:rtl w:val="true"/>
        </w:rPr>
        <w:t>:</w:t>
      </w:r>
      <w:bookmarkEnd w:id="249"/>
    </w:p>
    <w:p>
      <w:pPr>
        <w:pStyle w:val="BookText"/>
        <w:rPr/>
      </w:pPr>
      <w:r>
        <w:rPr>
          <w:rFonts w:ascii="Amiri" w:hAnsi="Amiri" w:eastAsia="Amiri" w:cs="Amiri"/>
          <w:color w:val="111111"/>
          <w:sz w:val="28"/>
          <w:sz w:val="28"/>
          <w:szCs w:val="28"/>
          <w:rtl w:val="true"/>
          <w:lang w:bidi="ar-SA"/>
        </w:rPr>
        <w:t>أكثر العامّة على عدم النقض بتلك الأمور الواردة في عنوان الباب، ولكن يظهر من الحديث الأوّل الآتي أنّهم يرون النقض، قال في بدائع الصنائع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ثم جزّ شعره أو قلم ظفره أو قصّ شاربه أو نتف إبطيه لم يجب عليه ايصال الماء إلى ذلك الموضع عند عامّة العلماء، وعند إبراهيم النخعي يجب عليه في قلم الظفر وجزّ الشعر وقصّ الشارب</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قدامة 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غسل هذه الشعور ثمّ زالت عنه أو انقلعت جلدة من يديه أو قصّ ظفره أو انقلع لم يؤثّر في طهارته، قال يونس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زاده إلّا طهارة، وهذا قول أكثر أهل العلم، وحكي عن ابن جرير أنّ ظهور بشرة الوجه بعد غسل شعره يوجب غسلها</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عن مجاهد والحكم وحمّاد في قصّ الشارب وتقليم الأظفار ونتف الإبط الوضوء، وقول جمهور العلماء بخلافهم، ولا نعلم لهم في ما يقولون حجّة</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قصّ الأظفار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غسل رؤس الأصابع بعد قصّ الأظفار</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إِسْمَاعِيلَ، عَنِ الْفَضْلِ بْنِ شَاذَانَ، عَنْ صَفْوَانَ بْنِ يَحْيَى، عَنِ ابْنِ مُسْكَانَ،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عَلَى طُهْرٍ فَيَأْخُذُ مِنْ أَظْفَارِهِ أَوْ شَعْرِهِ أَيُعِيدُ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يَمْسَحُ رَأْسَهُ وَأَظْفَارَهُ بِالْمَاءِ،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يَزْعُمُونَ أَنَّ فِيهِ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خَاصَمُوكُمْ فَلَا تُخَاصِمُوهُمْ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السُّنَّةُ</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مُحَمَّدِ بْنِ يَعْقُوبَ مِثْلَهُ</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على أنّ من كان على طهارة وقصّ أظفاره أو حلق شعره فإنّه باقٍ على طهارته ولا يعيد وضوءه، والأخذ في السؤال هنا مطلق فيشمل الأخذ بالحديد والأخذ بغيره، فيكون مسح موضع القص أو الحلق راجحاً سواء كان الأخذ بالحديد أم بغيره، لكنّ الماتن قيّد استحباب المسح بالماء بما إذا كان الأخذ بالحديد كما سيأتي أيضاً عن الشيخ، فهذا الحديث وإن كان مطلقاً إلا أنّه يقيّد بما دلّ على الاستحباب إذا كان الأخذ بالحديد، وقد يقال بأنّ كلا الدليلين لا منافاة بينهما حتى يقيّد المطلق بالمقيّد، فيكون المسح راجحاً على التقديرين، إلّا أن يقال إنّ في المقام قرينتين تعيّنان الأخذ بالاستحباب إذا كان بالحديد، </w:t>
      </w:r>
    </w:p>
    <w:p>
      <w:pPr>
        <w:pStyle w:val="BookText"/>
        <w:rPr/>
      </w:pPr>
      <w:r>
        <w:rPr>
          <w:rFonts w:ascii="IRNazanin" w:hAnsi="IRNazanin" w:eastAsia="IRNazanin"/>
          <w:color w:val="111111"/>
          <w:sz w:val="28"/>
          <w:sz w:val="28"/>
          <w:szCs w:val="28"/>
          <w:rtl w:val="true"/>
          <w:lang w:bidi="fa-IR"/>
        </w:rPr>
        <w:t xml:space="preserve">إحداهما تبادر الأخذ بالحديد، وثانيهما عدم القائل بالاستحباب إذا لم يكن الأخذ بالحديد، ويظهر منه أنّ العامّة في ذلك الزمان كانوا يرون أنّ حلق الشعر وقصّ الأظفار من جملة نواقض الوضوء، ولذا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مخاصمتهم إذا أظهروا الخصومة بشأن ذلك،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قولوا لهم في مقام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السنّة، ويحتمل أن يراد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عندهم كما يحتمل أن يراد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عندنا، ففيه إيهام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ويكون المراد أنّ السنّة هي عدم الوضوء بسبب قصّ الأظفار أو حلق الشعر، أو هي استحباب المسح بالماء بعد ذلك، أو هي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الحديث سندان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وهو البندقي النيسابوري، وقد مرّ أنّه لم يوثّق</w:t>
      </w:r>
      <w:r>
        <w:rPr>
          <w:rFonts w:eastAsia="Amiri" w:cs="Amiri" w:ascii="Amiri" w:hAnsi="Amiri"/>
          <w:color w:val="111111"/>
          <w:sz w:val="28"/>
          <w:szCs w:val="28"/>
          <w:rtl w:val="true"/>
          <w:lang w:bidi="ar-SA"/>
        </w:rPr>
        <w:t>(</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السند ضعيفاً به، لكن يمكن تصحيح أحاديث الكليني عن الفضل بن شاذان؛ لأنّ للكليني طريقاً آخر صحيح كما أنّ للشيخ طرقاً في الفهرست والمشيخة، وبعضها صحيح كما تقدّم</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طرق الشيخ هي لجملة ممّا رواه الشيخ عنه لا لجميع كتب وروايات الفضل، فهذا التصحيح لا يتمّ،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المهم في المقام أنّ من جملة ما رواه الشيخ عن الفضل هو ما كان عن الكليني إلى الفضل كما في هذا السند، ولا يضرّ في </w:t>
      </w:r>
    </w:p>
    <w:p>
      <w:pPr>
        <w:pStyle w:val="BookText"/>
        <w:rPr/>
      </w:pPr>
      <w:r>
        <w:rPr>
          <w:rFonts w:ascii="Amiri" w:hAnsi="Amiri" w:eastAsia="Amiri" w:cs="Amiri"/>
          <w:color w:val="111111"/>
          <w:sz w:val="28"/>
          <w:sz w:val="28"/>
          <w:szCs w:val="28"/>
          <w:rtl w:val="true"/>
          <w:lang w:bidi="ar-SA"/>
        </w:rPr>
        <w:t>المقام أن لا يكون له طريق إلى جميع ما رواه الفضل،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 وهو عبد الله بن مسكان، 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الحلبي وهو محمد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فالسند معتبر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التهذيبين، وقد مضى الكلام في إسناد الشيخ إلى الكليني</w:t>
      </w:r>
      <w:r>
        <w:rPr>
          <w:rFonts w:eastAsia="Amiri" w:cs="Amiri" w:ascii="Amiri" w:hAnsi="Amiri"/>
          <w:color w:val="111111"/>
          <w:sz w:val="28"/>
          <w:szCs w:val="28"/>
          <w:rtl w:val="true"/>
          <w:lang w:bidi="ar-SA"/>
        </w:rPr>
        <w:t>(</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فالسند كسابقه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الْحُسَيْنِ بْنِ سَعِيدٍ،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يُقَلِّمُ أَظْفَارَهُ وَيَجُزُّ شَارِبَهُ وَيَأْخُذُ مِنْ شَعْرِ لِحْيَتِهِ وَرَأْسِهِ هَلْ يَنْقُضُ ذَلِكَ وُضُوءَهُ؟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كُلُّ هَذَا سُنَّةٌ، وَالْوُضُوءُ فَرِيضَةٌ، وَلَيْسَ شَيْ ءٌ مِنَ السُّنَّةِ يَنْقُضُ الْفَرِيضَةَ، وَإِنَّ ذَلِكَ لَيَزِيدُهُ تَطْهِيراً</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بِإِسْنَادِهِ عَنْ زُرَارَةَ، مِثْلَهُ</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أنّ تقليم الأظفار وجزّ الشارب والأخذ من شعر اللّحية والرأس لا ينقض الوضوء؛ لأنّ هذه الأمور سنّة والوضوء فريضة، وما هو من السنّة لا ينقض الفريضة، وهذه كبرى لها تطبيقاتها ومنها محلّ الكلام، ولعلّ المراد من زيادة التطهير زيادة الثواب، وقد نُقل عن ابن الأثير معنيان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الهيئة وإزالة القباحة في طول الأظفار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أقرب إلى تحصيل الطهارة الشرعيّة على أكمل الوجوه، لما عساه يحصل تحتها من الوسخ المانع من وصول الماء إلى البشرة</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 الماتن بسندين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التهذيبين، وقد تقدّم الكلام في إسناده إلى الحسين بن سعيد، وفي شهرة كتبه</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بقيّة أفراد السند، والسند صحيح</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الصدوق، وإسناده إلى زرارة، وقد تقدّم في الحديث الثاني من الباب الثاني من هذه الأبواب</w:t>
      </w:r>
      <w:r>
        <w:rPr>
          <w:rFonts w:eastAsia="Amiri" w:cs="Amiri" w:ascii="Amiri" w:hAnsi="Amiri"/>
          <w:color w:val="111111"/>
          <w:sz w:val="28"/>
          <w:szCs w:val="28"/>
          <w:rtl w:val="true"/>
          <w:lang w:bidi="ar-SA"/>
        </w:rPr>
        <w:t>(</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أعلائي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سَعْدِ بْنِ عَبْدِ اللَّهِ، عَنْ أَيُّوبَ بْنِ نُوحٍ، عَنْ صَفْوَانَ بْنِ يَحْيَى، عَنْ سَعِيدِ بْنِ عَبْدِ اللَّهِ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 أَظْفَارِي وَمِنْ شَارِبِي وَأَحْلِقُ رَأْسِي أَفَأَغْتَسِلُ؟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عَلَيْكَ غُسْلٌ،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عَلَيْكَ 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فَأَمْسَحُ عَلَى أَظْفَارِي الْمَاءَ، فَقَالَ</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طَهُورٌ لَيْسَ عَلَيْكَ مَسْحٌ</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على عدم نقض الأخذ من الأظفار والشارب والرأس للغسل أو الوضوء، وعلى أنّ ذلك طهور فلا يجب المسح على الأظفار ولا على محلّ شعر الشارب والرأس بالماء بعد الأخذ منها ولا يستحبّ ذلك، وهذا بظاهره مخالف لما دلّ على الاستحباب كالحديث الأوّل، هذا ويمكن الجمع بحمل نفي المسح هنا على سبيل الوجوب، فيكون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عليك مسح، فلا ينافي استحبابه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 إسناد الشيخ إلى سعد بن عبد الله</w:t>
      </w:r>
      <w:r>
        <w:rPr>
          <w:rFonts w:eastAsia="Amiri" w:cs="Amiri" w:ascii="Amiri" w:hAnsi="Amiri"/>
          <w:color w:val="111111"/>
          <w:sz w:val="28"/>
          <w:szCs w:val="28"/>
          <w:rtl w:val="true"/>
          <w:lang w:bidi="ar-SA"/>
        </w:rPr>
        <w:t>(</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وبقيّة أفراد السند، وهو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أَحْمَدَ بْنِ يَحْيَى، عَنْ أَحْمَدَ بْنِ الْحَسَنِ، عَنْ عَمْرِو بْنِ سَعِيدٍ، عَنْ مُصَدِّقِ بْنِ صَدَقَةَ،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يَقْرِضُ مِنْ شَعْرِهِ بِأَسْنَانِهِ أَيَمْسَحُهُ بِالْمَاءِ قَبْلَ أَنْ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ذَلِكَ فِي الْحَدِيدِ</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أَحْمَدَ بْنِ إِدْرِيسَ، عَنْ مُحَمَّدِ بْنِ يَحْيَى، عَنْ أَحْمَدَ بْنِ مُحَمَّدٍ مِثْلَهُ</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أَنَّ الْمَسْحَ الْمَذْكُورَ فِي الْحَدِيدِ مَحْمُولٌ عَلَى الِاسْتِحْبَابِ وَهُوَ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 دفع توهّم أنّ مجرّد الأخذ من الشعر ولو بمثل القرض بالأسنان موجب للزوم المسح بالماء أو لاستحبابه قبل الصلاة، وقد دلّ الحديث علی أنّ رجحان المسح بالماء مخصوص بما إذا كان أخذ الشعر بالحديد، وأمّا إذا أُخذ بمثل القرض بالأسنان فالمسح بالماء ليس فيه رجحان ولا بأس بعدمه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والرجحان في المسح بالماء إذا كان الأخذ بالحديد قد يراد به الوجوب، لكنّه مندفع بملاحظة بقيّة الأحاديث المرخّصة في ترك المسح، فالحمل علی الاستحباب كما نقله الماتن عن الشيخ واستحسنه حسنٌ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له الماتن سندين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الشيخ في التهذيبين، وقد سبق الكلام في إسناد الشيخ إلی محمد بن أحمد بن يحيی، وأنّه معتبر</w:t>
      </w:r>
      <w:r>
        <w:rPr>
          <w:rFonts w:eastAsia="IRNazanin" w:cs="IRNazanin"/>
          <w:color w:val="111111"/>
          <w:sz w:val="28"/>
          <w:szCs w:val="28"/>
          <w:rtl w:val="true"/>
          <w:lang w:bidi="fa-IR"/>
        </w:rPr>
        <w:t>(</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وهو أحمد بن الحسن بن علي بن فضّال، وعمرو بن سعيد وهو الساباطي المدائني، وهما مع مصدّق بن صدقة وعمّار بن موسی الساباطي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معتبر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الكليني في الكافي، وفيه محمد بن يحيی وهو محمد بن يحيی العطّار، وأحمد بن محمد وهو أحمد بن محمد بن عيسی</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موثّق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إِذَا قَصَّ أَظْفَارَهُ بِالْحَدِيدِ أَوْ جَزَّ شَعْرَهُ أَوْ حَلَقَ قَفَاهُ فَإِنَّ عَلَيْهِ أَنْ يَمْسَحَهُ بِالْمَاءِ قَبْلَ أَنْ يُصَلِّيَ، سُئِلَ فَإِنْ صَلَّى وَلَمْ يَمْسَحْ مِنْ ذَلِكَ بِالْمَاءِ؟ قَالَ يُعِيدُ الصَّلَاةَ؛ لِأَنَّ الْحَدِيدَ نَجِسٌ،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الْحَدِيدَ لِبَاسُ أَهْلِ النَّارِ، وَالذَّهَبَ لِبَاسُ أَهْلِ الْجَنَّةِ</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وَبِالْإِسْنَادِ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يَمْسَحُ بِالْمَاءِ وَيُعِيدُ الصَّلَاةَ</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أَنَّهُ مَحْمُولٌ عَلَى الِاسْتِحْبَابِ دُونَ الْإِيجَابِ؛ لِأَنَّهُ شَاذٌّ مُخَالِفٌ لِلْأَخْبَارِ الْكَثِيرَةِ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 عَلَى التَّقِيَّةِ لِمَا مَرَّ فِي الْحَدِيثِ الْأَوَّلِ وَيَأْتِي أَيْضاً مَا يَدُلُّ عَلَى طَهَارَةِ الْحَدِيدِ</w:t>
      </w:r>
      <w:r>
        <w:rPr>
          <w:rFonts w:eastAsia="Amiri" w:cs="Amiri" w:ascii="Amiri" w:hAnsi="Amiri"/>
          <w:color w:val="111111"/>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أَحَادِيثِ حَصْرِ النَّوَاقِضِ السَّابِقَةِ دَلَالَةٌ عَلَى الْمَقْصُودِ هُنَا</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أَحَادِيثِ الرُّعَافِ أَيْضاً مَا يَدُلُّ عَلَى ذَلِكَ</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جَزَزْتُ الصوفَ والفجل أَجُزُّهُ 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قطعته وأخذتهبِالْمِجَزِّ بكسر الميم وفتح الجيم</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دلّ علی أنّ من قصّ أظفاره أو حلق شعر رأسه أو قفاه بالحديد فإنّ عليه أن يمسح موضع القص أو الحلق بالماء قبل أن يصلّي، وظاهره لزوم ذلك؛ لأنّه قال في الجواب عمّن صلّی من دون أن يمسح الموضع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عليه إعادة الصلاة أو المسح بالماء وإعادة الصلاة كما في التهذيب، معلّلاً ذلك بنجاسة الحديد وبأنّه لباس أهل النار، كما أنّ لباس أهل الجنّة 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مخالف لما يأتي ممّا يدلّ على طهارة الحديد كما في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له الماتن حملين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الحمل على استحباب المسح بالماء وإعادة الصلاة، ولعلّه لخباثة الحديد، ولكن يبقى الكلام في وجه إعادة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على التقيّة؛ لما مرّ في الحديث الأوّل من هذا الباب من أنّ العامّة في ذلك الزمان كانوا يرون حلق الشعر وقصّ الأظفار من جملة نواقض الوضوء فلذا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بإعادة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الاستبصار إلى عمّار، وهو عمّار الساباطي، وقد مرّذكره في الباب الرابع من أبواب الماء المطلق</w:t>
      </w:r>
      <w:r>
        <w:rPr>
          <w:rFonts w:eastAsia="Amiri" w:cs="Amiri" w:ascii="Amiri" w:hAnsi="Amiri"/>
          <w:color w:val="111111"/>
          <w:sz w:val="28"/>
          <w:szCs w:val="28"/>
          <w:rtl w:val="true"/>
          <w:lang w:bidi="ar-SA"/>
        </w:rPr>
        <w:t>(</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والسند موثّق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 إلى إسحاق بن عمّار</w:t>
      </w:r>
      <w:r>
        <w:rPr>
          <w:rFonts w:eastAsia="Amiri" w:cs="Amiri" w:ascii="Amiri" w:hAnsi="Amiri"/>
          <w:color w:val="111111"/>
          <w:sz w:val="28"/>
          <w:szCs w:val="28"/>
          <w:rtl w:val="true"/>
          <w:lang w:bidi="ar-SA"/>
        </w:rPr>
        <w:t>(</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ذكره في الباب المتقدّم ذكره، وبيّنا أنّه صحيح إليه، وعليه فالسند موثّق</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يمكن عدّ طريق الصدوق المتقدّم في الباب التاسع من أبواب الأسآر</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للشيخ؛ لروايته جميع كتب وروايات الشيخ الصدوق، وطريقه في المشيخة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عبد الله بن جعفر الحميري، عن علي بن إسماعيل، عن صفوان بن يحيى، عن إسحاق بن عمار</w:t>
      </w:r>
      <w:r>
        <w:rPr>
          <w:rFonts w:eastAsia="Amiri" w:cs="Amiri" w:ascii="Amiri" w:hAnsi="Amiri"/>
          <w:color w:val="111111"/>
          <w:sz w:val="28"/>
          <w:szCs w:val="28"/>
          <w:rtl w:val="true"/>
          <w:lang w:bidi="ar-SA"/>
        </w:rPr>
        <w:t>»(</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الحديث بهذا الطريق من جملتها، فيكون السند موثقاً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بِإِسْنَادِهِ عَنْ إِسْمَاعِيلَ بْنِ جَابِرٍ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يَأْخُذُ مِنْ أَظْفَارِهِ وَشَارِبِهِ أَيَمْسَحُهُ بِالْمَاءِ؟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طَهُورٌ</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أظفاره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أظافيره، وهي جمع أظفور، كأسبوع وأسابيع، دلّ على عدم وجوب مسح محلّ الأظفار والشارب بالماء إذا أخذ المكلّف منهما، والظاهر في الأخذ أن يكون بالحديد فيكون هذا الحديث دالّاً على طهارة الحديد، ويحتمل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يراد أنّ موضع الأخذ طاهر فلا يحتاج إلى تطهير، أو يراد أنّ الأخذ من الأظفار والشارب مطهِّر فكيف يكون موجبا للتطهير؟</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الصدوق إلى إسماعيل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المشيخة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كان فيه عن إسماعيل بن جابر فقد رويته عن محمد بن موسی بن المتوكل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عبد الله بن جعفر الحميري، عن محمد بن عيسى، عن صفوان بن يحيى، عن إسماعيل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معتبر، وأمّا إسماعيل بن جابر فقد تقدّم أنّه الجعفي</w:t>
      </w:r>
      <w:r>
        <w:rPr>
          <w:rFonts w:eastAsia="IRNazanin" w:cs="IRNazanin"/>
          <w:color w:val="111111"/>
          <w:sz w:val="28"/>
          <w:szCs w:val="28"/>
          <w:rtl w:val="true"/>
          <w:lang w:bidi="fa-IR"/>
        </w:rPr>
        <w:t>(</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وعلى هذا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فِي قُرْبِ الْإِسْنَادِ عَنْ عَبْدِ اللَّهِ بْنِ الْحَسَنِ، عَنْ جَدِّهِ عَلِيِّ بْنِ جَعْفَرٍ أَنَّهُ سَأَلَ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أَخَذَ مِنْ شَعْرِهِ وَلَمْ يَمْسَحْهُ بِالْمَاءِ ثُمَّ يَقُومُ فَيُصَلِّي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فَيَمْسَحُهُ بِالْمَاءِ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على أنّ من أخذ من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الأخذ بالحديد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يمسح موضع الأخذ بالماء وصلی فإنّ عليه أن يمسح الموضع بالماء بعد الصلاة ولا يعيدها، وهو محمول على استحباب المسح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ما نقله الماتن، ولكنّ الموجود في 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يعتدّ بصلاته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يدلّ على أنّ عليه قطع الصلاة والمسح بعد ذلك بالماء، ولا يعتدّ بتلك الصلاة التي صلّاها من دون أن يمسح بالماء، فعليه أن يعيدها بعد المسح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حمل ذلك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وهو لم يوثّق كما مرّ</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أنّه يمكن تصحيح السند بوجوه ثلاثة وبها يمكن تصحيح جميع روايات قرب الإسناد بما فيها روايات عبد الله بن الحسن العلوي إذا كان يروي عن علي بن جعفر</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250" w:name="pg15724_204351"/>
    </w:p>
    <w:p>
      <w:pPr>
        <w:pStyle w:val="BookText"/>
        <w:rPr/>
      </w:pPr>
      <w:bookmarkEnd w:id="250"/>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سبعة أحاديث، الأوّل معتبر بسنديه، والثاني صحيح بسنديه، والثالث صحيح، والرابع معتبر بسنده الأوّل وموثّق بسنده الثاني، والخامس موثّق بسنديه، والسادس والسابع معتبران</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2418047_2142443653"/>
      <w:bookmarkStart w:id="252" w:name="_Toc93"/>
      <w:bookmarkEnd w:id="251"/>
      <w:r>
        <w:rPr>
          <w:rtl w:val="true"/>
        </w:rPr>
        <w:t>المتحصل من الأحادیث</w:t>
      </w:r>
      <w:bookmarkEnd w:id="252"/>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تقليم الأظفار وجزّ الشارب والأخذ من شعر اللحية والرأس لا ينقض الوضوء ولا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تقليم الأظفار وجزّ الشارب والأخذ من شعر اللحية والرأس سنّة وطهور وزيادة تطهير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يجب المسح بالماء علی الأظفار ولا علی محلّ شعر الشارب والرأس بعد الأخذ منها بالحديد وإنّما يستحب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استحباب المسح بالماء مخصوص بما إذا كان أخذ الظفر أو الشعر بالحديد، دون ما إذا أُخذ بغيره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الحديد طاهر فلا يلزم تطهير ما لاقاه</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5724_204353"/>
      <w:bookmarkStart w:id="254" w:name="pg15724_204353"/>
      <w:bookmarkEnd w:id="254"/>
    </w:p>
    <w:p>
      <w:pPr>
        <w:pStyle w:val="Heading2"/>
        <w:numPr>
          <w:ilvl w:val="1"/>
          <w:numId w:val="1"/>
        </w:numPr>
        <w:rPr/>
      </w:pPr>
      <w:bookmarkStart w:id="255" w:name="pg15724_204353"/>
      <w:bookmarkStart w:id="256" w:name="__RefHeading___Toc12418049_2142443653"/>
      <w:bookmarkStart w:id="257" w:name="_Toc94"/>
      <w:bookmarkEnd w:id="255"/>
      <w:bookmarkEnd w:id="256"/>
      <w:r>
        <w:rPr/>
        <w:t>15</w:t>
      </w:r>
      <w:r>
        <w:rPr>
          <w:rtl w:val="true"/>
        </w:rPr>
        <w:t xml:space="preserve">- </w:t>
      </w:r>
      <w:r>
        <w:rPr>
          <w:rtl w:val="true"/>
        </w:rPr>
        <w:t>بَابُ أَنَّ أَكْلَ مَا غَيَّرَتِ النَّارُ بَلْ مُطْلَقَ الْأَكْلِ وَالشُّرْبِ وَاسْتِدْخَالَ أَيِّ شَيْ ءٍ كَانَ لَا يَنْقُضُ الْوُضُو ءَ</w:t>
      </w:r>
      <w:bookmarkEnd w:id="257"/>
    </w:p>
    <w:p>
      <w:pPr>
        <w:pStyle w:val="Heading3"/>
        <w:numPr>
          <w:ilvl w:val="2"/>
          <w:numId w:val="1"/>
        </w:numPr>
        <w:rPr/>
      </w:pPr>
      <w:bookmarkStart w:id="258" w:name="__RefHeading___Toc12418051_2142443653"/>
      <w:bookmarkStart w:id="259" w:name="_Toc95"/>
      <w:bookmarkEnd w:id="258"/>
      <w:r>
        <w:rPr>
          <w:rtl w:val="true"/>
        </w:rPr>
        <w:t>اشارة</w:t>
      </w:r>
      <w:bookmarkEnd w:id="25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أَكْلَ مَا غَيَّرَتِ النَّارُ بَلْ مُطْلَقَ الْأَكْلِ وَالشُّرْبِ وَاسْتِدْخَالَ أَيِّ شَيْ ءٍ كَانَ لَا يَنْقُضُ الْوُضُوءَ</w:t>
      </w:r>
    </w:p>
    <w:p>
      <w:pPr>
        <w:pStyle w:val="Heading3"/>
        <w:numPr>
          <w:ilvl w:val="2"/>
          <w:numId w:val="1"/>
        </w:numPr>
        <w:rPr/>
      </w:pPr>
      <w:bookmarkStart w:id="260" w:name="__RefHeading___Toc12418053_2142443653"/>
      <w:bookmarkStart w:id="261" w:name="_Toc96"/>
      <w:bookmarkEnd w:id="260"/>
      <w:r>
        <w:rPr>
          <w:rtl w:val="true"/>
        </w:rPr>
        <w:t>شرح الباب</w:t>
      </w:r>
      <w:r>
        <w:rPr>
          <w:rtl w:val="true"/>
        </w:rPr>
        <w:t>:</w:t>
      </w:r>
      <w:bookmarkEnd w:id="261"/>
    </w:p>
    <w:p>
      <w:pPr>
        <w:pStyle w:val="BookText"/>
        <w:rPr/>
      </w:pPr>
      <w:r>
        <w:rPr>
          <w:rFonts w:ascii="Amiri" w:hAnsi="Amiri" w:eastAsia="Amiri" w:cs="Amiri"/>
          <w:color w:val="111111"/>
          <w:sz w:val="28"/>
          <w:sz w:val="28"/>
          <w:szCs w:val="28"/>
          <w:rtl w:val="true"/>
          <w:lang w:bidi="ar-SA"/>
        </w:rPr>
        <w:t>من جملة الأمور التي قد يتوهّم نقضها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 غيّرت النار أو مسّته من اللحم أوالعجين أوغيرهما، وكذا شرب ألبان أوأبوال الأنعام الثلاثة بغضّ النظر عن خباثتها أوحرمتها، ومطلق الأكل والشرب، وإدخال أيِّ شيء ولو لم يكن أكلاً أوشرباً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وأحاديث الباب حصرت الناقض في ما يخرج من المخرجين، ونفت النقض عن تناول ما ذُكر بالخصوص أو بالعموم</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2418055_2142443653"/>
      <w:bookmarkStart w:id="263" w:name="_Toc97"/>
      <w:bookmarkEnd w:id="262"/>
      <w:r>
        <w:rPr>
          <w:rtl w:val="true"/>
        </w:rPr>
        <w:t>أقوال الخاصّة</w:t>
      </w:r>
      <w:r>
        <w:rPr>
          <w:rtl w:val="true"/>
        </w:rPr>
        <w:t>:</w:t>
      </w:r>
      <w:bookmarkEnd w:id="26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في التذكرة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وضوء من أكل ما مسّته النار ذهب إليه علماؤنا أجمع، وبه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وجماعة من الصحابة، وعامّة الفقهاء</w:t>
      </w:r>
      <w:r>
        <w:rPr>
          <w:rFonts w:eastAsia="IRNazanin" w:cs="IRNazanin"/>
          <w:color w:val="111111"/>
          <w:sz w:val="28"/>
          <w:szCs w:val="28"/>
          <w:rtl w:val="true"/>
          <w:lang w:bidi="fa-IR"/>
        </w:rPr>
        <w:t>»(</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لحم الجزور لا يوجب الوضوء، ذهب إليه علماؤنا أجمع، وهو قول أكثر العلماء</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264" w:name="pg15724_204354"/>
    </w:p>
    <w:p>
      <w:pPr>
        <w:pStyle w:val="Heading3"/>
        <w:numPr>
          <w:ilvl w:val="2"/>
          <w:numId w:val="1"/>
        </w:numPr>
        <w:rPr/>
      </w:pPr>
      <w:bookmarkStart w:id="265" w:name="__RefHeading___Toc12418057_2142443653"/>
      <w:bookmarkStart w:id="266" w:name="_Toc98"/>
      <w:bookmarkEnd w:id="264"/>
      <w:bookmarkEnd w:id="265"/>
      <w:r>
        <w:rPr>
          <w:rtl w:val="true"/>
        </w:rPr>
        <w:t>أقوال العامّة</w:t>
      </w:r>
      <w:r>
        <w:rPr>
          <w:rtl w:val="true"/>
        </w:rPr>
        <w:t>:</w:t>
      </w:r>
      <w:bookmarkEnd w:id="266"/>
    </w:p>
    <w:p>
      <w:pPr>
        <w:pStyle w:val="BookText"/>
        <w:rPr/>
      </w:pP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الصدر الأوّل في إيجاب الوضوء من أكل ما مسّته النار، لاختلاف الآثار الواردة في ذلك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جمهور فقهاء الأمصار بعد الصدر الأوّل على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ذهب قوم من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وإسحاق، وطائفة غيرهم أنّ الوضوء يجب فقط من أكل لحم الجزور</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 في المغني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أكل لحم الإبل ينقض الوضوء على كلّ حال نيئاً ومطبوخاً عالماً كان أو جاهلاً، وبهذا قال جابر بن سمرة ومحمد بن إسحاق وإسحاق وأبو خيثمة ويحيی بن يحيى وابن المنذر وهو أحد قولي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الخطابي ذهب إلى هذا عامّة أصحاب الحديث، وقال الثوري ومالك والشافعي وأصحاب الرأي لا ينقض الوضوء بحال</w:t>
      </w:r>
      <w:r>
        <w:rPr>
          <w:rFonts w:eastAsia="IRNazanin" w:cs="IRNazanin"/>
          <w:color w:val="111111"/>
          <w:sz w:val="28"/>
          <w:szCs w:val="28"/>
          <w:rtl w:val="true"/>
          <w:lang w:bidi="fa-IR"/>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عدا لحم الجزور من الأطعمة لا وضوء فيه سواء مسّته النار أو لم تمّسه، هذا قول أكثر أهل العلم وروي ذلك عن الخلفاء الراشدين وأُبي بن كعب وابن مسعود وابن عبّاس وعامر بن ربيعة وأبي الدرداء وأبي أمامة وعامّة الفقهاء، ولا نعلم اليوم فيه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جماعة من السلف إلى إيجاب الوضوء ممّا غيّرت النار، منهم ابن عمر وزيد بن ثابت وأبو طلحة وأبو موسی وأبو هريرة وأنس وعمر بن عبد العزيز وأبو مجلز وأبو قلابة والحسن والزهري</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أَلْبَانِ الْإِبِلِ وَالْبَقَرِ وَالْغَنَمِ وَأَبْوَالِهَا وَلُحُومِهَا؟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تَوَضَّأْ مِنْهُ الْحَدِيثَ</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مُحَمَّدِ بْنِ يَعْقُوبَ، مِثْلَهُ</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للحديث تتمّة كان الأولی للماتن إيرادها لاختلاف المعنی بين نقل الكليني ونقل الشيخ، أمّا علی نقل الكليني فهي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أصابك منه شيء أو ثوباً لك، فلا تغسله إلّا أن تتنظّف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ويكون المراد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توضّأ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أصابك منه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تغسل الثوب والبدن إن أصابك شيء، فلا تغسله إلّا إن أردت التنظيف</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نقل التهذيب والاستبصار، فهي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أصابك شيء منه أو ثوباً لك، فلا تغسله إلا أن تتنظّف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المراد الوضوء الاصطلاحي، والحديث دالّ علی ما في عنوان الباب، وهو عدم نقض الأكل والشرب للوضوء، والواو استئنافية، والجملة الشرطية بعدها دالّة علی أنّ إصابة تلك الألبان والأبوال واللحوم للجسدأو الثوب لا توجب التطهير، والغَسل إنّما يكون للتنظيف لا التطهير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الماتن له سندين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الكليني، وقد سبق الكلام في أفراده،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أي ابن عيسی، وحريز، أي ابن عبد الله السجستاني، وهو معتبر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 والاستبصار، وقد سبق الكلام فيه، وهو معتبر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الْحُسَيْنِ بْنِ سَعِيدٍ، عَنِ النَّضْرِ،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يُتَوَضَّأُ مِنَ الطَّعَامِ أَوْ شُرْبِ اللَّبَنِ أَلْبَانِ الْبَقَرِ وَالْإِبِلِ وَالْغَنَمِ وَأَبْوَالِهَا وَلُحُومِهَا؟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يُتَوَضَّأُ مِنْهُ</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المراد بالوضوء هو الوضوء الاصطلاحي الشرعي، لا الغَسل، فيكون الحديث دالّاً على أنّ تناول الطعام وشرب ألبان الإبل والغنم وأبوالها وأكل لحومها لا ينقض الوضوء، ولعلّ الداعي للسؤال عن ذلك هو ما عند طائفة من العامّة من نقض الوضوء بأكل ما مسّته النار، وأكل لحم الإبل وشرب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وهو النضر بن سويد، وقد مرّ أنّه ثقة صحيح الحديث</w:t>
      </w:r>
      <w:r>
        <w:rPr>
          <w:rFonts w:eastAsia="Amiri" w:cs="Amiri" w:ascii="Amiri" w:hAnsi="Amiri"/>
          <w:color w:val="111111"/>
          <w:sz w:val="28"/>
          <w:szCs w:val="28"/>
          <w:rtl w:val="true"/>
          <w:lang w:bidi="ar-SA"/>
        </w:rPr>
        <w:t>(</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أيضاً سليمان بن خالد وقد سبق أنّه ثقة</w:t>
      </w:r>
      <w:r>
        <w:rPr>
          <w:rFonts w:eastAsia="Amiri" w:cs="Amiri" w:ascii="Amiri" w:hAnsi="Amiri"/>
          <w:color w:val="111111"/>
          <w:sz w:val="28"/>
          <w:szCs w:val="28"/>
          <w:rtl w:val="true"/>
          <w:lang w:bidi="ar-SA"/>
        </w:rPr>
        <w:t>(</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مُحَمَّدِ بْنِ عَلِيِّ بْنِ مَحْبُوبٍ، عَنْ يَعْقُوبَ بْنِ يَزِيدَ، عَنِ ابْنِ أَبِي عُمَيْرٍ، عَنْ عُمَرَ بْنِ أُذَيْنَةَ،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مِمَّا غَيَّرَتِ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فِيهِ وُضُوءٌ، إِنَّمَا الْوُضُوءُ مِمَّا يَخْرُجُ، لَيْسَ مِمَّا يَدْخُلُ</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أنّ تناول ما غيّرت النار لا ينقض الوضوء، وحصر الوضوء بما يخرج، أي من السبيلين، من بول أو غائط أو ريح، لا ممّا يدخل وإن لم يكن طعاماً مسّته النار أم لم تمسّه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 أفراده، وهو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أَحْمَدَ بْنِ الْحَسَنِ بْنِ عَلِيٍّ، عَنْ عَمْرِو بْنِ سَعِيدٍ، عَنْ مُصَدِّقِ بْنِ صَدَقَةَ،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تَوَضَّأَ ثُمَّ أَكَلَ لَحْماً وَسَمْناً</w:t>
      </w:r>
      <w:r>
        <w:rPr>
          <w:rFonts w:eastAsia="Amiri" w:cs="Amiri" w:ascii="Amiri" w:hAnsi="Amiri"/>
          <w:color w:val="111111"/>
          <w:sz w:val="28"/>
          <w:szCs w:val="28"/>
          <w:rtl w:val="true"/>
          <w:lang w:bidi="ar-SA"/>
        </w:rPr>
        <w:t>(</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أَنْ يُصَلِّيَ مِنْ غَيْرِ أَنْ يَغْسِلَ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 لَبَناً لَمْ يُصَلِّ حَتَّى يَغْسِلَ يَدَهُ، وَيَتَمَضْمَضَ، وَكَانَ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وَقَدْ أَكَلَ اللَّحْمَ مِنْ غَيْرِ أَنْ يَغْسِلَ يَدَهُ، وَإِنْ كَانَ</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 لَمْ يُصَلِّ حَتَّى يَغْسِلَ يَدَهُ، وَيَتَمَضْمَضَ</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الِاسْتِحْبَابِ، وَعَلَى كُلِّ حَالٍ يَدُلُّ عَلَى نَفْيِ نَقْضِ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علی أنّ من كان علی وضوء ثم أكل لحماً وسمناً أو سمكاً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يصلّي من غير أن يغسل يده، وأمّا لو كان ما تناوله لبناً فلا يصلّي حتی يغسل يده ويتمضمض، وفيه الاستشهاد بفعل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حمله الشيخ في الاستبصار علی استحباب غَسل اليد والمضمضة قبل الصلاة، دون الفرض والإيجاب، وهو يدلّ علی نفي نقض الوضوء حتّی لو تنزّلنا وقلنا إنّ الأمر بغَسل اليد والمضمضة محمول علی الوجوب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بن علي وهو ابن فضّال، وعمرو بن سعيد هو المدائني، ومصدّق بن صدقة هو المدائني، وعمّار بن موسی هو الساباطي وقد مضی الكلام في أفراده، وهو موثّق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فِي الْعِلَلِ، عَنْ أَبِيهِ وَمُحَمَّدِ بْنِ الْحَسَنِ، عَنْ مُحَمَّدِ بْنِ يَحْيَى، عَنِ الْحُسَيْنِ بْنِ الْحَسَنِ بْنِ أَبَانٍ، عَنْ مُحَمَّدِ بْنِ أُورَمَةَ، عَنْ أَحْمَدَ بْنِ مُحَمَّدِ بْنِ أَبِي نَصْرٍ وَعَبْدِ الرَّحْمَنِ بْنِ أَبِي نَجْرَانَ، عَنْ مُثَنًّى الْحَنَّاطِ، عَنْ مَنْصُورِ بْنِ حَازِمٍ، عَنْ سَعِيدِ بْنِ أَحْمَدَ،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تَوَضَّؤُوا مِمَّا يَخْرُجُ مِنْكُمْ</w:t>
      </w:r>
      <w:r>
        <w:rPr>
          <w:rFonts w:eastAsia="Amiri" w:cs="Amiri" w:ascii="Amiri" w:hAnsi="Amiri"/>
          <w:color w:val="111111"/>
          <w:sz w:val="28"/>
          <w:szCs w:val="28"/>
          <w:rtl w:val="true"/>
          <w:lang w:bidi="ar-SA"/>
        </w:rPr>
        <w:t>(</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تَوَضَّؤُوا</w:t>
      </w:r>
      <w:r>
        <w:rPr>
          <w:rFonts w:eastAsia="Amiri" w:cs="Amiri" w:ascii="Amiri" w:hAnsi="Amiri"/>
          <w:color w:val="111111"/>
          <w:sz w:val="28"/>
          <w:szCs w:val="28"/>
          <w:rtl w:val="true"/>
          <w:lang w:bidi="ar-SA"/>
        </w:rPr>
        <w:t>(</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يَدْخُلُ؛ فَإِنَّهُ يَدْخُلُ طَيِّباً وَيَخْرُجُ خَبِيثاً</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أَحَادِيثِ حَصْرِ النَّوَاقِضِ مَا يَدُلُّ عَلَيْهِ</w:t>
      </w:r>
      <w:r>
        <w:rPr>
          <w:rFonts w:eastAsia="Amiri" w:cs="Amiri" w:ascii="Amiri" w:hAnsi="Amiri"/>
          <w:color w:val="111111"/>
          <w:sz w:val="28"/>
          <w:szCs w:val="28"/>
          <w:rtl w:val="true"/>
          <w:lang w:bidi="ar-SA"/>
        </w:rPr>
        <w:t>(</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فِي الْأَطْعِمَةِ فِي أَحَادِيثِ عَدَمِ وُجُوبِ غَسْلِ الْيَدِ قَبْلَ الطَّعَامِ وَلَا بَعْدَهُ مَا يَدُلُّ عَلَى ذَلِكَ</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على نفي الوضوء من كلّ ما يؤكل أو يُشرب ونقض المأكول والمشروب الخارج من السبيلين، وأنّه خبيث، والظاهر أنّه بمعنی النجس، يُتوضّأ منه ويقيّد بما دلّ علی عدم ذلك من المذي والوذي والدم والقيح والنخامة وغيرها مما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السند مقرون ينحلّ إلى أربعة أسانيد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أبيه، عن محمد بن يحيى، عن الحسين بن الحسن بن أبان، عن محمد بن أورمة، عن أحمد بن محمد بن أبي نصر، عن مثنّی الحنّاط، عن منصور بن حازم، عن سعيد بن أحمد،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عن محمد بن يحيى، عن الحسين بن الحسن بن أبان، عن محمد بن أورمة، عن عبد الرحمن بن أبي نجران، عن مثنّى الحنّاط، عن منصور بن حازم، عن سعيد بن أحمد،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محمد بن الحسن، عن محمد بن يحيى، عن الحسين بن الحسن بن أبان، عن محمد بن أورمة، عن أحمد بن محمد بن أبي نصر، عن مثنّی الحنّاط، عن منصور بن حازم، عن سعيد بن أحمد،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محمد بن الحسن، عن محمد بن يحيى، عن الحسين بن الحسن بن أبان، عن محمد بن أورمة، عن عبد الرحمن بن أبي نجران، عن مثنّى الحنّاط، عن منصور بن حازم، عن سعيد بن أحمد، عن ابن عبّاس</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أورمة،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القمّي ذكره القمّيون وغمزوا عليه ورموه بالغلو حتی دُسّ عليه من يفتك به، فوجدوه يصلّي من أوّل الليل إلى آخره فتوقّفوا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وحكی جماعة من شيوخ القمّيين عن ابن الوليد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أورمة طعن عليه بالغلو، 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في كتبه ممّا وجد في كتب الحسين بن سعيد وغيره فقل به، وما تفرّد به فلا تعتمده، وقال </w:t>
      </w:r>
    </w:p>
    <w:p>
      <w:pPr>
        <w:pStyle w:val="BookText"/>
        <w:rPr/>
      </w:pP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رأى توقيعاً من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قم في معنی محمد بن أورمة وبراءته ممّا قذف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وكتبه صحاح، إلا كتاباً ينسب إليه، ترجمته تفسير الباطن، فإنّه مخلّط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الوضوء، كتاب الصلاة </w:t>
      </w:r>
      <w:r>
        <w:rPr>
          <w:rFonts w:eastAsia="Amiri" w:cs="Amiri" w:ascii="Amiri" w:hAnsi="Amiri"/>
          <w:color w:val="111111"/>
          <w:sz w:val="28"/>
          <w:szCs w:val="28"/>
          <w:rtl w:val="true"/>
          <w:lang w:bidi="ar-SA"/>
        </w:rPr>
        <w:t>...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الشيخ في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وضعّفه في باب من لم يرو عن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كتب مثل كتب الحسين بن سعيد، وفي رواياته تخليط، أخبرنا بجميعها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فيها من تخليط أو 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عن ابن الوليد، عن الحسين بن الحسن بن أبان،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جعفر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أورمة طعن عليه بالغلو، فكلّما كان في كتبه ممّا يوجد في كتب الحسين بن سعيد وغيره، فإنّه معتمد عليه ويفتی به، وكلّما تفرّد به لم يجز العمل عليه ولا يعتمد</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الغضائري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أورمة أبو جعفر القمّي، اتهمه القمّيون بالغلو، وحديثه نقيّ لا فساد فيه، وما رأيت شيئاً ينسب إليه تضطرب فيه النفس إلّا أوراقاً في تفسير الباطن، وما يليق بحديثه، وأظنّها موضوعة عليه، ورأيت كتاباً خرج من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القمّيين في براءته ممّا قذف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عقيدته، وقرب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حدّثني الحسن بن محمد بن بندار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مشايخي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أورمة لمّا طعن عليه بالغلو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الأشاعرة ليقتلوه، فوجدوه يصلي الليل من أوّله إلى آخره ليالي عديدة، فتوقّفوا عن اعتقادهم</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الغلو غير ثابتة، كما أنّه رُوي عنه ما ينافي الغلو وما يدلّ على قوّة إيمانه وحسن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رواية تدلّ على جلالته وهي ما رواها الراوندي في الخرائج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امرأة معي شيئاً من حلي وشيئاً من دراهم وشيئاً من ثياب فتوهّمتُ أنّ ذلك كلّه لها ولم أحتط عليها أنّ ذلك لغيرها فيه شيء؟، فحملت إلى المدينة مع بضاعات لأصحابنا فوجّهت ذلك كلّه إليه، وكتبت في الكتاب إنّي قد بعثت إليك من قبل فلانة بكذا، ومن قبل فلان وفلان بكذا، فخرج في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ما بعثت من قبل فلان وفلان ومن قبل المرأتين، تقبّل الله منك ورضي الله عنك وجعلك معنا في الدنيا والآخرة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سمعت ذكر المرأتين شككت في الكتاب أنّه غير كتابه، وأنّه قد عمل على دونه؛ لأنّي كنت في نفسي على يقين أنّ الذي دفعت إليَّ المرأة كان كلّه لها، وهي امرأة واحدة، فلمّا رأيت امرأتين اتهمت موصل كتابي، فلمّا انصرفت إلى البلاد جاءتني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أوصلت بضاعتي؟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وبضاعة فلانة؟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فيها لغيرك شيء؟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لي فيها كذا ولأختي فلانة كذا،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أوصلت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وزال ما كان عندي</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وإن كانت مرسلة، وهو الراوي لها وعليه لا تستفاد وثاقته منها، إلا أنّ للراوندي طريقاً صحيحاً للشيخ الطوسي، وهو واسطة واحدة، ويتكوّن من جماعة من الثقات منهم الشيخ أبو جعفر محمد بن علي بن المحسن الحلبي، على ما في مقدمة كتابه الخرائج والجرائح</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وللشيخ طريق معتبر إلى محمد بن أورمة، وبهذا يكون طريق الراوندي إليه معتبراً، وتكون الرواية دالّة على القدر المتيقّن وهو حُسنه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أحمد، والظاهر أنّه عامّي، وذكره بعضهم باسم سعيد بن يحمد، ولم يُنقل عن أحد من علماء العامّة قدح فيه، قال ابن أبي حاتم الرازي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بن محمد أبو السفر الهمداني روی عن ابن عبّاس والبراء بن عازب وناجية بن كعب، روى عنه أبو إسحاق الهمداني ومطرف ويونس بن أبي إسحاق وابنه عبد الله وشعبة ومالك بن مغول، سمعت أبي يقول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حدثنا ابن أبي خيثمة فيما كتب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يحيى بن معين عن أبي السفر فقال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أحمد الثوري، ثور همدان 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السفر صدوق</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267" w:name="pg15724_204366"/>
    </w:p>
    <w:p>
      <w:pPr>
        <w:pStyle w:val="BookText"/>
        <w:rPr/>
      </w:pPr>
      <w:bookmarkEnd w:id="267"/>
      <w:r>
        <w:rPr>
          <w:rFonts w:ascii="Amiri" w:hAnsi="Amiri" w:eastAsia="Amiri" w:cs="Amiri"/>
          <w:color w:val="111111"/>
          <w:sz w:val="28"/>
          <w:sz w:val="28"/>
          <w:szCs w:val="28"/>
          <w:rtl w:val="true"/>
          <w:lang w:bidi="ar-SA"/>
        </w:rPr>
        <w:t>وقال ابن شاهين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 السفر سعيد بن أحمد الثوري، ثور همدان ثقة كوفي</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بكر بن أبي خيثمة،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 عشرة أو ثلاث عشرة ومئة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الجماعة</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أوجبت أقوالهم الاطمئنان بوثاقته فهو وإلّا بقي بلا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فالأسانيد الأربعة كلّها معتبرة إذا حصل الاطمئنان بوثاقة سعيد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خمسة أحاديث، الأوّل معتبر بسنديه، والثاني والثالث صحيحان، والرابع موثّق، والخامس معتبر بأسانيده الأربعة على تقدير</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2418059_2142443653"/>
      <w:bookmarkStart w:id="269" w:name="_Toc99"/>
      <w:bookmarkEnd w:id="268"/>
      <w:r>
        <w:rPr>
          <w:rtl w:val="true"/>
        </w:rPr>
        <w:t>المتحصل من الأحادیث</w:t>
      </w:r>
      <w:bookmarkEnd w:id="269"/>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نقض الأكل والشرب للوضوء، وإصابة ألبان الأنعام وأبوالها ولحومها للجسد أو الثوب لا توجب التطهير، وغَسلها عنهما إنّما يكون للتنظيف لا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تناول ما غيّرت النار لا ينقض الوضوء، والموجب للوضوء محصور بما يخرج من السبيلين إلا ما استثني سابقاً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الراجح غَسل اليد والمضمضة قبل الصلاة إذا تناول لبناً</w:t>
      </w:r>
      <w:r>
        <w:rPr>
          <w:rFonts w:eastAsia="Amiri" w:cs="Amiri" w:ascii="Amiri" w:hAnsi="Amiri"/>
          <w:color w:val="111111"/>
          <w:sz w:val="28"/>
          <w:szCs w:val="28"/>
          <w:rtl w:val="true"/>
          <w:lang w:bidi="ar-SA"/>
        </w:rPr>
        <w:t xml:space="preserve">. </w:t>
      </w:r>
      <w:bookmarkStart w:id="270" w:name="pg15724_204367"/>
    </w:p>
    <w:p>
      <w:pPr>
        <w:pStyle w:val="Heading2"/>
        <w:numPr>
          <w:ilvl w:val="1"/>
          <w:numId w:val="1"/>
        </w:numPr>
        <w:rPr/>
      </w:pPr>
      <w:bookmarkStart w:id="271" w:name="__RefHeading___Toc12418061_2142443653"/>
      <w:bookmarkStart w:id="272" w:name="_Toc100"/>
      <w:bookmarkEnd w:id="270"/>
      <w:bookmarkEnd w:id="271"/>
      <w:r>
        <w:rPr/>
        <w:t>16</w:t>
      </w:r>
      <w:r>
        <w:rPr>
          <w:rtl w:val="true"/>
        </w:rPr>
        <w:t xml:space="preserve">- </w:t>
      </w:r>
      <w:r>
        <w:rPr>
          <w:rtl w:val="true"/>
        </w:rPr>
        <w:t>بَابُ أَنَّ اسْتِدْخَالَ الدَّوَا ءِ وَخُرُوجَ النَّدَى وَالصُّفْرَةِ مِنَ الْمَقْعَدَةِ وَالنَّاصُورِ لَا يَنْقُضُ الْوُضُو ء</w:t>
      </w:r>
      <w:bookmarkEnd w:id="272"/>
    </w:p>
    <w:p>
      <w:pPr>
        <w:pStyle w:val="Heading3"/>
        <w:numPr>
          <w:ilvl w:val="2"/>
          <w:numId w:val="1"/>
        </w:numPr>
        <w:rPr/>
      </w:pPr>
      <w:bookmarkStart w:id="273" w:name="__RefHeading___Toc12418063_2142443653"/>
      <w:bookmarkStart w:id="274" w:name="_Toc101"/>
      <w:bookmarkEnd w:id="273"/>
      <w:r>
        <w:rPr>
          <w:rtl w:val="true"/>
        </w:rPr>
        <w:t>اشارة</w:t>
      </w:r>
      <w:bookmarkEnd w:id="27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اسْتِدْخَالَ الدَّوَاءِ وَخُرُوجَ النَّدَى وَالصُّفْرَةِ مِنَ الْمَقْعَدَةِ وَالنَّاصُورِ لَا يَنْقُضُ الْوُضُوء</w:t>
      </w:r>
    </w:p>
    <w:p>
      <w:pPr>
        <w:pStyle w:val="Heading3"/>
        <w:numPr>
          <w:ilvl w:val="2"/>
          <w:numId w:val="1"/>
        </w:numPr>
        <w:rPr/>
      </w:pPr>
      <w:bookmarkStart w:id="275" w:name="__RefHeading___Toc12418065_2142443653"/>
      <w:bookmarkStart w:id="276" w:name="_Toc102"/>
      <w:bookmarkEnd w:id="275"/>
      <w:r>
        <w:rPr>
          <w:rtl w:val="true"/>
        </w:rPr>
        <w:t>أقوال الخاصّة</w:t>
      </w:r>
      <w:r>
        <w:rPr>
          <w:rtl w:val="true"/>
        </w:rPr>
        <w:t>:</w:t>
      </w:r>
      <w:bookmarkEnd w:id="276"/>
    </w:p>
    <w:p>
      <w:pPr>
        <w:pStyle w:val="BookText"/>
        <w:rPr/>
      </w:pPr>
      <w:r>
        <w:rPr>
          <w:rFonts w:ascii="IRNazanin" w:hAnsi="IRNazanin" w:eastAsia="IRNazanin"/>
          <w:color w:val="111111"/>
          <w:sz w:val="28"/>
          <w:sz w:val="28"/>
          <w:szCs w:val="28"/>
          <w:rtl w:val="true"/>
          <w:lang w:bidi="fa-IR"/>
        </w:rPr>
        <w:t>قال العلّامة في التذكرة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 من أحد السبيلين دود، أو غيره من الهوام، أو حصی أو دم غير الثلاثة، أو شعر، أو حقنة، أو أشياف، أو دهن قطّره في إحليله، لم ينقض، إلّا أن يستصحب شيئاً من النواقض، ذهب إليه علماؤنا أجمع</w:t>
      </w:r>
      <w:r>
        <w:rPr>
          <w:rFonts w:eastAsia="IRNazanin" w:cs="IRNazanin"/>
          <w:color w:val="111111"/>
          <w:sz w:val="28"/>
          <w:szCs w:val="28"/>
          <w:rtl w:val="true"/>
          <w:lang w:bidi="fa-IR"/>
        </w:rPr>
        <w:t>»(</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نحوه في المنتهی</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2418067_2142443653"/>
      <w:bookmarkStart w:id="278" w:name="_Toc103"/>
      <w:bookmarkEnd w:id="277"/>
      <w:r>
        <w:rPr>
          <w:rtl w:val="true"/>
        </w:rPr>
        <w:t>أقوال العامّة</w:t>
      </w:r>
      <w:r>
        <w:rPr>
          <w:rtl w:val="true"/>
        </w:rPr>
        <w:t>:</w:t>
      </w:r>
      <w:bookmarkEnd w:id="278"/>
    </w:p>
    <w:p>
      <w:pPr>
        <w:pStyle w:val="BookText"/>
        <w:rPr/>
      </w:pPr>
      <w:r>
        <w:rPr>
          <w:rFonts w:ascii="Amiri" w:hAnsi="Amiri" w:eastAsia="Amiri" w:cs="Amiri"/>
          <w:color w:val="111111"/>
          <w:sz w:val="28"/>
          <w:sz w:val="28"/>
          <w:szCs w:val="28"/>
          <w:rtl w:val="true"/>
          <w:lang w:bidi="ar-SA"/>
        </w:rPr>
        <w:t>قال 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قطّر في إحليله دهناً ثمّ عاد فخرج نقض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احتشى قطناً في ذكره ثمّ خرج وعليه بلل نقض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ناشفاً ففيه وجهان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لأنّه خارج من السبيل فأشبه سائر الخوارج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لأنّه ليس بين المثانة والجوف منفذ فلا يكون خارجاً من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احتقن في دبره فرجعت أجزاء خرجت من الفرج نقضت الوضوء، وهكذا لو وطئ امرأته دون الفرج فدبّ ماؤه فدخل الفرج ثمّ خرج نقض الوضوء وعليهما الاستنجاء؛ لأنّه خارج من السبيل لا يخلو من بلّة تصحبه من الفرج، فإن لم يعلما خروج شيء منه احتمل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فيهما؛ لأنّ الغالب أنّه لا ينفك عن الخروج فنقض كالنوم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لأنّ الطهارة متيقّنة فلا تزول عنها بالشك، لكن إن كان المحتقن قد أدخل رأس الزّراقة ثم أخرجه نقض الوضوء، وكذلك لو أدخل فيه ميلاً أو غيره ثمّ خرج نقض الوضوء؛ لأنّه خارج من السبيل فنقض كسائر الخارج</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الحارث سألت أحمد عن رجل به علّة ربما ظهرت مقعدته؟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أنّه يظهر معها ندی توضّأ، وإن لم يعلم فلا شيء عليه، ويحتمل أنّ أحمد إنَّما أراد ندى ينفصل عنها؛ لأنّه خارج من الفرج متّصل فنقض كالخارج علی الحصی، فأمّا الرطوبة اللازمة لها فلا تنقض</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الْعَمْرَكِيِّ،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أَنْ يَسْتَدْخِلَ الدَّوَاءَ ثُمَّ يُصَلِّيَ وَهُوَ مَعَهُ أَيَنْقُضُ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وَلَا يُصَلِّي حَتَّى يَطْرَحَهُ</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الْحِمْيَرِيُّ بِالْإِسْنَادِ السَّابِقِ</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علی أنّ استدخال الدواء وبقاءه في الجوف لا ينقض الوضوء، ودلّ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يصلّي حتّی يطرحه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إذا طرحه لم ينقض الوضوء أيضاً، وقد حُمل النهي عن الصلاة قبل إخراج الدواء علی الكراهة، وعُلّل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ملاذ الأخيار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الدواء غالباً يُسهّل، فيمكن أن يجيء منه حدث في الصلاة بإيجاد سببه، أو لمنافاته لحضور القلب، أو لكلا الأمرين</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له الماتن ثلاثة أسانيد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الكليني،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يحيی، وهو العطّار، وفيه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العمركي، وهو العمركي بن علي أبو محمد البوفكي الخراساني، والسند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الشيخ في التهذيب، وقد مضی الكلام في إسناد الشيخ إلی الكليني</w:t>
      </w:r>
      <w:r>
        <w:rPr>
          <w:rFonts w:eastAsia="IRNazanin" w:cs="IRNazanin"/>
          <w:color w:val="111111"/>
          <w:sz w:val="28"/>
          <w:szCs w:val="28"/>
          <w:rtl w:val="true"/>
          <w:lang w:bidi="fa-IR"/>
        </w:rPr>
        <w:t>(</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فالسند كسابقه صحيح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الحميري في قرب الإسناد، وقد سبق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وهو لم يوثّق كما مرّ، وقد سبق أنّه يمكن تصحيح السند</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يَحْيَى، عَنْ أَحْمَدَ بْنِ مُحَمَّدٍ، عَنْ مُحَمَّدِ بْنِ سَهْلٍ،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النَّاصُورِ</w:t>
      </w:r>
      <w:r>
        <w:rPr>
          <w:rFonts w:eastAsia="Amiri" w:cs="Amiri" w:ascii="Amiri" w:hAnsi="Amiri"/>
          <w:color w:val="111111"/>
          <w:sz w:val="28"/>
          <w:szCs w:val="28"/>
          <w:rtl w:val="true"/>
          <w:lang w:bidi="ar-SA"/>
        </w:rPr>
        <w:t>(</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يَنْقُضُ الْوُضُوءَ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وَالرِّيحُ</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كَمَا مَرَّ، وَكَذَا الصَّدُوقُ</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أنّ الناسور غير ناقض للوضوء، سواء سال الدم منه أم لم يسل، كما دلّ على حصر الناقض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والريح، وهذا الحصر إضافي بالنسبة لما يخرج من الطرفين غير هذه الثلاثة كالدم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ثلاثة أسانيد لهذا الحديث، وتكلّمنا فيها عند بيان سند الحديث السادس من الباب الثاني من هذه الأبواب</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وقد سبق أنّ محمد بن سهل ممدوح، ويمكن تصحيح الحديث بناء على قبول شهادة الكليني والصدوق بصحّة أحاديث كتابيهما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 والاستبصار، وهو كسابقه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الصدوق في عيون الأخبار، وهو كسابقيه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عَلِيِّ بْنِ مَحْبُوبٍ، عَنْ عَلِيِّ بْنِ السِّنْدِيِّ،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جُرْحاً فِي مَقْعَدَتِي فَأَتَوَضَّأُ ثُمَّ أَسْتَنْجِي ثُمَّ أَجِدُ بَعْدَ ذَلِكَ النَّدَى وَالصُّفْرَةَ تَخْرُجُ مِنَ الْمَقْعَدَةِ أَفَأُعِيدُ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رُشَّهُ بِالْمَاءِ وَلَا تُعِدِ الْوُضُوءَ</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الْمُفِيدِ، عَنْ جَعْفَرِ بْنِ مُحَمَّدِ بْنِ قُولَوَيْهِ، عَنْ أَبِيهِ، عَنْ سَعْدِ بْنِ عَبْدِ اللَّهِ، عَنْ أَحْمَدَ بْنِ مُحَمَّدٍ، عَنْ عَلِيِّ بْنِ أَشْيَمَ، عَنْ صَفْوَانَ بْنِ يَحْيَى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خُرَاجاً</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مُحَمَّدِ بْنِ يَحْيَى، عَنْ أَحْمَدَ بْنِ مُحَمَّدٍ، عَنْ عَلِيِّ بْنِ أَحْمَدَ بْنِ أَشْيَمَ، عَنْ صَفْوَانَ مِثْلَهُ</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علی أنّ من كان به جرح أو خراج في المقعدة ووجد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الاستنجاء وغَسل الموضع وتنقيته عن الغائط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صفرة وندی تخرج من المقعدة، لم يجب عليه الوضوء، فإنّ خروج الصفرة والندی بعد الاستنجاء غير ناقض للوضوء، والأمر برشّ الموضع بالماء إمّا أن يراد به غَسل الموضع لنجاسة الصفرة، وإمّا </w:t>
      </w:r>
    </w:p>
    <w:p>
      <w:pPr>
        <w:pStyle w:val="BookText"/>
        <w:rPr/>
      </w:pPr>
      <w:r>
        <w:rPr>
          <w:rFonts w:ascii="Amiri" w:hAnsi="Amiri" w:eastAsia="Amiri" w:cs="Amiri"/>
          <w:color w:val="111111"/>
          <w:sz w:val="28"/>
          <w:sz w:val="28"/>
          <w:szCs w:val="28"/>
          <w:rtl w:val="true"/>
          <w:lang w:bidi="ar-SA"/>
        </w:rPr>
        <w:t>يراد به الرش حقيقة لأجل دفع توهّم نجاسة الندى والصفرة بناء على طهارتهما، لكون الأصل طهارتهما، ولعدم العلم بكون الصفرة دماً مخلوطاً، كما أفاده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ثلاثة أسانيد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 وقد سبق أنّ طريقه إلى محمد بن علي بن محبوب صحيح</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السندي، قال عنه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ثقة، وهو علي بن السندي لقب إسماعيل بالسندي</w:t>
      </w:r>
      <w:r>
        <w:rPr>
          <w:rFonts w:eastAsia="Amiri" w:cs="Amiri" w:ascii="Amiri" w:hAnsi="Amiri"/>
          <w:color w:val="111111"/>
          <w:sz w:val="28"/>
          <w:szCs w:val="28"/>
          <w:rtl w:val="true"/>
          <w:lang w:bidi="ar-SA"/>
        </w:rPr>
        <w:t>»(</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نصر بن الصباح البلخي وإن نقل عنه الكشّي في عدّة موارد من كتابه إلا أنّه غالٍ فلا يعتمد على كلامه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أين لنا العلم باتحاد علي بن السندي مع علي بن إسماعيل بن شعيب؟، فهما وإن كانا في طبقة واحدة واشتركا في بعض من يرويان عنه ومن يروي عنهما إلّا أنّ ما يختلفان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الراوي عنهما ومن رويا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ولم يرد في علي بن السندي ما يدلّل على وثاقته بالخصوص، إلّا أنّه ورد في أسناد كتاب نوادر الحكمة</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صفوان فهو صفوان بن يحيى، وعلى هذا كلّه فالسند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أيضاً في التهذيب،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وهو أحمد بن محمد بن عيسى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علي بن أشيم فقد ذكره الشيخ في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أحمد بن أشيم، مجهول</w:t>
      </w:r>
      <w:r>
        <w:rPr>
          <w:rFonts w:eastAsia="IRNazanin" w:cs="IRNazanin"/>
          <w:color w:val="111111"/>
          <w:sz w:val="28"/>
          <w:szCs w:val="28"/>
          <w:rtl w:val="true"/>
          <w:lang w:bidi="fa-IR"/>
        </w:rPr>
        <w:t>»(</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يكون السند ضعيفاً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الكليني،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يحيی، وهو العطّار، والسند ضعيف، ولكن يمكن أن يصحّح بناء على قبول شهادة الكليني بصحّة ما في الكافي</w:t>
      </w:r>
      <w:r>
        <w:rPr>
          <w:rFonts w:eastAsia="IRNazanin" w:cs="IRNazanin"/>
          <w:color w:val="111111"/>
          <w:sz w:val="28"/>
          <w:szCs w:val="28"/>
          <w:rtl w:val="true"/>
          <w:lang w:bidi="fa-IR"/>
        </w:rPr>
        <w:t xml:space="preserve">. </w:t>
      </w:r>
      <w:bookmarkStart w:id="279" w:name="pg15724_204375"/>
    </w:p>
    <w:p>
      <w:pPr>
        <w:pStyle w:val="BookText"/>
        <w:rPr/>
      </w:pPr>
      <w:bookmarkEnd w:id="27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أَحْمَدَ بْنِ مُحَمَّدٍ،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وَذَكَرَ نَحْوَ حَدِيثِ صَفْوَانَ</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أَحَادِيثِ حَصْرِ النَّوَاقِضِ دَلَالَةٌ عَلَى مَضْمُونِ الْبَابِ، وَتَقَدَّمَ أَيْضاً مَا يَدُلُّ عَلَيْهِ، وَاللَّهُ أَعْلَمُ</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2418069_2142443653"/>
      <w:bookmarkStart w:id="281" w:name="_Toc104"/>
      <w:bookmarkEnd w:id="280"/>
      <w:r>
        <w:rPr>
          <w:rtl w:val="true"/>
        </w:rPr>
        <w:t>المتحصل من الأحادیث</w:t>
      </w:r>
      <w:bookmarkEnd w:id="2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متنه كمتن الحديث السابق فيدلّ على ما دلّ عليه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محمد بن يحيى العطّار، وهو غير موجود في المصدر، لكنّه لابدّ منه، وإلّا كان مرسلاً، فهذا السند معلّق على سابقه، وأحمد ابن محمد هو ابن عيسى الأشعري، وابن أبي نصر هو أحمد بن محمد بن أبي نصر البزنطي، فالسند صحيح</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أربعة أحاديث، أوّلهما صحيح بسنديه الأوّل والثاني، ومعتبر بسنده الثالث، وثانيها حسن بأسانيده الثلاثة، وثالثها معتبر بسنده الأوّل وضعيف بسنده الثاني والثالث، وإن كان يمكن تصحيح السند الثالث، ورابعها صحيح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استدخال الدواء وبقاءه في الجوف وطرحه بعد ذلك لا ينقض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الصلاة بالدواء المستدخل في الجوف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الناسور غير ناقض للوضوء مطلقاً، سال الدم منه أم لم يسل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الناقض الخارج من الطرفين محصور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والريح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خروج الصفرة والندی من المقعدة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الاستنجاء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ناقض للوضوء، والأمر بالرشّ إمّا لنجاسة الصفرة أو لدفع توهّم نجاستها</w:t>
      </w:r>
      <w:r>
        <w:rPr>
          <w:rFonts w:eastAsia="IRNazanin" w:cs="IRNazanin"/>
          <w:color w:val="111111"/>
          <w:sz w:val="28"/>
          <w:szCs w:val="28"/>
          <w:rtl w:val="true"/>
          <w:lang w:bidi="fa-IR"/>
        </w:rPr>
        <w:t>.</w:t>
      </w:r>
      <w:bookmarkStart w:id="282" w:name="pg15724_204377"/>
    </w:p>
    <w:p>
      <w:pPr>
        <w:pStyle w:val="Heading2"/>
        <w:numPr>
          <w:ilvl w:val="1"/>
          <w:numId w:val="1"/>
        </w:numPr>
        <w:rPr/>
      </w:pPr>
      <w:bookmarkStart w:id="283" w:name="__RefHeading___Toc12418071_2142443653"/>
      <w:bookmarkStart w:id="284" w:name="_Toc105"/>
      <w:bookmarkEnd w:id="282"/>
      <w:bookmarkEnd w:id="283"/>
      <w:r>
        <w:rPr/>
        <w:t>17</w:t>
      </w:r>
      <w:r>
        <w:rPr>
          <w:rtl w:val="true"/>
        </w:rPr>
        <w:t xml:space="preserve">- </w:t>
      </w:r>
      <w:r>
        <w:rPr>
          <w:rtl w:val="true"/>
        </w:rPr>
        <w:t xml:space="preserve">بَابُ أَنَّ قَتْلَ الْبَقَّةِ وَالْبُرْغُوثِ وَالْقَمْلَةِ وَالذُّبَابِ لَا يَنْقُضُ الْوُضُو ءَ وَكَذَا الْكَذِبُ عَلَى اللَّهِ وَعَلَى رَسُولِهِ وَعَلَى الْأَئِمَّةِ </w:t>
      </w:r>
      <w:r>
        <w:rPr>
          <w:rtl w:val="true"/>
        </w:rPr>
        <w:t>(</w:t>
      </w:r>
      <w:r>
        <w:rPr>
          <w:rtl w:val="true"/>
        </w:rPr>
        <w:t>علیهم السلام</w:t>
      </w:r>
      <w:r>
        <w:rPr>
          <w:rtl w:val="true"/>
        </w:rPr>
        <w:t>)</w:t>
      </w:r>
      <w:bookmarkEnd w:id="284"/>
    </w:p>
    <w:p>
      <w:pPr>
        <w:pStyle w:val="Heading3"/>
        <w:numPr>
          <w:ilvl w:val="2"/>
          <w:numId w:val="1"/>
        </w:numPr>
        <w:rPr/>
      </w:pPr>
      <w:bookmarkStart w:id="285" w:name="__RefHeading___Toc12418073_2142443653"/>
      <w:bookmarkStart w:id="286" w:name="_Toc106"/>
      <w:bookmarkEnd w:id="285"/>
      <w:r>
        <w:rPr>
          <w:rtl w:val="true"/>
        </w:rPr>
        <w:t>اشارة</w:t>
      </w:r>
      <w:bookmarkEnd w:id="28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قَتْلَ الْبَقَّةِ وَالْبُرْغُوثِ وَالْقَمْلَةِ وَالذُّبَابِ لَا يَنْقُضُ الْوُضُوءَ وَكَذَا الْكَذِبُ عَلَى اللَّهِ وَعَلَى رَسُولِهِ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2418075_2142443653"/>
      <w:bookmarkStart w:id="288" w:name="_Toc107"/>
      <w:bookmarkEnd w:id="287"/>
      <w:r>
        <w:rPr>
          <w:rtl w:val="true"/>
        </w:rPr>
        <w:t>شرح الباب</w:t>
      </w:r>
      <w:r>
        <w:rPr>
          <w:rtl w:val="true"/>
        </w:rPr>
        <w:t>:</w:t>
      </w:r>
      <w:bookmarkEnd w:id="288"/>
    </w:p>
    <w:p>
      <w:pPr>
        <w:pStyle w:val="BookText"/>
        <w:rPr/>
      </w:pPr>
      <w:r>
        <w:rPr>
          <w:rFonts w:ascii="Amiri" w:hAnsi="Amiri" w:eastAsia="Amiri" w:cs="Amiri"/>
          <w:color w:val="111111"/>
          <w:sz w:val="28"/>
          <w:sz w:val="28"/>
          <w:szCs w:val="28"/>
          <w:rtl w:val="true"/>
          <w:lang w:bidi="ar-SA"/>
        </w:rPr>
        <w:t>تضمّن عنوان الباب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المذكورات لا ينقض الوضوء، وهو المستفاد من الحديث الوحيد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الكذب على الله وعلى رسوله وعلى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موبقاً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لا ينقض الوضوء، وهو المستفاد من ظاهر أحاديث الباب الثاني من أبواب ما يمسك عنه الصائم</w:t>
      </w:r>
      <w:r>
        <w:rPr>
          <w:rFonts w:eastAsia="IRNazanin" w:cs="IRNazanin"/>
          <w:color w:val="111111"/>
          <w:sz w:val="28"/>
          <w:szCs w:val="28"/>
          <w:rtl w:val="true"/>
          <w:lang w:bidi="fa-IR"/>
        </w:rPr>
        <w:t>.</w:t>
      </w:r>
    </w:p>
    <w:p>
      <w:pPr>
        <w:pStyle w:val="Heading3"/>
        <w:numPr>
          <w:ilvl w:val="2"/>
          <w:numId w:val="1"/>
        </w:numPr>
        <w:rPr/>
      </w:pPr>
      <w:bookmarkStart w:id="289" w:name="__RefHeading___Toc12418077_2142443653"/>
      <w:bookmarkStart w:id="290" w:name="_Toc108"/>
      <w:bookmarkEnd w:id="289"/>
      <w:r>
        <w:rPr>
          <w:rtl w:val="true"/>
        </w:rPr>
        <w:t>الأقوال</w:t>
      </w:r>
      <w:r>
        <w:rPr>
          <w:rtl w:val="true"/>
        </w:rPr>
        <w:t>:</w:t>
      </w:r>
      <w:bookmarkEnd w:id="290"/>
    </w:p>
    <w:p>
      <w:pPr>
        <w:pStyle w:val="BookText"/>
        <w:rPr/>
      </w:pPr>
      <w:r>
        <w:rPr>
          <w:rFonts w:ascii="Amiri" w:hAnsi="Amiri" w:eastAsia="Amiri" w:cs="Amiri"/>
          <w:color w:val="111111"/>
          <w:sz w:val="28"/>
          <w:sz w:val="28"/>
          <w:szCs w:val="28"/>
          <w:rtl w:val="true"/>
          <w:lang w:bidi="ar-SA"/>
        </w:rPr>
        <w:t>لا خلاف عند الخاصّة في أنّ قتل المذكورات لا ينقض الوضوء، ولم نجد من العامّة قائلاً بالنقض بذلك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الكذب على الله ورسوله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يذهب أحد من الخاصّة إلى القول بنقضه، وحملوا ما دلّ بظاهره عليه على استحباب إعادة الوضوء، وعلى نقص ثوابه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بِإِسْنَادِهِ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الْبَقَّةَ وَالْبُرْغُوثَ وَالْقَمْلَةَ وَالذُّبَابَ فِي الصَّلَاةِ أَيَنْقُضُ صَلَاتَهُ وَوُضُوءَهُ؟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عَلِيِّ بْنِ إِبْرَاهِيمَ، عَنْ أَبِيهِ، عَنِ ابْنِ أَبِي عُمَيْرٍ، عَنْ حَمَّادٍ مِثْلَهُ</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حَصْرِ النَّوَاقِضِ السَّابِقَةُ دَالَّةٌ عَلَى جَمِيعِ مَضْمُونِ الْبَابِ</w:t>
      </w:r>
      <w:r>
        <w:rPr>
          <w:rFonts w:eastAsia="Amiri" w:cs="Amiri" w:ascii="Amiri" w:hAnsi="Amiri"/>
          <w:color w:val="111111"/>
          <w:sz w:val="28"/>
          <w:szCs w:val="28"/>
          <w:rtl w:val="true"/>
          <w:lang w:bidi="ar-SA"/>
        </w:rPr>
        <w:t>(</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فِي كِتَابِ الصَّوْمِ إِنْ شَاءَ اللَّهُ مَا ظَاهِرُهُ انْتِقَاضُ الْوُضُوءِ بِالْكَذِبِ عَلَى اللَّهِ وَعَلَى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الشَّيْخَ حَمَلَهُ عَلَى الِاسْتِحْبَابِ وَعَلَى نَقْصِ الثَّوَابِ</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البعوضة، والجمع البق</w:t>
      </w:r>
      <w:r>
        <w:rPr>
          <w:rFonts w:eastAsia="Amiri" w:cs="Amiri" w:ascii="Amiri" w:hAnsi="Amiri"/>
          <w:color w:val="111111"/>
          <w:sz w:val="28"/>
          <w:szCs w:val="28"/>
          <w:rtl w:val="true"/>
          <w:lang w:bidi="ar-SA"/>
        </w:rPr>
        <w:t>(</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 الدَّارِجُ في حِيطان البيوت،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دُوَيْبَة مثل القملة حمراء منتنة الريح تكون في السُّرُر والجُدُر، وهي التي يقال لها بنات الحصير إذا قتلتها شَممت لها رائحة اللَّوْز المُرّ</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البرغوث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حشرة وثّابة عضوض</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القَمْل، وهي حشرة صغيرة مؤذية تتغذّی علی الدم وتكون في شعر الإنسان أو الحيوان أو ريش الطيور،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تتولّد من العرق والوسخ إذا أصاب ثوباً أو بدناً أو ريشاً أو شعراً حين يصير المكان عفناً</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الذُّبَابُ كغراب معروف، وجمعه في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وفي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الذال، والواحدة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تقل ذبّانة، وأصله من الذَّبِّ وهو الطرد</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 على أنّ قتل البقّة والبرغوث والقملة والذّباب حال الصلاة لا ينقض الوضوء ولا يقطع الصلاة، والأحاديث الحاصرة للنواقض تدلّ على عدم ناقضيّة ما عداها، كما أنّ الفعل القليل غير الماحي لصورة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كقتل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قواطعها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الصدوق في الفقيه، والمراد بحمّاد هو حمّاد بن عثمان وسند الصدوق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سعد بن عبد الله، والحميري جميعاً، عن يعقوب بن يزيد، عن محمد بن أبي عمير، عن حمّاد بن عثمان</w:t>
      </w:r>
      <w:r>
        <w:rPr>
          <w:rFonts w:eastAsia="Amiri" w:cs="Amiri" w:ascii="Amiri" w:hAnsi="Amiri"/>
          <w:color w:val="111111"/>
          <w:sz w:val="28"/>
          <w:szCs w:val="28"/>
          <w:rtl w:val="true"/>
          <w:lang w:bidi="ar-SA"/>
        </w:rPr>
        <w:t>(</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صحيح</w:t>
      </w:r>
      <w:r>
        <w:rPr>
          <w:rFonts w:eastAsia="Amiri" w:cs="Amiri" w:ascii="Amiri" w:hAnsi="Amiri"/>
          <w:color w:val="111111"/>
          <w:sz w:val="28"/>
          <w:szCs w:val="28"/>
          <w:rtl w:val="true"/>
          <w:lang w:bidi="ar-SA"/>
        </w:rPr>
        <w:t xml:space="preserve">. </w:t>
      </w:r>
      <w:bookmarkStart w:id="291" w:name="pg15724_204380"/>
    </w:p>
    <w:p>
      <w:pPr>
        <w:pStyle w:val="BookText"/>
        <w:rPr/>
      </w:pPr>
      <w:bookmarkEnd w:id="291"/>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في الكافي، وهو معتبر</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2418079_2142443653"/>
      <w:bookmarkStart w:id="293" w:name="_Toc109"/>
      <w:bookmarkEnd w:id="292"/>
      <w:r>
        <w:rPr>
          <w:rtl w:val="true"/>
        </w:rPr>
        <w:t>المتحصل من الأحادیث</w:t>
      </w:r>
      <w:bookmarkEnd w:id="293"/>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حديثاً واحداً صحيحاً بسنده الأوّل، ومعتبراً بسنده الثاني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البقّة والبرغوث والقملة والذّباب حال الصلاة لا ينقض الوضوء ولا يقطع الصلاة</w:t>
      </w:r>
      <w:r>
        <w:rPr>
          <w:rFonts w:eastAsia="Amiri" w:cs="Amiri" w:ascii="Amiri" w:hAnsi="Amiri"/>
          <w:color w:val="111111"/>
          <w:sz w:val="28"/>
          <w:szCs w:val="28"/>
          <w:rtl w:val="true"/>
          <w:lang w:bidi="ar-SA"/>
        </w:rPr>
        <w:t xml:space="preserve">. </w:t>
      </w:r>
      <w:bookmarkStart w:id="294" w:name="pg15724_204381"/>
    </w:p>
    <w:p>
      <w:pPr>
        <w:pStyle w:val="Heading2"/>
        <w:numPr>
          <w:ilvl w:val="1"/>
          <w:numId w:val="1"/>
        </w:numPr>
        <w:rPr/>
      </w:pPr>
      <w:bookmarkStart w:id="295" w:name="__RefHeading___Toc12418081_2142443653"/>
      <w:bookmarkStart w:id="296" w:name="_Toc110"/>
      <w:bookmarkEnd w:id="294"/>
      <w:bookmarkEnd w:id="295"/>
      <w:r>
        <w:rPr/>
        <w:t>18</w:t>
      </w:r>
      <w:r>
        <w:rPr>
          <w:rtl w:val="true"/>
        </w:rPr>
        <w:t xml:space="preserve">- </w:t>
      </w:r>
      <w:r>
        <w:rPr>
          <w:rtl w:val="true"/>
        </w:rPr>
        <w:t>بَابُ عَدَمِ وُجُوبِ إِعَادَةِ الْوُضُو ءِ عَلَى مَنْ تَرَكَ الِاسْتِنْجَا ءَ وَتَوَضَّأَ وَصَلَّى وَوُجُوبِ إِعَادَةِ الصَّلَاةِ حِينَئِذٍ</w:t>
      </w:r>
      <w:bookmarkEnd w:id="296"/>
    </w:p>
    <w:p>
      <w:pPr>
        <w:pStyle w:val="Heading3"/>
        <w:numPr>
          <w:ilvl w:val="2"/>
          <w:numId w:val="1"/>
        </w:numPr>
        <w:rPr/>
      </w:pPr>
      <w:bookmarkStart w:id="297" w:name="__RefHeading___Toc12418083_2142443653"/>
      <w:bookmarkStart w:id="298" w:name="_Toc111"/>
      <w:bookmarkEnd w:id="297"/>
      <w:r>
        <w:rPr>
          <w:rtl w:val="true"/>
        </w:rPr>
        <w:t>اشارة</w:t>
      </w:r>
      <w:bookmarkEnd w:id="298"/>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إِعَادَةِ الْوُضُوءِ عَلَى مَنْ تَرَكَ الِاسْتِنْجَاءَ وَتَوَضَّأَ وَصَلَّى وَوُجُوبِ إِعَادَةِ الصَّلَاةِ حِينَئِذٍ</w:t>
      </w:r>
    </w:p>
    <w:p>
      <w:pPr>
        <w:pStyle w:val="Heading3"/>
        <w:numPr>
          <w:ilvl w:val="2"/>
          <w:numId w:val="1"/>
        </w:numPr>
        <w:rPr/>
      </w:pPr>
      <w:bookmarkStart w:id="299" w:name="__RefHeading___Toc12418085_2142443653"/>
      <w:bookmarkStart w:id="300" w:name="_Toc112"/>
      <w:bookmarkEnd w:id="299"/>
      <w:r>
        <w:rPr>
          <w:rtl w:val="true"/>
        </w:rPr>
        <w:t>شرح الباب</w:t>
      </w:r>
      <w:r>
        <w:rPr>
          <w:rtl w:val="true"/>
        </w:rPr>
        <w:t>:</w:t>
      </w:r>
      <w:bookmarkEnd w:id="300"/>
    </w:p>
    <w:p>
      <w:pPr>
        <w:pStyle w:val="BookText"/>
        <w:rPr/>
      </w:pPr>
      <w:r>
        <w:rPr>
          <w:rFonts w:ascii="Amiri" w:hAnsi="Amiri" w:eastAsia="Amiri" w:cs="Amiri"/>
          <w:color w:val="111111"/>
          <w:sz w:val="28"/>
          <w:sz w:val="28"/>
          <w:szCs w:val="28"/>
          <w:rtl w:val="true"/>
          <w:lang w:bidi="ar-SA"/>
        </w:rPr>
        <w:t>هذا الباب معقود لبيان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إعادة الوضوء على من ترك الاستنجاء وتوضأ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إعادة الصلاة على من ترك الاستنجاء وتوضّأ وصلّی</w:t>
      </w:r>
      <w:r>
        <w:rPr>
          <w:rFonts w:eastAsia="IRNazanin" w:cs="IRNazanin"/>
          <w:color w:val="111111"/>
          <w:sz w:val="28"/>
          <w:szCs w:val="28"/>
          <w:rtl w:val="true"/>
          <w:lang w:bidi="fa-IR"/>
        </w:rPr>
        <w:t>.</w:t>
      </w:r>
    </w:p>
    <w:p>
      <w:pPr>
        <w:pStyle w:val="Heading3"/>
        <w:numPr>
          <w:ilvl w:val="2"/>
          <w:numId w:val="1"/>
        </w:numPr>
        <w:rPr/>
      </w:pPr>
      <w:bookmarkStart w:id="301" w:name="__RefHeading___Toc12418087_2142443653"/>
      <w:bookmarkStart w:id="302" w:name="_Toc113"/>
      <w:bookmarkEnd w:id="301"/>
      <w:r>
        <w:rPr>
          <w:rtl w:val="true"/>
        </w:rPr>
        <w:t>أقوال الخاصّة</w:t>
      </w:r>
      <w:r>
        <w:rPr>
          <w:rtl w:val="true"/>
        </w:rPr>
        <w:t>:</w:t>
      </w:r>
      <w:bookmarkEnd w:id="30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الأمر الأوّل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المشهور نقلاً وتحصيلاً شهرة كادت تكون إجماعاً، بل هي كذلك عند التأمّل عدم وجوب إعادة الوضوء عند ترك الاستنجاء من غير فرق بين العمد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للمنقول عن الصدوق، فأوجب إعادة الوضوء، والمعروف في النقل عنه في خصوص نسيان غسل مخرج البول، لكن قد يظهر من المنقول من عبارة المقنع شموله للمخرجين، وعلى كلّ حال فالخلاف منحصر فيه، إذ لم أجد له موافقاً من المتقدّمين </w:t>
      </w:r>
      <w:bookmarkStart w:id="303" w:name="pg15724_204382"/>
    </w:p>
    <w:p>
      <w:pPr>
        <w:pStyle w:val="BookText"/>
        <w:rPr/>
      </w:pPr>
      <w:bookmarkEnd w:id="303"/>
      <w:r>
        <w:rPr>
          <w:rFonts w:ascii="Amiri" w:hAnsi="Amiri" w:eastAsia="Amiri" w:cs="Amiri"/>
          <w:color w:val="111111"/>
          <w:sz w:val="28"/>
          <w:sz w:val="28"/>
          <w:szCs w:val="28"/>
          <w:rtl w:val="true"/>
          <w:lang w:bidi="ar-SA"/>
        </w:rPr>
        <w:t>والمتأخّرين، فلعلّ خلافه غير قادح في الإجماع</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بالنسبة إلى الأمر الثاني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تطهير الظاهر من خروج الغائط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 أو البول وصلّی أعاد الصلاة عامداً كان أو ناسياً أو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المبسوط والمعتبر والنافع والمنتهی والمختلف والقواعد والدروس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فقد نسبه في المنتهى إلى أكثر علمائنا وفي المختلف إلى المشهور مع التصريح فيه بالإعادة في الوقت والخارج، وفي المدارك أنّ المسألة جزئيّة من جزئيّات من صلّى مع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ينقل الخلاف هنا في وجوب الإعادة وقتاً وخارجاً إلّا عن ظاهر ابن الجنيد، حيث خصّص الوجوب بالوقت، وعن الصدوق حيث نفى الإعادة في الوقت</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2418089_2142443653"/>
      <w:bookmarkStart w:id="305" w:name="_Toc114"/>
      <w:bookmarkEnd w:id="304"/>
      <w:r>
        <w:rPr>
          <w:rtl w:val="true"/>
        </w:rPr>
        <w:t>أقوال العامّة</w:t>
      </w:r>
      <w:r>
        <w:rPr>
          <w:rtl w:val="true"/>
        </w:rPr>
        <w:t>:</w:t>
      </w:r>
      <w:bookmarkEnd w:id="305"/>
    </w:p>
    <w:p>
      <w:pPr>
        <w:pStyle w:val="BookText"/>
        <w:rPr/>
      </w:pPr>
      <w:r>
        <w:rPr>
          <w:rFonts w:ascii="Amiri" w:hAnsi="Amiri" w:eastAsia="Amiri" w:cs="Amiri"/>
          <w:color w:val="111111"/>
          <w:sz w:val="28"/>
          <w:sz w:val="28"/>
          <w:szCs w:val="28"/>
          <w:rtl w:val="true"/>
          <w:lang w:bidi="ar-SA"/>
        </w:rPr>
        <w:t>أمّا بالنسبة إلى الأمر الأوّل فهم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بعدم صحّة الوضوء إذا سبق الاستنجاء، على رواية عند الحنابلة، بل اقتصر عليه صاحب كشّاف القناع، وقد نقل عن الشافعي في رواية، 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حقّ السليم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بصحّته، لأنّ الاستنجاء من سنن الوضوء قبله عند الحنفيّة والشافعيّة والرواية المعتمدة للحنابلة، فلو أخّره جاز وفاتته السنيّة، وهو مذهب الشافعي الذي استصوبه أتباعه في النقل عنه</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إلى الأمر الثاني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من النجاسة في بدن المصلّي وثوبه شرط لصحّة الصلاة في قول أكثر أهل العلم منهم ابن عبّاس وسعيد بن المسيّب وقتادة ومالك والشافعي وأصحاب الرأي، ويروى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ثوب جنابة، ونحوه عن أبي مجلز وسعيد بن جبير والنخعي، وقال الحارث العكلي وابن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ثوب إعادة، ورأى طاوس دماً كثيراً في ثوبه وهو في الصلاة فلم يباله، وسئل سعيد بن جبير عن الرجل يرى في ثوبه الأذى وقد 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عليَّ الآية التي فيها غسل الثياب</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أَحْمَدَ بْنِ مُحَمَّدِ بْنِ عِيسَى، عَنِ الْحَسَنِ بْنِ عَلِيِّ بْنِ يَقْطِينٍ، عَنْ أَخِيهِ الْحُسَيْنِ، عَنْ عَلِيِّ بْنِ يَقْطِينٍ،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يَبُولُ فَيَنْسَى غَسْلَ ذَكَرِهِ ثُمَّ يَتَوَضَّأُ وُضُوءَ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وَلَا يُعِيدُ الْوُضُوءَ</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عَنِ الْمُفِيدِ، عَنْ أَحْمَدَ بْنِ مُحَمَّدِ بْنِ الْحَسَنِ، عَنْ أَبِيهِ، عَنْ سَعْدِ بْنِ عَبْدِ اللَّهِ، عَنْ أَيُّوبَ بْنِ نُوحٍ، عَنْ مُحَمَّدِ بْنِ أَبِي حَمْزَةَ، عَنْ عَلِيِّ بْنِ يَقْطِينٍ نَحْوَهُ</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ترك الاستنجاء من البول نسياناً لا ينقض الوضوء، إلّا أنّ عليه أن يغسل ذكره لما يشترط فيه الطهارة من الخبث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الماتن الحديثَ بسندين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الكيني في الكافي، وقد تقدّمت أفراده، وهو صحيح</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الشيخ في التهذيبين، وقد سبق الكلام في طريق تصحيح روايات أحمد بن محمد بن الحسن عن أبيه محمد بن الحسن في الكتب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بمحمد بن أبي حمزة هو الثمالي الذي تقدّم توثيقه بعدّة توثيقات</w:t>
      </w:r>
      <w:r>
        <w:rPr>
          <w:rFonts w:eastAsia="Amiri" w:cs="Amiri" w:ascii="Amiri" w:hAnsi="Amiri"/>
          <w:color w:val="111111"/>
          <w:sz w:val="28"/>
          <w:szCs w:val="28"/>
          <w:rtl w:val="true"/>
          <w:lang w:bidi="ar-SA"/>
        </w:rPr>
        <w:t>(</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فالحديث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أَحْمَدَ، عَنِ ابْنِ فَضَّالٍ، عَنِ ابْنِ بُكَيْرٍ،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يَبُولُ وَيَنْسَى أَنْ يَغْسِلَ ذَكَرَهُ حَتَّى يَتَوَضَّأَ وَيُصَلِّيَ؟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وَيُعِيدُ الصَّلَاةَ وَلَا يُعِيدُ الْوُضُوءَ</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أنّ ترك الاستنجاء من البول نسياناً لا ينقض الوضوء، ولو كان التذكّر بعد الصلاة، لكن في تركه نسياناً إعادة الصلاة بعد أن يطهّر ذكره من النجاسة، والحديث وإن كان مورده نسيان الاستنجاء من البول إلا أنّه يشمل نسيان الاستنجاء من الغائط أيضاً، كما سيأتي في الباب العاشر من أبواب أحكام الخلوة، ومعنى هذا أنّ طهارة البدن من النجاسة شرط في صحة الصلاة، وربّما يُفهم من لفظ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في الوقت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التعبير المعهود في كلمات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فيوافق رأي ابن الجنيد، لكن 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ظاهره موافق للمشهور من الإعادة في الوقت وخارجه، إذ تخصيص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بالوقت من مصطلحات المتأخّرين</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محمد بن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هو ابن محمد بن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الأشعري، وابن فضّال هو الحسن بن علي، وابن بكير هو عبد الله بن بكير بن أعين، وقد تقدّم الكلام حولهم، والحديث وإن كان ضعيفاً بالإرسال إلّا أنّه يمكن تصحيحه علی مبنی قبول شهادة الكليني بصحّة ما في الكافي، أو لوجود عبد الله بن بكير وهو من أصحاب الإجماع فيصحّ ما صحّ عنه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الْحَسَنِ الصَّفَّارِ، عَنْ أَيُّوبَ بْنِ نُوحٍ،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أَبُولُ وَأَتَوَضَّأُ وَأَنْسَى اسْتِنْجَائِي ثُمَّ أَذْكُرُ بَعْدَ مَا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ذَكَرَكَ، وَأَعِدْ صَلَاتَكَ، وَلَا تُعِدْ وُضُوءَكَ</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أنّ إسناد الشيخ إلی محمد بن الحسن الصفّار إلی جميع كتبه ورواياته صحيح بطريق ومعتبر بآخر</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أبي نصر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أبي نصر واسمه زيد،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مولی السكون، ثم مولی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فرات الشَرعَبِيّ، ثقة، روی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أهل بيت له كتاب</w:t>
      </w:r>
      <w:r>
        <w:rPr>
          <w:rFonts w:eastAsia="IRNazanin" w:cs="IRNazanin"/>
          <w:color w:val="111111"/>
          <w:sz w:val="28"/>
          <w:szCs w:val="28"/>
          <w:rtl w:val="true"/>
          <w:lang w:bidi="fa-IR"/>
        </w:rPr>
        <w:t>»(</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المشايخ الثقات كما في هذا السند، وعلى هذا فالسند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الْحُسَيْنِ بْنِ سَعِيدٍ، عَنِ ابْنِ أَبِي عُمَيْرٍ،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مَرْيَمَ الْأَنْصَارِيُّ أَنَّ الْحَكَمَ بْنَ عُتَيْبَةَ بَالَ يَوْماً وَلَمْ يَغْسِلْ ذَكَرَهُ مُتَعَمِّداً فَذَكَرْتُ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عَلَيْهِ أَنْ يَغْسِلَ ذَكَرَهُ، وَيُعِيدَ صَلَاتَهُ، وَلَا يُعِيدُ وُضُوءَهُ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الحكم بن عتيبة، عُدّ في أصحاب علي بن الحسين زين العابدين، ومحمد الباقر،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وحدّث عنهم، وقد وردت روايات في ذمّه، وقال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شبهة في ذمّ الرجل، وانحرافه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لكنّه مع ذلك حكم الشيخ النوري بوثاقته في النقل؛ لرواية الأجلّة عنه، ولكنّك قد عرفت في ما تقدّم أنّه لا دلالة في ذلك، فالرجل لا يعتدُّ بروايته</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 الحديث على أنّ الترك العمدي للاستنجاء كالترك غير العمدي في الحكم، فهو لا ينقض الوضوء، وإنّما يوجب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إسناد الشيخ إلى الحسين بن سعيد صحيح بطريق ومعتبر بآخر إلى جميع كتبه ورواياته</w:t>
      </w:r>
      <w:r>
        <w:rPr>
          <w:rFonts w:eastAsia="Amiri" w:cs="Amiri" w:ascii="Amiri" w:hAnsi="Amiri"/>
          <w:color w:val="111111"/>
          <w:sz w:val="28"/>
          <w:szCs w:val="28"/>
          <w:rtl w:val="true"/>
          <w:lang w:bidi="ar-SA"/>
        </w:rPr>
        <w:t>(</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أذينة وهو عمر بن أذينة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أبو مريم الأنصاري فهو عبد الغفّار بن القاسم بن قيس بن قهد أو فهد، عدّه الشيخ في رجاله تارة في أصحاب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في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وثالثة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الغفّار بن القاسم بن قيس بن قيس بن قهْد أبو مريم الأنصاري، 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ويفهم منه أنّ كتابه مشهور، ووثّقه مرّة أخرى في ضمن ترجمته لأخيه عبد المؤمن</w:t>
      </w:r>
      <w:r>
        <w:rPr>
          <w:rFonts w:eastAsia="IRNazanin" w:cs="IRNazanin"/>
          <w:color w:val="111111"/>
          <w:sz w:val="28"/>
          <w:szCs w:val="28"/>
          <w:rtl w:val="true"/>
          <w:lang w:bidi="fa-IR"/>
        </w:rPr>
        <w:t>(</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سَعْدِ بْنِ عَبْدِ اللَّهِ، عَنْ أَحْمَدَ بْنِ مُحَمَّدٍ، عَنِ الْعَبَّاسِ بْنِ مَعْرُوفٍ، عَنْ عَلِيِّ بْنِ مَهْزِيَارَ، عَنْ عَلِيِّ بْنِ أَسْبَاطٍ</w:t>
      </w:r>
      <w:r>
        <w:rPr>
          <w:rFonts w:eastAsia="Amiri" w:cs="Amiri" w:ascii="Amiri" w:hAnsi="Amiri"/>
          <w:color w:val="111111"/>
          <w:sz w:val="28"/>
          <w:szCs w:val="28"/>
          <w:rtl w:val="true"/>
          <w:lang w:bidi="ar-SA"/>
        </w:rPr>
        <w:t>(</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يَحْيَى الْخَزَّازِ، عَنْ عَمْرِو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يَبُولُ فَيَنْسَى أَنْ يَغْسِلَ ذَكَرَهُ وَ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لَا يُعِيدُ وُضُوءَهُ</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أنّ ترك الاستنجاء من البول نسياناً لا ينقض الوضوء، إلّا أنّ عليه أن يطهّر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إسناد الشيخ إلى سعد بن عبد الله معتبر</w:t>
      </w:r>
      <w:r>
        <w:rPr>
          <w:rFonts w:eastAsia="Amiri" w:cs="Amiri" w:ascii="Amiri" w:hAnsi="Amiri"/>
          <w:color w:val="111111"/>
          <w:sz w:val="28"/>
          <w:szCs w:val="28"/>
          <w:rtl w:val="true"/>
          <w:lang w:bidi="ar-SA"/>
        </w:rPr>
        <w:t>(</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 أحمد بن محمد هو ابن عيسى الأشعري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محمد بن يحيى الخزّاز فقد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يحيى الخزّاز كوفي، روى عن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ثقة،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نوادر</w:t>
      </w:r>
      <w:r>
        <w:rPr>
          <w:rFonts w:eastAsia="IRNazanin" w:cs="IRNazanin"/>
          <w:color w:val="111111"/>
          <w:sz w:val="28"/>
          <w:szCs w:val="28"/>
          <w:rtl w:val="true"/>
          <w:lang w:bidi="fa-IR"/>
        </w:rPr>
        <w:t>»(</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أسناد كتاب نوادر الحكمة</w:t>
      </w:r>
      <w:r>
        <w:rPr>
          <w:rFonts w:eastAsia="Amiri" w:cs="Amiri" w:ascii="Amiri" w:hAnsi="Amiri"/>
          <w:color w:val="111111"/>
          <w:sz w:val="28"/>
          <w:szCs w:val="28"/>
          <w:rtl w:val="true"/>
          <w:lang w:bidi="ar-SA"/>
        </w:rPr>
        <w:t>(</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القسم الثاني من تفسير القمّي بعنوان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أنّه الخزّاز بقرينة روايته عن طلحة بن زيد فيكون ثقة عند مَن يعتبر شهادة القمي شاملة لكلا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الْحَسَنِ بْنِ عَلِيِّ بْنِ عَبْدِ اللَّهِ بْنِ الْمُغِيرَةِ، عَنِ الْعَبَّاسِ بْنِ عَامِرٍ الْقَصَبَانِيِّ، عَنِ الْمُثَنَّى الْحَنَّاطِ، عَنْ عَمْرِو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صَلَّيْتُ فَذَكَرْتُ أَنِّي لَمْ أَغْسِلْ ذَكَرِي بَعْدَ مَا صَلَّيْتُ أَفَأُعِيدُ؟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عَدَمِ إِعَادَةِ الْوُضُوءِ دُونَ الصَّلَاةِ، وَهُوَ جَيِّدٌ جِدّاً؛ لِمَا صَرَّحَ بِهِ هَذَا الرَّاوِي بِعَيْنِهِ سَابِقاً</w:t>
      </w:r>
      <w:r>
        <w:rPr>
          <w:rFonts w:eastAsia="Amiri" w:cs="Amiri" w:ascii="Amiri" w:hAnsi="Amiri"/>
          <w:color w:val="111111"/>
          <w:sz w:val="28"/>
          <w:szCs w:val="28"/>
          <w:rtl w:val="true"/>
          <w:lang w:bidi="ar-SA"/>
        </w:rPr>
        <w:t>(</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يَأْتِي</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بظاهره على عدم لزوم إعادة الصلاة التي نسي الاستنجاء قبلها، ولعلّ مَن خصّص وجوب إعادة الصلاة بالوقت، أو نفی إعادتها فيه استند إلى مثل هذا الحديث، وحملُ الشيخِ له على عدم إعادة الوضوء دون الصلاة بعيد؛ لأنّ السؤال كان عن الصلاة، فيكون هذا الحديث منافياً لما دلّ على لزوم إعادة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سعد بن عبد الله، والحسن بن علي بن عبد الله بن المغيرة هو الحسن بن علي الكوفي المتقدّم ذكره في الحديث الأوّل من الباب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من أبواب مقدّمات العبادات</w:t>
      </w:r>
      <w:r>
        <w:rPr>
          <w:rFonts w:eastAsia="IRNazanin" w:cs="IRNazanin"/>
          <w:color w:val="111111"/>
          <w:sz w:val="28"/>
          <w:szCs w:val="28"/>
          <w:rtl w:val="true"/>
          <w:lang w:bidi="fa-IR"/>
        </w:rPr>
        <w:t>(</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المثنّى الحنّاط فقد مرّ أنّه مشترك بين موثّقين</w:t>
      </w:r>
      <w:r>
        <w:rPr>
          <w:rFonts w:eastAsia="Amiri" w:cs="Amiri" w:ascii="Amiri" w:hAnsi="Amiri"/>
          <w:color w:val="111111"/>
          <w:sz w:val="28"/>
          <w:szCs w:val="28"/>
          <w:rtl w:val="true"/>
          <w:lang w:bidi="ar-SA"/>
        </w:rPr>
        <w:t>(</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يكون السند معتبراً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أَحْمَدَ بْنِ مُحَمَّدٍ، عَنْ أَبِيهِ</w:t>
      </w:r>
      <w:r>
        <w:rPr>
          <w:rFonts w:eastAsia="Amiri" w:cs="Amiri" w:ascii="Amiri" w:hAnsi="Amiri"/>
          <w:color w:val="111111"/>
          <w:sz w:val="28"/>
          <w:szCs w:val="28"/>
          <w:rtl w:val="true"/>
          <w:lang w:bidi="ar-SA"/>
        </w:rPr>
        <w:t>(</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بْنِ سَعِيدٍ، عَنْ مُحَمَّدِ بْنِ أَبِي عُمَيْرٍ،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تَوَضَّأْتُ يَوْماً وَلَمْ أَغْسِلْ ذَكَرِي ثُمَّ صَلَّيْتُ</w:t>
      </w:r>
      <w:r>
        <w:rPr>
          <w:rFonts w:eastAsia="Amiri" w:cs="Amiri" w:ascii="Amiri" w:hAnsi="Amiri"/>
          <w:color w:val="111111"/>
          <w:sz w:val="28"/>
          <w:szCs w:val="28"/>
          <w:rtl w:val="true"/>
          <w:lang w:bidi="ar-SA"/>
        </w:rPr>
        <w:t>(</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ذَكَرَكَ، وَأَعِدْ صَلَاتَكَ</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عَلِيِّ بْنِ إِبْرَاهِيمَ، عَنْ أَبِيهِ، عَنِ ابْنِ أَبِي عُمَيْرٍ مِثْلَهُ</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الْحُسَيْنِ بْنِ سَعِيدٍ مِثْلَهُ</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علی أنّ من ترك الاستنجاء فإنّ عليه إعادة الصلاة التي صلّاها من دونه، وليس عليه إعادة الوضوء؛ فإنّ الاقتصار علی ذكر حكم الصلاة يفيد أنّ الوضوء ليس مثلها في الحكم وإلّا لذكره، وترك الاستنجاء هنا كان للنسيان لا التعمّد، لورود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المصدر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الماتن الحديثَ بثلاثة أسانيد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التهذيبين، وهو ينحلّ إلى 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بإسناده عن سعد بن عبد الله عن أحمد بن محمد بن عيسى، عن أبيه محمد بن عيسى، عن محمد بن أبي عمير، عن عمر بن أذينة،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بإسناده عن سعد بن عبد الله عن أحمد بن محمد بن عيسى، عن الحسين بن سعيد، عن محمد بن أبي عمير، عن عمر بن أذينة،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والسندان 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في الكافي، وهو 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والسند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الشيخ في التهذيب عن الحسين بن سعيد، ولم أعثر عليه في المصدر بلفظ قريب من هذا اللفظ، إلّا أن يريد الحديث التاسع الآتي وهو ما رواه عن الحسين بن سعيد، عن صفوان، عن منصور بن حازم، عن سليمان بن خالد،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يتوضأ فينسی غسل ذكره،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يغسل ذكره ثم يعيد الوضوء</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والمضمون واحد؛ إذ إعادة الوضوء المصرّح بها هنا تُفهم من إعادة الصلاة في الحديث الذي هو محلّ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لو كان هو المراد فلم جاء به بعد أن أشار إليه؟ والتخريج الذي ذكره محقّقو هذه الطبعة من الوسائل اشتباه قطعاً، إذ خرّجوه من الكافي اعتماداً على عود الضمير في قول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وبإسناده عن الحسين بن سعيد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الكليني، مع أنّه يرجع إلی الشيخ، ومع ذلك فمضمون الحديث الذي أشاروا إليه مختلف تماماً مع هذا الحديث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فَضَالَةَ بْنِ أَيُّوبَ، عَنْ حُسَيْنِ بْنِ عُثْمَانَ، عَنْ سَمَاعَةَ بْنِ مِهْرَانَ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أَهْرَقْتَ الْمَاءَ وَنَسِيتَ أَنْ تَغْسِلَ ذَكَرَكَ حَتَّى صَلَّيْتَ فَعَلَيْكَ إِعَادَةُ الْوُضُوءِ وَغَسْلُ ذَكَرِكَ</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يَكُنْ قَدْ تَوَضَّأَ، فَأَمَّا إِذَا تَوَضَّأَ وَنَسِيَ غَسْلَ الذَّكَرِ لَا غَيْرُ فَلَا يَجِبُ عَلَيْهِ إِعَادَةُ الْوُضُوءِ، ثُمَّ اسْتَدَلَّ بِمَا تَقَدَّمَ</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يُرَادَ بِالْوُضُوءِ الِاسْتِنْجَاءُ؛ فَإِنَّهُ يُطْلَقُ عَلَيْهِ كَثِيراً فِي الْأَحَادِيثِ، وَيَكُونُ الْعَطْفُ تَفْسِيرِيّاً، وَيَحْتَمِلُ الْحَمْلُ عَلَى خُرُوجِ شَيْ ءٍ مِنَ الْبَوْلِ عِنْدَ الِاسْتِبْرَاءِ بَعْدَ الْوُضُوءِ؛ فَإِنَّهُ أَكْثَرِيٌّ 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بإهراق الماء هنا هو التبوّل، وقد دلّ الحديث علی أنّ من بال ونسي أن يغسل ذكره حتی صلّی فإنّ عليه أن يعيد الوضوء الذي توضّأه قبل الصلاة، وهذا منافٍ لما مرّ من الأحاديث الدالّة علی عدم إعادة الوضوء</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الشيخ له على ما إذا لم يكن قد توضّأ فإنّ عليه حينئذٍ الوضوء بعيد؛ لوجود طلب إعادة الوضوء، وهو لا يكون إلّا في ما هو متحقّق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في البعد حمل الماتن له على إرادة الاستنجاء من الوضوء، لوجود طلب إعادة الوضوء، ولا معنى لطلب إعادة الاستنجاء هنا؛ إذ الفرض أنّه ناسٍ للاستنجاء فيُطلَبُ الإتيان به لا إعادته، كما أنّ العطف التفسيري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على خروج شيء من البول عند الاستبراء بعد الوضوء، حيث إنّه أمر أكثري غالب أيضاً بعيد؛ لأنّه قد يقال بأنه غير أكثري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المتّجه الحمل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سعد بن عبد الله،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عثمان، وقد تقدّم أنّه مشترك بين ثلاثة كلّهم ثقات</w:t>
      </w:r>
      <w:r>
        <w:rPr>
          <w:rFonts w:eastAsia="Amiri" w:cs="Amiri" w:ascii="Amiri" w:hAnsi="Amiri"/>
          <w:color w:val="111111"/>
          <w:sz w:val="28"/>
          <w:szCs w:val="28"/>
          <w:rtl w:val="true"/>
          <w:lang w:bidi="ar-SA"/>
        </w:rPr>
        <w:t>(</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صَفْوَانَ، عَنْ مَنْصُورِ بْنِ حَازِمٍ، عَنْ سُلَيْمَانَ بْنِ خَالِدٍ</w:t>
      </w:r>
      <w:r>
        <w:rPr>
          <w:rFonts w:eastAsia="Amiri" w:cs="Amiri" w:ascii="Amiri" w:hAnsi="Amiri"/>
          <w:color w:val="111111"/>
          <w:sz w:val="28"/>
          <w:szCs w:val="28"/>
          <w:rtl w:val="true"/>
          <w:lang w:bidi="ar-SA"/>
        </w:rPr>
        <w:t>(</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يَتَوَضَّأُ فَيَنْسَى غَسْلَ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ثُمَّ يُعِيدُ الْوُضُوءَ</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الِاسْتِحْبَابِ، وَيَحْتَمِلُ الْحَمْلُ عَلَى التَّقِيَّةِ فِيهِ وَفِي الَّذِي قَبْلَهُ؛ لِمَا تَقَدَّمَ فِي مَسِّ الْفَرْجِ</w:t>
      </w:r>
      <w:r>
        <w:rPr>
          <w:rFonts w:eastAsia="Amiri" w:cs="Amiri" w:ascii="Amiri" w:hAnsi="Amiri"/>
          <w:color w:val="111111"/>
          <w:sz w:val="28"/>
          <w:szCs w:val="28"/>
          <w:rtl w:val="true"/>
          <w:lang w:bidi="ar-SA"/>
        </w:rPr>
        <w:t>(</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أَحَادِيثُ فِي هَذَا الْمَعْنَى فِي أَحْكَامِ الْخَلْوَةِ وَفِي النَّجَاسَاتِ إِنْ شَاءَ اللَّهُ</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فِي أَحَادِيثِ حَصْرِ النَّوَاقِضِ مَا يَدُلُّ عَلَى الْمَقْصُودِ</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متضمّن لمعنى الحديث السابق، بل هو أوضح منه، ولا تأتي فيه الوجوه الثلاثة المتقدّمة، فإنّ أكثريّة خروج شيء من البول عند الاستبراء قد عرفت ما فيه، ولفظ الإعادة يُبعد الحملين الأوّلين،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يغسل ذكره ثمّ يعيد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في أنّ المراد من الوضوء هو الوضوء الشرعي لا </w:t>
      </w:r>
      <w:bookmarkStart w:id="306" w:name="pg15724_204400"/>
    </w:p>
    <w:p>
      <w:pPr>
        <w:pStyle w:val="BookText"/>
        <w:rPr/>
      </w:pPr>
      <w:bookmarkEnd w:id="306"/>
      <w:r>
        <w:rPr>
          <w:rFonts w:ascii="Amiri" w:hAnsi="Amiri" w:eastAsia="Amiri" w:cs="Amiri"/>
          <w:color w:val="111111"/>
          <w:sz w:val="28"/>
          <w:sz w:val="28"/>
          <w:szCs w:val="28"/>
          <w:rtl w:val="true"/>
          <w:lang w:bidi="ar-SA"/>
        </w:rPr>
        <w:t>الاستنجاء، ولذا عطف بثمّ، نعم، يأتي في هذا الحديث ما تقدّم من الحمل 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يوجد حديث ثالث موافق لهما في المضمون يأتي في الباب العاشر من أبواب أحكام الخلوة وهو موثّق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دخلت الغائط فقضيت الحاجة فلم تهرق الماء ثم توضّأت ونسيت أن تستنجي فذكرت بعدما صلّيت فعليك الإعادة، وإن كنت أهرقت الماء فنسيت أن تغسل ذكرك حتّى صليت فعليك إعادة الوضوء والصلاة وغَسل ذكرك؛ لأنّ البول مثل البراز</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12418091_2142443653"/>
      <w:bookmarkStart w:id="308" w:name="_Toc115"/>
      <w:bookmarkEnd w:id="307"/>
      <w:r>
        <w:rPr>
          <w:rtl w:val="true"/>
        </w:rPr>
        <w:t>المتحصل من الأحادیث</w:t>
      </w:r>
      <w:bookmarkEnd w:id="308"/>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 سعد بن عبد الله،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وقد مضی توثيقه بأكثر من وجه</w:t>
      </w:r>
      <w:r>
        <w:rPr>
          <w:rFonts w:eastAsia="IRNazanin" w:cs="IRNazanin"/>
          <w:color w:val="111111"/>
          <w:sz w:val="28"/>
          <w:szCs w:val="28"/>
          <w:rtl w:val="true"/>
          <w:lang w:bidi="fa-IR"/>
        </w:rPr>
        <w:t>(</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تسعة أحاديث، أوّلها صحيح بسنده الأوّل ومعتبر بسنده الثاني، وثانيها ضعيف بالإرسال إلّا أنّه يمكن القول باعتباره، وثالثها ورابعها صحيحان، وسابعها صحيح بسنده الأوّل ومعتبر بسنده الآخر، وباقي الأحاديث معتبرة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الاستنجاء من البول نسياناً لا ينقض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ترك الاستنجاء من البول عليه أن يغسل ذكره لما يشترط فيه الطهارة من الخبث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الاستنجاء نسياناً يوجب إعادة الصلاة بعد تطهير الموضع من النجاسة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الترك العمدي للاستنجاء كالترك غير العمدي في الحكم، فهو لا ينقض الوضوء، وإنّما يوجب إعادة الصلاة، بعد غَسل الموضع</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5724_204403"/>
      <w:bookmarkStart w:id="310" w:name="pg15724_204403"/>
      <w:bookmarkEnd w:id="310"/>
    </w:p>
    <w:p>
      <w:pPr>
        <w:pStyle w:val="Heading2"/>
        <w:numPr>
          <w:ilvl w:val="1"/>
          <w:numId w:val="1"/>
        </w:numPr>
        <w:rPr/>
      </w:pPr>
      <w:bookmarkStart w:id="311" w:name="pg15724_204403"/>
      <w:bookmarkStart w:id="312" w:name="__RefHeading___Toc12418093_2142443653"/>
      <w:bookmarkStart w:id="313" w:name="_Toc116"/>
      <w:bookmarkEnd w:id="311"/>
      <w:bookmarkEnd w:id="312"/>
      <w:r>
        <w:rPr/>
        <w:t>19</w:t>
      </w:r>
      <w:r>
        <w:rPr>
          <w:rtl w:val="true"/>
        </w:rPr>
        <w:t xml:space="preserve">- </w:t>
      </w:r>
      <w:r>
        <w:rPr>
          <w:rtl w:val="true"/>
        </w:rPr>
        <w:t>بَابُ حُكْمِ صَاحِبِ السَّلَسِ وَالْبَطَنِ</w:t>
      </w:r>
      <w:bookmarkEnd w:id="313"/>
    </w:p>
    <w:p>
      <w:pPr>
        <w:pStyle w:val="Heading3"/>
        <w:numPr>
          <w:ilvl w:val="2"/>
          <w:numId w:val="1"/>
        </w:numPr>
        <w:rPr/>
      </w:pPr>
      <w:bookmarkStart w:id="314" w:name="__RefHeading___Toc12418095_2142443653"/>
      <w:bookmarkStart w:id="315" w:name="_Toc117"/>
      <w:bookmarkEnd w:id="314"/>
      <w:r>
        <w:rPr>
          <w:rtl w:val="true"/>
        </w:rPr>
        <w:t>اشارة</w:t>
      </w:r>
      <w:bookmarkEnd w:id="315"/>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حُكْمِ صَاحِبِ السَّلَسِ وَالْبَطَنِ</w:t>
      </w:r>
    </w:p>
    <w:p>
      <w:pPr>
        <w:pStyle w:val="Heading3"/>
        <w:numPr>
          <w:ilvl w:val="2"/>
          <w:numId w:val="1"/>
        </w:numPr>
        <w:rPr/>
      </w:pPr>
      <w:bookmarkStart w:id="316" w:name="__RefHeading___Toc12418097_2142443653"/>
      <w:bookmarkStart w:id="317" w:name="_Toc118"/>
      <w:bookmarkEnd w:id="316"/>
      <w:r>
        <w:rPr>
          <w:rtl w:val="true"/>
        </w:rPr>
        <w:t>شرح الباب</w:t>
      </w:r>
      <w:r>
        <w:rPr>
          <w:rtl w:val="true"/>
        </w:rPr>
        <w:t>:</w:t>
      </w:r>
      <w:bookmarkEnd w:id="317"/>
    </w:p>
    <w:p>
      <w:pPr>
        <w:pStyle w:val="BookText"/>
        <w:rPr/>
      </w:pPr>
      <w:r>
        <w:rPr>
          <w:rFonts w:ascii="Amiri" w:hAnsi="Amiri" w:eastAsia="Amiri" w:cs="Amiri"/>
          <w:color w:val="111111"/>
          <w:sz w:val="28"/>
          <w:sz w:val="28"/>
          <w:szCs w:val="28"/>
          <w:rtl w:val="true"/>
          <w:lang w:bidi="ar-SA"/>
        </w:rPr>
        <w:t>السلَس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للخارج من الإنسان، كسلَس البول وسلَس المذي وسلس الريح، قال الفيومي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سهل الخُلق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استرساله وعدم استمساكه لحدوث مرض بصاحبه وصاحبه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البَطْن، والمبطون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 البطن</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12418099_2142443653"/>
      <w:bookmarkStart w:id="319" w:name="_Toc119"/>
      <w:bookmarkEnd w:id="318"/>
      <w:r>
        <w:rPr>
          <w:rtl w:val="true"/>
        </w:rPr>
        <w:t>أقوال الخاصّة</w:t>
      </w:r>
      <w:r>
        <w:rPr>
          <w:rtl w:val="true"/>
        </w:rPr>
        <w:t>:</w:t>
      </w:r>
      <w:bookmarkEnd w:id="319"/>
    </w:p>
    <w:p>
      <w:pPr>
        <w:pStyle w:val="BookText"/>
        <w:rPr/>
      </w:pPr>
      <w:r>
        <w:rPr>
          <w:rFonts w:ascii="Amiri" w:hAnsi="Amiri" w:eastAsia="Amiri" w:cs="Amiri"/>
          <w:color w:val="111111"/>
          <w:sz w:val="28"/>
          <w:sz w:val="28"/>
          <w:szCs w:val="28"/>
          <w:rtl w:val="true"/>
          <w:lang w:bidi="ar-SA"/>
        </w:rPr>
        <w:t>يوجد عند الخاصّة قولان في المسلوس</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يتوضّأ لكلّ صلاة عندها، فلا يجمع بين صلاتين فما زاد بوضوء، وهذا القول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الأصحاب نقلاً وتحصيلاً، بل قد يظهر من الخلاف دعوى الإجماع عليه</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bookmarkStart w:id="320" w:name="pg15724_204404"/>
    </w:p>
    <w:p>
      <w:pPr>
        <w:pStyle w:val="BookText"/>
        <w:rPr/>
      </w:pPr>
      <w:bookmarkEnd w:id="320"/>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بوضوء واحد صلوات إلى أن يحدِثَ حدثاً آخر، كما عن المبسوط، ومال إليه بعض متأخّري المتأخّرين</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المبطون ففيه قولان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تجدّد حدث المبطون في الصلاة يتطهّر ويبني،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الوسيلة، ومحتمل النهاية، والمعتبر، والنافع، والمنتهى، والذكرى، والدروس، واللّمعة، والروضة، وغيرها من كتب متأخّري المتأخّرين، وعن الجامع والإصباح، بل هو المشهور نقلاً وتحصيلاً</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من يتمكّن من الصلاة مع الطهارة فإنّه يتطهّر ويستأنف الصلاة من جديد، ومن لا يتمكّن فيبني على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في المختلف والقواعد والإرشاد، وعن التذكرة ونهاية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يتمكّن من حفظ نفسه بمقدار الصلاة تطهّر واستأنف الصلاة من رأس، وإن لم يكن متمكّناً من ذلك بأن كان دائماً لا ينقطع بني على صلاته من غير تجديد في الأثناء كصاحب السلس</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12418101_2142443653"/>
      <w:bookmarkStart w:id="322" w:name="_Toc120"/>
      <w:bookmarkEnd w:id="321"/>
      <w:r>
        <w:rPr>
          <w:rtl w:val="true"/>
        </w:rPr>
        <w:t>أقوال العامّة</w:t>
      </w:r>
      <w:r>
        <w:rPr>
          <w:rtl w:val="true"/>
        </w:rPr>
        <w:t>:</w:t>
      </w:r>
      <w:bookmarkEnd w:id="32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المستحاضة ومن به سلس البول أو استطلاق البطن أو انفلات الريح أو رعاف دائم أو جرح لا يرقأ يتوضّؤون لوقت كلّ 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ويصلّون بذلك الوضوء في الوقت ما شاءوا من الفرائض والنوافل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ويبطل الوضوء عند خروج وقت المفروضة بالحدث السابق وهو الصحيح وهو قول أبي حنيفة، وقال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بدخول الوقت، وقال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الوضوء ما دام الوقت باقياً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يتوضّأ لعذره، وأن لا يطرأ عليه حدث آخر كخروج ريح أو سيلان دم من موضع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المالكيّة إلى أنّ السلس إن فارق أكثر الزمان ولازم أقلّه فإنّه ينقض الوضوء فإن لازم النصف وأولى الجل أو الكل فلا ينقض، هذا إذا لم يقدر علی رفعه، فإن قدر على رفعه فإنّه ينقض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وندب الوضوء عندهم إن لازم السلس أكثر الزمن وأولى نصفه لا إن عمّه فلا يندب، ومحلّ الندب في ملازمة الأكثر إن لم يشق، لا إن شقّ الوضوء ببرد ونحوه فلا يندب</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الشافعيّة ستّة شروط يختصّ بها من به حدث دائم كسلس واستحاضة،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 والعصب، والوضوء لكلّ فريضة بعد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وتجديد العصابة لكلّ فريضة، ونيّة الاستباحة على المذهب، والمبادرة إلى الصلاة في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ويتوضّأ لكل فرض ولو منذوراً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به ما شاء من النوافل فقط، وصلاة الجنازة لها حكم النافلة، ولو زال العذر وقتاً يسع الوضوء والصلاة كانقطاع الدم مثلاً وجب الوضوء وإزالة ما على الفرج من الدم ونحوه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والحنابلة في هذا كلّه كالشافعيّة إلّا في مسألة الوضوء لكلّ فرض فإنّهم ذهبوا إلى أنّ صاحب الحدث الدائم يتوضّأ لكلّ وقت، ويصلّي به ما شاء من الفرائض والنوافل كما ذكر الحنفيّة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متّفقون على وجوب تجديد الوضوء للمعذور، وقال المالكيّة باستحبابه كما سبق، والوضوء يكون بعد دخول الوقت عند الشافعيّةوالحنابلة</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وَمُحَمَّدُ بْنُ الْحَسَنِ بِإِسْنَادِهِمَا عَنْ حَرِيزِ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يَقْطُرُ مِنْهُ الْبَوْلُ وَالدَّمُ إِذَا كَانَ حِينَ الصَّلَاةِ اتَّخَذَ كِيساً وَجَعَلَ فِيهِ قُطْناً ثُمَّ عَلَّقَهُ عَلَيْهِ وَأَدْخَلَ ذَكَرَهُ فِيهِ ثُمَّ صَلَّى، يَجْمَعُ بَيْنَ الصَّلَاتَيْنِ الظُّهْرِ وَالْعَصْرِ يُؤَخِّرُ الظُّهْرَ وَيُعَجِّلُ الْعَصْرَ بِأَذَانٍ وَإِقَامَتَيْنِ، وَيُؤَخِّرُ الْمَغْرِبَ وَيُعَجِّلُ الْعِشَاءَ بِأَذَانٍ وَإِقَامَتَيْنِ، وَيَفْعَلُ ذَلِكَ فِي الصُّبْحِ</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الكِيس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أكياس الدراهم، وهو ما يخاط من خِرَقٍ مثل حِمْل وأحمال، وما يصنع من أديم وخِرَق فلا يقال له كيس، بل هو خريطة</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 الحديث على أنّ وظيفة من يقطر من ذكره البول أو الدم أن يتحفّظ أوّلاً عن انتشار النجاسة على الثوب والبدن بأن يتّخذ كيساً ويجعل فيه قطناً ويدخل فيه ذكره، ثمّ يصلّي يجمع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يؤخّر الظهر ويعجّل العصر بأذان وإقامتين، ويؤخّر المغرب ويعجّل العشاء بأذان وإقامتين، وقد قال جماعة في كيفيّة الجمع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يوقع صلاة الظهر في آخر فضيلتها ويوقع العصر في أوّل وقتها ليقع كلّ منهما في الفضيلة، وكذا يفعل في المغرب والعشاء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ويفعل ذلك في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أنّه يتّخذ الكيس عند إرادة أداء صلاة الصبح، أو أنّ المراد ذلك مع الوضوء، واحتمل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هذين الاحتمالين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جميع ما تقدّم، ويكون المراد بالجمع والتأخير والتعجيل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بين صلاة الليل وصلاة الصبح، فيؤخّر الأولى ويعجّل الثانية</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 أيضاً على كفاية وضوء واحد للصلاتين، فلا يلزم تجديد الوضوء كلّما تجدّد الحدث الخاص وهو الحدث الذي ابتُلي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الماتن بسندي الصدوق والشيخ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الصدوق فله ثلاث طرق إلى حريز في مشيخة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ذكره ضمن طريقه إلى زرارة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 الله بن جعفر الحميري، عن محمد بن عيسی بن عبيد، والحسن بن ظريف، وعلي بن إسماعيل بن عيسی كلّهم عن حمّاد بن عيسى عن حريز بن عبد الله، وهو طريقه أيضاً إلى حمّاد بن عيسی</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ومحمد بن الحسن رضي الله عنهما، عن سعد بن عبد الله والحميري ومحمد بن يحيى العطّار وأحمد بن إدريس، عن أحمد بن محمد بن عيسى، عن الحسين بن سعيد وعلي بن حديد وعبد الرحمن بن أبي نجران، عن حمّاد بن عيسى الجهني، عن حريز بن عبد الله السجستاني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ومحمد بن الحسن ومحمد بن موسی بن المتوكّل رضي الله عنهم، عن عبد الله بن جعفر الحميري، عن علي بن إسماعيل ومحمد بن عيسی ويعقوب بن يزيد والحسن بن ظريف، عن حمّاد بن عيسى، عن حريز بن عبد الله السجستاني</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من الطرق الثلاثة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طريقه إلى كتاب زكاة حريز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العبّاس بن معروف، عن إسماعيل بن سهل، عن حمّاد بن عيسى، عن حريز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حمّاد، عن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الشيخ فله إلى كتب وروايات حريز ثلاثة طرق،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بجميع كتبه ورواياته الشيخ أبو عبد الله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جعفر بن محمد بن قولويه، عن أبي القاسم جعفر بن محمد العلوي الموسوي، عن ابن نهيك، عن ابن أبي عمير، عن حمّاد، عن حريز</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القاسم جعفر بن محمد العلوي الشريف الصالح من مشايخ ابن قولويه، وابن نهيك هو عبيد الله بن أحمد بن نهيك أبو العبّاس النخعي، الشيخ الصدوق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الطريق معتبر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عدّة من أصحابنا، عن محمد بن علي بن الحسين، عن أبيه، عن سعد بن عبد الله وعبد الله بن جعفر ومحمد بن يحيى وأحمد بن إدريس وعلي بن موسی بن جعفر كلّهم، عن أحمد بن محمد، عن الحسين بن سعيد وعلي بن حديد وعبد الرحمان بن أبي نجران، عن حمّاد بن عيسی الجهني، عن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الطريق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الحسين بن عبيد الله، عن أبي محمد الحسن بن حمزة العلوي، عن علي بن إبراهيم، عن أبيه، عن حمّاد، عن حريز</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والحسن بن حمزة العلوي الطبري فاضل أديب عارف فقيه زاهد ورع، كثير المحاسن، له كتب وتصانيف كثيرة</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الطريق معتبر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عدَّ الصدوق في أوّل الفقيه كتاب حريز من الكتب المعتمدة المعوّل عليها، وعليه فهو غنيّ عن السند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عَبْدِ اللَّهِ بْنِ الْمُغِيرَةِ،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يَعْتَرِيهِ الْبَوْلُ وَلَا يَقْدِرُ عَلَى حَبْسِهِ؟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 عَلَى حَبْسِهِ فَاللَّهُ أَوْلَى بِالْعُذْرِ يَجْعَلُ خَرِيطَةً</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على لزوم جعل الخريطة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العفو عن النجاسة لولا ذلك، ويظهر من الاقتصار على ذكر الخريطة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يصنع من أديم وخِرَق 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الوضوء، فلا أثر لقطرات البول في إيجاب الوضوء لعجز المكلّف عن حبسها، ودلّ أيضاً علی أنّ صلاة المسلوس عذريّة، فتكون بدلاً عن الصلاة التامّة، وعليه لا تصل النوبة إلى هذه الوظيفة مع التمكّن من الصلاة الاختياريّة ولو في فترة من الوقت، سواء في أوّله أم في وسطه أم في آخره؛ لأنّ المطلوب صرف وجود الصلاة الاختياريّة في الوقت، ومع التمكّن منها لا تصل النوبة إلى الصلاة الاضطراريّة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الوضوء لغير التقطير من الأحداث أو للبول الاختياري؛ لأنّه حينئذٍ غير معذور، والعذر مخصوص بالتقطير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ويُفهم من إثبات أولويّة الله تعالی بالعذر أنّ ما تقدّم جارٍ في كلّ ما هو من قِبله تعالی، فالعلّة تعمّ الغائط والريح، وعليه يلزم جعل الخريطة ونحوها علی المبطون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 أفراده، وهو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عَنْ أَحْمَدَ بْنِ مُحَمَّدِ بْنِ أَبِي نَصْرٍ، عَنِ ابْنِ بُكَيْرٍ،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الْمَبْطُونِ؟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صَلَاتِهِ</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عَلِيِّ بْنِ مُحَمَّدٍ، عَنْ سَهْلِ بْنِ زِيَادٍ، عَنِ ابْنِ أَبِي نَصْرٍ، مِثْلَهُ</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صلاة المبطون عذريّة فتكون بدلاً عن الصلاة التامّة، ويحتمل في الحديث معنيان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البطن الغالب يتوضّأ قبل الصلاة ويصلّي ولا يعتني بما خرج منه، بل يبني علی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يتوضّأ ويصلّي فإذا خرج منه الغائط في أثناء صلاته يتوضّأ ثم يبني علی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هو الاحتمال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إسناد الشيخ إلی أحمد بن محمد بن عيسی معتبر</w:t>
      </w:r>
      <w:r>
        <w:rPr>
          <w:rFonts w:eastAsia="IRNazanin" w:cs="IRNazanin"/>
          <w:color w:val="111111"/>
          <w:sz w:val="28"/>
          <w:szCs w:val="28"/>
          <w:rtl w:val="true"/>
          <w:lang w:bidi="fa-IR"/>
        </w:rPr>
        <w:t>(</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بكير هو عبد الله بن بكير،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الْعَيَّاشِيِّ أَبِي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نُصَيْرٍ، عَنْ مُحَمَّدِ بْنِ الْحُسَيْنِ، عَنْ جَعْفَرِ بْنِ بَشِيرٍ، عَنْ عَبْدِ اللَّهِ بْنِ بُكَيْرٍ،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الْبَطَنِ الْغَالِبِ يَتَوَضَّأُ ثُمَّ يَرْجِعُ</w:t>
      </w:r>
      <w:r>
        <w:rPr>
          <w:rFonts w:eastAsia="Amiri" w:cs="Amiri" w:ascii="Amiri" w:hAnsi="Amiri"/>
          <w:color w:val="111111"/>
          <w:sz w:val="28"/>
          <w:szCs w:val="28"/>
          <w:rtl w:val="true"/>
          <w:lang w:bidi="ar-SA"/>
        </w:rPr>
        <w:t>(</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فَيُتِمُّ مَا بَقِيَ</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في أنّ صاحب البطن الغالب يتوضّأ ويصلّي فإذا خرج منه الغائط في أثناء صلاته يتوضّأ ثمّ يبني علی صلاته، ودلّ علی أن التوضّؤ أثناء الصلاة لا يُعدّ من الفعل الكثير الماحي لصورة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سند الشيخ إلى محمد بن مسعود العيّاشي في الحديث الثاني عشر من الباب التاسع من أبواب نواقض الوضوء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بأبي المفضّل وبجعفر بن محمد بن مسعود العيّاشي، لكن يُصحّح بأنّ للشيخ طريقاً صحيحاً إلى مصنَّفات ومرويّات الكشّي</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 قال عنه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نصير، من أهل </w:t>
      </w:r>
    </w:p>
    <w:p>
      <w:pPr>
        <w:pStyle w:val="BookText"/>
        <w:rPr/>
      </w:pPr>
      <w:r>
        <w:rPr>
          <w:rFonts w:ascii="Amiri" w:hAnsi="Amiri" w:eastAsia="Amiri" w:cs="Amiri"/>
          <w:color w:val="111111"/>
          <w:sz w:val="28"/>
          <w:sz w:val="28"/>
          <w:szCs w:val="28"/>
          <w:rtl w:val="true"/>
          <w:lang w:bidi="ar-SA"/>
        </w:rPr>
        <w:t>كش، ثقة جليل القدر كثير العلم، روى عنه أبو عمرو الكشّي</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وهو محمد بن الحسين 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مُحَمَّدِ بْنِ نُصَيْرٍ، عَنْ مُحَمَّدِ بْنِ عِيسَى،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تَقْطِيرِ الْبَوْلِ؟ قَالَ يَجْعَلُ خَرِيطَةً إِذَا صَلَّى</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بيانه عند شرح معتبر منصور بن حازم في الحديث الثاني من هذا الباب</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العيّاشي، ومحمد بن عيسى هو ابن عبيد، وحمّاد هو ابن عثمان، والحلبي، هو عبيد الله بن علي الحلبي، كما تقدّم بيانه</w:t>
      </w:r>
      <w:r>
        <w:rPr>
          <w:rFonts w:eastAsia="Amiri" w:cs="Amiri" w:ascii="Amiri" w:hAnsi="Amiri"/>
          <w:color w:val="111111"/>
          <w:sz w:val="28"/>
          <w:szCs w:val="28"/>
          <w:rtl w:val="true"/>
          <w:lang w:bidi="ar-SA"/>
        </w:rPr>
        <w:t>(</w:t>
      </w:r>
      <w:r>
        <w:rPr>
          <w:rStyle w:val="FootnoteAnchor"/>
          <w:rtl w:val="true"/>
        </w:rPr>
        <w:footnoteReference w:id="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في الباب السابع من هذه الأبواب موثّق سماعة</w:t>
      </w:r>
      <w:r>
        <w:rPr>
          <w:rFonts w:eastAsia="Amiri" w:cs="Amiri" w:ascii="Amiri" w:hAnsi="Amiri"/>
          <w:color w:val="111111"/>
          <w:sz w:val="28"/>
          <w:szCs w:val="28"/>
          <w:rtl w:val="true"/>
          <w:lang w:bidi="ar-SA"/>
        </w:rPr>
        <w:t>(</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أخذه تقطير من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دم، وإمّا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فليضع خريطة، وليتوضّأ </w:t>
      </w:r>
    </w:p>
    <w:p>
      <w:pPr>
        <w:pStyle w:val="BookText"/>
        <w:rPr/>
      </w:pPr>
      <w:r>
        <w:rPr>
          <w:rFonts w:ascii="Amiri" w:hAnsi="Amiri" w:eastAsia="Amiri" w:cs="Amiri"/>
          <w:color w:val="111111"/>
          <w:sz w:val="28"/>
          <w:sz w:val="28"/>
          <w:szCs w:val="28"/>
          <w:rtl w:val="true"/>
          <w:lang w:bidi="ar-SA"/>
        </w:rPr>
        <w:t>وليصلّ، فإنَّما ذلك بلاء ابتلي به، فلا يعيدنَّ إلّا من الحدث الذي يتوضّأ منه</w:t>
      </w:r>
      <w:r>
        <w:rPr>
          <w:rFonts w:eastAsia="Amiri" w:cs="Amiri" w:ascii="Amiri" w:hAnsi="Amiri"/>
          <w:color w:val="111111"/>
          <w:sz w:val="28"/>
          <w:szCs w:val="28"/>
          <w:rtl w:val="true"/>
          <w:lang w:bidi="ar-SA"/>
        </w:rPr>
        <w:t>(</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فرجه هي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على أنّ المسلوس لا يعيد وضوءه، وأنّ الحدث الخاص وهو تقطير البول الحاصل منه ليس بحدث في حقّه، وأنّه بلاء ابتلي به من قبل الله سبحانه، وهو غير مستند إلى اختياره فلا يجب عليه إعادة الوضوء في أثناء صلاته، إلّا أن يصدر منه حدث آخر موجب للوضوء مغاير له كإخراج الريح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تعمّم الحكم إلى غير مورد الحديث أيضاً؛ لأنَّها تدلّ على أنّ كلّ حدث غير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بلاء من قبل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يعاد منه الوضوء، وإنّما يعاد من الحدث الاختياري المتعارف، وهو كما يشمل السلس يشمل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ويوجد حديث آخر لم يذكره الماتن، وهو ما رواه الصدوق في الفقيه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البطن الغالب يتوضأ ويبني على صلاته</w:t>
      </w:r>
      <w:r>
        <w:rPr>
          <w:rFonts w:eastAsia="IRNazanin" w:cs="IRNazanin"/>
          <w:color w:val="111111"/>
          <w:sz w:val="28"/>
          <w:szCs w:val="28"/>
          <w:rtl w:val="true"/>
          <w:lang w:bidi="fa-IR"/>
        </w:rPr>
        <w:t>(</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يرجع في صلاته فيتمّ ما بقي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مضى أنّ طريق الصدوق إلى كتب وروايات محمد بن مسلم ضعيف؛ لعدم توثيق أحمد بن عبد الله بن أحمد بن أبي عبد الله، وأنّه يمكن تصحيحه بطريق الشيخ الصدوق الصحيح إلى جميع كتب وروايات أحمد بن أبي عبد الله بواسطة شيخه محمد بن الحسن وسعد بن عبد الله حيث إنّ </w:t>
      </w:r>
      <w:bookmarkStart w:id="323" w:name="pg15724_204417"/>
    </w:p>
    <w:p>
      <w:pPr>
        <w:pStyle w:val="BookText"/>
        <w:rPr/>
      </w:pPr>
      <w:bookmarkEnd w:id="323"/>
      <w:r>
        <w:rPr>
          <w:rFonts w:ascii="Amiri" w:hAnsi="Amiri" w:eastAsia="Amiri" w:cs="Amiri"/>
          <w:color w:val="111111"/>
          <w:sz w:val="28"/>
          <w:sz w:val="28"/>
          <w:szCs w:val="28"/>
          <w:rtl w:val="true"/>
          <w:lang w:bidi="ar-SA"/>
        </w:rPr>
        <w:t>الصدوق يروي جميع كتبهما ورواياتهما</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يمكن تصحيحه من جهة ما يظهر من طريق الشيخ إلى جميع كتب وروايات أحمد بن محمد بن خالد البرقي؛ فإنّ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عن محمد بن الحسن بن الوليد، عن سعد بن عبد الله، عن أحمد بن أبي عبد الله بجميع كتبه ورواياته</w:t>
      </w:r>
      <w:r>
        <w:rPr>
          <w:rFonts w:eastAsia="Amiri" w:cs="Amiri" w:ascii="Amiri" w:hAnsi="Amiri"/>
          <w:color w:val="111111"/>
          <w:sz w:val="28"/>
          <w:szCs w:val="28"/>
          <w:rtl w:val="true"/>
          <w:lang w:bidi="ar-SA"/>
        </w:rPr>
        <w:t>(</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طريق 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تكون الأحاديث الواردة في المسلوس والمبطون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في المسلوس، وثلاثة في المبطون</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2418103_2142443653"/>
      <w:bookmarkStart w:id="325" w:name="_Toc121"/>
      <w:bookmarkEnd w:id="324"/>
      <w:r>
        <w:rPr>
          <w:rtl w:val="true"/>
        </w:rPr>
        <w:t>المتحصل من الأحادیث</w:t>
      </w:r>
      <w:bookmarkEnd w:id="325"/>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خمسة أحاديث، أوّلها صحيح بأسانيد الصدوق الثلاثة، ومعتبر بسندي الشيخ الأوّل والثالث، وصحيح بسنده الثاني كما ذكرنا، وبقيّة أحاديث الباب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أضفنا إلى أحاديث الباب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موثّق سماعة في المسلوس، وثانيهما معتبر محمد بن مسلم في المبطون، فصار مجموع أحاديث الباب سبعة</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2418105_2142443653"/>
      <w:bookmarkStart w:id="327" w:name="_Toc122"/>
      <w:bookmarkEnd w:id="326"/>
      <w:r>
        <w:rPr>
          <w:rtl w:val="true"/>
        </w:rPr>
        <w:t>تتميم في حكم دائم الحدث</w:t>
      </w:r>
      <w:r>
        <w:rPr>
          <w:rtl w:val="true"/>
        </w:rPr>
        <w:t>:</w:t>
      </w:r>
      <w:bookmarkEnd w:id="327"/>
    </w:p>
    <w:p>
      <w:pPr>
        <w:pStyle w:val="BookText"/>
        <w:rPr/>
      </w:pPr>
      <w:r>
        <w:rPr>
          <w:rFonts w:ascii="Amiri" w:hAnsi="Amiri" w:eastAsia="Amiri" w:cs="Amiri"/>
          <w:color w:val="111111"/>
          <w:sz w:val="28"/>
          <w:sz w:val="28"/>
          <w:szCs w:val="28"/>
          <w:rtl w:val="true"/>
          <w:lang w:bidi="ar-SA"/>
        </w:rPr>
        <w:t>مَن استمرّ به الحدث يختلف حكمه باختلاف الصور الآتية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يجد فترة في جزء من الوقت يمكنه أن يأتي فيها بالصلاة من دون أن يتجدّد صدور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الاقتصار على واجباتها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هذه الصورة يجب ذلك، ويلزمه التأخير سواء كانت الفترة في أوّل الوقت أو في وسطه أو في آخره، فلا يجوز له الإتيان بالصلاة في غير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وجود طائفتين من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اشتراط الصلاة بالطهارة وأنّه لا صلاة إلا بطهور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ناقضيّة البول والغائط ونحوهما للوضوء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يمكن رفع اليد عن إطلاق الأولى؛ لأنّه لو جاز أن يصلّي المسلوس والمبطون من غير طهارة للزم تجويز الصلاة مع أحداث اختياريّة أخرى كإخراج الريح مثلاً؛ لأنّهما محدثان والمحدث لا يحدث ثانياً، مع أنّه لا يمكن الالتزام بصحّة صلاتهما حينئذٍ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اليد عن الطائفة الثانية وإن كان ممكناً إذا وجد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هو أحاديث هذا الباب فتكون مقيّدة للإطلاقات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عدم إمكان تقييدها لها؛ لأنّها مخصوصة بصورة عدم إمكان الصلاة بالطهارة، وصلاة المسلوس والمبطون عذريّة بدلاً عن التامّة المأمور بها، والفرض أنّه يمكنه الصلاة التامّة بطهارة، فيجب ذلك، ولذا كان ما نُسب إلى المحقق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الصلاة في كل وقت أراده ولو مع الحدث</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بعيداً لما ذكرناه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وجبت عليه المبادرة لكون الفترة في أوّل الوقت فأخّرها إلى آخر الوقت عصی لكن صلاته صحيحة؛ لأنّها لا تسقط؛ لشمول إطلاقات أحاديث </w:t>
      </w:r>
    </w:p>
    <w:p>
      <w:pPr>
        <w:pStyle w:val="BookText"/>
        <w:rPr/>
      </w:pPr>
      <w:r>
        <w:rPr>
          <w:rFonts w:ascii="Amiri" w:hAnsi="Amiri" w:eastAsia="Amiri" w:cs="Amiri"/>
          <w:color w:val="111111"/>
          <w:sz w:val="28"/>
          <w:sz w:val="28"/>
          <w:szCs w:val="28"/>
          <w:rtl w:val="true"/>
          <w:lang w:bidi="ar-SA"/>
        </w:rPr>
        <w:t>الباب لها، فيكون لها بدل وهو الصلاة مع التحفّظ عن انتشار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يجد فترة يمكنه أن يأتي فيها بالصلاة مع الطهارة إلا أنّ صدور الحدث لا يزيد على مرّتين أو ثلاثة أو أزيد بما لا مشقّة في التوضّؤ في أثناء الصلاة والبناء فوظيفته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والاشتغال بالصلاة بعد أن يضع الماء إلى جنبه فإذا خرج منه شيء توضّأ بلا مهلة وبنی على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ويتمّ الكلام فيها بالبحث حول مقتضى القاعدة ومقتضى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مقتضى القاعدة فإنّه يوجد إطلاقان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الصلاة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الطهارة حتى في الأكوان المتخلّلة، وهو الإطلاق المستفاد من أدلّة القواطع من الاستدبار والحدث ونحوهما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رفعنا اليد عن الإطلاق الثاني في المسلوس والمبطون بمقتضی أحاديث الباب الدالّة على أنّ الحدث غير قاطع في حقّهما وإلّا لسقطت عنهما الصلاة؛ لعدم تمكّنهما من الصلاة التامّة المأمور بها، ويبقى الإطلاق الأوّل على حاله، فلا وجه لرفع اليد عنه في سائر أفعال الصلاة، فعليه تحصيل الطهارة لها إذا أحدث في أثنائها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مقتضى القاعدة هو عدم اعتبار الطهارة في المسلوس والمبطون مع لزوم تحصيلها لسائر الأفعال إذا أحدثا في أثنائها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التوضّؤ في أثناء الصلاة ماحيا لصورتها، فإنّه وإن ادّعي، إلّا أنّه لا يرجع إلى محصّل، فقد ورد ما هو أكثر منه كما في أخذ المرأة الطفل ووضعه </w:t>
      </w:r>
    </w:p>
    <w:p>
      <w:pPr>
        <w:pStyle w:val="BookText"/>
        <w:rPr/>
      </w:pPr>
      <w:r>
        <w:rPr>
          <w:rFonts w:ascii="IRNazanin" w:hAnsi="IRNazanin" w:eastAsia="IRNazanin"/>
          <w:color w:val="111111"/>
          <w:sz w:val="28"/>
          <w:sz w:val="28"/>
          <w:szCs w:val="28"/>
          <w:rtl w:val="true"/>
          <w:lang w:bidi="fa-IR"/>
        </w:rPr>
        <w:t>في حجرها وثديها في فمه حتی يشبع وهو غير موجب لبطلان الصلاة بعد كونه فعلاً لأجل الصلاة، نعم الفعل الكثير الأجنبي عن الصلاة هو الذي ارتكز في أذهان المتشرّعة بطلان الصلاة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بالنسبة إلى مقتضى النصوص فيستفاد بالنظر البدوي من موثّق سماعة لزوم وضوء واحد بعد جعل الخريطة ثمّ الصلاة؛ حيث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فليضع خريطة، وليتوضّأ وليصلِّ</w:t>
      </w:r>
      <w:r>
        <w:rPr>
          <w:rFonts w:eastAsia="Amiri" w:cs="Amiri" w:ascii="Amiri" w:hAnsi="Amiri"/>
          <w:color w:val="111111"/>
          <w:sz w:val="28"/>
          <w:szCs w:val="28"/>
          <w:rtl w:val="true"/>
          <w:lang w:bidi="ar-SA"/>
        </w:rPr>
        <w:t>»(</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 حريز الوارد فيه الجمع بين الصلاتين</w:t>
      </w:r>
      <w:r>
        <w:rPr>
          <w:rFonts w:eastAsia="Amiri" w:cs="Amiri" w:ascii="Amiri" w:hAnsi="Amiri"/>
          <w:color w:val="111111"/>
          <w:sz w:val="28"/>
          <w:szCs w:val="28"/>
          <w:rtl w:val="true"/>
          <w:lang w:bidi="ar-SA"/>
        </w:rPr>
        <w:t>(</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بوضوء واحد بعد جعل الخريطة، وإن أمكن أن يقال بأنه مخالف لموثّق سماعة حيث دلّ على لزوم الوضوء لو أراد أن يصلّي صلاةً بعد الجمع بين الظهرين أو 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القبال دلّت النصوص الواردة في المبطون على لزوم تجديد الوضوء كما في الحديث الرابع من هذا الباب وهو معتبر محمد بن مسلم</w:t>
      </w:r>
      <w:r>
        <w:rPr>
          <w:rFonts w:eastAsia="Amiri" w:cs="Amiri" w:ascii="Amiri" w:hAnsi="Amiri"/>
          <w:color w:val="111111"/>
          <w:sz w:val="28"/>
          <w:szCs w:val="28"/>
          <w:rtl w:val="true"/>
          <w:lang w:bidi="ar-SA"/>
        </w:rPr>
        <w:t>(</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 ثمّ يرجع في صلاته فيتمّ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الجمع بين الطائفتين بالقول بلزوم تجديد الوضوء، فيرتفع 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النظر الدقيق يقتضي غير هذا، وتفصيله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موثّق سماعة تظهر منه ثلاثة أمور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خريطة ويتوضّأ ويصلي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يختصّ بالمسلوس؛ لعموم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إعادة الوضوء إلّا بحدث آخر موجبٍ للوضوء غير البول أو بالبول الاختياري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يظهر من بعضهم من عدم شمول الموثّق للبول، لأنّ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أخذه تقطير من فرجه إمّا دم، وإمّا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بظاهره أنّ ما يخرج من الفرج إمّا دم أو غير الدم، وغير الدم قد يراد به المذي أو الوذي أو ما يترشّح من القرح أو الجرح، والقرينة على ذلك ما في الجواب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يعيدنَّ إلّا من الحدث الذي يتوضّأ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منه البول والغائط الاختياريّين، فلا يكون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للسيد الأستاذ</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البول؛ إذ لا معنی للسؤال عن المذي والوذي؛ لأنّ الصلاة لا تبطل بخروجهما، ولو كانا مرادين لكان المناسب في الجواب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طاهر أو نجس، وأمّا الجواب بأنّه بلاء، وأنّه لا يوجب الوضوء إلّا الحدث المتعارف من البول والغائط المتعارفين فهو قرينة على أنّ المراد به هو البول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يظهر أنّ موثق سماعة تامّ الدلالة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نقول إنّ صحيح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الحديث الأوّل 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الأمر الثالث المستفاد من الموثّق؛ إذ دلّ على الجمع بين الصلاتين، ولابدّ من إعادة الوضوء بعد أن يأتي بهما، فلو أراد أن يصلّي بعد الظهرين مثلاً </w:t>
      </w:r>
    </w:p>
    <w:p>
      <w:pPr>
        <w:pStyle w:val="BookText"/>
        <w:rPr/>
      </w:pPr>
      <w:r>
        <w:rPr>
          <w:rFonts w:ascii="Amiri" w:hAnsi="Amiri" w:eastAsia="Amiri" w:cs="Amiri"/>
          <w:color w:val="111111"/>
          <w:sz w:val="28"/>
          <w:sz w:val="28"/>
          <w:szCs w:val="28"/>
          <w:rtl w:val="true"/>
          <w:lang w:bidi="ar-SA"/>
        </w:rPr>
        <w:t>لاحتاج إلى وضوء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نصوص المبطون لدلالتها على لزوم تجديد الوضوء، وهذا منافٍ لموثّق سماعة الدال على أنّ بول المسلوس غير موجب للانتقاض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معتبر حريز ليس فيه تجديد الوضوء، بل اقتصر علی بيان الجمع بين الصلاتين، فيستفاد العفو عن النجاسة بمقدار الصلاتين، وأمّا الوضوء فهو باقٍ، ولابدّ من تطهير البدن بعد الصلاتين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نصوص المبطون فإنّ معتبر محمد بن مسلم الذي لم يذكره الماتن جاء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البطن الغالب يتوضّأ ويبني على صلاته</w:t>
      </w:r>
      <w:r>
        <w:rPr>
          <w:rFonts w:eastAsia="Amiri" w:cs="Amiri" w:ascii="Amiri" w:hAnsi="Amiri"/>
          <w:color w:val="111111"/>
          <w:sz w:val="28"/>
          <w:szCs w:val="28"/>
          <w:rtl w:val="true"/>
          <w:lang w:bidi="ar-SA"/>
        </w:rPr>
        <w:t>»(</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البطن الغالب يتوضّأ قبل الصلاة ويصلّي ولا يعتني بما خرج منه، بل يبني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يتوضّأ ويصلّي فإذا خرج منه الغائط في أثناء صلاته يتوضّأ ثمّ يبني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الحديث الثالث من الباب</w:t>
      </w:r>
      <w:r>
        <w:rPr>
          <w:rStyle w:val="FootnoteAnchor"/>
          <w:rtl w:val="true"/>
        </w:rPr>
        <w:footnoteReference w:id="884"/>
      </w: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على صلاته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الحديث الرابع منه 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 ثمّ يرجع في صلاته فيتمّ 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منه أنّه يتوضّأ في أثناء الصلاة ويبني على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فينافي الثالث، بل </w:t>
      </w:r>
    </w:p>
    <w:p>
      <w:pPr>
        <w:pStyle w:val="BookText"/>
        <w:rPr/>
      </w:pPr>
      <w:r>
        <w:rPr>
          <w:rFonts w:ascii="Amiri" w:hAnsi="Amiri" w:eastAsia="Amiri" w:cs="Amiri"/>
          <w:color w:val="111111"/>
          <w:sz w:val="28"/>
          <w:sz w:val="28"/>
          <w:szCs w:val="28"/>
          <w:rtl w:val="true"/>
          <w:lang w:bidi="ar-SA"/>
        </w:rPr>
        <w:t>وينافي موثّق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بعضهم بالتفصيل بين المسلوس والمبطون، فللأوّل وضوء واحد،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أنّا نقول بأنّ موثّق سماعة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المسلوس والمبطون، ولا يبعد حمل الحديث الرابع على الاستحباب؛ لأنّ موثّق سماعة صريح في الدلالة على عدم وجوب الإعادة،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يعيدنَّ إلّا من الحدث الذي يتوضّأ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ومفاده أقوى من ظهور الأمر في الوجوب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ثمّ يرجع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يُحمل على استحباب تجديد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المسلوس والمبطون يكفيهما وضوء واحد للصلاتين اللتين جمعاها في زمان، بل لما بعدهما من الصلوات، ويكون هذا تخصيصاً في أدلّة ناقضيّة البول والغائط بأحاديث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يستحبّ لهما تجديد الوضوء حال الصلاة كلّما تجدّد خروج البول أو الغائط بما لا يكون حرجيّاً عليهما، لكن عليهما تبديل القطن وتطهير البدن والثياب من النجاسة لكلّ صلاتين؛ لأنّا إنّما رفعنا اليد عن مانعيّة نجاسة البدن والثياب بمقدار الصلاتين بمقتضی صحيح حريز المتقدّم لا أزيد منه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يجد فترة يمكنه أن يأتي فيها بالصلاة مع الطهارة أيضاً، وصدور الحدث منه كثير بحيث يشقّ عليه التوضّؤ في أثناء الصلاة والبناء بعد كلّ حدث، ويكون في ذلك عسر أو حرج، فهنا يتوضّأ مرّة واحدة ويصلّي به أيَّ صلاة شاءها، ولا ينتقض إلّا بالحدث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بنينا </w:t>
      </w:r>
    </w:p>
    <w:p>
      <w:pPr>
        <w:pStyle w:val="BookText"/>
        <w:rPr/>
      </w:pPr>
      <w:r>
        <w:rPr>
          <w:rFonts w:ascii="Amiri" w:hAnsi="Amiri" w:eastAsia="Amiri" w:cs="Amiri"/>
          <w:color w:val="111111"/>
          <w:sz w:val="28"/>
          <w:sz w:val="28"/>
          <w:szCs w:val="28"/>
          <w:rtl w:val="true"/>
          <w:lang w:bidi="ar-SA"/>
        </w:rPr>
        <w:t xml:space="preserve">عليه من أنّ الوضوء في المسلوس والمبطون لا ينتقض بالبول والغائط بوجه، وإنَّما يتوضّآن مرّة واحدة، وهو يكفي لجميع صلواتهما، ولا يجب عليهما الوضوء في أثناء صلاتهما، بل هذه الصورة أولى من سابقتها؛ لأنّ ما ذُكر هي الوظيفة في حال عدم العسر والحرج، فهي معهما 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قول المشهور من السقوط للحرج أو يسقط بتحقّق الحرج فلابدّ من التطهير والوضوء إلى أن يتحقّق الحرج وحينئذٍ يسقط عنه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المشهور أنّ الوظيفة تسقط عنه مطلقاً سواء تحقّق الحرج أم كان المورد حرجيّاً، 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السيدين الحكيم والأستاذ</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Style w:val="FootnoteAnchor"/>
          <w:rtl w:val="true"/>
        </w:rPr>
        <w:footnoteReference w:id="8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بلابديّة التفصيل على قول المشهور، فتسقط الوظيفة بعد تحقّق الحرج لا قبله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يجد فترة يمكنه أن يأتي فيها بالصلاة مع الطهارة أيضاً، وصدور الحدث منه مستمر بلا انقطاع، وهذا يكفيه وضوء واحد لجميع صلواته، وله أن يصلّي صلوات عديدة بوضوء واحد، وهو بحكم المتطهّر إلى أن يطرأ عليه حدث آخر من نوم أو نحوه أو يخرج منه البول أو الغائط الاختياريّان، والسبب فيه هو ما ذكرناه في الصورة الثانية من كفاية الوضوء للمسلوس قبل الصلاة وعدم وجوب تجديد الوضوء عليه، بل هذه الصورة أولى من تلك الصورة</w:t>
      </w:r>
      <w:r>
        <w:rPr>
          <w:rFonts w:eastAsia="Amiri" w:cs="Amiri" w:ascii="Amiri" w:hAnsi="Amiri"/>
          <w:color w:val="111111"/>
          <w:sz w:val="28"/>
          <w:szCs w:val="28"/>
          <w:rtl w:val="true"/>
          <w:lang w:bidi="ar-SA"/>
        </w:rPr>
        <w:t xml:space="preserve">. </w:t>
      </w:r>
      <w:bookmarkStart w:id="328" w:name="pg15724_204425"/>
    </w:p>
    <w:p>
      <w:pPr>
        <w:pStyle w:val="Heading3"/>
        <w:numPr>
          <w:ilvl w:val="2"/>
          <w:numId w:val="1"/>
        </w:numPr>
        <w:rPr/>
      </w:pPr>
      <w:bookmarkStart w:id="329" w:name="__RefHeading___Toc12418107_2142443653"/>
      <w:bookmarkStart w:id="330" w:name="_Toc123"/>
      <w:bookmarkEnd w:id="328"/>
      <w:bookmarkEnd w:id="329"/>
      <w:r>
        <w:rPr>
          <w:rtl w:val="true"/>
        </w:rPr>
        <w:t>ثلاثة فروع حول المسلوس و المبطون</w:t>
      </w:r>
      <w:r>
        <w:rPr>
          <w:rtl w:val="true"/>
        </w:rPr>
        <w:t>:</w:t>
      </w:r>
      <w:bookmarkEnd w:id="330"/>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على المسلوس والمبطون المبادرة إلى الصلاة بعد الوضوء بلا مهلة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المشهور هو وجوب المبادرة عليهما، وذهب جماعة منهم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وجوبها مطلقاً</w:t>
      </w:r>
      <w:r>
        <w:rPr>
          <w:rFonts w:eastAsia="Amiri" w:cs="Amiri" w:ascii="Amiri" w:hAnsi="Amiri"/>
          <w:color w:val="111111"/>
          <w:sz w:val="28"/>
          <w:szCs w:val="28"/>
          <w:rtl w:val="true"/>
          <w:lang w:bidi="ar-SA"/>
        </w:rPr>
        <w:t>(</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بعضهم بين الصورة الثانية والثالثة على تأمّل، ولا يجب البدار في الصورة الرابعة كما يظهر من السيد الحكيم</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عدم وجوب المبادرة فوجهه ما تقدّم مِنَّا من التمسّك في وظيفتهما بموثّق سماعة الذي هو الأصل في هذه المسألة، وقد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فليضع خريطة، وليتوضّأ وليصلّ، فإنَّما ذلك بلاء ابتلي به، فلا يعيدنَّ إلّا من الحدث الذي يتوضأ منه</w:t>
      </w:r>
      <w:r>
        <w:rPr>
          <w:rFonts w:eastAsia="Amiri" w:cs="Amiri" w:ascii="Amiri" w:hAnsi="Amiri"/>
          <w:color w:val="111111"/>
          <w:sz w:val="28"/>
          <w:szCs w:val="28"/>
          <w:rtl w:val="true"/>
          <w:lang w:bidi="ar-SA"/>
        </w:rPr>
        <w:t>»(</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يخرج منه بعد أن يتوضّأ وجوباً لا يوجب نقض الوضوء وهو بحكم العدم، بل الوضوء باقٍ إلى أن يحدِث بحدث اختياري، فلا تجب عليه المبادرة مطلقاً، وأمّا في الصورة الأولى فقد فرض فيها التمكّن من الطهارة والصلاة، ولا وجه لوجوب المبادرة فيها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وجوب 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لزوم التحفّظ على الطهارة بقدر الإمكان، فإذا تمكن من الحفاظ ولو على أوّل جزء من الصلاة وجب ذلك، ويتحقّق التمكّن المذكور بالمبادرة إليها فتجب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ولكن ناقش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 التعميم لجميع الصور حتى على قولهم، وقال بأنّ لزوم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بالصورة الثالثة فقط، وأمّا الصورة الأولى فبما أنّ المكلف يجب عليه حينئذ ايقاع الصلاة مع الطهارة في الوقت الذي يتمكّن منهما فيه فلا مجال لايجاب المبادرة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الصورة الثانية؛ لأنّه وإن وجب عليه الوضوء قبل الصلاة وفي أثنائها إذا حدث حدث إلا أنّه إذا توضأ قبل الصلاة لا تجب عليه المبادرة إليها لعدم الدليل على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أحدث قبل الصلاة وجب عليه إعادة الوضوء كما يجب عليه إذا أحدث أثناءها، وأمّا المبادرة فلا وجوب لها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منهما الصورة الرابعة، حيث إنّه بعد رفع اليد فيها عن دليل الاشتراط والقاطعية والانتقاض لا يكون حدثه موجباً للطهارة حينئذ، أو أنّ حدثه ليس بحدث ناقض أو لا يجب عليه الوضوء، ومعه كيف تجب عليه المبادرة إلى الصلاة؟</w:t>
      </w:r>
    </w:p>
    <w:p>
      <w:pPr>
        <w:pStyle w:val="BookText"/>
        <w:rPr/>
      </w:pPr>
      <w:r>
        <w:rPr>
          <w:rFonts w:ascii="Amiri" w:hAnsi="Amiri" w:eastAsia="Amiri" w:cs="Amiri"/>
          <w:color w:val="111111"/>
          <w:sz w:val="28"/>
          <w:sz w:val="28"/>
          <w:szCs w:val="28"/>
          <w:rtl w:val="true"/>
          <w:lang w:bidi="ar-SA"/>
        </w:rPr>
        <w:t>نعم، في الصورة الثالثة يمكن القول بوجوب المبادرة؛ لأنّ وظيفة المكلف تحصيل الطهارة في أوّل الصلاة من دون تجديدها في أثنائها، فالمكلف يتمكّن فيها من ايقاع أوّل جزء من صلاته مع الطهارة فيجب عليه ذلك بالمبادرة إليها، ولا يسوغ له تفويت التمكّن من هذا المقدار من الصلاة</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 السيد الأستاذ في الصورة الثالثة، وأمّا في </w:t>
      </w:r>
    </w:p>
    <w:p>
      <w:pPr>
        <w:pStyle w:val="BookText"/>
        <w:rPr/>
      </w:pPr>
      <w:r>
        <w:rPr>
          <w:rFonts w:ascii="Amiri" w:hAnsi="Amiri" w:eastAsia="Amiri" w:cs="Amiri"/>
          <w:color w:val="111111"/>
          <w:sz w:val="28"/>
          <w:sz w:val="28"/>
          <w:szCs w:val="28"/>
          <w:rtl w:val="true"/>
          <w:lang w:bidi="ar-SA"/>
        </w:rPr>
        <w:t>الصورة الثانية فذهب إلى إمكان القول بوجوب البدار عليهما على تأمّل؛ لأنّ في البدار تقليلاً لتكرار الحدث</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الظاهر وجوب البدار في جميع الصور،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في الصورة الأولى وإن كان يمكنه الإتيان بالصلاة مع الطهارة في فترةٍ، إلا أنّه حيث يُحتمل خروج البول مثلاً ولو في الجزء الأخير من الصلاة يجب عليه البدار، إلا أن يطمئن أو يعلم بوجود الفترة الكافية لإيقاع الصلاة مع الطهارة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في الصورة الثانية فإنّه إذا أحدث قبل الصلاة وجب عليه إعادة الوضوء كما يجب عليه ذلك إذا أحدث أثناءها علی المشهور، هذا من جهة الطهارة من الحدث لكن الأمر مختلف من جهة الطهارة من الخبث، فإنّ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اختار أنّه لا يجب عليه تطهير المحل من النجاسة قبل الصلاة عند الجمع بين الصلاتين، إلا أنّ الأحوط عند المشهور وجوب التطهير، فإذا لم يبادر إلى الصلاة أمكن خروج البول مثلاً قبلها، فحتى على ما ذهب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لزوم تطهير محل النجاسة يلزم التحفّظ عن النجاسة الجديدة لكونها نجاسة زائدة فيجب البدار إلى الصلاة للتحفّظ عن النجاسة الزائدة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الثالثة فالمكلّف يتمكّن فيها من ايقاع أوّل جزء من صلاته مع الطهارة الحدثيّة فيجب عليه ذلك بالمبادرة إليها، وكذا الكلام في إيقاعها مع الطهارة من الخبث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الصورة الرابعة فمع أنّ الحدث مستمرّ به، ولا يمكنه التحفّظ عن الحدث والخبث، إلا أنّه على القول بلزوم تقليل النجاسة يجب البدار، كما في الصلاة بثوبين نجسين فإنّه يطرح أحدهما تقليلاً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القول بوجوب البدار في جميع الصور بناء على 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عليهما الوضوء لقضاء التشهد والسجدة المنسيّين وصلاة الاحتياط، والنوافل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بالنسبة إلى السجدة والتشهد المنسيّين وصلاة الاحتياط فعلی ما اخترنا يكتفي بوضوئه للصلاة، لكون السجدة والتشهد المقضيّين من أجزاء الصلاة فلهما حكم الصلاة، وأمّا على ما اختاره صاحب العروة فيتمّ هذا في الصورة الثالثة دون غيرها، وتفصيل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الصورة الأولى فمن الواضح أنّ عليه الإتيان بالصلاة مع الطهارة، والأجزاء المنسيّة هي من جملة الصلاة، فلأجل أنّه متمكّن من الصلاة مع الطهارة في جزء من الوقت فيجب عليه الإتيان بالصلاة وأجزائها المنسيّة في ذلك الزمان، لكون تلك الأجزاء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 فيجب عليه تجديد الوضوء لقضاء الأجزاء المنسيّة؛ لأنّ حدوث الحدث في الأثناء يوجب الوضوء بعده؛ وإذا حدث حدث بين صلاته والأجزاء المنسيّة وجب الوضوء بعده؛ لارتفاع الطهارة السابقة بالحدث</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الصورة الرابعة فإنّ الطهارة فيها لا تنتقض بالحدث غير الاختياري، </w:t>
      </w:r>
    </w:p>
    <w:p>
      <w:pPr>
        <w:pStyle w:val="BookText"/>
        <w:rPr/>
      </w:pPr>
      <w:r>
        <w:rPr>
          <w:rFonts w:ascii="Amiri" w:hAnsi="Amiri" w:eastAsia="Amiri" w:cs="Amiri"/>
          <w:color w:val="111111"/>
          <w:sz w:val="28"/>
          <w:sz w:val="28"/>
          <w:szCs w:val="28"/>
          <w:rtl w:val="true"/>
          <w:lang w:bidi="ar-SA"/>
        </w:rPr>
        <w:t>وله أن يأتي بالأجزاء المنسيّة من غير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فتختص المسألة بالصورة الثالثة، وفيها لا حاجة لتجديد الوضوء لأجل قضاء الأجزاء المنسيّة؛ لكونها من الصلاة، لا أنّها واجب مستقل حتى يعتبر فيها الطهارة أو عدم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لا يجب الوضوء أثناء الصلاة كذلك لا يجب لقضاء الأجزاء؛ لأنّها من جملة أجزاء الصلاة يؤتى بها مع مخالفة الترتيب والمحل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صلاة الاحتياط فإن كانت متمّمة للصلاة الناقصة في الواقع، فحالها حال أجزاء الصلاة نفسها، بل هي عين أجزاء الصلاة، والفرق بينهما أنّ أجزاء الصلاة متّصلة بخلاف صلاة الاحتياط فإنّها منفصلة، وما دام لا يجب الوضوء عن الحدث في أثناء الأجزاء الصلاتية فكذا لا يجب في صلاة الاحتياط أيضاً؛ لأنَّها هي أجزاء الصلاة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صلاة الاحتياط واجباً مستقلّاً غير جابر لنقص الصلاة لكونها تامّة في الواقع لم يجب الوضوء لها؛ لأنّ الفرض أنّه إذا لم يتوضّأ لها وأتى بها فاسدة لم يضرّ بصحة صلاته التي أتى بها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النوافل فلا يكفيها وضوء فريضتها، بل يشترط الوضوء لكلّ ركعتين منها؛ لأنّ عدم انتقاض الوضوء بالحدث مخصوص بما إذا كانا أثناء الصلاة الواحدة، وأمّا بعده فدليل الانتقاض يقتضي البطلان بالحدث فيجب عليهما الوضوء لبقيّة الصلوات المستحبة أو الفرائض هذا هو القول المشهور </w:t>
      </w:r>
    </w:p>
    <w:p>
      <w:pPr>
        <w:pStyle w:val="BookText"/>
        <w:rPr/>
      </w:pPr>
      <w:r>
        <w:rPr>
          <w:rFonts w:ascii="Amiri" w:hAnsi="Amiri" w:eastAsia="Amiri" w:cs="Amiri"/>
          <w:color w:val="111111"/>
          <w:sz w:val="28"/>
          <w:sz w:val="28"/>
          <w:szCs w:val="28"/>
          <w:rtl w:val="true"/>
          <w:lang w:bidi="ar-SA"/>
        </w:rPr>
        <w:t>الذي ذكره صاحب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ما اخترناه فلا يلزم الوضوء لها لعدم انتقاض طهارتهما بالحدث غير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المسلوس التحفّظ من تعدّي بوله بكيس فيه قطن أو نحوه والأحوط غسل الحشفة قبل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الكيس فلا يلزم تطهيره وإن كان أحوط، والمبطون أيضاً إن أمكن تحفّظه بما يناسب يجب، كما أنّ الأحوط تطهير المحل أيضاً إن أمكن من غير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 هذا الفرع على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التحفّظ من تعدّي البول على المسلوس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الأحوط غسل الحشفة قبل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تطهير 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فلاعتبار طهارة البدن والثياب في الصلاة فلا يجوز تنجيسهما فيها، ما عدا مقدار الخريطة أو الكيس</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فلأنّه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خريطة إذا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التحفّظ عن تعدّي النجاسة، وهي إمّا من قبيل المحمول المتنجّس وهو غير موجب لبطلان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إنّه من الملبوس الذي لا تتمّ فيه الصلاة، ونجاسة ما لا يتم فيه الصلاة من الثياب معفوّ عنها كما في الجورب والقلنسوة ونحوهما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فهو محلّ الخلاف، فعن صاحب العروة أنّ الأحوط وجوباً غسل الحشفة قبل كل صلاة، 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وجوب التطهير؛ لاعتبار طهارة البدن واللباس في الصلاة إلّا ما خرج بدليل، ولم يرد في النصوص عدم وجوب التطهير قبل الصلاة صراحة، والموجود فيها هو جعل الخريطة، وغاية ما تدلّ عليه أنّ النجاسة معفوّ عنها أثناء الصلاة، وأمّا قبل الصلاة فهي غير متعرّضة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عدم التعرّض فيها لتطهير الحشفة مع كونها في مقام البيان ظاهر في عدم وجوبه</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القول بأنّ النصوص واردة في مقام بيان الطهارة الحدثيّة في الصلاة، لا الخبثيّة، ولا ملازمة بين عدم كون الحدث ناقضاً وبين وجوب تطهير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القاعدة لابدّ من القول بوجوب غَسل محلّ البول قبل الصلاة، ولذا قال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غسل الحشفة، وهو 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صحيح حريز العفو عمّا يخرج من البول بين الصلاتين فلا يجب التطهير، فالنجاسة أثناء الصلاتين وما بين الصلاتين معفوّ عنها إلى مقدار صلاتين، وأمّا في الزائد عنها فإنّ مقتضى القاعدة وجوب إزالة النجاسة قبل الصلاة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المبطون فالنجاسة في أثناء الصلاة معفوّ عنها كما هو الحال في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المسلوس، وأمّا النجاسة قبل الصلاة فمقتضى القاعدة وجوب إزالتها إن أمكن، فعليه تطهير المحل قبل كلّ صلاة؛ لاختصاص صحيح حريز بخروج البول والدم، وعدم اشتماله على ما هو كالعلّة حتى يتعدّى عنه إلى الغائط، هذا، ولم يُذكر المبطون في هذا الصحيح، ولا في ما روي عن محمد بن مسلم، وعليه فيجب إزالة نجاسة الغائط قبل الصلاة، ولا عفو عنه</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bookmarkStart w:id="331" w:name="pg15724_20443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2" w:name="__RefHeading___Toc12418109_2142443653"/>
      <w:bookmarkStart w:id="333" w:name="_Toc124"/>
      <w:bookmarkEnd w:id="331"/>
      <w:bookmarkEnd w:id="332"/>
      <w:r>
        <w:rPr>
          <w:rtl w:val="true"/>
        </w:rPr>
        <w:t>أَبْوَابُ أَحْكَامِ الْخَلْوَةِ</w:t>
      </w:r>
      <w:bookmarkEnd w:id="33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أبواب أحكام الخلوة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المحل الخالي، والذي ينفرد فيه الإنسان بنفسه، والمراد هنا المحل الذي يتخذه الإنسان لأجل تخلية البدن من البول أو الغائط، فما يفعله فيها تخلية وتخلّي، والفاعل متخلّي، وهذه الأبواب معقودة لبيان ما يجب وما يحرم وما يستحب وما يكره للمتخلي، ولذا عنونها الماتن بأبواب أحكام الخلوة، دون أبواب آداب الخلوة لكون الأولی أعم، ولعل وجه تعلّق هذه الأبواب بالوضوء بحيث تقدَّم علی أبحاثه أنّ الغالب في من أراد الوضوء هو التخلّي أوّلاً، ولذا ناسب أن تتقدّم هذه الأبواب علی أبواب الوضوء</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5724_204437"/>
      <w:bookmarkStart w:id="335" w:name="pg15724_204437"/>
      <w:bookmarkEnd w:id="335"/>
    </w:p>
    <w:p>
      <w:pPr>
        <w:pStyle w:val="Heading2"/>
        <w:numPr>
          <w:ilvl w:val="1"/>
          <w:numId w:val="1"/>
        </w:numPr>
        <w:rPr/>
      </w:pPr>
      <w:bookmarkStart w:id="336" w:name="pg15724_204437"/>
      <w:bookmarkStart w:id="337" w:name="__RefHeading___Toc12418111_2142443653"/>
      <w:bookmarkStart w:id="338" w:name="_Toc125"/>
      <w:bookmarkEnd w:id="336"/>
      <w:bookmarkEnd w:id="337"/>
      <w:r>
        <w:rPr/>
        <w:t>1</w:t>
      </w:r>
      <w:r>
        <w:rPr>
          <w:rtl w:val="true"/>
        </w:rPr>
        <w:t xml:space="preserve">- </w:t>
      </w:r>
      <w:r>
        <w:rPr>
          <w:rtl w:val="true"/>
        </w:rPr>
        <w:t>بَابُ وُجُوبِ سَتْرِ الْعَوْرَةِ وَتَحْرِيمِ النَّظَرِ إِلَى عَوْرَةِ الْمُسْلِمِ غَيْرِ الْمُحَلَّلِ رَجُلًا كَانَ أَوِ امْرَأَة</w:t>
      </w:r>
      <w:bookmarkEnd w:id="338"/>
    </w:p>
    <w:p>
      <w:pPr>
        <w:pStyle w:val="Heading3"/>
        <w:numPr>
          <w:ilvl w:val="2"/>
          <w:numId w:val="1"/>
        </w:numPr>
        <w:rPr/>
      </w:pPr>
      <w:bookmarkStart w:id="339" w:name="__RefHeading___Toc12418113_2142443653"/>
      <w:bookmarkStart w:id="340" w:name="_Toc126"/>
      <w:bookmarkEnd w:id="339"/>
      <w:r>
        <w:rPr>
          <w:rtl w:val="true"/>
        </w:rPr>
        <w:t>اشارة</w:t>
      </w:r>
      <w:bookmarkEnd w:id="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سَتْرِ الْعَوْرَةِ وَتَحْرِيمِ النَّظَرِ إِلَى عَوْرَةِ الْمُسْلِمِ غَيْرِ الْمُحَلَّلِ رَجُلًا كَانَ أَوِ امْرَأَة</w:t>
      </w:r>
    </w:p>
    <w:p>
      <w:pPr>
        <w:pStyle w:val="Heading3"/>
        <w:numPr>
          <w:ilvl w:val="2"/>
          <w:numId w:val="1"/>
        </w:numPr>
        <w:rPr/>
      </w:pPr>
      <w:bookmarkStart w:id="341" w:name="__RefHeading___Toc12418115_2142443653"/>
      <w:bookmarkStart w:id="342" w:name="_Toc127"/>
      <w:bookmarkEnd w:id="341"/>
      <w:r>
        <w:rPr>
          <w:rtl w:val="true"/>
        </w:rPr>
        <w:t>شرح الباب</w:t>
      </w:r>
      <w:r>
        <w:rPr>
          <w:rtl w:val="true"/>
        </w:rPr>
        <w:t>:</w:t>
      </w:r>
      <w:bookmarkEnd w:id="342"/>
    </w:p>
    <w:p>
      <w:pPr>
        <w:pStyle w:val="BookText"/>
        <w:rPr/>
      </w:pPr>
      <w:r>
        <w:rPr>
          <w:rFonts w:ascii="Amiri" w:hAnsi="Amiri" w:eastAsia="Amiri" w:cs="Amiri"/>
          <w:color w:val="111111"/>
          <w:sz w:val="28"/>
          <w:sz w:val="28"/>
          <w:szCs w:val="28"/>
          <w:rtl w:val="true"/>
          <w:lang w:bidi="ar-SA"/>
        </w:rPr>
        <w:t>تضمّن عنوان الباب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ستر العورة عن الناظر المحترم، سواء كان من المحارم أم لا، رجلاً كان أو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النظر إلی عورة المسلم غير المحلَّل رجلاً كان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بالمحلَّل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المستثنی من حرمة النظر إلی العورة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والزوجة والمولی وأمته التي جاز له الاستمتاع بها، أو التي حُلّلت له فيجوز لكل منهما النظر إلی عورة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ويظهر من العنوان أنّ حرمة النظر إلی العورة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مختصّة بعورة المسلم دون عورة الكافر</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ووجوب ستر العورة وإن كان لا اختصاص له بالمتخلّي لكن لما كان انكشاف العورة من لوازم التخلّي ذكروا هذا الحكم هنا فيه بخصوصه</w:t>
      </w:r>
      <w:r>
        <w:rPr>
          <w:rFonts w:eastAsia="Amiri" w:cs="Amiri" w:ascii="Amiri" w:hAnsi="Amiri"/>
          <w:color w:val="111111"/>
          <w:sz w:val="28"/>
          <w:szCs w:val="28"/>
          <w:rtl w:val="true"/>
          <w:lang w:bidi="ar-SA"/>
        </w:rPr>
        <w:t xml:space="preserve">. </w:t>
      </w:r>
      <w:bookmarkStart w:id="343" w:name="pg15724_204438"/>
    </w:p>
    <w:p>
      <w:pPr>
        <w:pStyle w:val="Heading3"/>
        <w:numPr>
          <w:ilvl w:val="2"/>
          <w:numId w:val="1"/>
        </w:numPr>
        <w:rPr/>
      </w:pPr>
      <w:bookmarkStart w:id="344" w:name="__RefHeading___Toc12418117_2142443653"/>
      <w:bookmarkStart w:id="345" w:name="_Toc128"/>
      <w:bookmarkEnd w:id="343"/>
      <w:bookmarkEnd w:id="344"/>
      <w:r>
        <w:rPr>
          <w:rtl w:val="true"/>
        </w:rPr>
        <w:t>أقوال الخاصّة</w:t>
      </w:r>
      <w:r>
        <w:rPr>
          <w:rtl w:val="true"/>
        </w:rPr>
        <w:t>:</w:t>
      </w:r>
      <w:bookmarkEnd w:id="345"/>
    </w:p>
    <w:p>
      <w:pPr>
        <w:pStyle w:val="BookText"/>
        <w:rPr/>
      </w:pPr>
      <w:r>
        <w:rPr>
          <w:rFonts w:ascii="Amiri" w:hAnsi="Amiri" w:eastAsia="Amiri" w:cs="Amiri"/>
          <w:color w:val="111111"/>
          <w:sz w:val="28"/>
          <w:sz w:val="28"/>
          <w:szCs w:val="28"/>
          <w:rtl w:val="true"/>
          <w:lang w:bidi="ar-SA"/>
        </w:rPr>
        <w:t>وجوب ستر العورة وحرمة النظر إليها مجمع عليه إجماعاً محصّلاً ومنقولاً، بل تدلّ عليه ضرورة الدين في الجملة</w:t>
      </w:r>
      <w:r>
        <w:rPr>
          <w:rFonts w:eastAsia="Amiri" w:cs="Amiri" w:ascii="Amiri" w:hAnsi="Amiri"/>
          <w:color w:val="111111"/>
          <w:sz w:val="28"/>
          <w:szCs w:val="28"/>
          <w:rtl w:val="true"/>
          <w:lang w:bidi="ar-SA"/>
        </w:rPr>
        <w:t>(</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والنصوص المستفيضة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بالعورة في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 والدبر والأنثيان،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القاضي إنّها من السرّة إلی الركبة وهو 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الحلبي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نصف الساق</w:t>
      </w:r>
      <w:r>
        <w:rPr>
          <w:rFonts w:eastAsia="IRNazanin" w:cs="IRNazanin"/>
          <w:color w:val="111111"/>
          <w:sz w:val="28"/>
          <w:szCs w:val="28"/>
          <w:rtl w:val="true"/>
          <w:lang w:bidi="fa-IR"/>
        </w:rPr>
        <w:t>»(</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المرأة فكلّها عورة عدا الوجه والكفّين علی الخلاف فيهما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تفصيل في عورة المحارم والصغير والصغيرة، وعورة الأمة في الصلاة وغيرها، وأحكام نظر المرأة للرجل والرجل للمرأة وكلاهما للخنثی، وغير ذلك مما لا يتعلّق به الغرض هنا، وبيانه في محلّه من كتاب الصلاة وكتاب النكاح</w:t>
      </w:r>
      <w:r>
        <w:rPr>
          <w:rFonts w:eastAsia="IRNazanin" w:cs="IRNazanin"/>
          <w:color w:val="111111"/>
          <w:sz w:val="28"/>
          <w:szCs w:val="28"/>
          <w:rtl w:val="true"/>
          <w:lang w:bidi="fa-IR"/>
        </w:rPr>
        <w:t>.</w:t>
      </w:r>
    </w:p>
    <w:p>
      <w:pPr>
        <w:pStyle w:val="Heading3"/>
        <w:numPr>
          <w:ilvl w:val="2"/>
          <w:numId w:val="1"/>
        </w:numPr>
        <w:rPr/>
      </w:pPr>
      <w:bookmarkStart w:id="346" w:name="__RefHeading___Toc12418119_2142443653"/>
      <w:bookmarkStart w:id="347" w:name="_Toc129"/>
      <w:bookmarkEnd w:id="346"/>
      <w:r>
        <w:rPr>
          <w:rtl w:val="true"/>
        </w:rPr>
        <w:t>أقوال العامّة</w:t>
      </w:r>
      <w:r>
        <w:rPr>
          <w:rtl w:val="true"/>
        </w:rPr>
        <w:t>:</w:t>
      </w:r>
      <w:bookmarkEnd w:id="347"/>
    </w:p>
    <w:p>
      <w:pPr>
        <w:pStyle w:val="BookText"/>
        <w:rPr/>
      </w:pPr>
      <w:r>
        <w:rPr>
          <w:rFonts w:ascii="IRNazanin" w:hAnsi="IRNazanin" w:eastAsia="IRNazanin"/>
          <w:color w:val="111111"/>
          <w:sz w:val="28"/>
          <w:sz w:val="28"/>
          <w:szCs w:val="28"/>
          <w:rtl w:val="true"/>
          <w:lang w:bidi="fa-IR"/>
        </w:rPr>
        <w:t>قال ابن 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العلماء علی أنّ ستر العورة فرض بإطلاق</w:t>
      </w:r>
      <w:r>
        <w:rPr>
          <w:rFonts w:eastAsia="IRNazanin" w:cs="IRNazanin"/>
          <w:color w:val="111111"/>
          <w:sz w:val="28"/>
          <w:szCs w:val="28"/>
          <w:rtl w:val="true"/>
          <w:lang w:bidi="fa-IR"/>
        </w:rPr>
        <w:t>»(</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 الصلاة وغيرها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نظر الغير إلی العورة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الفقهاء علی أنّه يحرم نظر الرجل إلی عورة المرأة الأجنبيّة الشابّة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 في تحديد العورة التي يحرم النظر إليها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فالحنفية والمالكية علی جواز النظر إلی الوجه والكفّين من </w:t>
      </w:r>
    </w:p>
    <w:p>
      <w:pPr>
        <w:pStyle w:val="BookText"/>
        <w:rPr/>
      </w:pPr>
      <w:r>
        <w:rPr>
          <w:rFonts w:ascii="IRNazanin" w:hAnsi="IRNazanin" w:eastAsia="IRNazanin"/>
          <w:color w:val="111111"/>
          <w:sz w:val="28"/>
          <w:sz w:val="28"/>
          <w:szCs w:val="28"/>
          <w:rtl w:val="true"/>
          <w:lang w:bidi="fa-IR"/>
        </w:rPr>
        <w:t>الأجنبيّة إن لم يكن بشهوة، ولم يغلب علی الظن وقوعها، ويحرم النظر إلی ما عدا ذلك بغير عذر شرعي، واتفق الشافعية علی حرمة النظر إليهما بغير عذر شرعي، وهو المذهب عند الحنابلة، وظاهر كلام أحمد، وروي عن أحمد أنّ الأحوط عدم النظر مطلقاً، وهو قول القاضي من الحنابلة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الحسن بن زياد عن أبي حنيفة جواز النظر إلی الوجه والكفّين والقدمين من المرأة الأجنبية بغير شهوة وذكره الطحاوي، وهو قول بعض فقهاء المالكية</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واتفق الفقهاء أيضاً علی حرمة نظر الرجل إلی عورة رجل آخر بغير عذر شرعي، ولو بغير شهوة</w:t>
      </w:r>
      <w:r>
        <w:rPr>
          <w:rFonts w:eastAsia="IRNazanin" w:cs="IRNazanin"/>
          <w:color w:val="111111"/>
          <w:sz w:val="28"/>
          <w:szCs w:val="28"/>
          <w:rtl w:val="true"/>
          <w:lang w:bidi="fa-IR"/>
        </w:rPr>
        <w:t>(</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وبقية تفاصيل النظر كالنظر إلی المرأة المسنّة والغلام وغير ذلك تأتي في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 العورة من الرجل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مالك والشافعي إلی أنّ حدّ العورة منه ما بين السرة إلی الركبة، وكذلك قال أبو حنيفة،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العورة هما السوأتان فقط 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الدبر، والفرج، والفخذ</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حدّها من المرأة عندهم فمختلف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فأكثر العلماء علی أنّ بدنها كلّه عورة، ما خلا الوجه والكفّين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أبو حنيفة إلی أنّ قدمها ليست بعورة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أبو بكر بن عبد الرحمن وأحمد إلی أنّ المرأة كلّها عورة</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مُحَمَّدِ بْنِ عَلِيِّ بْنِ مَحْبُوبٍ، عَنِ الْعَبَّاسِ، عَنْ حَمَّادٍ،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الرَّجُلُ إِلَى عَوْرَةِ أَخِيهِ</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الحكم الثاني من الحكمين اللذين عنوَن بهما الماتن البابَ، وهو حرمة النظر إلی عورة المسلم؛ حيث إنّ النهي عن النظر إلی عورة الأخ ظاهر في حرمته، والمراد من الأخ هنا هو مطلق المسلم؛ فإنّه لا يُطلق في النصوص علی غيره من أصحاب الأديان، وهذه القضيّة بإطلاقها تشمل الحي والميّت بلا فرق، فلا يجوز النظر إلی عورة المسلم وإن كان ميّتاً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إسناد الشيخ إلی محمد بن علي بن محبوب له ثلاثة طرق أحدها صحيح وآخر معتبر</w:t>
      </w:r>
      <w:r>
        <w:rPr>
          <w:rFonts w:eastAsia="IRNazanin" w:cs="IRNazanin"/>
          <w:color w:val="111111"/>
          <w:sz w:val="28"/>
          <w:szCs w:val="28"/>
          <w:rtl w:val="true"/>
          <w:lang w:bidi="fa-IR"/>
        </w:rPr>
        <w:t>(</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والعباس هنا هو العباس بن معروف، وحماد هو حماد بن عيسی؛ لروايته عن حريز، أي حريز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فالسند صحيح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بِإِسْنَادِهِ عَنْ شُعَيْبِ بْنِ وَاقِدٍ، عَنِ الْحُسَيْنِ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أَحَدُكُمْ فِي فَضَاءٍ مِنَ الْأَرْضِ فَلْيُحَاذِرْ عَلَى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أَحَدُكُمُ الْحَمَّامَ إِلَّا بِمِئْزَرٍ، وَنَهَى أَنْ يَنْظُرَ الرَّجُلُ إِلَى عَوْرَةِ أَخِيهِ الْمُسْلِمِ،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عَوْرَةَ أَخِيهِ الْمُسْلِمِ لَعَنَهُ سَبْعُونَ أَلْفَ مَلَكٍ، وَنَهَى الْمَرْأَةَ أَنْ تَنْظُرَ إِلَى عَوْرَةِ الْمَرْأَةِ،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عَوْرَةِ أَخِيهِ الْمُسْلِمِ أَوْ عَوْرَةِ غَيْرِ أَهْلِهِ مُتَعَمِّداً أَدْخَلَهُ اللَّهُ مَعَ الْمُنَافِقِينَ الَّذِينَ كَانُوا يَبْحَثُونَ عَنْ عَوْرَاتِ النَّاسِ، وَلَمْ يَخْرُجْ مِنَ الدُّنْيَا حَتَّى يَفْضَحَهُ اللَّهُ إِلَّا أَنْ يَتُوبَ</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هذا المقطع من الحديث علی كلا الحكمين اللذين عنوَن بهما الماتن البابَ،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لزوم ستر العورة إذا أراد الاغتسال في فضاء من الأرض؛ لأنّه حينئذٍ يكون معرّضاً للنظر إليها من قِبل غيره ممّن يحرم عليه النظر إلی عورته،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يدخلنّ أحدكم الحمام إلّا بمئزر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يفيد أيضاً لزوم ستر العورة؛ لما قدّمناه من العلّة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نظر الرجل عمداً إلی عورة المسلم، وهذا الحكم يعمّ الرجل والمرأة، فلا يجوز للرجل أن ينظر إلی عورة رجل أو امرأة، وكذا المرأة لا يجوز لها النظر إلی عورة رجل أو امرأة، وقد صرّح بالنهي عن أن تنظر المرأة إلی عورة المرأة، ويستثني من ذلك نظر الرجل إلی عورة أهله، أي زوجته، والزوجة إلی عورة زوجها، 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 النظر إلی عورة غير المحلّل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تأمّل عورة أخيه المسلم لعنه سبعون ألف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والتأمل يدلّ علی أنّ النظرة متعمّدة لا أنّها اتفاقية غير مقصودة، ويدلّ عليه أيضاً ما في الفقرة اللاحقة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ويدخله الله أيضاً مع المنافقين الذين كانوا يبحثون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عورات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يخرجه من الدنيا حتی يفضحه، إلا أن تتقدّم منه التوبة عن هذا الذنب، وحينها ترتفع جميع هذه الآثار؛ فإنّ التائب من الذنب كمن لا ذنب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أنّ إسناد الصدوق إلی شعيب بن واقد ضعيف، كما أنّ شعيب بن واقد لم يوثّق أيضاً</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الحسين بن زيد فقد مرّ أنّه الملقب بذي الدمعة، وأنّه موثّق؛ لرواية المشايخ الثقات عنه</w:t>
      </w:r>
      <w:r>
        <w:rPr>
          <w:rFonts w:eastAsia="Amiri" w:cs="Amiri" w:ascii="Amiri" w:hAnsi="Amiri"/>
          <w:color w:val="111111"/>
          <w:sz w:val="28"/>
          <w:szCs w:val="28"/>
          <w:rtl w:val="true"/>
          <w:lang w:bidi="ar-SA"/>
        </w:rPr>
        <w:t>(</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ووروده في أسناد نوادر الحكمة</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باعتبار هذا الحديث؛ لوروده في الفقيه، وقد شهد الصدوق باعتبار رواياته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 ذلِكَ أَزْكى لَهُمْ</w:t>
      </w:r>
      <w:r>
        <w:rPr>
          <w:rFonts w:eastAsia="Amiri" w:cs="Amiri" w:ascii="Amiri" w:hAnsi="Amiri"/>
          <w:color w:val="111111"/>
          <w:sz w:val="28"/>
          <w:szCs w:val="28"/>
          <w:rtl w:val="true"/>
          <w:lang w:bidi="ar-SA"/>
        </w:rPr>
        <w:t>}(</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 مَا كَانَ فِي كِتَابِ اللَّهِ مِنْ ذِكْرِ حِفْظِ الْفَرْجِ فَهُوَ مِنَ الزِّنَا إِلَّا فِي هَذَا الْمَوْضِعِ فَإِنَّهُ لِلْحِفْظِ مِنْ أَنْ يُنْظَرَ إِلَيْهِ</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 فيكون معنی يغضّوا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ينقصوا من نظرهم عمّا حرّم الله عليهم، وقد أطلق لهم ما سوی ذلك،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طرفه غِضَاضاً بالكسر وغَضَاضة بفتحتين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خفضه وتحمَّل المكروه</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ويتحقّق حفظ الفرج بأن لا يُستعمل في الزنا ونحوه، ولكن أضيف هنا الحفظ من أن يُنظر إليه من قِبل الناظر المحترم، وعليه يكون الحديث دالّاً علی لزوم غضّ البصر عن عورات الآخرين، لأنّ تقدير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غضّوا من أبصاركم،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يغضّوا جواب لهذا الأمر 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ظاهر في الوجوب، وكذا الكلام في ما عطف عليه، فيكون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واحفظوا فروجكم، فيدلّ أيضاً علی لزوم حفظ الفرج، المفسّر هنا بحفظ الفرج من أن يُنظر إليه، وإن كان المراد به في بقيّة الموارد من كتاب الله الحفظ من الزنا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مراسيل الصدوق، وقد مرّ مراراً أنّها معتبرة</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ثَوَابِ الْأَعْمَالِ عَنْ مُحَمَّدِ بْنِ عَلِيٍّ مَاجِيلَوَيْهِ، عَنْ عَمِّهِ مُحَمَّدِ بْنِ أَبِي الْقَاسِمِ، عَنْ أَحْمَدَ بْنِ مُحَمَّدِ بْنِ خَالِدٍ، عَنْ مُحَمَّدِ بْنِ عَلِيٍّ الْأَنْصَارِيِّ، عَنْ عَبْدِ اللَّهِ بْنِ مُحَمَّدٍ،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الْحَمَّامَ فَغَضَّ طَرْفَهُ عَنِ النَّظَرِ إِلَى عَوْرَةِ أَخِيهِ آمَنَهُ اللَّهُ مِنَ الْحَمِيمِ يَوْمَ الْقِيَامَةِ</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وجوب حفظ العين من النظر إلی عورة المسلم، وهو المراد من الأخ هنا كما مرّ، وهذا موجب للأمن من الحميم في يوم القيامة، ولا يختصّ هذا الحكم بهذا المورد وهو من دخل الحمّام، بل يعمّ جميع الأماكن والأحوال؛ إذ لا خصوصيّة للمورد، وإنّما خُص بالذكر لأجل أنّ الحمام مورد انكشاف العورة ووجود الناظر المحترم عادة، ويفهم منه أنّ النظر إليها يوجب الحميم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ماجيلويه، وهو وإن لم يوثق صريحاً، إلا أنّ الصدوق ترضّی عنه كثيراً في كتبه فيكون ثقة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الأنصاري، ولم يرد بهذا العنوان في الكتب الأربعة، لكن الملقب بالأنصاري شخصان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حمزة الأنصاري، ورد ذكره في طريق خلف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يحيی الأنصاري، ذكره النجاشي في ترجمة حريز بن عبد الله، وذكر أنّ له كتاباً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المراد به هنا هو الثاني؛ لانطباقه عليه من حيث الطبقة، لكنّه كالأول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وهو مشترك بين جماعة، والمعروفون منهم أحد عشر شخصاً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أبو بكر الحضرمي، قال عنه ابن شهر آشوب إنّه من خواص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ووردت في حقّه روايات مادحة، وورد في أسناد تفسير القمي، وروی عنه المشايخ الثقات</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الأسدي، الحجّال،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محمد الأسدي مولاهم، كوفي، الحجّال المزخرف، أبو محمد،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موالي بني تيم، ثقة ثقة، ثبت، له كتاب يرويه عدّة من أصحابنا</w:t>
      </w:r>
      <w:r>
        <w:rPr>
          <w:rFonts w:eastAsia="Amiri" w:cs="Amiri" w:ascii="Amiri" w:hAnsi="Amiri"/>
          <w:color w:val="111111"/>
          <w:sz w:val="28"/>
          <w:szCs w:val="28"/>
          <w:rtl w:val="true"/>
          <w:lang w:bidi="ar-SA"/>
        </w:rPr>
        <w:t>»(</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الشيخ في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تيم الله، ثقة</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البلوي، ذكره الشيخ في الفهرست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w:t>
      </w:r>
    </w:p>
    <w:p>
      <w:pPr>
        <w:pStyle w:val="BookText"/>
        <w:rPr/>
      </w:pPr>
      <w:r>
        <w:rPr>
          <w:rFonts w:ascii="Amiri" w:hAnsi="Amiri" w:eastAsia="Amiri" w:cs="Amiri"/>
          <w:color w:val="111111"/>
          <w:sz w:val="28"/>
          <w:sz w:val="28"/>
          <w:szCs w:val="28"/>
          <w:rtl w:val="true"/>
          <w:lang w:bidi="ar-SA"/>
        </w:rPr>
        <w:t>ابن محمد البلوي، وبلي قبيلة من أهل مصر، وكان واعظاً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 كتاب الأبواب، وكتاب المعرفة، وكتاب الدين وفرائضه، ذكره ابن النديم</w:t>
      </w:r>
      <w:r>
        <w:rPr>
          <w:rFonts w:eastAsia="Amiri" w:cs="Amiri" w:ascii="Amiri" w:hAnsi="Amiri"/>
          <w:color w:val="111111"/>
          <w:sz w:val="28"/>
          <w:szCs w:val="28"/>
          <w:rtl w:val="true"/>
          <w:lang w:bidi="ar-SA"/>
        </w:rPr>
        <w:t>»(</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النجاشي في ترجمة محمد بن الحسن بن عبد الله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البلوي رجل ضعيف مطعون عليه</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أبي الدنيا، ذكره الشيخ في الفهرست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محمد بن أبي الدنيا، عامي المذهب، 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وغيرهما</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ولكن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 أنّ اسمه عبد الله بن أبي الدنيا،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صريح كلام الشيخ أنّ أبا الدنيا جدّ عبد الله، ولكن ظاهر كلام علماء الرجال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الدنيا هو والد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في التقريب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محمد بن عبيد بن سفيان القرشي مولاهم أبو بكر بن أبي الدنيا البغدادي صدوق، حافظ، صاحب تصانيف، من الثانية عشر، مات سنة إحدی وثمانين بعد المائة وله ثلاث وسبعون</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الحصيني العبدي، عدّه الشيخ 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محمد الحصيني العبدي، كان من </w:t>
      </w:r>
    </w:p>
    <w:p>
      <w:pPr>
        <w:pStyle w:val="BookText"/>
        <w:rPr/>
      </w:pP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محمد بن حُصين الحصيني الأهوازي، 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ثقة ثقة، له كتاب يرويه عدّة من أصحابنا</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الدعلجي،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محمد ابن عبد الله أبو محمد الحذّاء الدعلجي، منسوب إلی موضع خلف باب الكوفة ببغداد، يقال له الدعالجة، كان فقيهاً عارفاً، وعليه تعلّمت المواريث، له كتاب الحج</w:t>
      </w:r>
      <w:r>
        <w:rPr>
          <w:rFonts w:eastAsia="IRNazanin" w:cs="IRNazanin"/>
          <w:color w:val="111111"/>
          <w:sz w:val="28"/>
          <w:szCs w:val="28"/>
          <w:rtl w:val="true"/>
          <w:lang w:bidi="fa-IR"/>
        </w:rPr>
        <w:t>»(</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مشايخ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التميمي الرازي،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محمد بن علي بن العباس بن هارون التميمي الرازي، له نسخة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عيسی، وهو أخو أحمد بن محمد بن عيسی، روی أربعة وأربعين حديثاً في الكتب الأربعة</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قيس، قال 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رواه عباد بن يعقوب الرواجني، عنه</w:t>
      </w:r>
      <w:r>
        <w:rPr>
          <w:rFonts w:eastAsia="Amiri" w:cs="Amiri" w:ascii="Amiri" w:hAnsi="Amiri"/>
          <w:color w:val="111111"/>
          <w:sz w:val="28"/>
          <w:szCs w:val="28"/>
          <w:rtl w:val="true"/>
          <w:lang w:bidi="ar-SA"/>
        </w:rPr>
        <w:t>»(</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فسند الشيخ إليه مرسل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الجعفي، روی خمسة عشر حديثاً في الكتب </w:t>
      </w:r>
    </w:p>
    <w:p>
      <w:pPr>
        <w:pStyle w:val="BookText"/>
        <w:rPr/>
      </w:pP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عنه آدم بن إسحاق، وصالح بن عقبة</w:t>
      </w:r>
      <w:r>
        <w:rPr>
          <w:rFonts w:eastAsia="IRNazanin" w:cs="IRNazanin"/>
          <w:color w:val="111111"/>
          <w:sz w:val="28"/>
          <w:szCs w:val="28"/>
          <w:rtl w:val="true"/>
          <w:lang w:bidi="fa-IR"/>
        </w:rPr>
        <w:t>(</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 في ترجمة جابر بن يزيد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عبد الله بن محمد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ضعيف</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النهيكي،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قليل الحديث، جمعت نوادره كتاباً</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والقابل للانطباق علی هذا العنوان شخصان كلاهما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الأسدي، الحجّال؛ فإنّ كتابه معروف، ويمكن من حيث الطبقة أن يروي عن عبد الله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الحصيني العبدي، فهو 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ولا يبعد إرادة الحجّال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السند ضعيف بمحمد بن علي الأنصاري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يمكن تصحيح الحديث؛ لكونه من كتب عبد الله بن سنان،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هذه الكتب عنه جماعات من أصحابنا لعظمه في الطائفة وثقته وجلالته</w:t>
      </w:r>
      <w:r>
        <w:rPr>
          <w:rFonts w:eastAsia="IRNazanin" w:cs="IRNazanin"/>
          <w:color w:val="111111"/>
          <w:sz w:val="28"/>
          <w:szCs w:val="28"/>
          <w:rtl w:val="true"/>
          <w:lang w:bidi="fa-IR"/>
        </w:rPr>
        <w:t>»(</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فلا حاجة للنظر في الطريق إلی كتبه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الْمُرْتَضَى فِي رِسَالَةِ الْمُحْكَمِ وَالْمُتَشَابِهِ نَقْلًا مِنْ تَفْسِيرِ النُّعْمَانِيِّ بِسَنَدِهِ الْآتِي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 ذلِكَ أَزْكى لَهُمْ</w:t>
      </w:r>
      <w:r>
        <w:rPr>
          <w:rFonts w:eastAsia="Amiri" w:cs="Amiri" w:ascii="Amiri" w:hAnsi="Amiri"/>
          <w:color w:val="111111"/>
          <w:sz w:val="28"/>
          <w:szCs w:val="28"/>
          <w:rtl w:val="true"/>
          <w:lang w:bidi="ar-SA"/>
        </w:rPr>
        <w:t>}(</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أَحَدُكُمْ إِلَى فَرْجِ أَخِيهِ الْمُؤْمِنِ، أَوْ يُمَكِّنُهُ مِنَ النَّظَرِ إِلَى فَرْجِهِ،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لِلْمُؤْمِناتِ يَغْضُضْنَ مِنْ أَبْصارِهِنَّ وَيَحْفَظْنَ فُرُوجَهُنَ</w:t>
      </w:r>
      <w:r>
        <w:rPr>
          <w:rFonts w:eastAsia="Amiri" w:cs="Amiri" w:ascii="Amiri" w:hAnsi="Amiri"/>
          <w:color w:val="111111"/>
          <w:sz w:val="28"/>
          <w:szCs w:val="28"/>
          <w:rtl w:val="true"/>
          <w:lang w:bidi="ar-SA"/>
        </w:rPr>
        <w:t>}(</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يُلْحِقُهُنَّ النَّظَرَ، كَمَا جَاءَ فِي حِفْظِ الْفُرُوجِ، فَالنَّظَرُ سَبَبُ إِيقَاعِ الْفِعْلِ مِنَ الزِّنَا وَغَيْرِهِ</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 إِنْ شَاءَ اللَّهُ تَعَالَى فِي آدَابِ الْحَمَّامِ، وَكِتَابِ النِّكَاحِ</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الحديث أنّ معنی غض البصر وحفظ الفروج هو عدم النظر إلی فرج المؤمن، وعدم تمكين الغير من النظر إلی فرجه، وبهذا يكون الحديث دالّاً علی كلا الحكمين، حرمة النظر إلی فرج المؤمن وحرمة تمكينه من النظر إلی فرجه، وبيّن بعد ذلك أنّ الالتزام بهذين الحكمين أزكی للمؤمنين،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أنفع </w:t>
      </w:r>
    </w:p>
    <w:p>
      <w:pPr>
        <w:pStyle w:val="BookText"/>
        <w:rPr/>
      </w:pPr>
      <w:r>
        <w:rPr>
          <w:rFonts w:ascii="IRNazanin" w:hAnsi="IRNazanin" w:eastAsia="IRNazanin"/>
          <w:color w:val="111111"/>
          <w:sz w:val="28"/>
          <w:sz w:val="28"/>
          <w:szCs w:val="28"/>
          <w:rtl w:val="true"/>
          <w:lang w:bidi="fa-IR"/>
        </w:rPr>
        <w:t>لدينهم ودنياهم، وأطهر لهم، وأنفی للتهمة، وأقرب إلی التقوی</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أنّ الحكمين موجّهان للمؤمنات أيضاً فعليهن أن يغضضن بصرهن عمّا لا يحل لهن النظر إليه، وأن يحفظن فروجهن ممن يُلحقُهنّ نظرَه، وهو كلّ من لا يحلّ له النظر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يلحقهن من النظر</w:t>
      </w:r>
      <w:r>
        <w:rPr>
          <w:rFonts w:eastAsia="Amiri" w:cs="Amiri" w:ascii="Amiri" w:hAnsi="Amiri"/>
          <w:color w:val="111111"/>
          <w:sz w:val="28"/>
          <w:szCs w:val="28"/>
          <w:rtl w:val="true"/>
          <w:lang w:bidi="ar-SA"/>
        </w:rPr>
        <w:t>»(</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ليحفظن فروجهنّ من الذي يلحقهن بسبب النظر من الزنا ونحوه، فإنّ النظر سبب ومقدمة لإحداث فعل الزنا وغيره، وهذه القضيّة حِكمة هذا الحكم لا أنّها علة؛ وذلك لانفكاك النظر عن الإيقاع في الفعل في بعض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أنّ السند غير معتبر</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خمسة أحاديث، أوّلها صحيح، والبقيّة ضعاف، لكن يمكن القول باعتبارها ما عدا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هنا إشكالان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بالعورة هو الغيبة وإذاعة السر وإظهار العيب، حيث حصر المراد من العورة في ذلك كما في صحيح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عورة المؤمن علی المؤمن 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سفليه؟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حيث تذهب، إنّما هي إذاعة سرّه</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ومعتبرة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جاء في الحديث عورة المؤمن علی المؤمن 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أن ينكشف فتری منه شيئاً، إنما هو أن تروي عليه أو تعيبه</w:t>
      </w:r>
      <w:r>
        <w:rPr>
          <w:rFonts w:eastAsia="IRNazanin" w:cs="IRNazanin"/>
          <w:color w:val="111111"/>
          <w:sz w:val="28"/>
          <w:szCs w:val="28"/>
          <w:rtl w:val="true"/>
          <w:lang w:bidi="fa-IR"/>
        </w:rPr>
        <w:t>»(</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وغيرهما مما ظاهره عدم حرمة النظر إلی العورة، كما سيأتي في الباب الثامن من أبواب آداب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أحاديث الباب دالّة علی حرمة غيبة المؤمن وكشف ما ستره من العيوب، لا حرمة النظر إلی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نحمل ما ورد في هذه الأحاديث علی الغيبة وغيرها في خصوص هذه الموارد، لا أنّ المراد بالعورة الغيبة وما شابهها في جميع الموارد، فإنّ هذا غير ممكن في أكثرها، فقد جاء في أحاديث الباب النهي عن النظر إلی عورة الأخ المسلم وتأملها، وورد الأمر بغضّ الطرف عن النظر إليها، وورد أيضاً لزوم المحاذرة عن أن يُنظر إليها، وهذا كلّه يأبی تفسيرها بالغيبة وهتك الستر وغيرهما، فلا موقع للقول بظهور ما رواه عبد الله بن سنان وما رواه زيد الشحّام في عدم حرمة النظر إلی العورة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جملة من الأحاديث كراهة النظر إلی العورة، كما في معتبر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أيتجرّد الرجل عند صبّ الماء تری عورته أو يصب عليه الماء أو يری هو عورة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أبي يكره ذلك </w:t>
      </w:r>
      <w:bookmarkStart w:id="348" w:name="pg15724_204454"/>
    </w:p>
    <w:p>
      <w:pPr>
        <w:pStyle w:val="BookText"/>
        <w:rPr/>
      </w:pPr>
      <w:bookmarkEnd w:id="348"/>
      <w:r>
        <w:rPr>
          <w:rFonts w:ascii="Amiri" w:hAnsi="Amiri" w:eastAsia="Amiri" w:cs="Amiri"/>
          <w:color w:val="111111"/>
          <w:sz w:val="28"/>
          <w:sz w:val="28"/>
          <w:szCs w:val="28"/>
          <w:rtl w:val="true"/>
          <w:lang w:bidi="ar-SA"/>
        </w:rPr>
        <w:t>من كلّ أحد</w:t>
      </w:r>
      <w:r>
        <w:rPr>
          <w:rFonts w:eastAsia="Amiri" w:cs="Amiri" w:ascii="Amiri" w:hAnsi="Amiri"/>
          <w:color w:val="111111"/>
          <w:sz w:val="28"/>
          <w:szCs w:val="28"/>
          <w:rtl w:val="true"/>
          <w:lang w:bidi="ar-SA"/>
        </w:rPr>
        <w:t>»(</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ومعتبر الصدوق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 النظر إلی عورة المسلم، فأمّا النظر إلی عورة من ليس بمسلم مثل النظر إلی عورة الحمار</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لم يكن مخافة خلاف الاجماع لأمكن القول بكراهة النظر إلی العورة دون التحريم، وهذا هو مقتضی الجمع بين ما دلّ علی حرمة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كأحاديث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هذه الأحاديث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الكراهة الواردة في الروايات لا يراد منها الكراهة الاصطلاحية، لأنّها اصطلاح مستحدث، ومعنی الكراهة الحرمة والبغض إلا إذا دلّ دليل علی خلاف ذلك، وعلی هذا إما أن تكون هذه النصوص ظاهرة في الحرمة وإمّا مجملة، فلا يمكن جعلها قرينة علی إرادة الكراهة الاصطلاحية أينما وردت</w:t>
      </w:r>
      <w:r>
        <w:rPr>
          <w:rFonts w:eastAsia="IRNazanin" w:cs="IRNazanin"/>
          <w:color w:val="111111"/>
          <w:sz w:val="28"/>
          <w:szCs w:val="28"/>
          <w:rtl w:val="true"/>
          <w:lang w:bidi="fa-IR"/>
        </w:rPr>
        <w:t>.</w:t>
      </w:r>
    </w:p>
    <w:p>
      <w:pPr>
        <w:pStyle w:val="Heading3"/>
        <w:numPr>
          <w:ilvl w:val="2"/>
          <w:numId w:val="1"/>
        </w:numPr>
        <w:rPr/>
      </w:pPr>
      <w:bookmarkStart w:id="349" w:name="__RefHeading___Toc12418121_2142443653"/>
      <w:bookmarkStart w:id="350" w:name="_Toc130"/>
      <w:bookmarkEnd w:id="349"/>
      <w:r>
        <w:rPr>
          <w:rtl w:val="true"/>
        </w:rPr>
        <w:t>فروع حول ستر العورة</w:t>
      </w:r>
      <w:bookmarkEnd w:id="35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ستر العورة إنّما يكون عن الناظر المحترم، والمراد به الرجل والمرأة والعبد سواء كان من المحارم أم لا، رجلاً كان أو امرأة، حتی عن المجنون والطفل المميّز، إلا ما استثني من الزوجين والأمة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ويدلّ عليه من الكتاب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 يغضوا من أبصارهم ويحفظوا فروجهم ذلك أزكی لهم إن الله خبير بما يصنعون</w:t>
      </w:r>
      <w:r>
        <w:rPr>
          <w:rFonts w:eastAsia="IRNazanin" w:cs="IRNazanin"/>
          <w:color w:val="111111"/>
          <w:sz w:val="28"/>
          <w:szCs w:val="28"/>
          <w:rtl w:val="true"/>
          <w:lang w:bidi="fa-IR"/>
        </w:rPr>
        <w:t>}(</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في حذف المتعلق دلالة علی العموم إلا ما استثني من الزوجين والأمة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أيضاً مقتضی إطلاق أحاديث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غير المميّز والمجنون غير المدرك فلا يجب ستر العورة عنهما؛ لأنّ ظاهر الأدلّة منصرفة عنهما؛ إذ هي ناظرة إلی الناظر المدرك دون الناظر الفاقد للشعور والادراك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المقصود من العورة</w:t>
      </w:r>
    </w:p>
    <w:p>
      <w:pPr>
        <w:pStyle w:val="BookText"/>
        <w:rPr/>
      </w:pPr>
      <w:r>
        <w:rPr>
          <w:rFonts w:ascii="Amiri" w:hAnsi="Amiri" w:eastAsia="Amiri" w:cs="Amiri"/>
          <w:color w:val="111111"/>
          <w:sz w:val="28"/>
          <w:sz w:val="28"/>
          <w:szCs w:val="28"/>
          <w:rtl w:val="true"/>
          <w:lang w:bidi="ar-SA"/>
        </w:rPr>
        <w:t>قال السيد اليزدي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العورة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والبيضتان والدبر، وفي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والدبر</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حكمان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الحكم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العورة في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 والبيضتان والدبر،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بين الأصحاب نقلاً وتحصيلاً، بل في الخلاف وعن السرائر الإجماع عليه، كما عن المعتبر والمنتهی الإجماع علی أنّ الركبة ليست من العورة، وفي التحرير وجامع المقاصد وظاهر التذكرة الإجماع علی خروجها، والسرّة من العورة</w:t>
      </w:r>
      <w:r>
        <w:rPr>
          <w:rFonts w:eastAsia="IRNazanin" w:cs="IRNazanin"/>
          <w:color w:val="111111"/>
          <w:sz w:val="28"/>
          <w:szCs w:val="28"/>
          <w:rtl w:val="true"/>
          <w:lang w:bidi="fa-IR"/>
        </w:rPr>
        <w:t>»(</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القاضي أنّها من السرّة إلی الركبتين</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 والدبر، واحتاط السيد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ما بين السرّة والركبة علی الأحوط</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دليل المشهور فهو ظاهر الأدلّة من الآية والأخبار حيث دلّت علی أنّ العورة والفرج يلزم سترهما، والظاهر أنّ العورة والفرج والسوءة أيضاً من الألفاظ المترادفة، ومعناها ما يستحيي ويأبی الطبع البشري من إظهاره، والقدر المتيقّن منها هو القضيب والبيضتان والدبر في الرجل، والقبل والدبر في المرأة بالنسبة إلی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فبالنسبة إلی الأجنبي من الرجال تمام بدنها غير الوجه والكفّين عورة، علی الخلاف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القدر المتيقّن، وما زاد علی ذلك يحتاج إلی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وردت طائفتان من الروايات، إحداهما تدلّ علی أنّ المراد بالعورة ما بين السرّة والركبة، والثانية تدلّ علی أنّها القبل والدبر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ثلاث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قرب الإسناد، عن الحسن بن ظريف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الرجل أمته فلا ينظرنّ إلی عورتها، والعورة ما بين السرّة والركبة</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معتبرة؛ لأنّ الحسين بن علوان ثقة، وإن قال النجاشي في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مولاهم كوفي عامي، وأخوه الحسن يكنی أبا محمد ثقة، رويا عن </w:t>
      </w:r>
    </w:p>
    <w:p>
      <w:pPr>
        <w:pStyle w:val="BookText"/>
        <w:rPr/>
      </w:pP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وليس للحسن كتاب، والحسن أخصّ بنا وأولی</w:t>
      </w:r>
      <w:r>
        <w:rPr>
          <w:rFonts w:eastAsia="IRNazanin" w:cs="IRNazanin"/>
          <w:color w:val="111111"/>
          <w:sz w:val="28"/>
          <w:szCs w:val="28"/>
          <w:rtl w:val="true"/>
          <w:lang w:bidi="fa-IR"/>
        </w:rPr>
        <w:t>»(</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التوثيق راجع إليه لا إلی أخيه الحسن، كما نبّه عليه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قال في ترجمة أخيه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كلام النجاشي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واستفاد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التوثيق في كلامه راجع إلی الحسن، ولكنه فاسد، بل التوثيق راجع إلی الحسين؛ فإنّه المترجم،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وأخوه الحسن يكنی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معترضة، وقد تكرّر ذلك في كلام النجاشي في عدّة موارد، منها في ترجمة محمد بن أحمد بن عبد الله أبي الثلج</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أيّدنا ذلك للقرينة المذكورة في كلام السيد الأستاذ، هذا مضافاً إلی وقوعه في أسناد كتاب نوادر الحكمة</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أدرجه العلامة في القسم الثاني من الخلاصة، ونقل عن ابن عقدة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كان أوثق من أخيه وأحمد عند أصحابنا</w:t>
      </w:r>
      <w:r>
        <w:rPr>
          <w:rFonts w:eastAsia="Amiri" w:cs="Amiri" w:ascii="Amiri" w:hAnsi="Amiri"/>
          <w:color w:val="111111"/>
          <w:sz w:val="28"/>
          <w:szCs w:val="28"/>
          <w:rtl w:val="true"/>
          <w:lang w:bidi="ar-SA"/>
        </w:rPr>
        <w:t>»(</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دالٌّ علی توثيق الحسين، لكنّ طريق العلامة إلی كتاب ابن عقدة وقع مورداً للمناقشة، فيكفي توثيق النجاشي له، ووجوده في أسناد كتاب نوادر الحكمة والنتيجة أنّ هذه الرواية معتبرة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بشير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الحمام فقال تريد الحمام؟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فأمر بإسخان الحمّام ثم دخل فاتزر بإزار فغطّی </w:t>
      </w:r>
    </w:p>
    <w:p>
      <w:pPr>
        <w:pStyle w:val="BookText"/>
        <w:rPr/>
      </w:pPr>
      <w:r>
        <w:rPr>
          <w:rFonts w:ascii="IRNazanin" w:hAnsi="IRNazanin" w:eastAsia="IRNazanin"/>
          <w:color w:val="111111"/>
          <w:sz w:val="28"/>
          <w:sz w:val="28"/>
          <w:szCs w:val="28"/>
          <w:rtl w:val="true"/>
          <w:lang w:bidi="fa-IR"/>
        </w:rPr>
        <w:t>ركبتيه وسرّته ثم أمر صاحب الحمام فطلی ما كان خارجاً من الإزار،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طلی هو ما تحته بيده،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فافعل</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ضعيفة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الأربعمائة المروي في الخصال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تعرّی الرجل نظر إليه الشيطان فطمع فيه فاستتروا، ليس للرجل أن يكشف ثيابه عن فخذه ويجلس بين قوم</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حديث الأربعمائة معتبر كما مرّ</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دلّ علی أنّ العورة هي القبل والدبر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روايتان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الفخذ ليس من العورة</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أبي يحيی الواسطي عن بعض أصحابنا عن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العورة عورتان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 والدبر، فأما الدبر مستور بالألتين فإذا سترت القضيب والبيضتين فقد سترت العورة</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وأشكل علی الطائفتين بضعف السند، ومع الغض عن هذه الناحية تحمل </w:t>
      </w:r>
    </w:p>
    <w:p>
      <w:pPr>
        <w:pStyle w:val="BookText"/>
        <w:rPr/>
      </w:pPr>
      <w:r>
        <w:rPr>
          <w:rFonts w:ascii="IRNazanin" w:hAnsi="IRNazanin" w:eastAsia="IRNazanin"/>
          <w:color w:val="111111"/>
          <w:sz w:val="28"/>
          <w:sz w:val="28"/>
          <w:szCs w:val="28"/>
          <w:rtl w:val="true"/>
          <w:lang w:bidi="fa-IR"/>
        </w:rPr>
        <w:t>الطائفة الأولی علی الاستحباب، خصوصاً الروايتين الأخيرتين، والحمل علی الاستحباب بناء علی قاعدة التسامح، فإنّها إن ثبتت فبها وإلّا لم يمكن الحمل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ولكن حيث إنّ رواية قرب الإسناد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ينظرنّ إلی عورتها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المفسّرة بعد ذلك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السرّة والركبة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إلی العورة التي هي بهذا المقدار حرام لا مكروه، فحملها علی الاستحباب بعيد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بما أنّ موردها الأمة يمكن القول بالأخذ بالقدر المتيقّن، وهو أنّ عورة المرأة ما بين السرّة والركبة، ولذا احتاط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بما بين هذين الحدّين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وجود المعارِض لهذه الرواية يخصّ العورة بالقبل والدبر، فلا مناص من رفع اليد عنه لموافقته للتقية؛ حيث إنّ أكثر العامّة يرون أنّ العورة هي ما بين السرّة والركبة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 في المغني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من الرجل ما بين السرّة والركبة، نصّ عليه أحمد في رواية جماعة، وهو قول مالك والشافعي وأبي حنيفة وأكثر الفقهاء، وفيه رواية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الفرجان، قال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أحمد ما العورة؟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والدبر وهذا قول ابن أبي ذئب 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الدارقطني بإسناده عن عمر بن شعيب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زوّج أحدكم عبده أمته أو أجيره فلا ينظر إلی شيء من عورته؛ فإنّ ما تحت السرّة </w:t>
      </w:r>
    </w:p>
    <w:p>
      <w:pPr>
        <w:pStyle w:val="BookText"/>
        <w:rPr/>
      </w:pPr>
      <w:r>
        <w:rPr>
          <w:rFonts w:ascii="IRNazanin" w:hAnsi="IRNazanin" w:eastAsia="IRNazanin"/>
          <w:color w:val="111111"/>
          <w:sz w:val="28"/>
          <w:sz w:val="28"/>
          <w:szCs w:val="28"/>
          <w:rtl w:val="true"/>
          <w:lang w:bidi="fa-IR"/>
        </w:rPr>
        <w:t>إلی الركبة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سرّته وركبته من عورته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نص، والحر والعبد في هذا سواء لتناول النص لهما جميعاً</w:t>
      </w:r>
      <w:r>
        <w:rPr>
          <w:rFonts w:eastAsia="IRNazanin" w:cs="IRNazanin"/>
          <w:color w:val="111111"/>
          <w:sz w:val="28"/>
          <w:szCs w:val="28"/>
          <w:rtl w:val="true"/>
          <w:lang w:bidi="fa-IR"/>
        </w:rPr>
        <w:t>»(</w:t>
      </w:r>
      <w:r>
        <w:rPr>
          <w:rStyle w:val="FootnoteAnchor"/>
          <w:rtl w:val="true"/>
        </w:rPr>
        <w:footnoteReference w:id="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وبما أنّ الحسين بن علوان عامّي فلا تبعد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الانصاف أنّه لابدّ من الجمود علی مدلول الطائفة الأولی، لضعف الطائفة الثانية، والاحتياط يقتضي ما ذهب إليه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الحكم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ستر لون العورة دون الحجم؛ لأنّ ظاهر الأدلة الدالة علی حرمة النظر إلی عورة الغير ووجوب حفظها عن نظر الغير إليها هو حرمة النظر إلی العورة نفسها، وبما أنّ اللون حاكٍ عنها فيحرم النظر إليه، فالمدار علی النظر إلی البشرة، ومرادهم من حرمة النظر إلی لون البشرة أنّ الحرمة متوجّهة إلی العورة نفسها؛ إذ لا مدخلية للونها في الحكم؛ فإنّه لو سترها بزجاج ملوّن، فقد ستر اللون لكنّه لم يستر العورة نفسها، وأمّا حجم العورة فلا يجب ستره ولا يحرم النظر إليه؛ لعدم صدق النظر إلی العورة، وإن كان الأحوط تركه، وقد نقل الوجوب عن المحقق الكركي</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يؤيّد هذا برواية عبيد الله الرافقي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الدابقي، المرافقي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حمّاماً بالمدينة، فأخبره صاحب الحمام أنّ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يدخله فيبدأ فيطلي عانته وما يليها، ثم يلفّ إزاره علی أطراف إحليله ويدعوني فأطلي سائر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 يوماً من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تكره أن </w:t>
      </w:r>
    </w:p>
    <w:p>
      <w:pPr>
        <w:pStyle w:val="BookText"/>
        <w:rPr/>
      </w:pPr>
      <w:r>
        <w:rPr>
          <w:rFonts w:ascii="Amiri" w:hAnsi="Amiri" w:eastAsia="Amiri" w:cs="Amiri"/>
          <w:color w:val="111111"/>
          <w:sz w:val="28"/>
          <w:sz w:val="28"/>
          <w:szCs w:val="28"/>
          <w:rtl w:val="true"/>
          <w:lang w:bidi="ar-SA"/>
        </w:rPr>
        <w:t>أراه قد رأيته،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النورة سترة</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وبرواية محمد بن عمر عن بعض من حدثه أنّ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يؤمن بالله واليوم الآخر فلا يدخل الحمام إلا بمئزر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ذات يوم الحمام فتنوّر فلما أطبقت النورة علی بدنه ألقی المئزر، فقال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إنّك لتوصينا بالمئزر ولزومه، ولقد ألقيته عن نفسك،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النورة قد أطبقت العورة</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ما يتراءی تحت الساتر الرقيق المعبّر عنه بالشبح يجب ستره ويحرم النظر إليه؛ لأنّ مثل هذا الساتر لا يمنع عن وقوع النظر إلی العورة نفسها؛ لما فيه من الخلل والفُرَج، ويصدق معه النظر إلی العورة حقيقة فلا يمكن الاكتفاء به في الستر الواجب</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اليزدي في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رأی عورة مكشوفة وشك في أنّها عورة حيوان أو إنسان، فالظاهر عدم وجوب الغض عليه، وإن علم أنّها من إنسان وشك في أنّها من صبي غير مميّز أو من بالغ أو مميّز، فالأحوط ترك النظر، وإن شك في أنّها من زوجته أو مملوكته أو أجنبيّة فلا يجوز النظر ويجب الغض عنها، لأنّ جواز النظر معلّق علی عنوان خاص وهو الزوجية أو المملوكية فلا بد من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رأی عضواً من بدن إنسان لايدري أنّه عورته أو غيرها من أعضائه جاز النظر وإن كان الأحوط الترك</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يوجد في هذا الفرع أربعة 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 عورة مكشوفة وشك في أنّها عورة حيوان أو إنسان لا يجب الفحص؛ لعدم إحراز الموضوع وهو عورة الانسان فتجري البراءة عن حرمة النظر إلی المشكوك فيه؛ لكون الشبهة موضوعيّة تحريميّة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أنّها عورة إنسان لكنها مردّدة بين ما يجوز النظر إليها وما لا يجوز النظر إليها، كأن شكّ في أنّها من صبي غير مميّز أو من بالغ أو مميز، فالأحوط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النظر، والظاهر أنّ الوجه فيه هو التمسّك بعموم ما دلّ علی عدم جواز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جماعة إلی الجواز؛ لأنّ موضوع وجوب الغض هو عورة الإنسان المميّز أو البالغ، وأما غير المميز فعدم الغض جائز، والاحتياط إنّما هو لشمول العام لغير المميّز عند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الأصل الموضوعي جارٍ في المقام؛ فإنّ التمييز والبلوغ مسبوقان بالعدم، فيستصحبان، ومعه لا تصل النوبة لاستصحاب الحكم وهو أصالة البراءة المقتضية لجواز النظر أيضاً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شك في أنّها من زوجته أو مملوكته أو أجنبيّة فلا يجوز النظر، ويجب الغض عنها؛ لأنّ جواز النظر معلّق علی عنوان خاص وهو الزوجيّة أو المملوكيّة، فلا بد من إثباته كسائر العناوين الوجوديّة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وجوب الغض عام خرج منه بالتخصيص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والمملوكة، فلا بد من إحراز المخصص وإلا لزم الأخذ بالعام، وأمّا في الخروج التخصصي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الحكمين </w:t>
      </w:r>
    </w:p>
    <w:p>
      <w:pPr>
        <w:pStyle w:val="BookText"/>
        <w:rPr/>
      </w:pPr>
      <w:r>
        <w:rPr>
          <w:rFonts w:ascii="Amiri" w:hAnsi="Amiri" w:eastAsia="Amiri" w:cs="Amiri"/>
          <w:color w:val="111111"/>
          <w:sz w:val="28"/>
          <w:sz w:val="28"/>
          <w:szCs w:val="28"/>
          <w:rtl w:val="true"/>
          <w:lang w:bidi="ar-SA"/>
        </w:rPr>
        <w:t xml:space="preserve">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معه للإحراز، ويكفي الشك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 عضواً من بدن إنسان لا يدري أنّه عورته أو غيرها من أعضائه جاز النظر؛ لأنّ موضوع الغض هو عنوان العورة، ولم يُحرز، ومعه تجري أصالة البراءة عن حرمة النظر إلی المشكوك؛ لكون الشبهة موضوعية تحريمية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الأحوط الترك، ولعل الوجه في أحوطية الترك هو حسن الاحتياط في كل حال</w:t>
      </w:r>
      <w:r>
        <w:rPr>
          <w:rFonts w:eastAsia="IRNazanin" w:cs="IRNazanin"/>
          <w:color w:val="111111"/>
          <w:sz w:val="28"/>
          <w:szCs w:val="28"/>
          <w:rtl w:val="true"/>
          <w:lang w:bidi="fa-IR"/>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15724_204465"/>
      <w:bookmarkStart w:id="352" w:name="pg15724_204465"/>
      <w:bookmarkEnd w:id="352"/>
    </w:p>
    <w:p>
      <w:pPr>
        <w:pStyle w:val="Heading2"/>
        <w:numPr>
          <w:ilvl w:val="1"/>
          <w:numId w:val="1"/>
        </w:numPr>
        <w:rPr/>
      </w:pPr>
      <w:bookmarkStart w:id="353" w:name="pg15724_204465"/>
      <w:bookmarkStart w:id="354" w:name="__RefHeading___Toc12418123_2142443653"/>
      <w:bookmarkStart w:id="355" w:name="_Toc131"/>
      <w:bookmarkEnd w:id="353"/>
      <w:bookmarkEnd w:id="354"/>
      <w:r>
        <w:rPr/>
        <w:t>2</w:t>
      </w:r>
      <w:r>
        <w:rPr>
          <w:rtl w:val="true"/>
        </w:rPr>
        <w:t xml:space="preserve">- </w:t>
      </w:r>
      <w:r>
        <w:rPr>
          <w:rtl w:val="true"/>
        </w:rPr>
        <w:t>بَابُ عَدَمِ جَوَازِ اسْتِقْبَالِ الْقِبْلَةِ وَاسْتِدْبَارِهَا عِنْدَ التَّخَلِّي وَكَرَاهَةِ اسْتِقْبَالِ الرِّيحِ وَاسْتِدْبَارِهَا وَاسْتِحْبَابِ اسْتِقْبَالِ الْمَشْرِقِ وَالْمَغْرِب</w:t>
      </w:r>
      <w:bookmarkEnd w:id="355"/>
    </w:p>
    <w:p>
      <w:pPr>
        <w:pStyle w:val="Heading3"/>
        <w:numPr>
          <w:ilvl w:val="2"/>
          <w:numId w:val="1"/>
        </w:numPr>
        <w:rPr/>
      </w:pPr>
      <w:bookmarkStart w:id="356" w:name="__RefHeading___Toc12418125_2142443653"/>
      <w:bookmarkStart w:id="357" w:name="_Toc132"/>
      <w:bookmarkEnd w:id="356"/>
      <w:r>
        <w:rPr>
          <w:rtl w:val="true"/>
        </w:rPr>
        <w:t>اشارة</w:t>
      </w:r>
      <w:bookmarkEnd w:id="3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اسْتِقْبَالِ الْقِبْلَةِ وَاسْتِدْبَارِهَا عِنْدَ التَّخَلِّي وَكَرَاهَةِ اسْتِقْبَالِ الرِّيحِ وَاسْتِدْبَارِهَا وَاسْتِحْبَابِ اسْتِقْبَالِ الْمَشْرِقِ وَالْمَغْرِب</w:t>
      </w:r>
    </w:p>
    <w:p>
      <w:pPr>
        <w:pStyle w:val="Heading3"/>
        <w:numPr>
          <w:ilvl w:val="2"/>
          <w:numId w:val="1"/>
        </w:numPr>
        <w:rPr/>
      </w:pPr>
      <w:bookmarkStart w:id="358" w:name="__RefHeading___Toc12418127_2142443653"/>
      <w:bookmarkStart w:id="359" w:name="_Toc133"/>
      <w:bookmarkEnd w:id="358"/>
      <w:r>
        <w:rPr>
          <w:rtl w:val="true"/>
        </w:rPr>
        <w:t>شرح الباب</w:t>
      </w:r>
      <w:r>
        <w:rPr>
          <w:rtl w:val="true"/>
        </w:rPr>
        <w:t>:</w:t>
      </w:r>
      <w:bookmarkEnd w:id="359"/>
    </w:p>
    <w:p>
      <w:pPr>
        <w:pStyle w:val="BookText"/>
        <w:rPr/>
      </w:pPr>
      <w:r>
        <w:rPr>
          <w:rFonts w:ascii="Amiri" w:hAnsi="Amiri" w:eastAsia="Amiri" w:cs="Amiri"/>
          <w:color w:val="111111"/>
          <w:sz w:val="28"/>
          <w:sz w:val="28"/>
          <w:szCs w:val="28"/>
          <w:rtl w:val="true"/>
          <w:lang w:bidi="ar-SA"/>
        </w:rPr>
        <w:t>تضمّن هذا العنوان ثلاثة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استقبال القبلة واستدبارها عند التخلّي، بلا فرق بين كون التخلّي في الأبنية أو الصحاري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استقبال الريح أو استدبارها حال التخلّي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استقبال المشرق أو المغرب، وعن بعضٍ وجوبه، للأمر به في الحديث الخامس من الباب والأمر يفيد الوجوب، ولتحريم استقبال القبلة واستدبارها ولا يتم إلا باستقبال المشرق أو المغرب لمن كانت قبلته ناحية الشمال أو الجنوب؛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المشرق والمغرب 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ردّ عليه الماتن في هامشٍ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الأوامر في مثله للاستحباب غالباً، خصوصاً بعد النهي، بل ورودها بعد النهي للجواز أغلب، حتی قطع كثير من العلماء بعدم </w:t>
      </w:r>
      <w:bookmarkStart w:id="360" w:name="pg15724_204466"/>
    </w:p>
    <w:p>
      <w:pPr>
        <w:pStyle w:val="BookText"/>
        <w:rPr/>
      </w:pPr>
      <w:bookmarkEnd w:id="360"/>
      <w:r>
        <w:rPr>
          <w:rFonts w:ascii="IRNazanin" w:hAnsi="IRNazanin" w:eastAsia="IRNazanin"/>
          <w:color w:val="111111"/>
          <w:sz w:val="28"/>
          <w:sz w:val="28"/>
          <w:szCs w:val="28"/>
          <w:rtl w:val="true"/>
          <w:lang w:bidi="fa-IR"/>
        </w:rPr>
        <w:t>إفادتها للوجوب</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12418129_2142443653"/>
      <w:bookmarkStart w:id="362" w:name="_Toc134"/>
      <w:bookmarkEnd w:id="361"/>
      <w:r>
        <w:rPr>
          <w:rtl w:val="true"/>
        </w:rPr>
        <w:t>أقوال الخاصّة</w:t>
      </w:r>
      <w:r>
        <w:rPr>
          <w:rtl w:val="true"/>
        </w:rPr>
        <w:t>:</w:t>
      </w:r>
      <w:bookmarkEnd w:id="362"/>
    </w:p>
    <w:p>
      <w:pPr>
        <w:pStyle w:val="BookText"/>
        <w:rPr/>
      </w:pPr>
      <w:r>
        <w:rPr>
          <w:rFonts w:ascii="IRNazanin" w:hAnsi="IRNazanin" w:eastAsia="IRNazanin"/>
          <w:color w:val="111111"/>
          <w:sz w:val="28"/>
          <w:sz w:val="28"/>
          <w:szCs w:val="28"/>
          <w:rtl w:val="true"/>
          <w:lang w:bidi="fa-IR"/>
        </w:rPr>
        <w:t xml:space="preserve">القول بحرمة استقبال القبلة واستدبارها حال التخلّي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بين كون المتخلّي في صحراء أو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 بل ادعي عليه الإجماع، قال في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خيرة المبسوط والخلاف والسرائر والمعتبر والنافع والمنتهی والإرشاد والقواعد وجامع المقاصد وغيرها، بل هو المشهور نقلاً وتحصيلاً، بل في الخلاف وعن الغنية الإجماع عليه</w:t>
      </w:r>
      <w:r>
        <w:rPr>
          <w:rFonts w:eastAsia="IRNazanin" w:cs="IRNazanin"/>
          <w:color w:val="111111"/>
          <w:sz w:val="28"/>
          <w:szCs w:val="28"/>
          <w:rtl w:val="true"/>
          <w:lang w:bidi="fa-IR"/>
        </w:rPr>
        <w:t>»(</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الاجتناب في الصحراء، ولم يتعرّض للاستدبار، ونقل عن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في البنيان، ويلزم منه الكراهة أو التحريم في الصحراء</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وأفاد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من المسائل المتسالم عليها عند الأصحاب حيث لم ينقل فيها الخلاف إلّا عن جماعة من متأخّري المتأخّرين منهم صاحب المدارك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ذهب إلی كراهتهما</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2418131_2142443653"/>
      <w:bookmarkStart w:id="364" w:name="_Toc135"/>
      <w:bookmarkEnd w:id="363"/>
      <w:r>
        <w:rPr>
          <w:rtl w:val="true"/>
        </w:rPr>
        <w:t>أقوال العامّة</w:t>
      </w:r>
      <w:r>
        <w:rPr>
          <w:rtl w:val="true"/>
        </w:rPr>
        <w:t>:</w:t>
      </w:r>
      <w:bookmarkEnd w:id="36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أكثر العامّة علی عدم جواز استقبال القبلة أو استدبارها في الصحاري، والجواز في الأبنية قال في المغني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يجوز استقبال القبلة في الفضاء لقضاء الحاجة في </w:t>
      </w:r>
    </w:p>
    <w:p>
      <w:pPr>
        <w:pStyle w:val="BookText"/>
        <w:rPr/>
      </w:pPr>
      <w:r>
        <w:rPr>
          <w:rFonts w:ascii="Amiri" w:hAnsi="Amiri" w:eastAsia="Amiri" w:cs="Amiri"/>
          <w:color w:val="111111"/>
          <w:sz w:val="28"/>
          <w:sz w:val="28"/>
          <w:szCs w:val="28"/>
          <w:rtl w:val="true"/>
          <w:lang w:bidi="ar-SA"/>
        </w:rPr>
        <w:t>قول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البنيان أو إذا كان بينه وبين القبلة شيء يستره ففيه روايتان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أيضاً، وهو قول الثوري وأبي حنيفة لعموم الأحاديث في النهي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استقبالها واستدبارها في البنيان، روي ذلك عن العباس وابن عمر رضي الله عنهما، وبه قال مالك والشافعي وابن المنذر، وهو الصحيح؛ لحديث جابر وقد حملناه علی أنّه كان في البنيان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أحمد أنّه يجوز استدبار الكعبة في البنيان والفضاء جميعاً</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خلاف بين الفقهاء في أنّه يكره لقاضي الحاجة إذا كانت الحاجة بولاً أو غائطاً رقيقاً أن يستقبل مهبّ الريح، لئلّا يصيبه رشاش الخارج فينجّسه</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حَنِيفَةَ مِنْ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وَهُوَ غُلَامٌ،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بِبَلَدِكُمْ؟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أَفْنِيَةَ الْمَسَاجِدِ وَشُطُوطَ الْأَنْهَارِ وَمَسَاقِطَ الثِّمَارِ وَمَنَازِلَ النُّزَّالِ وَلَا تَسْتَقْبِلِ الْقِبْلَةَ بِغَائِطٍ وَلَا بَوْلٍ وَارْفَعْ ثَوْبَكَ وَضَعْ حَيْثُ شِئْتَ</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يضع الغريب ببلدكم؟ سؤال عن مكان وضع الغريب حاجته من البول أو الغائط، وتخصيصه السؤال بالغريب لكون أهل البلد غالباً ما يكون لهم مكان مهيّأ يقضون فيه حاجتهم بخلاف الغريب عن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لطالب قضاء الحاجة أن يقضيها في أيّ مكان شاء ما دام يجتنب قضاءها في أماكن خاصّة، وهي</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أفنية المساجد، وقد جاء الفناء بمعنيين في كتب اللغة، فعن النهاية ولسان العرب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المتسع أمام الدار</w:t>
      </w:r>
      <w:r>
        <w:rPr>
          <w:rFonts w:eastAsia="Amiri" w:cs="Amiri" w:ascii="Amiri" w:hAnsi="Amiri"/>
          <w:color w:val="111111"/>
          <w:sz w:val="28"/>
          <w:szCs w:val="28"/>
          <w:rtl w:val="true"/>
          <w:lang w:bidi="ar-SA"/>
        </w:rPr>
        <w:t>(</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الصحاح ولسان العرب أيضاً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امتدّ من جوانبها</w:t>
      </w:r>
      <w:r>
        <w:rPr>
          <w:rFonts w:eastAsia="Amiri" w:cs="Amiri" w:ascii="Amiri" w:hAnsi="Amiri"/>
          <w:color w:val="111111"/>
          <w:sz w:val="28"/>
          <w:szCs w:val="28"/>
          <w:rtl w:val="true"/>
          <w:lang w:bidi="ar-SA"/>
        </w:rPr>
        <w:t>(</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وشطوط الأنهار، وهي جمع شط، وفسّر </w:t>
      </w:r>
    </w:p>
    <w:p>
      <w:pPr>
        <w:pStyle w:val="BookText"/>
        <w:rPr/>
      </w:pPr>
      <w:r>
        <w:rPr>
          <w:rFonts w:ascii="IRNazanin" w:hAnsi="IRNazanin" w:eastAsia="IRNazanin"/>
          <w:color w:val="111111"/>
          <w:sz w:val="28"/>
          <w:sz w:val="28"/>
          <w:szCs w:val="28"/>
          <w:rtl w:val="true"/>
          <w:lang w:bidi="fa-IR"/>
        </w:rPr>
        <w:t>الشط بشاطِئ النهر وجانبه</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ومساقط الثمار، وهي جمع مسقط، وقد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مَسْقِطُ الشيء ومَسْقَطُه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سقُوطه</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ومنازل النزّال جمع منزل، وهو موضع النزول، والنُّزّال هم المسافرون، وقد جاء 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منازل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الظلال المعدّة لنزول القوافل والمتردّدين من شجرة أو جبل أو جدار أو غيرها</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وسيأتي في أحاديث الباب الخامس عشر من هذه الأبواب التصريح بأماكن أخری يكره الجلوس لقضاء الحاجة عليها كالطرق النافذة ومواضع اللعن، وغيرهما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استقبال القبلة بالغائط أو البول، وهذا يدلّ علی حرمة استقبال القبلة عند قضاء الحاجة؛ لظهور النهي في الحرمة، ولم يتعرّض الحديث لاستدبار القبلة، وهو بإطلاقه يشمل الأبنية والصحاري كما يشمل الاستقبال بمقاديم البدن حين البول نحو القبلة، والاستقبال بالعورة فقط وإن لم تكن مقاديم البدن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الماتن سندين لهذا الحديث أحدهما هنا والآخر بعد الحديث الثاني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الكليني، وهو ضعيف بالرفع، ويمكن أن يقال باعتباره علی مبنی قبول شهادة الكليني باعتبار أحاديث كتابه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الشيخ إلی الكليني،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أيّده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القاسم جعفر بن محمد عن محمد بن يعقوب عن علي بن إبراهيم، رفعه، والكلام فيه كسابقه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يَحْيَى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وَلَا تَسْتَدْبِرْهَا، وَلَا تَسْتَقْبِلِ الرِّيحَ، وَلَا تَسْتَدْبِرْهَا</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بِإِسْنَادِهِ، عَنْ مُحَمَّدِ بْنِ يَعْقُوبَ، وَكَذَا الَّذِي قَبْلَهُ</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مِثْلَهُ</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الْمُقْنِعِ مُرْسَلًا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يطلق الحدّ علی المنع والفصل بين الشيئين، ففي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بين الشيئين لئلّا يختلط أحدهما بالآخر، أو لئلّا يتعدّی أحدهما علی الآخر</w:t>
      </w:r>
      <w:r>
        <w:rPr>
          <w:rFonts w:eastAsia="IRNazanin" w:cs="IRNazanin"/>
          <w:color w:val="111111"/>
          <w:sz w:val="28"/>
          <w:szCs w:val="28"/>
          <w:rtl w:val="true"/>
          <w:lang w:bidi="fa-IR"/>
        </w:rPr>
        <w:t>»(</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ويطلق علی الأحكام الشرعية؛ لأنّها فاصلة بين الحلال والحرام، ففي مجمع البحرين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الحدود الشرعية عبارة عن الأحكام الشرعية، مثل حدّ الغائط كذا، وحدّ الوضوء كذا، وحدّ الصلاة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أقمتم 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أحكامه وشرائعه</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وعليه فكان سؤال السائل عن الحكم الشرعي في التخلّي، وقد كنّی عنه بالغائط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الجواب بالنهي عن استقبال القبلة واستدبارها وهو ظاهر في الحرمة، وكذا النهي عن استقبال الريح واستدبارها لولا القطع بعدم حرمتهما، فيحمل النهي علی الكراهة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النهي عن استقبال الريح واستدبارها قرينة علی عدم حرمة استقبال القبلة واستدبارها، للقطع بعدم حرمة استقبال الريح واستدبارها حال التخلّي، وقد وقعا في سياق واحد، فلا يكون المراد من النهي الحرمة فيهما، بل يراد منه الكراهة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أفاد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الحديث السابع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الفرق بين القبلة والريح وقولنا بالتحريم في الأولی والكراهة في الثانية هو ثبوت حرمة القبلة وشرفها بضرورة الدين، وعمل الأصحاب، وزيادة النصوص الواردة بهذا الخصوص، والمبالغة والتشديد في أمر القبلة، وهو مقتضی الاحتياط، وغير ذلك من الأمور، وأمّا الريح فلم يرد فيها غير حديثين في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عُلّل عدم استقبال الريح واستدبارها بعلّتين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الريح يردّ البول، فيصيب الثوب وربما لم يعلم الرجل ذلك، أو لم يجد ما يغسله، والعلّة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الريح ملَكاً فلا يُستقبل بالعورة</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الماتن سند الحديث بأربعة أنحاء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محمد بن يحيی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ولم يُعلم إسناده، كما أنّ السند مرفوع، ويمكن تصحيحه بناء علی قبول شهادة الكليني بصحة ما في الكافي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بسنده إلی الكليني، ولكنّه لم يصرّح بأخذه من الكافي ولم يذكر الكليني في السند في كلا كتابيه، حيث قال في 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الشيخ أيّده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أحمد بن محمد بن الحسن بن الوليد، عن أبيه، عن محمد بن يحيی العطار وأحمد بن إدريس جميعاً، عن محمد بن أحمد بن يحيی، عن يعقوب بن يزيد، عن ابن أبي عمير، عن عبد الحميد بن أبي العلاء أو غيره، رفعه</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الاستبصار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 السند</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يُلتزم بأنّه مأخوذ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قبول شهادة الكليني بصحة ما في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مرسلاً في الفقيه، ويصحّح بناء علی قبول شهادة الصدوق في كتابه الفقيه</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مرسلاً في المقنع، ويصحّح بناء علی قبول شهادة الصدوق في كتابه المقنع</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شُعَيْبِ بْنِ وَاقِدٍ، عَنِ الْحُسَيْنِ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دَخَلْتُمُ الْغَائِطَ فَتَجَنَّبُوا الْقِبْلَةَ</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يبعد ظهوره في إرادة الدخول في الأبنية لقضاء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أيِّ فقد دلّ بإطلاقه علی وجوب اجتناب القبلة بالبول أو الغائط استقبالاً واستدباراً، سواء كان ذلك بمقاديم البدن أو بالعورة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سند الصدوق إلی شعيب بن واقد ضعيف</w:t>
      </w:r>
      <w:r>
        <w:rPr>
          <w:rFonts w:eastAsia="IRNazanin" w:cs="IRNazanin"/>
          <w:color w:val="111111"/>
          <w:sz w:val="28"/>
          <w:szCs w:val="28"/>
          <w:rtl w:val="true"/>
          <w:lang w:bidi="fa-IR"/>
        </w:rPr>
        <w:t>(</w:t>
      </w:r>
      <w:r>
        <w:rPr>
          <w:rStyle w:val="FootnoteAnchor"/>
          <w:rtl w:val="true"/>
        </w:rPr>
        <w:footnoteReference w:id="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شعيب فهو مجهول، والحسين بن زيد هو الحسين بن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تقدّم أنّه ثقة؛ لرواية المشايخ الثقات عنه، فهذا السند ضعيف، ويمكن تصحيحه بناء علی قبول شهادة الصدوق بصحة ما في الفقيه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اسْتِقْبَالِ الْقِبْلَةِ بِبَوْلٍ أَوْ غَائِطٍ</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بإطلاقه علی شمول النهي عن استقبال القبلة بالبول والغائط للصحاري والأبنية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إطلاقه يشمل الاستقبال بمقاديم البدن مع البول نحو القبلة، والاستقبال بالعورة فقط وإن لم تكن مقاديم البدن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مراسيل الصدوق، وقد مرّ مراراً أنّها معتبرة</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الْمُفِيدِ، عَنْ أَحْمَدَ بْنِ مُحَمَّدِ بْنِ الْحَسَنِ بْنِ الْوَلِيدِ، عَنْ أَبِيهِ، عَنْ مُحَمَّدِ بْنِ يَحْيَى، عَنْ مُحَمَّدِ بْنِ عَلِيِّ بْنِ مَحْبُوبٍ، عَنْ مُحَمَّدِ بْنِ الْحُسَيْنِ، عَنْ مُحَمَّدِ بْنِ عَبْدِ اللَّهِ بْنِ زُرَارَةَ، عَنْ عِيسَى بْنِ عَبْدِ اللَّهِ الْهَاشِمِيِّ،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فَلَا تَسْتَقْبِلِ الْقِبْلَةَ، وَلَا تَسْتَدْبِرْهَا، وَلَكِنْ شَرِّقُوا أَوْ غَرِّبُوا</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و للزيادة راجع المدارك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ومفتاح الكرامة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والجواهر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وأمّا صاحب ذخيرة المعاد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التشريق والتغريب مستحب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بيت الخلاء، 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المخرج بالفتح مكان خروج الفضلات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الكنيف </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والنهي فيه مطلق يشمل الاستقبال والاستدبار في الأبنية وفي غيرها، كما يشمل الاستقبال بالبول والفرج وعدمه، وعليه فيحرم الاستقبال بالبدن فقط كما </w:t>
      </w:r>
    </w:p>
    <w:p>
      <w:pPr>
        <w:pStyle w:val="BookText"/>
        <w:rPr/>
      </w:pPr>
      <w:r>
        <w:rPr>
          <w:rFonts w:ascii="Amiri" w:hAnsi="Amiri" w:eastAsia="Amiri" w:cs="Amiri"/>
          <w:color w:val="111111"/>
          <w:sz w:val="28"/>
          <w:sz w:val="28"/>
          <w:szCs w:val="28"/>
          <w:rtl w:val="true"/>
          <w:lang w:bidi="ar-SA"/>
        </w:rPr>
        <w:t>يحرم الاستقبال بالفرج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والأمر بالتشريق أو التغريب إنّما هو لمن كانت قبلته جهة الجنوب أو الشمال فهذا الحكم مختصّ به، وأمّا من كانت قبلته جهة الشرق أو الغرب فلا بدّ له من أن يتّجه نحو الشمال أو الجنوب، كما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الحسن بن الوليد، وقد سبق أنّ وجوده في السند لا يضرّ به؛ لأنّ رواياته في الكتب الأربعة كلّها عن أبيه، وللشيخ ثلاثة طرق إلی محمد بن الحسن اثنان منها ليس فيهما أحمد</w:t>
      </w:r>
      <w:r>
        <w:rPr>
          <w:rFonts w:eastAsia="IRNazanin" w:cs="IRNazanin"/>
          <w:color w:val="111111"/>
          <w:sz w:val="28"/>
          <w:szCs w:val="28"/>
          <w:rtl w:val="true"/>
          <w:lang w:bidi="fa-IR"/>
        </w:rPr>
        <w:t>(</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وبهذا يقال باعتبار رواياته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يحيی، وهو العطار، ومحمد بن الحسين، وهو ابن أبي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زرارة، وهو أخو إبراهيم بن عبد الحميد الأسدي</w:t>
      </w:r>
      <w:r>
        <w:rPr>
          <w:rFonts w:eastAsia="Amiri" w:cs="Amiri" w:ascii="Amiri" w:hAnsi="Amiri"/>
          <w:color w:val="111111"/>
          <w:sz w:val="28"/>
          <w:szCs w:val="28"/>
          <w:rtl w:val="true"/>
          <w:lang w:bidi="ar-SA"/>
        </w:rPr>
        <w:t>(</w:t>
      </w:r>
      <w:r>
        <w:rPr>
          <w:rStyle w:val="FootnoteAnchor"/>
          <w:rtl w:val="true"/>
        </w:rPr>
        <w:footnoteReference w:id="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النجاشي في ترجمة الحسن بن علي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الريّان عن محمد بن عبد الله بن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جنازة الحسن فالتفت إليَّ وإلی محمد بن الهيثم التميمي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اُبشركما؟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الحسن بن علي قبل وفاته، وهو في تلك الغمرات، وعنده محمد بن الحسن بن الجهم فسمعته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تشهّد،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فتشهّد </w:t>
      </w:r>
    </w:p>
    <w:p>
      <w:pPr>
        <w:pStyle w:val="BookText"/>
        <w:rPr/>
      </w:pPr>
      <w:r>
        <w:rPr>
          <w:rFonts w:ascii="IRNazanin" w:hAnsi="IRNazanin" w:eastAsia="IRNazanin"/>
          <w:color w:val="111111"/>
          <w:sz w:val="28"/>
          <w:sz w:val="28"/>
          <w:szCs w:val="28"/>
          <w:rtl w:val="true"/>
          <w:lang w:bidi="fa-IR"/>
        </w:rPr>
        <w:t xml:space="preserve">الحسن فعبر عبد الله، وصار إلی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عبد الله؟ فسكت، ثم عاد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فتشهّد وصار إلی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عبد الله؟ يردّد ذلك عليه ثلاث مرات،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نظرنا في الكتب فما رأينا لعبد الله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بن علي فطحياً يقول بإمامة عبد الله بن جعفر فرجع، قال ابن داود في تمام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 بن أسباط فأخبره محمد بن الحسن بن الجهم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 بن أسباط يلومه،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أحمد بن الحسن بن علي بن فضال بقول محمد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محمد بن عبد الله علی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والله محمد بن عبد الله أصدق عندي لهجة من أحمد بن الحسن؛ فإنّه رجل فاضل ديّن</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وبانضمام أنّ أحمد بن الحسن بن علي بن فضال ثقة في الحديث بتصريح النجاشي</w:t>
      </w:r>
      <w:r>
        <w:rPr>
          <w:rFonts w:eastAsia="Amiri" w:cs="Amiri" w:ascii="Amiri" w:hAnsi="Amiri"/>
          <w:color w:val="111111"/>
          <w:sz w:val="28"/>
          <w:szCs w:val="28"/>
          <w:rtl w:val="true"/>
          <w:lang w:bidi="ar-SA"/>
        </w:rPr>
        <w:t>(</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محمد بن عبد الله بن زرارة أوثق منه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الشيخ في التهذيب عن علي بن الحسن بن فضال أنّ محمد بن عبد الله بن زرارة أوصی في جميع تركته أن تباع ويحمل ثمنها إلی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وكتب إليه أحمد بن الحسن ودفع الشيء بحضرتي إلی أيوب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وصل ذلك، وترحّم علی الميت، وقرأت الجواب</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يدلّ علی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عيسی بن عبد الله الهاشمي فهو عيسی بن عبد الله بن محمد بن عمر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وأبوه عبد الله بن محمد، وجده محمد بن عمر، ولم يرد فيهم شيء، إلا أنّهم وقعوا في أسناد كتاب نوادر الحكمة</w:t>
      </w:r>
      <w:r>
        <w:rPr>
          <w:rFonts w:eastAsia="IRNazanin" w:cs="IRNazanin"/>
          <w:color w:val="111111"/>
          <w:sz w:val="28"/>
          <w:szCs w:val="28"/>
          <w:rtl w:val="true"/>
          <w:lang w:bidi="fa-IR"/>
        </w:rPr>
        <w:t>(</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ثقات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كلّه فالسند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عَنْ مُحَمَّدِ بْنِ يَحْيَى وَأَحْمَدَ بْنِ إِدْرِيسَ</w:t>
      </w:r>
      <w:r>
        <w:rPr>
          <w:rFonts w:eastAsia="Amiri" w:cs="Amiri" w:ascii="Amiri" w:hAnsi="Amiri"/>
          <w:color w:val="111111"/>
          <w:sz w:val="28"/>
          <w:szCs w:val="28"/>
          <w:rtl w:val="true"/>
          <w:lang w:bidi="ar-SA"/>
        </w:rPr>
        <w:t>(</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أَحْمَدَ بْنِ يَحْيَى، عَنْ يَعْقُوبَ بْنِ يَزِيدَ، عَنِ ابْنِ أَبِي عُمَيْرٍ، عَنْ عَبْدِ الْحَمِيدِ بْنِ أَبِي الْعَلَاءِ أَوْ غَيْرِهِ،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وَلَا تَسْتَدْبِرْهَا، وَلَا تَسْتَقْبِلِ الرِّيحَ، وَلَا تَسْتَدْبِرْهَا</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مضی بيانه في الحديث الثاني من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وبالإسناد، أي بالإسناد السابق في الحديث الخامس إلی محمد بن يحيی العطار، وهو كما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أيّده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أحمد بن محمد بن الحسن بن الوليد عن أبيه، عن محمد بن يحيی العطار وأحمد بن إدريس جميعاً، عن محمد بن أحمد بن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في الاستبصار فلم يذكر أحمد بن إدريس قريناً لمحمد بن يحيی العطار، كما نبّه عليه الماتن في حاشية منه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الكلام في بقيّة أفراد السند وأنّهم ثقات، ولكن السند مرفوع، مضافاً إلی عدم معلوميّة طرف الترديد مع عبد الحميد بن أبي العلاء، فيكون السند ضعيفاً</w:t>
      </w:r>
      <w:r>
        <w:rPr>
          <w:rFonts w:eastAsia="IRNazanin" w:cs="IRNazanin"/>
          <w:color w:val="111111"/>
          <w:sz w:val="28"/>
          <w:szCs w:val="28"/>
          <w:rtl w:val="true"/>
          <w:lang w:bidi="fa-IR"/>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الوسائل المطبوعة بتحقيق الشيخ عبد الرحيم الرباني جاء السند من دون ترديد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الحميد بن أبي العلاء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للتهذيب في موضعين وللاستبصار والوافي وجامع الأحاديث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مُحَمَّدِ بْنِ عَلِيِّ بْنِ مَحْبُوبٍ، عَنِ الْهَيْثَمِ بْنِ أَبِي مَسْرُوقٍ،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مَنْزِلِهِ كَنِيفٌ مُسْتَقْبِلَ الْقِبْلَةِ،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حِذَاءَ الْقِبْلَةِ ثُمَّ ذَكَرَ فَانْحَرَفَ عَنْهَا إِجْلَالًا لِلْقِبْلَةِ وَتَعْظِيماً لَهَا لَمْ يَقُمْ مِنْ مَقْعَدِهِ ذَلِكَ حَتَّى يُغْفَرَ لَهُ</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الْبَرْقِيُّ فِي الْمَحَاسِنِ عَنْ أَبِيهِ، عَنِ الْحَارِثِ بْنِ بَهْرَامَ،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حِذَاءَ الْقِبْلَةِ ثُمَّ ذَكَرَ مِثْلَهُ</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الْحَدِيثِ غَيْرُ صَرِيحٍ فِي الْمُنَافَاةِ، لِاحْتِمَالِ انْتِقَالِ ذَلِكَ الْكَنِيفِ إِلَيْهِ عَلَى تِلْكَ الْحَالِ، أَوْ كَوْنِهِ غَيْرَ مِلْكٍ لَهُ، وَعَلَى الْأَوَّلِ فَعَدَمُ تَغْيِيرِهِ إِمَّا لِقُرْبِ الْعَهْدِ أَوْ عَدَمِ الْإِمْكَانِ أَوْ ضِيقِ الْبِنَاءِ أَوْ لِلتَّقِيَّةِ أَوْ لِإِمْكَانِ الْجُلُوسِ مَعَ الِانْحِرَافِ عَنِ الْقِبْلَةِ أَوْ لِعَدَمِ الْحَاجَةِ إِلَيْهِ لِوُجُودِ غَيْرِهِ أَوْ نَحْوِ ذَلِكَ، ثُمَّ إِنَّ الْفَارِقَ بَيْنَ الْقِبْلَةِ وَالرِّيحِ بِالتَّحْرِيمِ وَالْكَرَاهَةِ ثُبُوتُ حُرْمَةِ الْقِبْلَةِ وَشَرَفِهَا بِالضَّرُورَةِ، وَعَمَلُ الْأَصْحَابِ، وَزِيَادَةُ النُّصُوصِ، وَالْمُبَالَغَةُ وَالتَّشْدِيدُ وَالِاحْتِيَاطُ وَغَيْرُ ذَلِكَ، وَيَأْتِي أَيْضاً مَا يَدُلُّ عَلَى ذَلِكَ وَاللَّهُ أَعْلَمُ</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 حكاية وجود كنيف مستقبل القبلة في منزل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بيان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المتضمّن أنّ من بال في جهة القبلة ثم ذكر أنّه مستقبل لها فانحرف عنها لأجل إجلالها وتعظيمها كان جزاؤه الغفران قبل أن يقوم من محلّ تخليّه؛ إذ تعظيمه للقبلة تعظيم لآية الله وحرمه وبيته تعالی الذي نسبه إلی نفسه وجعل له الحرمة العظيمة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به سلار وابن الجنيد في جواز التخلّي مستقبلاً القبلة في الأبنية، لأنّ بناء الكنيف في بيت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إلی القبلة، ولكن بناء الكنيف مستقبلاً القبلة لا يستلزم جواز الجلوس عليه من دون انحراف عنها عند قضاء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هذا الحديث كراهة الاستقبال أثناء قضاء الحاجة، لا حرمته بقرينة أنّ الانحراف عن القبلة إجلال وتعظيم لها،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الاستقبال لها مستحب</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يقال إنّ هذا إشعار باستحباب عدم الاستقبال أو كراهة الاستقبال، لكنّه لا يرفع اليد عن ظواهر الأحاديث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أفاد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في صدر الحديث من وجود كنيف مستقبل القبلة في منزل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ينافي حرمة استقبال القبلة حال التخلّي؛ لاحتمال انتقال البيت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وكنيفه مستقبل القبلة، أو كون البيت غير ملك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فالتصرّف فيه بتحويل جهة الكنيف يحتاج إلی إذن المالك، ولعلّ تحصيل الإذن غير متيسّر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لم يغيّره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فرض شرائه للبيت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لقرب العهد بشراء البيت، أو لعدم إمكانه للتغيير ولو لضيق البناء، أو للتقيّة، أو لإمكان الجلوس عليه مع الانحراف عن القبلة، أو لعدم الحاجة إليه لوجود كنيف آخر في البيت، أو لنحو ذلك من الأسباب</w:t>
      </w:r>
      <w:r>
        <w:rPr>
          <w:rFonts w:eastAsia="IRNazanin" w:cs="IRNazanin"/>
          <w:color w:val="111111"/>
          <w:sz w:val="28"/>
          <w:szCs w:val="28"/>
          <w:rtl w:val="true"/>
          <w:lang w:bidi="fa-IR"/>
        </w:rPr>
        <w:t xml:space="preserve">. </w:t>
      </w:r>
      <w:bookmarkStart w:id="365" w:name="pg15724_204484"/>
    </w:p>
    <w:p>
      <w:pPr>
        <w:pStyle w:val="Heading3"/>
        <w:numPr>
          <w:ilvl w:val="2"/>
          <w:numId w:val="1"/>
        </w:numPr>
        <w:rPr/>
      </w:pPr>
      <w:bookmarkStart w:id="366" w:name="__RefHeading___Toc12418133_2142443653"/>
      <w:bookmarkStart w:id="367" w:name="_Toc136"/>
      <w:bookmarkEnd w:id="365"/>
      <w:bookmarkEnd w:id="366"/>
      <w:r>
        <w:rPr>
          <w:rtl w:val="true"/>
        </w:rPr>
        <w:t>المتحصل من الأحادیث</w:t>
      </w:r>
      <w:bookmarkEnd w:id="367"/>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الشيخ في التهذيبين، وقد تقدّم أنّ إسناده إلی محمد بن علي بن محبوب ثلاثة طرق أحدها صحيح والثاني معتبر</w:t>
      </w:r>
      <w:r>
        <w:rPr>
          <w:rFonts w:eastAsia="IRNazanin" w:cs="IRNazanin"/>
          <w:color w:val="111111"/>
          <w:sz w:val="28"/>
          <w:szCs w:val="28"/>
          <w:rtl w:val="true"/>
          <w:lang w:bidi="fa-IR"/>
        </w:rPr>
        <w:t>(</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الهيثم بن أبي مسروق فقد مضی أنّه ممدوح، بل ثقة</w:t>
      </w:r>
      <w:r>
        <w:rPr>
          <w:rFonts w:eastAsia="IRNazanin" w:cs="IRNazanin"/>
          <w:color w:val="111111"/>
          <w:sz w:val="28"/>
          <w:szCs w:val="28"/>
          <w:rtl w:val="true"/>
          <w:lang w:bidi="fa-IR"/>
        </w:rPr>
        <w:t>(</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بن إسماعيل فهو ابن بزيع، وعلی هذا فالسند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البرقي في المحاسن،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بهرام، ولم يذكر في الأصول الرجاليّة، لكن روی عنه المشايخ الثقات</w:t>
      </w:r>
      <w:r>
        <w:rPr>
          <w:rFonts w:eastAsia="IRNazanin" w:cs="IRNazanin"/>
          <w:color w:val="111111"/>
          <w:sz w:val="28"/>
          <w:szCs w:val="28"/>
          <w:rtl w:val="true"/>
          <w:lang w:bidi="fa-IR"/>
        </w:rPr>
        <w:t>(</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جميع، وقد مضی أنّه ضعيف الحديث</w:t>
      </w:r>
      <w:r>
        <w:rPr>
          <w:rFonts w:eastAsia="IRNazanin" w:cs="IRNazanin"/>
          <w:color w:val="111111"/>
          <w:sz w:val="28"/>
          <w:szCs w:val="28"/>
          <w:rtl w:val="true"/>
          <w:lang w:bidi="fa-IR"/>
        </w:rPr>
        <w:t>(</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سبعة أحاديث، أوّلها معتبر بطريقيه، والسادس ضعيف، والسابع معتبر بأحد طريقيه، والبقيّة معتبرة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المحدّث النوري في المستدرك خمسة أحاديث أخر، جاء فيها النهي عن الاستقبال والاستدبار، واختص أحدها بذكر النهي عن الاستقبال، لكنّها كلّها ضعيفة الإسناد</w:t>
      </w:r>
      <w:r>
        <w:rPr>
          <w:rFonts w:eastAsia="Amiri" w:cs="Amiri" w:ascii="Amiri" w:hAnsi="Amiri"/>
          <w:color w:val="111111"/>
          <w:sz w:val="28"/>
          <w:szCs w:val="28"/>
          <w:rtl w:val="true"/>
          <w:lang w:bidi="ar-SA"/>
        </w:rPr>
        <w:t xml:space="preserve">. </w:t>
      </w:r>
      <w:bookmarkStart w:id="368" w:name="pg15724_204485"/>
    </w:p>
    <w:p>
      <w:pPr>
        <w:pStyle w:val="BookText"/>
        <w:rPr/>
      </w:pPr>
      <w:bookmarkEnd w:id="368"/>
      <w:r>
        <w:rPr>
          <w:rFonts w:ascii="Amiri" w:hAnsi="Amiri" w:eastAsia="Amiri" w:cs="Amiri"/>
          <w:color w:val="111111"/>
          <w:sz w:val="28"/>
          <w:sz w:val="28"/>
          <w:szCs w:val="28"/>
          <w:rtl w:val="true"/>
          <w:lang w:bidi="ar-SA"/>
        </w:rPr>
        <w:t>وزاد العلّامة المجلسي في البحار حديثين أحدهما الحديث الثالث نفسه من هذا الباب، لكنّه نقله عن أمالي الصدوق، والآخر عن الهداية،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يجلس للبول والغائط مستقبل القبلة ولا مستدبرها، ولا مستقبل الهلال ولا مستدبره</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12418135_2142443653"/>
      <w:bookmarkStart w:id="370" w:name="_Toc137"/>
      <w:bookmarkEnd w:id="369"/>
      <w:r>
        <w:rPr>
          <w:rtl w:val="true"/>
        </w:rPr>
        <w:t>فروع ثلاثة حول التخلّي</w:t>
      </w:r>
      <w:bookmarkEnd w:id="370"/>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في حال التخلّي استقبال القبلة واستدبارها بمقاديم بدنه، وإن أمال عورته إلی غيرهما، والأحوط ترك الاستقبال والاستدبار بعورته فقط، وإن لم يكن مقاديم بدنه إليهما، ولا فرق في الحرمة بين الأبنية والصحاري، والقول بعدم الحرمة في الأول ضعيف، والقبلة المنسوخة كبيت المقدس لا يلحقها الحكم، والأقوی عدم حرمتهما في حال الاستبراء والاستنجاء وإن كان الترك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اضطر إلی أحد الأمرين تخيّر، وإن كان الأحوط الاستدبار، ولو دار أمره بين أحدهما وترك الستر مع وجود الناظر وجب الستر، ولو اشتبهت القبلة لا يبعد العمل بالظن، ولو تردّدت بين جهتين متقابلتين اختار الأخريين، ولو تردّدت بين المتصلتين فكالترديد بين الأربع، التكليف ساقط فيتخيّر بين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الفرع فيه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استقبال القبلة واستدبارها حال التخلّي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بيان الأقوال، وأنّ المشهور الحرمة، بل هي من المتسالم عليه </w:t>
      </w:r>
    </w:p>
    <w:p>
      <w:pPr>
        <w:pStyle w:val="BookText"/>
        <w:rPr/>
      </w:pPr>
      <w:r>
        <w:rPr>
          <w:rFonts w:ascii="IRNazanin" w:hAnsi="IRNazanin" w:eastAsia="IRNazanin"/>
          <w:color w:val="111111"/>
          <w:sz w:val="28"/>
          <w:sz w:val="28"/>
          <w:szCs w:val="28"/>
          <w:rtl w:val="true"/>
          <w:lang w:bidi="fa-IR"/>
        </w:rPr>
        <w:t>بينهم، إلا من بعض متأخّري المتأخرين منهم صاحب المدارك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ذهب إلی كراهتهما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القدماء فوقع الاتفاق منهم علی الحرمة، وعن ابن الجنيد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الاجتناب في الصحراء، وعن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الكراهة في البنيان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والدليل علی الحرمة هو التسالم وروايات الباب، لكن أورد علی الروايات من جهة السند والدلالة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جهة السند فبأنّها كلّها ضعيفة، فلا يمكن التمسك بها، بناء علی عدم جبر عمل المشهور لضعف السند، وعدم حجيّة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يصار إلی البراءة عن حرمة الاستقبال والاستدبار كما عن صاحب المدارك، بل يمكن القول بوجود الدليل علی عدم الحرمة، وهو الحديث السابع من الباب؛ حيث إنّ لحنه يفيد الكراهة؛ فإنّ الانحراف عن القبلة لو كان واجباً، والبقاء علی الاستقبال حراماً لأمر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تسجيل الثواب لمن انحرف عن القبلة حال التخلّي فغاية ما يدلّ عليه هو استحباب الانحراف عنها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بحجيّة الإجماع والتسالم فيمكن المصير إلی القول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قبول مبنی جبر عمل المشهور لضعف السند فيصار أيضاً إلی الحرمة، كما التزم به السيد الحكيم في المستمسك</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سبق أنّ سند بعضها معتبر، وعليه فلا تكون أحاديث الباب كلّها ضعيفة، وتكون البقيّة مؤيّدة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من جهة الدلالة فبأنّها مشتملة علی ما ليس بمحرّم بالاتفاق كاستقبال الريح أو استدبارها حيث إنّه مسلّم الكراهة، وقد وقع في سياق واحد مع النهي عن استقبال القبلة واستدبارها حال التخلّي، فيكون قرينة علی أنّ المراد من النهي فيها الكراهة لا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بمجرّده لا يشكّل قرينة علی صرف ظهور النهي في الحرمة إلی الكراهة؛ لأنّ الظهور حجّة ولا ترفع اليد عنه إلا بقرينة أقوی علی خلافه وهي مفقودة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الحكم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حرمة الاستقبال والاستدبار حال التخلّي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استقبال القبلة أو استدبارها بمقاديم البدن، وإن أمال المتخلّي عورته عن القبلة إلی جهة الشرق أو الغرب وبال إلی غير القبلة، أو أنّ المحرّم هو البول إلی القبلة سواء كان مستقبلاً لها بمقاديم البدن أم لم يكن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المحرّم هو استقبال القبلة أو استدبارها بمقاديم البدن، وإن أمال المتخلّي عورته عن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بعضهم أنّه البول إلی القبلة سواء كان مستقبلاً لها بمقاديم البدن أم لم يكن، وعن ثالث أنّه الاستقبال بمقاديم البدن والفرج</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الاختلاف لاختلاف المبنی؛ فمن صحّح بعض أحاديث الباب، أو كان يری جابريّة عمل المشهور حكم بحرمة الاستقبال بمقاديم البدن والفرج، لورود النهي عن استقبال القبلة بالبول أو الغائط في بعضها كما في الحديث الرابع، وهي بإطلاقها تشمل الاستقبال بمقاديم البدن وعدمه، كما أنّ بعضها </w:t>
      </w:r>
    </w:p>
    <w:p>
      <w:pPr>
        <w:pStyle w:val="BookText"/>
        <w:rPr/>
      </w:pPr>
      <w:r>
        <w:rPr>
          <w:rFonts w:ascii="IRNazanin" w:hAnsi="IRNazanin" w:eastAsia="IRNazanin"/>
          <w:color w:val="111111"/>
          <w:sz w:val="28"/>
          <w:sz w:val="28"/>
          <w:szCs w:val="28"/>
          <w:rtl w:val="true"/>
          <w:lang w:bidi="fa-IR"/>
        </w:rPr>
        <w:t>كالحديث الخامس اشتمل علی النهي عن استقبال القبلة واستدبارها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المخرج فلا تستقبل القبلة ولا تستدبرها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وإطلاقه يشمل الاستقبال بالبول والفرج وعدمه، وحيث لا تنافي بين الجهتين يؤخذ بكلتيهما ويُلتَزَم بحرمة كلٍّ من الاستقبال بالبدن والاستقبال بالفرج، وإن كان قد يجتمعان، فيستقبل القبلة بمقاديم بدنه وعورته، بل هذا هو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لم يصح عنده شيء من أحاديث الباب ولم يعتقد بجبر عمل المشهور للحديث الضعيف، وثبت عنده الإجماع والتسالم علی حرمة الاستقبال حكم بحرمة الاستقبال بمقاديم البدن والفرج معاً، كما هو المتعارف حال التخلّي؛ لأنّه هو المتيقّن ممّا قام الاجماع علی حرمته، وأمّا خصوص الاستقبال بالبدن دون الفرج أو الاستقبال بالفرج دون البدن فلا يمكن إثبات حرمتهما بواسطة التسالم والإجماع، لوجود المخالف في كلٍّ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استقبال القبلة واستدبارها في الأبنية والصحاري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 حرمة استقبال القبلة واستدبارها في الأبنية والصحاري حال التخلّي، بل ادّعي عليه الإجماع والتسالم، كما مرّ، وذهب ابن الجنيد وسلّار وكذا عن المفيد</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حكی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القول بعدم الحرمة في الأبنية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المدرك هو الأخبار فلا مناص من الالتزام بعدم الفرق في الحرمة بين الأبنية والصحاري؛ وذلك لإطلاق أحاديث الباب، من غير تقييدها بالأبنية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التخلّي مستقبلاً القبلة في الأبنية جائز بمقتضی بناء الكنيف مستقبلاً القبلة في بيت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أنّ الانحراف عن القبلة إجلال وتعظيم </w:t>
      </w:r>
    </w:p>
    <w:p>
      <w:pPr>
        <w:pStyle w:val="BookText"/>
        <w:rPr/>
      </w:pPr>
      <w:r>
        <w:rPr>
          <w:rFonts w:ascii="IRNazanin" w:hAnsi="IRNazanin" w:eastAsia="IRNazanin"/>
          <w:color w:val="111111"/>
          <w:sz w:val="28"/>
          <w:sz w:val="28"/>
          <w:szCs w:val="28"/>
          <w:rtl w:val="true"/>
          <w:lang w:bidi="fa-IR"/>
        </w:rPr>
        <w:t>لها، وهذه قرينة علی عدم حرمة الاستقبال، وإلّا لنهی الإمام عنه، 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الاستقبال لها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الكنيف مستقبلاً القبلة لا يستلزم جواز الجلوس عليه من دون انحراف عنها عند قضاء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وجود كنيف مستقبل القبلة في منزل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يلازم جواز الاستقبال في الأبنية؛ كما تقدّم</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إن كان المدرك هو الإجماع والتسالم فلا بدّ من الاقتصار علی غير الأبنية، لوجود المخالف في الأبنية، فلا يحرم فيها، ومع الشك في حرمة استقبال القبلة واستدبارها في الأبنية يرجع إلی البراءة وإن كان تركهما حتی في الأبنية هو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المنسوخة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يلحقها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لعدم الدليل عليه؛ فإنّ المنع من الاستقبال والاستدبار في النصوص ينصرف إلی القبلة الفعليّة للمسلمين، والإجماع المذكور مختصّ بها، فلا يشمل غيرها، وكون القبلة المنسوخة هي القبلة للمسلمين سابقاً غير كافٍ في الشمول؛ لظهور القبلة في النصوص فيما هو القبلة الفعليّة للمسلمين، لا ما كان كذلك سابقاً، وعلی هذا لا موجب لإلحاق الحكم بها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الحكم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عدم حرمة استقبال القبلة أو استدبارها في حال </w:t>
      </w:r>
    </w:p>
    <w:p>
      <w:pPr>
        <w:pStyle w:val="BookText"/>
        <w:rPr/>
      </w:pPr>
      <w:r>
        <w:rPr>
          <w:rFonts w:ascii="Amiri" w:hAnsi="Amiri" w:eastAsia="Amiri" w:cs="Amiri"/>
          <w:color w:val="111111"/>
          <w:sz w:val="28"/>
          <w:sz w:val="28"/>
          <w:szCs w:val="28"/>
          <w:rtl w:val="true"/>
          <w:lang w:bidi="ar-SA"/>
        </w:rPr>
        <w:t>الاستبراء والاستنجاء وإن كان الترك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الاستبراء، وقد قيل إنّ حاله حال خروج البول في حرمة الاستقبال والاستدبار، ولكنّ الظاهر أنّ الحكم في النصوص الواردة قد تعلّق بالتبوّل، لا بمجرّد خروج قطرة أو قطرتين منه، وما يخرج بالاستبراء هو الثاني فلا يتعلّق به الحكم، وهو الحرمة، كما أنّ الإجماع والتسالم هو علی حرمة استقبال القبلة أو استدبارها لدی البول أو الغائط دون الاستبراء، ومع ذلك فإنّ الاحتياط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الاستنجاء، والمعروف هو عدم حرمة الاستقبال والاستدبار حاله؛ إذ الأدلة مختصّة بمورد البول والغائط، ولم يرد في النصوص نهي عن استقبال القبلة أو استدبارها حال الاستنجاء</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عن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 حال الاستنجاء بذلك، لرواية عمار الساباطي،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يريد أن يستنجي كيف يقعد؟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يقعد للغائط</w:t>
      </w:r>
      <w:r>
        <w:rPr>
          <w:rFonts w:eastAsia="IRNazanin" w:cs="IRNazanin"/>
          <w:color w:val="111111"/>
          <w:sz w:val="28"/>
          <w:szCs w:val="28"/>
          <w:rtl w:val="true"/>
          <w:lang w:bidi="fa-IR"/>
        </w:rPr>
        <w:t>...»»(</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بتقريب أنّه كما أنّ القعود للغائط مستقبل القبلة أو مستدبراً لها حرام فكذلك القعود للاستنجاء بمقتضی هذا الحديث فمناقش؛ لأنّ الرواية منصرفة إلی كيفية الاستنجاء بلحاظ بدن المتخلّي، وكيفيّة القعود للاستنجاء، ولا نظر لها إلی لحاظ أمر آخر خارج عن كيفيّة القعود للاستنجاء كالاستقبال والاستدبار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السائل يسأل عن كيفيّة القعود للاستنجاء، فهل يعتبر فيها شيء زائد عن القعود للغائط، كما هو الحال عند بعض العامّة من استحباب أن يرخي المستنجي نفسه ويفرّج فخذيه لئلّا ينقبض المحل علی ما فيه من الأذی فيؤدّي ذلك إلی بقاء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كيفية القعود للاستنجاء ككيفيّته للتخلّي فلا يعتبر في القعود له شيء زائد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ولا ريب في أنّ الاحتياط حسن، وهو سبيل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الحكم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اضطر إمّا إلی الاستقبال وإمّا الاستدبار تخيّر بينهما، وإن كان الأحوط الاستدبار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والحكم بالتخيير هو مقتضی قاعدة التزاحم، كما هو الشأن في كلّ واجبين لم يمكن العمل بهما معاً، أو محرّمين لم يمكن تركهما معاً، إذا لم يكن أحدهما أهمّ أو محتمل الأهميّة، وأمّا أنّ الاحتياط حينئذٍ هو استدبار القبلة؛ فلأنّ استدبارها أقرب إلی إجلالها وتعظيمها؛ فإنّ الاستقبال أعظم قبحاً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الصحيح في المقام أنّ المسألة إنّما تكون صغری لكبری التزاحم إذا كان مدركها نصوص الباب، وأمّا إذا كان مدركها التسالم والإجماع فإنّها تندرج في كبری دوران الأمر بين التعيين والتخيير، وبيان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المدرك إذا كان هو الروايات فمقتضی إطلاقها عدم الفرق في حرمة الاستقبال والاستدبار بين الاختيار والاضطرار، ومعه تندرج المسألة في كبری التزاحم؛ لعدم قدرة المكلّف علی امتثال التكليفين مع الاضطرار إلی ترك أحدهما، وحينئذٍ لابدّ من </w:t>
      </w:r>
    </w:p>
    <w:p>
      <w:pPr>
        <w:pStyle w:val="BookText"/>
        <w:rPr/>
      </w:pPr>
      <w:r>
        <w:rPr>
          <w:rFonts w:ascii="IRNazanin" w:hAnsi="IRNazanin" w:eastAsia="IRNazanin"/>
          <w:color w:val="111111"/>
          <w:sz w:val="28"/>
          <w:sz w:val="28"/>
          <w:szCs w:val="28"/>
          <w:rtl w:val="true"/>
          <w:lang w:bidi="fa-IR"/>
        </w:rPr>
        <w:t>الرجوع إلی مرجّحات المتزاحمين، فيقدّم أهمهما، وحيث إنّ الحرمة في استقبال القبلة أهمّ عند العرف، ولكثرة الروايات الدالة علی حرمته بخلاف الاستدبار فيكون محتمل الأهميّة علی الأقل، وهذا يوجب تقديمه علی الاستدبار عند التزاحم، فيتعيّن عليه الاستدبار، ويكون الاحتياط به وجوبيّاً حينئذ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كان المدرك هو التسالم والإجماع فلكونه دليلاً لُبيّاً واتضحت به حرمة الاستقبال أو الاستدبار في الجملة، ولا يستفاد منه حرمتهما مطلقاً حتی في موارد عدم تمكّن المكلّف من كليهما، وبما أنّ المكلّف قد عجز عن أحدهما فلا يحتمل حرمتهما معاً في حقّه، وعلی هذا تكون الحرمة في حال الاضطرار إمّا مجعولة في استقبال القبلة علی نحو التعيين؛ لاحتمال كونها أهمّ، أو أنّها مجعولة لاستقبالها واستدبارها علی نحو التخيير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تقديم التخيير عند دوران الأمر بينه وبين التعيين بحسب الجعل؛ لجريان الأصل النافي للتعيين، ويكون المكلّف مخيّراً بين الاستقبال أو الاستدبار، ويكون الاحتياط بالاستدبار احتياطاً استحبابيّاً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أحدهما وترك الستر مع وجود الناظر وجب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الفرض يتصوّر فيما إذا كان في غير القبلة ودبرها ناظر محترم لا يمكن التستّر عنه، فيدور أمر المكلّف بين ترك استقبال القبلة واستدبارها والبول من دون تستّر وبين البول مستقبلاً لها أو مستدبراً مع التستّر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يوجد فرق عملي بين المبنيين؛ فإنّه إن كان المدرك هو الأخبار وقع </w:t>
      </w:r>
    </w:p>
    <w:p>
      <w:pPr>
        <w:pStyle w:val="BookText"/>
        <w:rPr/>
      </w:pPr>
      <w:r>
        <w:rPr>
          <w:rFonts w:ascii="IRNazanin" w:hAnsi="IRNazanin" w:eastAsia="IRNazanin"/>
          <w:color w:val="111111"/>
          <w:sz w:val="28"/>
          <w:sz w:val="28"/>
          <w:szCs w:val="28"/>
          <w:rtl w:val="true"/>
          <w:lang w:bidi="fa-IR"/>
        </w:rPr>
        <w:t>التزاحم بين حرمة كشف العورة وحرمة الاستقبال أو الاستدبار، ولمّا كانت حرمة كشف العورة أهمّ في ارتكاز المتشرّعة، وللروايات الواردة في الستر، فتقدّم حرمة كشف العورة علی حرمة الاستقبال والاستدبار، وعلی هذا يجوز للمكلف أن يبول مستقبل القبلة أو مستدبراً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المدرك هو التسالم والإجماع فقد سبق أنّه لا يقتضي حرمة الاستقبال والاستدبار إلّا في الجملة، وفي غير مورد التزاحم، وأمّا معه فلا مقتضي لحرمتهما فيجوز للمكلّف أن يبول مستقبل القبلة أو مستدبراً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اشتبهت القبلة لا يبعد العمل بالظن، ولو تردّدت بين جهتين متقابلتين اختار الأخريين، ولو تردّد بين المتصلتين فكالترديد بين الأربع، التكليف ساقط فيتخيّر بين الجهات</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صاحب العروة وجمع كثير من الفقهاء إلی اعتبار العمل بالظن إذا اشتبهت القبلة، والمستند لهم في ذلك 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يجزئ التحرّي أبداً إذا لم يعلم أين وجه القبلة</w:t>
      </w:r>
      <w:r>
        <w:rPr>
          <w:rFonts w:eastAsia="IRNazanin" w:cs="IRNazanin"/>
          <w:color w:val="111111"/>
          <w:sz w:val="28"/>
          <w:szCs w:val="28"/>
          <w:rtl w:val="true"/>
          <w:lang w:bidi="fa-IR"/>
        </w:rPr>
        <w:t>»(</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تدلّ علی كفاية الأخذ في باب القبلة بما هو أحری وأرجح في نظر المكلّف، ومقتضی إطلاقها حجّية الظن في تعيين القبلة بلا فرق في الأحكام المترتبة عليها بين الصلاة والدفن والذبح، والاستقبال والاستدبار في التخلّي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احتمل بعضهم اختصاصها بمورد الصلاة</w:t>
      </w:r>
      <w:r>
        <w:rPr>
          <w:rFonts w:eastAsia="IRNazanin" w:cs="IRNazanin"/>
          <w:color w:val="111111"/>
          <w:sz w:val="28"/>
          <w:szCs w:val="28"/>
          <w:rtl w:val="true"/>
          <w:lang w:bidi="fa-IR"/>
        </w:rPr>
        <w:t xml:space="preserve">. </w:t>
      </w:r>
      <w:bookmarkStart w:id="371" w:name="pg15724_204494"/>
    </w:p>
    <w:p>
      <w:pPr>
        <w:pStyle w:val="BookText"/>
        <w:rPr/>
      </w:pPr>
      <w:bookmarkEnd w:id="371"/>
      <w:r>
        <w:rPr>
          <w:rFonts w:ascii="Amiri" w:hAnsi="Amiri" w:eastAsia="Amiri" w:cs="Amiri"/>
          <w:color w:val="111111"/>
          <w:sz w:val="28"/>
          <w:sz w:val="28"/>
          <w:szCs w:val="28"/>
          <w:rtl w:val="true"/>
          <w:lang w:bidi="ar-SA"/>
        </w:rPr>
        <w:t>والحكم في اختيار الجهتين الأخريين المتقابلتين اللتين لم تقعا طرفاً للترديد واضح؛ لأنّهما ليستا قبلة يقيناً فيلزمه اختيار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تردّد بين الجهتين المتصلتين فهو كالترديد بين الجهات الأربع، فيكون التكليف بحرمة الاستقبال والاستدبار ساقطاً فيتخيّر بين الجهات كما مرّ بيانه في الحكم السادس، هذا تمام الكلام في الفرع الأوّل</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2418137_2142443653"/>
      <w:bookmarkStart w:id="373" w:name="_Toc138"/>
      <w:bookmarkEnd w:id="372"/>
      <w:r>
        <w:rPr>
          <w:rtl w:val="true"/>
        </w:rPr>
        <w:t>الفرع الثاني</w:t>
      </w:r>
      <w:r>
        <w:rPr>
          <w:rtl w:val="true"/>
        </w:rPr>
        <w:t>:</w:t>
      </w:r>
      <w:bookmarkEnd w:id="373"/>
    </w:p>
    <w:p>
      <w:pPr>
        <w:pStyle w:val="BookText"/>
        <w:rPr/>
      </w:pPr>
      <w:r>
        <w:rPr>
          <w:rFonts w:ascii="IRNazanin" w:hAnsi="IRNazanin" w:eastAsia="IRNazanin"/>
          <w:color w:val="111111"/>
          <w:sz w:val="28"/>
          <w:sz w:val="28"/>
          <w:szCs w:val="28"/>
          <w:rtl w:val="true"/>
          <w:lang w:bidi="fa-IR"/>
        </w:rPr>
        <w:t>يتحقّق ترك الاستقبال والاستدبار بمجرد الميل إلی أحد الطرفين ولا يجب التشريق أو التغريب وإن كان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لصدق عدم الاستقبال والاستدبار عرفاً عند الميل إلی أحد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النتيجة واحدة علی كلا المدركين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المدرك إذا كان هو الروايات فهي قد دلّت علی حرمة استقبال القبلة واستدبارها ولم تدلّ علی وجوب التشريق أو التغريب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في رواية عيسی بن عبد الله الهاشمي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شرّقوا أو غرّبوا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ناقشه السيد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السند وعدم العامل به، فيحمل علی استحباب التشريق أو التغريب</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معتبرة، وعدم عمل المشهور بها غير موهن لها، وما دامت معتبرة فيلزم التشريق أو التغريب</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يناقش في دلالتها؛ لأنّ المستفاد منها عرفاً الميل إلی جهة الشرق أو الغرب والانحراف عن القبلة، لا محاذاتهما، كما هو المتعارف في محاوراتنا </w:t>
      </w:r>
      <w:bookmarkStart w:id="374" w:name="pg15724_204495"/>
    </w:p>
    <w:p>
      <w:pPr>
        <w:pStyle w:val="BookText"/>
        <w:rPr/>
      </w:pPr>
      <w:bookmarkEnd w:id="374"/>
      <w:r>
        <w:rPr>
          <w:rFonts w:ascii="Amiri" w:hAnsi="Amiri" w:eastAsia="Amiri" w:cs="Amiri"/>
          <w:color w:val="111111"/>
          <w:sz w:val="28"/>
          <w:sz w:val="28"/>
          <w:szCs w:val="28"/>
          <w:rtl w:val="true"/>
          <w:lang w:bidi="ar-SA"/>
        </w:rPr>
        <w:t>العرفيّة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كان المدرك هو التسالم والإجماع فلأنّه دليل لبّي يقتصر فيه علی المقدار المتيقّن وهو حرمة التخلّي إلی القبلة فقط، فلا إجماع علی حرمة التخلّي منحرفاً عن القبلة إلی الشرق أو الغرب</w:t>
      </w:r>
      <w:r>
        <w:rPr>
          <w:rFonts w:eastAsia="IRNazanin" w:cs="IRNazanin"/>
          <w:color w:val="111111"/>
          <w:sz w:val="28"/>
          <w:szCs w:val="28"/>
          <w:rtl w:val="true"/>
          <w:lang w:bidi="fa-IR"/>
        </w:rPr>
        <w:t>.</w:t>
      </w:r>
    </w:p>
    <w:p>
      <w:pPr>
        <w:pStyle w:val="Heading3"/>
        <w:numPr>
          <w:ilvl w:val="2"/>
          <w:numId w:val="1"/>
        </w:numPr>
        <w:rPr/>
      </w:pPr>
      <w:bookmarkStart w:id="375" w:name="__RefHeading___Toc12418139_2142443653"/>
      <w:bookmarkStart w:id="376" w:name="_Toc139"/>
      <w:bookmarkEnd w:id="375"/>
      <w:r>
        <w:rPr>
          <w:rtl w:val="true"/>
        </w:rPr>
        <w:t>الفرع الثالث</w:t>
      </w:r>
      <w:r>
        <w:rPr>
          <w:rtl w:val="true"/>
        </w:rPr>
        <w:t>:</w:t>
      </w:r>
      <w:bookmarkEnd w:id="376"/>
    </w:p>
    <w:p>
      <w:pPr>
        <w:pStyle w:val="BookText"/>
        <w:rPr/>
      </w:pPr>
      <w:r>
        <w:rPr>
          <w:rFonts w:ascii="IRNazanin" w:hAnsi="IRNazanin" w:eastAsia="IRNazanin"/>
          <w:color w:val="111111"/>
          <w:sz w:val="28"/>
          <w:sz w:val="28"/>
          <w:szCs w:val="28"/>
          <w:rtl w:val="true"/>
          <w:lang w:bidi="fa-IR"/>
        </w:rPr>
        <w:t>الأحوط في مَن يتواتر بوله أو غائطه مراعاة ترك الاستقبال والاستدبار بقدر الامكان، وإن كان الأقوی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يختلف باختلاف مدرك الحكم فإنّ مدرك حرمة الاستقبال والاستدبار إن كان هو الإجماع والتسالم فيقتصر علی المقدار المتيقّن من الحرمة، وهو حرمة الاستقبال والاستدبار علی المتخلّي المختار، ولم يعلم قيامهما علی الحرمة في حقّ المتخلّي المضطر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المدرك هو الأخبار فإن كان المستفاد منها حرمة الاستقبال والاستدبار بالبول والغائط وبمقاديم البدن، فالاستقبال والاستدبار بمقاديم البدن أمرٌ اختياري له، وإن كان البول والغائط خارجين عن اختياره فيحرم عليه الاستقبال والاستدبار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إن كان المستفاد منها الشمول للاستقبال والاستدبار بالبول والغائط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اخترناه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يحرم علی من تواتر بوله أو غائطه استقبال القبلة واستدبارها؛ لعدم كون ذلك تحت اختياره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فالأقوی هو أنّ الأخبار واردة في الشخص المتعارف الذي يكون بوله وغائطه تحت اختياره، لا التفصيل بين الاستقبال بمقاديم البدن والاستقبال </w:t>
      </w:r>
    </w:p>
    <w:p>
      <w:pPr>
        <w:pStyle w:val="BookText"/>
        <w:rPr/>
      </w:pPr>
      <w:r>
        <w:rPr>
          <w:rFonts w:ascii="IRNazanin" w:hAnsi="IRNazanin" w:eastAsia="IRNazanin"/>
          <w:color w:val="111111"/>
          <w:sz w:val="28"/>
          <w:sz w:val="28"/>
          <w:szCs w:val="28"/>
          <w:rtl w:val="true"/>
          <w:lang w:bidi="fa-IR"/>
        </w:rPr>
        <w:t>بالبول أو الغائط</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ذلك فالأحوط ترك الاستقبال والاستدبار بقدر الإمكان، وأمّا الزائد علی ذلك فلا يحرم، للحرج المنفي في الشريعة</w:t>
      </w:r>
      <w:r>
        <w:rPr>
          <w:rFonts w:eastAsia="IRNazanin" w:cs="IRNazanin"/>
          <w:color w:val="111111"/>
          <w:sz w:val="28"/>
          <w:szCs w:val="28"/>
          <w:rtl w:val="true"/>
          <w:lang w:bidi="fa-IR"/>
        </w:rPr>
        <w:t xml:space="preserve">. </w:t>
      </w:r>
      <w:bookmarkStart w:id="377" w:name="pg15724_204497"/>
    </w:p>
    <w:p>
      <w:pPr>
        <w:pStyle w:val="Heading2"/>
        <w:numPr>
          <w:ilvl w:val="1"/>
          <w:numId w:val="1"/>
        </w:numPr>
        <w:rPr/>
      </w:pPr>
      <w:bookmarkStart w:id="378" w:name="__RefHeading___Toc12418141_2142443653"/>
      <w:bookmarkStart w:id="379" w:name="_Toc140"/>
      <w:bookmarkEnd w:id="377"/>
      <w:bookmarkEnd w:id="378"/>
      <w:r>
        <w:rPr/>
        <w:t>3</w:t>
      </w:r>
      <w:r>
        <w:rPr>
          <w:rtl w:val="true"/>
        </w:rPr>
        <w:t xml:space="preserve">- </w:t>
      </w:r>
      <w:r>
        <w:rPr>
          <w:rtl w:val="true"/>
        </w:rPr>
        <w:t>بَابُ اسْتِحْبَابِ تَغْطِيَةِ الرَّأْسِ وَالتَّقَنُّعِ عِنْدَ قَضَاءِ الْحَاجَة</w:t>
      </w:r>
      <w:bookmarkEnd w:id="379"/>
    </w:p>
    <w:p>
      <w:pPr>
        <w:pStyle w:val="Heading3"/>
        <w:numPr>
          <w:ilvl w:val="2"/>
          <w:numId w:val="1"/>
        </w:numPr>
        <w:rPr/>
      </w:pPr>
      <w:bookmarkStart w:id="380" w:name="__RefHeading___Toc12418143_2142443653"/>
      <w:bookmarkStart w:id="381" w:name="_Toc141"/>
      <w:bookmarkEnd w:id="380"/>
      <w:r>
        <w:rPr>
          <w:rtl w:val="true"/>
        </w:rPr>
        <w:t>اشارة</w:t>
      </w:r>
      <w:bookmarkEnd w:id="3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اسْتِحْبَابِ تَغْطِيَةِ الرَّأْسِ وَالتَّقَنُّعِ عِنْدَ قَضَاءِ الْحَاجَة</w:t>
      </w:r>
    </w:p>
    <w:p>
      <w:pPr>
        <w:pStyle w:val="Heading3"/>
        <w:numPr>
          <w:ilvl w:val="2"/>
          <w:numId w:val="1"/>
        </w:numPr>
        <w:rPr/>
      </w:pPr>
      <w:bookmarkStart w:id="382" w:name="__RefHeading___Toc12418145_2142443653"/>
      <w:bookmarkStart w:id="383" w:name="_Toc142"/>
      <w:bookmarkEnd w:id="382"/>
      <w:r>
        <w:rPr>
          <w:rtl w:val="true"/>
        </w:rPr>
        <w:t>شرح الباب</w:t>
      </w:r>
      <w:r>
        <w:rPr>
          <w:rtl w:val="true"/>
        </w:rPr>
        <w:t>:</w:t>
      </w:r>
      <w:bookmarkEnd w:id="383"/>
    </w:p>
    <w:p>
      <w:pPr>
        <w:pStyle w:val="BookText"/>
        <w:rPr/>
      </w:pPr>
      <w:r>
        <w:rPr>
          <w:rFonts w:ascii="IRNazanin" w:hAnsi="IRNazanin" w:eastAsia="IRNazanin"/>
          <w:color w:val="111111"/>
          <w:sz w:val="28"/>
          <w:sz w:val="28"/>
          <w:szCs w:val="28"/>
          <w:rtl w:val="true"/>
          <w:lang w:bidi="fa-IR"/>
        </w:rPr>
        <w:t>من جملة آداب التخلّي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تغطية الرأس والتقنّع عندإرادة قضاء الحاجة، وهي إحدی سنن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في هذا الباب الإشارة إلی إحدی الحِكم من الأمر بذلك، وهي الحياء من الله تعالی ومن المَلكين اللذين يكونان مع الإنسان، وقد ذكر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أخری كالأمن من عبث الشيطان، ومن وصول الرائحة الخبيثة إلی دماغه، وهو سُنّة من سنن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اظهار الحياء من الله تعالی؛ لكثرة نعمه علی العبد، وقلّة الشكر منه</w:t>
      </w:r>
      <w:r>
        <w:rPr>
          <w:rFonts w:eastAsia="IRNazanin" w:cs="IRNazanin"/>
          <w:color w:val="111111"/>
          <w:sz w:val="28"/>
          <w:szCs w:val="28"/>
          <w:rtl w:val="true"/>
          <w:lang w:bidi="fa-IR"/>
        </w:rPr>
        <w:t>(</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للإقرار بأنّه غير مبرّئ نفسه من العيوب</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12418147_2142443653"/>
      <w:bookmarkStart w:id="385" w:name="_Toc143"/>
      <w:bookmarkEnd w:id="384"/>
      <w:r>
        <w:rPr>
          <w:rtl w:val="true"/>
        </w:rPr>
        <w:t>أقوال الخاصّة</w:t>
      </w:r>
      <w:r>
        <w:rPr>
          <w:rtl w:val="true"/>
        </w:rPr>
        <w:t>:</w:t>
      </w:r>
      <w:bookmarkEnd w:id="385"/>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تغطية الرأس عند دخول الخلاء والتسمية، وعليه اتفاق الأصحاب</w:t>
      </w:r>
      <w:r>
        <w:rPr>
          <w:rFonts w:eastAsia="Amiri" w:cs="Amiri" w:ascii="Amiri" w:hAnsi="Amiri"/>
          <w:color w:val="111111"/>
          <w:sz w:val="28"/>
          <w:szCs w:val="28"/>
          <w:rtl w:val="true"/>
          <w:lang w:bidi="ar-SA"/>
        </w:rPr>
        <w:t>»(</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w:t>
      </w:r>
      <w:bookmarkStart w:id="386" w:name="pg15724_204498"/>
    </w:p>
    <w:p>
      <w:pPr>
        <w:pStyle w:val="BookText"/>
        <w:rPr/>
      </w:pPr>
      <w:bookmarkEnd w:id="386"/>
      <w:r>
        <w:rPr>
          <w:rFonts w:ascii="IRNazanin" w:hAnsi="IRNazanin" w:eastAsia="IRNazanin"/>
          <w:color w:val="111111"/>
          <w:sz w:val="28"/>
          <w:sz w:val="28"/>
          <w:szCs w:val="28"/>
          <w:rtl w:val="true"/>
          <w:lang w:bidi="fa-IR"/>
        </w:rPr>
        <w:t>الأصحاب استحباب تغطية الرأس في الخلاء، والذي يظهر من الأخبار والتعليلات الواردة فيها وفي كلام بعض الأصحاب أنّه يستحب التقنيع بأن يسدل علی رأسه ثوباً يقع علی منافذ الرأس، ويمنع وصول الرائحة الخبيثة إلی الدماغ، وإن كان متعمّماً، وهذا أظهر وأحوط</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المندوبات تغطية الرأس، كما في الهداية والمقنعة والمبسوط والمعتبر والقواعد والإرشاد والذكری والروض والمدارك وكشف اللثام وغيرها، بل في المعتبر والذكری الاتفاق عليه</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12418149_2142443653"/>
      <w:bookmarkStart w:id="388" w:name="_Toc144"/>
      <w:bookmarkEnd w:id="387"/>
      <w:r>
        <w:rPr>
          <w:rtl w:val="true"/>
        </w:rPr>
        <w:t>أقوال العامّة</w:t>
      </w:r>
      <w:r>
        <w:rPr>
          <w:rtl w:val="true"/>
        </w:rPr>
        <w:t>:</w:t>
      </w:r>
      <w:bookmarkEnd w:id="388"/>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لا يدخل الخلاء حافياً ولا مكشوف الرأس</w:t>
      </w:r>
      <w:r>
        <w:rPr>
          <w:rFonts w:eastAsia="Amiri" w:cs="Amiri" w:ascii="Amiri" w:hAnsi="Amiri"/>
          <w:color w:val="111111"/>
          <w:sz w:val="28"/>
          <w:szCs w:val="28"/>
          <w:rtl w:val="true"/>
          <w:lang w:bidi="ar-SA"/>
        </w:rPr>
        <w:t>»(</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أن يدخل الخلاء ينبغي أن يقوم قبل أن يغلبه الخارج، ولا يصحبه شيء عليه اسم معظّم، ولا حاسر الرأس، ولا مع القلنسوة بلا شيء عليها</w:t>
      </w:r>
      <w:r>
        <w:rPr>
          <w:rFonts w:eastAsia="Amiri" w:cs="Amiri" w:ascii="Amiri" w:hAnsi="Amiri"/>
          <w:color w:val="111111"/>
          <w:sz w:val="28"/>
          <w:szCs w:val="28"/>
          <w:rtl w:val="true"/>
          <w:lang w:bidi="ar-SA"/>
        </w:rPr>
        <w:t>»(</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الحطاب الرعيني أنّ من جملة آداب قاضي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رأسه</w:t>
      </w:r>
      <w:r>
        <w:rPr>
          <w:rFonts w:eastAsia="Amiri" w:cs="Amiri" w:ascii="Amiri" w:hAnsi="Amiri"/>
          <w:color w:val="111111"/>
          <w:sz w:val="28"/>
          <w:szCs w:val="28"/>
          <w:rtl w:val="true"/>
          <w:lang w:bidi="ar-SA"/>
        </w:rPr>
        <w:t>(</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يغطّي رأسه</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الْمُفِيدُ فِي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تَغْطِيَةَ الرَّأْسِ إِنْ كَانَ مَكْشُوفاً عِنْدَ التَّخَلِّي سُنَّةٌ مِنْ سُنَنِ النَّبِيِّ</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علی أنّ مثل جعل الثوب علی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قبل ذلك مكشوفاً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سنن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المراد بتغطية الرأس،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غَطَی الشيءَ يَغْطِيه غَطْياً وغَطَّی عليه وأَغْطاه وغَطَّاه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وعَلاه</w:t>
      </w:r>
      <w:r>
        <w:rPr>
          <w:rFonts w:eastAsia="Amiri" w:cs="Amiri" w:ascii="Amiri" w:hAnsi="Amiri"/>
          <w:color w:val="111111"/>
          <w:sz w:val="28"/>
          <w:szCs w:val="28"/>
          <w:rtl w:val="true"/>
          <w:lang w:bidi="ar-SA"/>
        </w:rPr>
        <w:t>»(</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هذا الأمر من السنن النبوية فهو راجح ومورد للتأسّي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للماتن طرق متعدّدة معتبرة إلی كتاب المقنعة ذكرها في الفائدة الخامسة من خاتمة وسائل الشيعة، أضف إلی ذلك شهرة الكتاب شهرة عظيمة، وشرح شيخ الطائفة له بكتابه تهذيب الأحكام، لكن الكلام في أنّ المتن المنقول لم يسنده الشيخ المفيد إلی معصوم، فهو مرسل، وإن ذكر أنّ تغطية الرأس عند التخلي سنّة من سنن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الجزم؛ لكونه مأخوذاً من الروايات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الْمُفِيدِ، عَنْ أَحْمَدَ بْنِ مُحَمَّدِ بْنِ الْحَسَنِ، عَنْ أَبِيهِ، عَنْ مُحَمَّدِ بْنِ يَحْيَى، عَنْ مُحَمَّدِ بْنِ أَحْمَدَ بْنِ يَحْيَى، عَنْ أَحْمَدَ بْنِ أَبِي عَبْدِ اللَّهِ، عَنْ عَلِيِّ بْنِ أَسْبَاطٍ أَوْ رَجُلٍ عَنْهُ،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يَعْمَلُهُ إِذَا دَخَلَ الْكَنِيفَ يُقَنِّعُ رَأْسَهُ وَيَقُولُ سِرّاً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تَمَامَ الْحَدِيثِ</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مُرْسَلًا</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كان يعمله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 الضمير مبهم، يفسره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يقنّع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راجع إلی شيء أسقطه الشيخ من الخبر، أو إلی شيء مقدّر بقرينة المقام، أو كان يعمل فصحِّف</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علی أنّ 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 علی أنّه إذا دخل الكنيف أي أراد دخوله يقنِّع رأسه، والظاهر اختصاص ذلك بالكنيف فلا يعم ما إذا كان التخلّي في غيره كالصحاري مثلاً، والتقنّع هو لبس القناع، وفُسِّر القناع في اللسان بأنّه أوسع من المقنعة،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المِقْنعةِ، وقد تَقَنَّعَتْ به وقَنَّعَتْ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أَلبستها القِناعَ فتَقنَّعَتْ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والقِناعُ والمِقْنَعةُ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تتَقَنَّعُ به المرأَةُ من ثوب </w:t>
      </w:r>
    </w:p>
    <w:p>
      <w:pPr>
        <w:pStyle w:val="BookText"/>
        <w:rPr/>
      </w:pPr>
      <w:r>
        <w:rPr>
          <w:rFonts w:ascii="Amiri" w:hAnsi="Amiri" w:eastAsia="Amiri" w:cs="Amiri"/>
          <w:color w:val="111111"/>
          <w:sz w:val="28"/>
          <w:sz w:val="28"/>
          <w:szCs w:val="28"/>
          <w:rtl w:val="true"/>
          <w:lang w:bidi="ar-SA"/>
        </w:rPr>
        <w:t>تُغَطِّي رأْسَها ومحاسِنَها</w:t>
      </w:r>
      <w:r>
        <w:rPr>
          <w:rFonts w:eastAsia="Amiri" w:cs="Amiri" w:ascii="Amiri" w:hAnsi="Amiri"/>
          <w:color w:val="111111"/>
          <w:sz w:val="28"/>
          <w:szCs w:val="28"/>
          <w:rtl w:val="true"/>
          <w:lang w:bidi="ar-SA"/>
        </w:rPr>
        <w:t>»(</w:t>
      </w:r>
      <w:r>
        <w:rPr>
          <w:rStyle w:val="FootnoteAnchor"/>
          <w:rtl w:val="true"/>
        </w:rPr>
        <w:footnoteReference w:id="1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المعنی أنّه يغطي رأسه بثوب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 أيضاً علی أدب آخر من آداب التخلّي وهو أنّه كان يقول دعاءً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يقول سرّاً في نفسه، إمّا إخفاتاً، أي بحيث لا يسمعه غيره لو كان، وإمّا بإخطار ذلك في باله كما هو شأن الكلام النفسي، ولا يبعد أن تكون تتمّة الدعاء والتي لم يذكرها الشيخ هي ما أورده الصدوق في الفقيه،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ولا إله إلا الله، ربّ أخرج مني الأذی، سرحاً بغير حساب، واجعلني لك من الشاكرين في ما تصرفه عني من الأذی والغم الذي لو حبسته عني هلكت، لك الحمد اعصمني من شرّ ما في هذه البقعة، وأخرجني منها سالماً وحُل بيني وبين طاعة الشيطان الرجيم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وسيأتي في الحديث السابع من الباب الخامس من هذه الأبواب، ويكون هو مراد الشيخ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الحديث بنحوين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التهذيب مسنداً،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يحيی، وهو العطار، ومحمد بن أحمد بن يحيی، وهو محمد بن أحمد بن يحيی بن عمران الأشعري، وأحمد بن أبي عبد الله، وهو أحمد بن محمد بن خالد البرقي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السند ينحلّ إلی سندين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المفيد، عن أحمد بن محمد بن الحسن، </w:t>
      </w:r>
    </w:p>
    <w:p>
      <w:pPr>
        <w:pStyle w:val="BookText"/>
        <w:rPr/>
      </w:pPr>
      <w:r>
        <w:rPr>
          <w:rFonts w:ascii="IRNazanin" w:hAnsi="IRNazanin" w:eastAsia="IRNazanin"/>
          <w:color w:val="111111"/>
          <w:sz w:val="28"/>
          <w:sz w:val="28"/>
          <w:szCs w:val="28"/>
          <w:rtl w:val="true"/>
          <w:lang w:bidi="fa-IR"/>
        </w:rPr>
        <w:t xml:space="preserve">عن أبيه، عن محمد بن يحيی، عن محمد بن أحمد بن يحيی، عن أحمد بن أبي عبد الله، عن علي بن أسباط، عمّن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عن المفيد، عن أحمد بن محمد بن الحسن، عن أبيه، عن محمد بن يحيی، عن محمد بن أحمد بن يحيی، عن أحمد بن أبي عبد الله، عن رجل، عن علي بن أسباط، عمّن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وكلاهما ضعيف بالإرسال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 مرسلاً، وقد مرّ مراراً أنّ مراسيله معتبرة</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فِي الْمَجَالِسِ وَالْأَخْبَارِ بِإِسْنَادِهِ الْآتِي</w:t>
      </w:r>
      <w:r>
        <w:rPr>
          <w:rFonts w:eastAsia="Amiri" w:cs="Amiri" w:ascii="Amiri" w:hAnsi="Amiri"/>
          <w:color w:val="111111"/>
          <w:sz w:val="28"/>
          <w:szCs w:val="28"/>
          <w:rtl w:val="true"/>
          <w:lang w:bidi="ar-SA"/>
        </w:rPr>
        <w:t>(</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عَنْ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اسْتَحْيِ</w:t>
      </w:r>
      <w:r>
        <w:rPr>
          <w:rFonts w:eastAsia="Amiri" w:cs="Amiri" w:ascii="Amiri" w:hAnsi="Amiri"/>
          <w:color w:val="111111"/>
          <w:sz w:val="28"/>
          <w:szCs w:val="28"/>
          <w:rtl w:val="true"/>
          <w:lang w:bidi="ar-SA"/>
        </w:rPr>
        <w:t>(</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فَإِنِّي وَالَّذِي نَفْسِي بِيَدِهِ لَأَظَلُّ حِينَ أَذْهَبُ إِلَى الْغَائِطِ مُتَقَنِّعاً بِثَوْبِي اسْتِحْيَاءً</w:t>
      </w:r>
      <w:r>
        <w:rPr>
          <w:rFonts w:eastAsia="Amiri" w:cs="Amiri" w:ascii="Amiri" w:hAnsi="Amiri"/>
          <w:color w:val="111111"/>
          <w:sz w:val="28"/>
          <w:szCs w:val="28"/>
          <w:rtl w:val="true"/>
          <w:lang w:bidi="ar-SA"/>
        </w:rPr>
        <w:t>(</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الْمَلَكَيْنِ اللَّذَيْنِ مَعِي، يَا أَبَا ذَرٍّ أَتُحِبُّ أَنْ تَدْخُلَ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فَاقْصُرِ الْأَمَلَ، وَاجْعَلِ الْمَوْتَ نُصْبَ عَيْنِكَ، وَاسْتَحْيِ مِنَ اللَّهِ حَقَّ الْحَيَاءِ</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الانقباض والانزواء عن القبيح مخافة الذم</w:t>
      </w:r>
      <w:r>
        <w:rPr>
          <w:rFonts w:eastAsia="Amiri" w:cs="Amiri" w:ascii="Amiri" w:hAnsi="Amiri"/>
          <w:color w:val="111111"/>
          <w:sz w:val="28"/>
          <w:szCs w:val="28"/>
          <w:rtl w:val="true"/>
          <w:lang w:bidi="ar-SA"/>
        </w:rPr>
        <w:t>»(</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ومنشؤه شرف النفس وشفقتها من أن يصدر عنها القبيح، أو يظهر منها، فالنفس الكريمة الجوهر والشريفة تنفر من القبائح فلا تقربها، والحياء من الله هو مرتبة من الحياء ويتحقّق بعدم ترك أوامره تعالی عند توفّر الدواعي لذلك، وبالاجتناب عن نواهيه لدی تهيّؤ أسباب المعاصي، بل يتعدّی الحياء من الله عن هذا المقدار؛ فإنّ العبد إذا تصوّر عظمة الله سبحانه وتعالی ولاحظ عظيم النعم المتواترة عليه في كل آنٍ، استشعر في نفسه التقصير عن أداء شكر نعمة واحدة </w:t>
      </w:r>
    </w:p>
    <w:p>
      <w:pPr>
        <w:pStyle w:val="BookText"/>
        <w:rPr/>
      </w:pPr>
      <w:r>
        <w:rPr>
          <w:rFonts w:ascii="IRNazanin" w:hAnsi="IRNazanin" w:eastAsia="IRNazanin"/>
          <w:color w:val="111111"/>
          <w:sz w:val="28"/>
          <w:sz w:val="28"/>
          <w:szCs w:val="28"/>
          <w:rtl w:val="true"/>
          <w:lang w:bidi="fa-IR"/>
        </w:rPr>
        <w:t>من نعمه التي أنعمها عليه بلا استحقاق منه لها، وهي كثيرة لا تُحصی، ومُنعِمها الربّ العظيم الجليل، فيتداخله حياء منه تعالی إزاء هذا التقصير العظيم في حقّ الرب الجليل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تلك النعم أن هيّأ له سبحانه الطعام والشراب لإمداده بالحياة والقوّة، ومَنَّ عليه بأعضاء في جسمه تقطّعه وتهضمه وتنقله إلی محالّه المحتاجة إليه بعد معالجته ليتناسب معها، وأنعم عليه بعضوين يستعين بهما علی إخراج ما زاد وفضل من الطعام والشراب وهما القبل والدبر؛ وهما يسهّلان خروج الفضلات إلی خارج الجسم؛ لأنّ في بقائها مضرّة عظيمة للجسم، ومن نعم الله العظيمة علی الإنسان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سبحانه المنفذ المهيّأ للخلاء من الإنسان في أستر موضع منه، فلم يجعله بارزاً من خلفه، ولا ناشراً من بين يديه، بل هو مغيّب في موضع غامض من البدن، مستور محجوب، يلتقي عليه الفخذان، وتحجبه الأليتان بما عليهما من اللحم فيواريانه، فإذا احتاج الانسان إلی الخلاء وجلس تلك الجلسة ألفی ذلك المنفذ منه منصباً مهيّئاً لانحدار الثفل، فتبارك الله من تظاهرت آلاؤه ولا تحصی نعماؤه</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كلّه حقّ للإنسان أن يذوب خجلاً وحياءً من الباري تعالی، وخصوصاً في حال التخلّي؛ إذ إنّ علمه بقرب الله منه واطلاعه عليه يشعره بالحياء منه، فهو في حالٍ لا يرضی الإنسان بمشاهدة غيره له، فكيف بمن له الإنعام الكامل التام عليه، ومثله يقال في الحياء من الملَكين الكريمين</w:t>
      </w:r>
      <w:r>
        <w:rPr>
          <w:rFonts w:eastAsia="IRNazanin" w:cs="IRNazanin"/>
          <w:color w:val="111111"/>
          <w:sz w:val="28"/>
          <w:szCs w:val="28"/>
          <w:rtl w:val="true"/>
          <w:lang w:bidi="fa-IR"/>
        </w:rPr>
        <w:t xml:space="preserve">. </w:t>
      </w:r>
      <w:bookmarkStart w:id="389" w:name="pg15724_204505"/>
    </w:p>
    <w:p>
      <w:pPr>
        <w:pStyle w:val="BookText"/>
        <w:rPr/>
      </w:pPr>
      <w:bookmarkEnd w:id="389"/>
      <w:r>
        <w:rPr>
          <w:rFonts w:ascii="IRNazanin" w:hAnsi="IRNazanin" w:eastAsia="IRNazanin"/>
          <w:color w:val="111111"/>
          <w:sz w:val="28"/>
          <w:sz w:val="28"/>
          <w:szCs w:val="28"/>
          <w:rtl w:val="true"/>
          <w:lang w:bidi="fa-IR"/>
        </w:rPr>
        <w:t>وتقنّعه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بثوبه ظاهره أنّ ذلك بالإضافة إلی تغطية رأسه، وعلّل ذلك بالاستحياء من الملكين اللذين معه</w:t>
      </w:r>
      <w:r>
        <w:rPr>
          <w:rFonts w:eastAsia="IRNazanin" w:cs="IRNazanin"/>
          <w:color w:val="111111"/>
          <w:sz w:val="28"/>
          <w:szCs w:val="28"/>
          <w:rtl w:val="true"/>
          <w:lang w:bidi="fa-IR"/>
        </w:rPr>
        <w:t>.</w:t>
      </w:r>
    </w:p>
    <w:p>
      <w:pPr>
        <w:pStyle w:val="Heading3"/>
        <w:numPr>
          <w:ilvl w:val="2"/>
          <w:numId w:val="1"/>
        </w:numPr>
        <w:rPr/>
      </w:pPr>
      <w:bookmarkStart w:id="390" w:name="__RefHeading___Toc12418151_2142443653"/>
      <w:bookmarkStart w:id="391" w:name="_Toc145"/>
      <w:bookmarkEnd w:id="390"/>
      <w:r>
        <w:rPr>
          <w:rtl w:val="true"/>
        </w:rPr>
        <w:t>المتحصل من الأحادیث</w:t>
      </w:r>
      <w:bookmarkEnd w:id="391"/>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السند</w:t>
      </w:r>
      <w:r>
        <w:rPr>
          <w:rFonts w:eastAsia="Amiri" w:cs="Amiri" w:ascii="Amiri" w:hAnsi="Amiri"/>
          <w:color w:val="111111"/>
          <w:sz w:val="28"/>
          <w:szCs w:val="28"/>
          <w:rtl w:val="true"/>
          <w:lang w:bidi="ar-SA"/>
        </w:rPr>
        <w:t>(</w:t>
      </w:r>
      <w:r>
        <w:rPr>
          <w:rStyle w:val="FootnoteAnchor"/>
          <w:rtl w:val="true"/>
        </w:rPr>
        <w:footnoteReference w:id="1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ثلاثة أحاديث، ثانيها معتبر بأحد سنديه، والحديثان الآخران ضعيفان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تغطية الرأس عند التخلّي سُنّة من سنن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المسنون التقنّع حال التخلّي، والدعاء بالمأثور سرّاً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الحياء من الله أمر مطلوب، وهو فضيلة عظيمة، وكذا الحياء منه ومن الملَكين الكريمين حين التخلّي</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5724_204507"/>
      <w:bookmarkStart w:id="393" w:name="pg15724_204507"/>
      <w:bookmarkEnd w:id="393"/>
    </w:p>
    <w:p>
      <w:pPr>
        <w:pStyle w:val="Heading2"/>
        <w:numPr>
          <w:ilvl w:val="1"/>
          <w:numId w:val="1"/>
        </w:numPr>
        <w:rPr/>
      </w:pPr>
      <w:bookmarkStart w:id="394" w:name="pg15724_204507"/>
      <w:bookmarkStart w:id="395" w:name="__RefHeading___Toc12418153_2142443653"/>
      <w:bookmarkStart w:id="396" w:name="_Toc146"/>
      <w:bookmarkEnd w:id="394"/>
      <w:bookmarkEnd w:id="395"/>
      <w:r>
        <w:rPr/>
        <w:t>4</w:t>
      </w:r>
      <w:r>
        <w:rPr>
          <w:rtl w:val="true"/>
        </w:rPr>
        <w:t xml:space="preserve">- </w:t>
      </w:r>
      <w:r>
        <w:rPr>
          <w:rtl w:val="true"/>
        </w:rPr>
        <w:t>بَابُ اسْتِحْبَابِ التَّبَاعُدِ عَنِ النَّاسِ عِنْدَ التَّخَلِّي وَشِدَّةِ التَّسَتُّرِ وَالتَّحَفُّظ</w:t>
      </w:r>
      <w:bookmarkEnd w:id="396"/>
    </w:p>
    <w:p>
      <w:pPr>
        <w:pStyle w:val="Heading3"/>
        <w:numPr>
          <w:ilvl w:val="2"/>
          <w:numId w:val="1"/>
        </w:numPr>
        <w:rPr/>
      </w:pPr>
      <w:bookmarkStart w:id="397" w:name="__RefHeading___Toc12418155_2142443653"/>
      <w:bookmarkStart w:id="398" w:name="_Toc147"/>
      <w:bookmarkEnd w:id="397"/>
      <w:r>
        <w:rPr>
          <w:rtl w:val="true"/>
        </w:rPr>
        <w:t>اشارة</w:t>
      </w:r>
      <w:bookmarkEnd w:id="39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التَّبَاعُدِ عَنِ النَّاسِ عِنْدَ التَّخَلِّي وَشِدَّةِ التَّسَتُّرِ وَالتَّحَفُّظ</w:t>
      </w:r>
    </w:p>
    <w:p>
      <w:pPr>
        <w:pStyle w:val="Heading3"/>
        <w:numPr>
          <w:ilvl w:val="2"/>
          <w:numId w:val="1"/>
        </w:numPr>
        <w:rPr/>
      </w:pPr>
      <w:bookmarkStart w:id="399" w:name="__RefHeading___Toc12418157_2142443653"/>
      <w:bookmarkStart w:id="400" w:name="_Toc148"/>
      <w:bookmarkEnd w:id="399"/>
      <w:r>
        <w:rPr>
          <w:rtl w:val="true"/>
        </w:rPr>
        <w:t>شرح الباب</w:t>
      </w:r>
      <w:r>
        <w:rPr>
          <w:rtl w:val="true"/>
        </w:rPr>
        <w:t>:</w:t>
      </w:r>
      <w:bookmarkEnd w:id="400"/>
    </w:p>
    <w:p>
      <w:pPr>
        <w:pStyle w:val="BookText"/>
        <w:rPr/>
      </w:pPr>
      <w:r>
        <w:rPr>
          <w:rFonts w:ascii="IRNazanin" w:hAnsi="IRNazanin" w:eastAsia="IRNazanin"/>
          <w:color w:val="111111"/>
          <w:sz w:val="28"/>
          <w:sz w:val="28"/>
          <w:szCs w:val="28"/>
          <w:rtl w:val="true"/>
          <w:lang w:bidi="fa-IR"/>
        </w:rPr>
        <w:t xml:space="preserve">التستّر عن الناس بحيث لا يراه أحد عند إرادة التخلّي، وشدة التستّر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ستر العورة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والتحفّظ عن أن يری منه الناظر شيئاً هما أدبان حواهما هذا الباب، ويحصل الأوّل بمثل الابتعاد عمّن معه، أو الدخول في بناء، أو 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ويحصل الثاني بمثل عدم رفع الثوب إلّا عند الوصول إلی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فيه ستر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استتار الشخص نفسه عند إرادة التخلّي، إمّا بأن يبعد المذهب، أو يلج في حفيرة، أو يدخل بناء</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من الشيخ النراقي في المستند أنّه المشهور بين العلماء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مستحباتها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علی ما علم ممّا سبق،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الاستتار عن الناس في الغائط خاصّة بحيث لا يراه أحد، بأن يبعد أو يدخل بيتاً أو يلج حفيرة، لاشتهاره بين العلماء، والتأسّي بالنبي، فإنّه لم يُرَ علی غائط قط</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401" w:name="pg15724_204508"/>
    </w:p>
    <w:p>
      <w:pPr>
        <w:pStyle w:val="Heading3"/>
        <w:numPr>
          <w:ilvl w:val="2"/>
          <w:numId w:val="1"/>
        </w:numPr>
        <w:rPr/>
      </w:pPr>
      <w:bookmarkStart w:id="402" w:name="__RefHeading___Toc12418159_2142443653"/>
      <w:bookmarkStart w:id="403" w:name="_Toc149"/>
      <w:bookmarkEnd w:id="401"/>
      <w:bookmarkEnd w:id="402"/>
      <w:r>
        <w:rPr>
          <w:rtl w:val="true"/>
        </w:rPr>
        <w:t>أقوال العامّة</w:t>
      </w:r>
      <w:r>
        <w:rPr>
          <w:rtl w:val="true"/>
        </w:rPr>
        <w:t>:</w:t>
      </w:r>
      <w:bookmarkEnd w:id="403"/>
    </w:p>
    <w:p>
      <w:pPr>
        <w:pStyle w:val="BookText"/>
        <w:rPr/>
      </w:pPr>
      <w:r>
        <w:rPr>
          <w:rFonts w:ascii="IRNazanin" w:hAnsi="IRNazanin" w:eastAsia="IRNazanin"/>
          <w:color w:val="111111"/>
          <w:sz w:val="28"/>
          <w:sz w:val="28"/>
          <w:szCs w:val="28"/>
          <w:rtl w:val="true"/>
          <w:lang w:bidi="fa-IR"/>
        </w:rPr>
        <w:t>ذكروا أنّ من المسنونات الاستتار حال التخلّي، والتباعد عن الناس، أمّا الاستتار عن الناس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يُسنّ عند المالكية والشافعية والحنابلة لقاضي الحاجة أن يستتر عن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عدّ ذلك من الآداب، أي المستحبات إذا لم يكن بحضرة من يری عورته ممّن لا يحلّ له نظرها، أمّا بحضرته فيكون سترها واجباً، إذ كشفها بحضرته حرام، واعتمده المتأخرون منهم، وهذه موافق لقواعد المذاهب الثلاثة الأخری</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الابتعاد عن الناس في الفضاء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المالكية والشافعية والحنابلة أنّه يندب لقاضي الحاجة إذا كان بالفضاء التباعد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واشترط الحنابلة لذلك أن لا يجد ما يستره عن الناس، فإن وجد ما يستره عن الناس كفی الاستتار عن البعد، والمالكية والشافعية صرّحوا بأنّ الاستتار لا يغني عن الابتعاد إذا كان قاضي الحاجة في الفضاء</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بِإِسْنَادِهِ عَنْ سُلَيْمَانَ بْنِ دَاوُدَ الْمِنْقَرِيِّ، عَنْ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سَافَرْتَ مَعَ قَوْمٍ فَأَكْثِرِ اسْتِشَارَتَهُمْ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أَرَدْتَ قَضَاءَ حَاجَتِكَ فَأَبْعِدِ الْمَذْهَبَ</w:t>
      </w:r>
      <w:r>
        <w:rPr>
          <w:rFonts w:eastAsia="Amiri" w:cs="Amiri" w:ascii="Amiri" w:hAnsi="Amiri"/>
          <w:color w:val="111111"/>
          <w:sz w:val="28"/>
          <w:szCs w:val="28"/>
          <w:rtl w:val="true"/>
          <w:lang w:bidi="ar-SA"/>
        </w:rPr>
        <w:t>(</w:t>
      </w:r>
      <w:r>
        <w:rPr>
          <w:rStyle w:val="FootnoteAnchor"/>
          <w:rtl w:val="true"/>
        </w:rPr>
        <w:footnoteReference w:id="1038"/>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الْأَرْضِ</w:t>
      </w:r>
      <w:r>
        <w:rPr>
          <w:rFonts w:eastAsia="Amiri" w:cs="Amiri" w:ascii="Amiri" w:hAnsi="Amiri"/>
          <w:i/>
          <w:iCs/>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الْبَرْقِيُّ فِي الْمَحَاسِنِ عَنِ الْقَاسِمِ بْنِ مُحَمَّدٍ، عَنِ الْمِنْقَرِيِّ، عَنْ حَمَّادِ بْنِ عُثْمَانَ أَوْ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تضمّن هذا الحديث وصايا لقمان الحكيم لابنه، وهي وصايا تتعلّق بالسفر مع الآخرين، ومحل الشاهد من تلك الوصايا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أردت قضاء حاجتك فأبعد المذهب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والأمر بالإبعاد في المذهب حتی يحصل له الاستتار عن الناس فلا يرونه عند قضائه للحاجة، والغرض من حكاية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الوصيّة بيان راجحيّة مضمونها، وإلّا لنبّه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حكايتها علی أنّ ذلك غير راجح في شرعنا أو علی أنّه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لهذا الحديث الثالث الآتي الحاكي لسيرة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التزام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ومداومته عليه يدلّ علی رجحانه وكونه مورداً للتأسي به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الصدوق إلی سليمان بن داود المنقري، وإسناده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القاسم بن محمد الأصبهاني، عن سليمان بن داود المنقري المعروف بابن الشاذكوني</w:t>
      </w:r>
      <w:r>
        <w:rPr>
          <w:rFonts w:eastAsia="IRNazanin" w:cs="IRNazanin"/>
          <w:color w:val="111111"/>
          <w:sz w:val="28"/>
          <w:szCs w:val="28"/>
          <w:rtl w:val="true"/>
          <w:lang w:bidi="fa-IR"/>
        </w:rPr>
        <w:t>»(</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وحماد بن عيسی تقدّم الكلام عن جلالته</w:t>
      </w:r>
      <w:r>
        <w:rPr>
          <w:rFonts w:eastAsia="IRNazanin" w:cs="IRNazanin"/>
          <w:color w:val="111111"/>
          <w:sz w:val="28"/>
          <w:szCs w:val="28"/>
          <w:rtl w:val="true"/>
          <w:lang w:bidi="fa-IR"/>
        </w:rPr>
        <w:t>(</w:t>
      </w:r>
      <w:r>
        <w:rPr>
          <w:rStyle w:val="FootnoteAnchor"/>
          <w:rtl w:val="true"/>
        </w:rPr>
        <w:footnoteReference w:id="1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فالسند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البرقي في المحاسن، وهو عن أبيه، عن القاسم بن محمد، عن المنقري، عن حماد بن عثمان أو حماد بن عيسی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المنقري يروي هنا عن حماد بن عيسی؛ فإنّ روايته عنه هي المستمرّة، ولم نجد روايته عن حماد بن عثمان، وعلی أيّ تقدير فالسند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فِي مَجْمَعِ الْبَيَانِ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أُوتِيَ لُقْمَانُ الْحِكْمَةَ لِحَسَبٍ وَلَا مَالٍ وَلَا بَسْطٍ فِي جِسْمٍ وَلَا جَمَالٍ وَلَكِنَّهُ كَانَ رَجُلًا قَوِيّاً فِي أَمْرِ اللَّهِ مُتَوَرِّعاً فِي اللَّهِ سَاكِناً سِكِّيتاً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جُمْلَةً مِنْ أَوْصَافِهِ وَمَدَائِحِهِ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يَرَهُ أَحَدٌ مِنَ النَّاسِ عَلَى بَوْلٍ وَلَا غَائِطٍ قَطُّ وَلَا</w:t>
      </w:r>
    </w:p>
    <w:p>
      <w:pPr>
        <w:pStyle w:val="BookText"/>
        <w:rPr/>
      </w:pPr>
      <w:r>
        <w:rPr>
          <w:rFonts w:ascii="Amiri" w:hAnsi="Amiri" w:eastAsia="Amiri" w:cs="Amiri"/>
          <w:color w:val="111111"/>
          <w:sz w:val="28"/>
          <w:sz w:val="28"/>
          <w:szCs w:val="28"/>
          <w:rtl w:val="true"/>
          <w:lang w:bidi="ar-SA"/>
        </w:rPr>
        <w:t xml:space="preserve">اغْتِسَالٍ؛ لِشِدَّةِ تَسَتُّرِهِ وَتَحَفُّظِهِ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أُوتِيَ الْحِكْمَةَ وَمُنِحَ الْقَضِيَّةَ</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جمع لقمان للفضائل المذكورة في الحديث هو ما أوجب أن يعطيه الله تعالی الحكمة، وصواب الحكم في القضاء، لا لأجل حسبٍ ولا مال ولا بسط في جسم ولا جمال، ومن جملة تلك الفضائل التي كانت له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تستّره وتحفّظه عن أن يراه أحد حال التخلّي وحال الاغتسال، فلم يره أحد من الناس وهو علی بول ولا غائط، وذكر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الفضائل لغرض الاقتداء بلقمان، ومنها شدّة التستّر والتحفّظ عند التخلّي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طريق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كتاب مجمع البيان معتبر، مضافاً إلی شهرة الكتاب بلا ريب، وقد مرّ بيان جلالة مصنِّفه، وأنّ له طريقاً إلی جميع كتب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وروايات الشيخ والصدوق أيضاً</w:t>
      </w:r>
      <w:r>
        <w:rPr>
          <w:rFonts w:eastAsia="Amiri" w:cs="Amiri" w:ascii="Amiri" w:hAnsi="Amiri"/>
          <w:color w:val="111111"/>
          <w:sz w:val="28"/>
          <w:szCs w:val="28"/>
          <w:rtl w:val="true"/>
          <w:lang w:bidi="ar-SA"/>
        </w:rPr>
        <w:t>(</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الكلام في الطريق منهما إلی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غير مذكور، وعليه فهذا الحديث مرسل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الشَّهِيدُ الثَّانِي فِي شَرْحِ النَّفْلِيَّةِ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 عَلَى بَوْلٍ وَلَا غَائِطٍ</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سيرة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مستمرة علی التستّر عن الناس عند إرادة قضاء الحاجة، بحيث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يره أحد علی تلك الحال، والتأسّي به ومتابعته في ذلك لا ريب في رجحانه، وكونه من المكرمات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للماتن طرق متعدّدة معتبرة إلی كتاب الفوائد المليّة لِشرح الرِّسالةِ النَفْليّة ذكرها في الفائدة الخامسة من خاتمة وسائل الشيعة، أضف إلی ذلك شهرة نسبة الكتاب إلی الشهيد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 الكلام في أنّ المتن المنقول لم يذكر سنده، فهو مرسل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أَتَى الْغَائِطَ فَلْيَسْتَتِرْ</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علی الأمر بالاستتار عند الإتيان للغائط، وهو محلّ قضاء الحاجة، والاستتار هنا قد يكون بمعنی أن يخفي نفسه عن الناس باختيار موضع لا يرونه فيه، وقد يراد به أن يستر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غير العورة كأن لا يرفع ثوبه إلّا عند قرب جلوسه لقضاء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الكلام فيه في الحديث السابق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الْإِرْبِلِيُّ فِي كَشْفِ الْغُمَّةِ، عَنْ جُنَيْدِ</w:t>
      </w:r>
      <w:r>
        <w:rPr>
          <w:rFonts w:eastAsia="Amiri" w:cs="Amiri" w:ascii="Amiri" w:hAnsi="Amiri"/>
          <w:color w:val="111111"/>
          <w:sz w:val="28"/>
          <w:szCs w:val="28"/>
          <w:rtl w:val="true"/>
          <w:lang w:bidi="ar-SA"/>
        </w:rPr>
        <w:t>(</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النَّهْرَوَانَ فَبَرَزْتُ عَنِ الصُّفُوفِ وَرَكَزْتُ رُمْحِي وَوَضَعْتُ تُرْسِي إِلَيْهِ وَاسْتَتَرْتُ مِنَ الشَّمْسِ، فَإِنِّي لَجَالِسٌ إِذْ وَرَدَ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الْأَزْدِ مَعَكَ طَهُورٌ؟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فَنَاوَلْتُهُ الْإِدَاوَةَ</w:t>
      </w:r>
      <w:r>
        <w:rPr>
          <w:rFonts w:eastAsia="Amiri" w:cs="Amiri" w:ascii="Amiri" w:hAnsi="Amiri"/>
          <w:color w:val="111111"/>
          <w:sz w:val="28"/>
          <w:szCs w:val="28"/>
          <w:rtl w:val="true"/>
          <w:lang w:bidi="ar-SA"/>
        </w:rPr>
        <w:t>(</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حَتَّى لَمْ أَرَهُ، وَأَقْبَلَ وَقَدْ تَطَهَّرَ فَجَلَسَ فِي ظِلِّ التُّرْسِ</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علی شدّة تستّر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وتحفّظه عن أن يراه أحد حال التخلي، فقد ابتعد عن الرائين له حتی لم يُر، مع أنّه كان في ساحة معركة، لكنّ ذلك لم يمنعه من تطبيق هذا الأمر المندوب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في الحديث الخامس عشر من الباب الثامن من أبواب الماء المطلق بيان جلالة علي بن عيسی الأربلي، وأنّ للماتن طريقاً إلی كتابه</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جنيد بن عبد الله، وفي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عبد الله الأزدي، عدّه الشيخ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جندب</w:t>
      </w:r>
      <w:r>
        <w:rPr>
          <w:rFonts w:eastAsia="IRNazanin" w:cs="IRNazanin"/>
          <w:color w:val="111111"/>
          <w:sz w:val="28"/>
          <w:szCs w:val="28"/>
          <w:rtl w:val="true"/>
          <w:lang w:bidi="fa-IR"/>
        </w:rPr>
        <w:t>(</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القيام بعد بيعة الناس لعثمان، فأخبره أنّ هذا الأمر لا يكون،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جندب، ليس هذا زمان ذاك، ثم ذكر أنّه رجع بعد ذلك إلی العراق،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فكنت كلّما ذكرت للناس شيئاً من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وحقوقه زبروني ونهروني، حتی رُفع ذلك من قولي إلی الوليد بن عقبة ليالي وَلِينا، فبعث إليّ فحبسني حتی كلم فيّ فخلّی سبيلي</w:t>
      </w:r>
      <w:r>
        <w:rPr>
          <w:rFonts w:eastAsia="IRNazanin" w:cs="IRNazanin"/>
          <w:color w:val="111111"/>
          <w:sz w:val="28"/>
          <w:szCs w:val="28"/>
          <w:rtl w:val="true"/>
          <w:lang w:bidi="fa-IR"/>
        </w:rPr>
        <w:t>»(</w:t>
      </w:r>
      <w:r>
        <w:rPr>
          <w:rStyle w:val="FootnoteAnchor"/>
          <w:rtl w:val="true"/>
        </w:rPr>
        <w:footnoteReference w:id="1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في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وقعة النهروان فعرض له الشك في جواز قتاله مع قُرّاء القرآن، ثم استيقن واستقر، لما رأی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إخباره عن الغيب ومطابقته للواقع</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في الاختصاص عن أحمد بن هارون الفامي، عن محمد بن الحسن، عن محمد بن الحسن الصفار، عن أحمد بن محمد بن عيسی، عن أبي عبد الله محمد بن خالد البرقي، عن أحمد بن النضر الخزاز، عن عمرو بن شمر عن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التابعين ثلاثة نفر بصفّين شهد لهم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بالجنّة ولم 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أويس القرني، وزيد بن صوحان العبدي، وجندب الخير الأزدي رحمة الله </w:t>
      </w:r>
      <w:bookmarkStart w:id="404" w:name="pg15724_204517"/>
    </w:p>
    <w:p>
      <w:pPr>
        <w:pStyle w:val="BookText"/>
        <w:rPr/>
      </w:pPr>
      <w:bookmarkEnd w:id="404"/>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Style w:val="FootnoteAnchor"/>
          <w:rtl w:val="true"/>
        </w:rPr>
        <w:footnoteReference w:id="1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هذا فالرجل 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طريق الإربلي إلی جندب بن عبد الله غير مذكور، فالسند ضعيف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خمسة أحاديث، أوّلها معتبر بسنديه، والبقيّة ضعاف</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2418161_2142443653"/>
      <w:bookmarkStart w:id="406" w:name="_Toc150"/>
      <w:bookmarkEnd w:id="405"/>
      <w:r>
        <w:rPr>
          <w:rtl w:val="true"/>
        </w:rPr>
        <w:t>المتحصل من الأحادیث</w:t>
      </w:r>
      <w:bookmarkEnd w:id="406"/>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محبوبيّة التستّر عن الناس بحيث لا يراه أحد عند إرادة التخلّي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محبوبيّة شدّة التستّر حال التخلّي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ستر العورة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والتحفّظ عن أن يری منه الناظر شيئاً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جمع لقمان للفضائل ومنها شدّة تستّره وتحفّظه عن أن يراه أحد حال التخلّي والاغتسال، هو ما أوجب أن يعطيه الله تعالی الحكمة، وصواب الحكم في القضاء</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15724_204519"/>
      <w:bookmarkStart w:id="408" w:name="pg15724_204519"/>
      <w:bookmarkEnd w:id="408"/>
    </w:p>
    <w:p>
      <w:pPr>
        <w:pStyle w:val="Heading2"/>
        <w:numPr>
          <w:ilvl w:val="1"/>
          <w:numId w:val="1"/>
        </w:numPr>
        <w:rPr/>
      </w:pPr>
      <w:bookmarkStart w:id="409" w:name="pg15724_204519"/>
      <w:bookmarkStart w:id="410" w:name="__RefHeading___Toc12418163_2142443653"/>
      <w:bookmarkStart w:id="411" w:name="_Toc151"/>
      <w:bookmarkEnd w:id="409"/>
      <w:bookmarkEnd w:id="410"/>
      <w:r>
        <w:rPr/>
        <w:t>5</w:t>
      </w:r>
      <w:r>
        <w:rPr>
          <w:rtl w:val="true"/>
        </w:rPr>
        <w:t xml:space="preserve">- </w:t>
      </w:r>
      <w:r>
        <w:rPr>
          <w:rtl w:val="true"/>
        </w:rPr>
        <w:t>بَابُ اسْتِحْبَابِ التَّسْمِيَةِ وَالِاسْتِعَاذَةِ وَالدُّعَا ءِ بِالْمَأْثُورِ عِنْدَ دُخُولِ الْمَخْرَجِ وَالْخُرُوجِ مِنْهُ وَالْفَرَاغِ وَالنَّظَرِ إِلَى الْمَا ءِ وَالْوُضُو ء</w:t>
      </w:r>
      <w:bookmarkEnd w:id="411"/>
    </w:p>
    <w:p>
      <w:pPr>
        <w:pStyle w:val="Heading3"/>
        <w:numPr>
          <w:ilvl w:val="2"/>
          <w:numId w:val="1"/>
        </w:numPr>
        <w:rPr/>
      </w:pPr>
      <w:bookmarkStart w:id="412" w:name="__RefHeading___Toc12418165_2142443653"/>
      <w:bookmarkStart w:id="413" w:name="_Toc152"/>
      <w:bookmarkEnd w:id="412"/>
      <w:r>
        <w:rPr>
          <w:rtl w:val="true"/>
        </w:rPr>
        <w:t>اشارة</w:t>
      </w:r>
      <w:bookmarkEnd w:id="4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التَّسْمِيَةِ وَالِاسْتِعَاذَةِ وَالدُّعَاءِ بِالْمَأْثُورِ عِنْدَ دُخُولِ الْمَخْرَجِ وَالْخُرُوجِ مِنْهُ وَالْفَرَاغِ وَالنَّظَرِ إِلَى الْمَاءِ وَالْوُضُوء</w:t>
      </w:r>
    </w:p>
    <w:p>
      <w:pPr>
        <w:pStyle w:val="Heading3"/>
        <w:numPr>
          <w:ilvl w:val="2"/>
          <w:numId w:val="1"/>
        </w:numPr>
        <w:rPr/>
      </w:pPr>
      <w:bookmarkStart w:id="414" w:name="__RefHeading___Toc12418167_2142443653"/>
      <w:bookmarkStart w:id="415" w:name="_Toc153"/>
      <w:bookmarkEnd w:id="414"/>
      <w:r>
        <w:rPr>
          <w:rtl w:val="true"/>
        </w:rPr>
        <w:t>شرح الباب</w:t>
      </w:r>
      <w:r>
        <w:rPr>
          <w:rtl w:val="true"/>
        </w:rPr>
        <w:t>:</w:t>
      </w:r>
      <w:bookmarkEnd w:id="415"/>
    </w:p>
    <w:p>
      <w:pPr>
        <w:pStyle w:val="BookText"/>
        <w:rPr/>
      </w:pPr>
      <w:r>
        <w:rPr>
          <w:rFonts w:ascii="IRNazanin" w:hAnsi="IRNazanin" w:eastAsia="IRNazanin"/>
          <w:color w:val="111111"/>
          <w:sz w:val="28"/>
          <w:sz w:val="28"/>
          <w:szCs w:val="28"/>
          <w:rtl w:val="true"/>
          <w:lang w:bidi="fa-IR"/>
        </w:rPr>
        <w:t>التسمية مصدر سمّی، وهي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والاستعاذة مصدر استعاذ، وفي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عذت بفلان واستعذت به، أي لجأت إليه، وهو عياذي، أي ملجئي</w:t>
      </w:r>
      <w:r>
        <w:rPr>
          <w:rFonts w:eastAsia="IRNazanin" w:cs="IRNazanin"/>
          <w:color w:val="111111"/>
          <w:sz w:val="28"/>
          <w:szCs w:val="28"/>
          <w:rtl w:val="true"/>
          <w:lang w:bidi="fa-IR"/>
        </w:rPr>
        <w:t>»(</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والاستعاذة بالله بمعنی طلب العوذ أي الاعتصام والتحرّز من الشيطان أو غيره من الشرور بالالتجاء إليه سبحانه؛ لكونه هو من يدفع كلّ شرّ، ويتحقّق معناها في نفس المستعيذ بذكر الاستعادة كما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الشيطان الرجيم، ونحوه ممّا يدلّ علی الاعتصام بالله والالتجاء إليه من الشيطان الرجيم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دلّت الأحاديث علی أنّ الخلاء محلّ الشياطين، وفي هذا الباب بيان استحباب التسمية والاستعاذة والدعاء بالمأثور عند دخول الخلاء وعند الخروج منه، وهي نصّ في عدم كراهة ذكر الله تعالی في الخلاء، وأمّا ما يتعلّق </w:t>
      </w:r>
      <w:bookmarkStart w:id="416" w:name="pg15724_204520"/>
    </w:p>
    <w:p>
      <w:pPr>
        <w:pStyle w:val="BookText"/>
        <w:rPr/>
      </w:pPr>
      <w:bookmarkEnd w:id="416"/>
      <w:r>
        <w:rPr>
          <w:rFonts w:ascii="IRNazanin" w:hAnsi="IRNazanin" w:eastAsia="IRNazanin"/>
          <w:color w:val="111111"/>
          <w:sz w:val="28"/>
          <w:sz w:val="28"/>
          <w:szCs w:val="28"/>
          <w:rtl w:val="true"/>
          <w:lang w:bidi="fa-IR"/>
        </w:rPr>
        <w:t>بالدعاء بالمأثور عند النظر إلی الماء، فلم يذكر الماتن هنا ما يدلّ عليه، بل أخّره إلی الباب السادس عشر من أبواب الوضوء، كما أشار إلی ذلك في نهاية هذا الباب</w:t>
      </w:r>
      <w:r>
        <w:rPr>
          <w:rFonts w:eastAsia="IRNazanin" w:cs="IRNazanin"/>
          <w:color w:val="111111"/>
          <w:sz w:val="28"/>
          <w:szCs w:val="28"/>
          <w:rtl w:val="true"/>
          <w:lang w:bidi="fa-IR"/>
        </w:rPr>
        <w:t>.</w:t>
      </w:r>
    </w:p>
    <w:p>
      <w:pPr>
        <w:pStyle w:val="Heading3"/>
        <w:numPr>
          <w:ilvl w:val="2"/>
          <w:numId w:val="1"/>
        </w:numPr>
        <w:rPr/>
      </w:pPr>
      <w:bookmarkStart w:id="417" w:name="__RefHeading___Toc12418169_2142443653"/>
      <w:bookmarkStart w:id="418" w:name="_Toc154"/>
      <w:bookmarkEnd w:id="417"/>
      <w:r>
        <w:rPr>
          <w:rtl w:val="true"/>
        </w:rPr>
        <w:t>أقوال الخاصّة</w:t>
      </w:r>
      <w:r>
        <w:rPr>
          <w:rtl w:val="true"/>
        </w:rPr>
        <w:t>:</w:t>
      </w:r>
      <w:bookmarkEnd w:id="418"/>
    </w:p>
    <w:p>
      <w:pPr>
        <w:pStyle w:val="BookText"/>
        <w:rPr/>
      </w:pPr>
      <w:r>
        <w:rPr>
          <w:rFonts w:ascii="IRNazanin" w:hAnsi="IRNazanin" w:eastAsia="IRNazanin"/>
          <w:color w:val="111111"/>
          <w:sz w:val="28"/>
          <w:sz w:val="28"/>
          <w:szCs w:val="28"/>
          <w:rtl w:val="true"/>
          <w:lang w:bidi="fa-IR"/>
        </w:rPr>
        <w:t>وقع الاتفاق بين علمائنا علی أنّ التسمية من جملة المندوبات، قال في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كما في المعتبر، وهو الحجّة</w:t>
      </w:r>
      <w:r>
        <w:rPr>
          <w:rFonts w:eastAsia="IRNazanin" w:cs="IRNazanin"/>
          <w:color w:val="111111"/>
          <w:sz w:val="28"/>
          <w:szCs w:val="28"/>
          <w:rtl w:val="true"/>
          <w:lang w:bidi="fa-IR"/>
        </w:rPr>
        <w:t>»(</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أنّ من جملة المندوبات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عند 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بالمأثور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حصّن فرجي وأعفّه، واستر عورتي، وحرّمني علی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عافاني من البلاء، وأماط عنّي الأذی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والدعاء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الحمد لله الذي رزقني لذّته وأبقی قوّته في جسدي، وأخرج عنّي أذاه، يا لها نعمة، ثلاثاً</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12418171_2142443653"/>
      <w:bookmarkStart w:id="420" w:name="_Toc155"/>
      <w:bookmarkEnd w:id="419"/>
      <w:r>
        <w:rPr>
          <w:rtl w:val="true"/>
        </w:rPr>
        <w:t>أقوال العامّة</w:t>
      </w:r>
      <w:r>
        <w:rPr>
          <w:rtl w:val="true"/>
        </w:rPr>
        <w:t>:</w:t>
      </w:r>
      <w:bookmarkEnd w:id="420"/>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عن غير واحد من علمائهم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أن يقول عند دخول الخلاء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الله، اللهم إني أعوذ بك من الخبث والخبائث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إذا 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غفرانك، الحمد لله الذي أذهب عنّي الأذی وعافاني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وسواء في هذا البنيان والصحراء</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مُحَمَّدِ بْنِ عِيسَى، عَنْ يُونُسَ،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إِنِّي أَعُوذُ بِكَ مِنَ الْخَبِيثِ الْمُخْبِثِ الرِّجْسِ النِّجْسِ الشَّيْطَانِ الرَّجِيمِ، فَإِذَا خَرَجْتَ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الْحَمْدُ لِلَّهِ الَّذِي عَافَانِي مِنَ الْخَبِيثِ الْمُخْبِثِ، وَأَمَاطَ عَنِّي الْأَذَى، وَإِذَا تَوَضَّأْتَ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اللَّهُمَّ اجْعَلْنِي مِنَ التَّوَّابِينَ، وَاجْعَلْنِي مِنَ الْمُتَطَهِّرِينَ، وَالْحَمْدُ لِلَّهِ رَبِّ الْعَالَمِينَ</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مُحَمَّدِ بْنِ يَعْقُوبَ مِثْلَهُ</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علی الأمر بقول هذا الدعاء عند الدخول إلی الخلاء وعند الخروج منه، وهو هنا للندب لا الوجوب، وفيه الابتداء بقول بسم الله في الدخول والخروج، لأنّهما من الأعمال، وفي التسمية استعانة بالله علی العمل ولو كان يسيراً، ثم أمر بالاستعاذة عند الدخول، والاستعاذة التجاء إلی الله تعالی واعتصام به ليدفع عن العبد شرّ كل ذي شرٍّ، وهنا وقعت الاستعاذة من شرّ الشيطان الذي هو أعظم الشرور، ووصفه بأوصاف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الخبيث والمُخْبِثُ، والخَبِيثُ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الطَّيِّبِ من الرِّزْق والولدِ والناس</w:t>
      </w:r>
      <w:r>
        <w:rPr>
          <w:rFonts w:eastAsia="IRNazanin" w:cs="IRNazanin"/>
          <w:color w:val="111111"/>
          <w:sz w:val="28"/>
          <w:szCs w:val="28"/>
          <w:rtl w:val="true"/>
          <w:lang w:bidi="fa-IR"/>
        </w:rPr>
        <w:t>(</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يُعَلِّمُ الناسَ </w:t>
      </w:r>
    </w:p>
    <w:p>
      <w:pPr>
        <w:pStyle w:val="BookText"/>
        <w:rPr/>
      </w:pPr>
      <w:r>
        <w:rPr>
          <w:rFonts w:ascii="Amiri" w:hAnsi="Amiri" w:eastAsia="Amiri" w:cs="Amiri"/>
          <w:color w:val="111111"/>
          <w:sz w:val="28"/>
          <w:sz w:val="28"/>
          <w:szCs w:val="28"/>
          <w:rtl w:val="true"/>
          <w:lang w:bidi="ar-SA"/>
        </w:rPr>
        <w:t>الخُبْثَ</w:t>
      </w:r>
      <w:r>
        <w:rPr>
          <w:rFonts w:eastAsia="Amiri" w:cs="Amiri" w:ascii="Amiri" w:hAnsi="Amiri"/>
          <w:color w:val="111111"/>
          <w:sz w:val="28"/>
          <w:szCs w:val="28"/>
          <w:rtl w:val="true"/>
          <w:lang w:bidi="ar-SA"/>
        </w:rPr>
        <w:t>(</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 ذو الخبث في نفسه، والمخبِث الذي أعوانه خبثاء، كما يقال للذي فرسه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يعلِّمهم الخبث ويوقعهم فيه</w:t>
      </w:r>
      <w:r>
        <w:rPr>
          <w:rFonts w:eastAsia="Amiri" w:cs="Amiri" w:ascii="Amiri" w:hAnsi="Amiri"/>
          <w:color w:val="111111"/>
          <w:sz w:val="28"/>
          <w:szCs w:val="28"/>
          <w:rtl w:val="true"/>
          <w:lang w:bidi="ar-SA"/>
        </w:rPr>
        <w:t>»(</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الخبيث الذكر من الشياطين، والمخبِث الذي يعلِّم الناس الخبث</w:t>
      </w:r>
      <w:r>
        <w:rPr>
          <w:rFonts w:eastAsia="Amiri" w:cs="Amiri" w:ascii="Amiri" w:hAnsi="Amiri"/>
          <w:color w:val="111111"/>
          <w:sz w:val="28"/>
          <w:szCs w:val="28"/>
          <w:rtl w:val="true"/>
          <w:lang w:bidi="ar-SA"/>
        </w:rPr>
        <w:t>»(</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وقد يعبّر به عن الحرام والفعل القبيح، والعذاب، واللعنة، والكفر، والمراد في هذا الحديث الأول</w:t>
      </w:r>
      <w:r>
        <w:rPr>
          <w:rFonts w:eastAsia="Amiri" w:cs="Amiri" w:ascii="Amiri" w:hAnsi="Amiri"/>
          <w:color w:val="111111"/>
          <w:sz w:val="28"/>
          <w:szCs w:val="28"/>
          <w:rtl w:val="true"/>
          <w:lang w:bidi="ar-SA"/>
        </w:rPr>
        <w:t>(</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والنَّجْسُ والنِّجْسُ والنَّجَسُ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من الناس ومن كل شيء قَذِرْتَه</w:t>
      </w:r>
      <w:r>
        <w:rPr>
          <w:rFonts w:eastAsia="Amiri" w:cs="Amiri" w:ascii="Amiri" w:hAnsi="Amiri"/>
          <w:color w:val="111111"/>
          <w:sz w:val="28"/>
          <w:szCs w:val="28"/>
          <w:rtl w:val="true"/>
          <w:lang w:bidi="ar-SA"/>
        </w:rPr>
        <w:t>(</w:t>
      </w:r>
      <w:r>
        <w:rPr>
          <w:rStyle w:val="FootnoteAnchor"/>
          <w:rtl w:val="true"/>
        </w:rPr>
        <w:footnoteReference w:id="1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الأثير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بدأوا بالنجس ولم يذكروا معه الرجس فتحوا النون والجيم، وإذا بدأوا بالرجس ثم أتبعوه النجس كسروا الجيم</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 من الرحمة، قال ابن الأثير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جعلت نون الشيطان أصليّة كان من الشطن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أي بعد عن الخير، أو من الحبل الطويل، كأنّه طال في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جعلتها زائدة كان من شاط يشيط إذا هلك، أو من استشاط غضباً إذا احتدّ في غضبه والتهب، والأوّل أصح</w:t>
      </w:r>
      <w:r>
        <w:rPr>
          <w:rFonts w:eastAsia="Amiri" w:cs="Amiri" w:ascii="Amiri" w:hAnsi="Amiri"/>
          <w:color w:val="111111"/>
          <w:sz w:val="28"/>
          <w:szCs w:val="28"/>
          <w:rtl w:val="true"/>
          <w:lang w:bidi="ar-SA"/>
        </w:rPr>
        <w:t>»(</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يقال تشيطن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المرجوم باللّعنة المطرود من مواضع الخير، لا يذكره مؤمن إلّا لعنه</w:t>
      </w:r>
      <w:r>
        <w:rPr>
          <w:rFonts w:eastAsia="Amiri" w:cs="Amiri" w:ascii="Amiri" w:hAnsi="Amiri"/>
          <w:color w:val="111111"/>
          <w:sz w:val="28"/>
          <w:szCs w:val="28"/>
          <w:rtl w:val="true"/>
          <w:lang w:bidi="ar-SA"/>
        </w:rPr>
        <w:t>(</w:t>
      </w:r>
      <w:r>
        <w:rPr>
          <w:rStyle w:val="FootnoteAnchor"/>
          <w:rtl w:val="true"/>
        </w:rPr>
        <w:footnoteReference w:id="1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المجلسي الأوّل في معنی الرجيم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المرجوم بلعنة الله والملائكة، أو الطريد من السماء أو من الجنة</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عند الخروج فقد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بالحمد لله تعالی علی المعافاة من الخبيث المخبث من أن يتسلّط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وأماط عني الأذی، يعني أبعد عنّي الفضلات التي تؤذي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عند التوضّؤ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إلی آخره، والظاهر أنّ المراد بالتوضّؤ هنا التطهّر عن الخبث؛ فإنّ الخلاء يسمی المتوضأ أيضاً،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من التوابين واجعلني من المتطهّرين، أي من مكثري التوبة ومن الطاهرين من النجاسات،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 أي علی ما دفع من الأذی وعافی من الشيطان وحفظ قوّة الطعام وسهّل خروج الأذی، ووفّق لشكر هذه النعم، أو لغيرها من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الكليني،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عيسی، وهو ابن عبيد، ويونس، وهو ابن عبد الرحمن، ومعاوية بن عمّار، وهو الدهني، والسند صحيح</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عن الكليني، وهو كسابقه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الْحُسَيْنِ بْنِ سَعِيدٍ، عَنِ الْقَاسِمِ بْنِ مُحَمَّدٍ، عَنْ عَلِيِّ بْنِ أَبِي حَمْزَةَ،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الْغَائِطَ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الرِّجْسِ النِّجْسِ الْخَبِيثِ الْمُخْبِثِ الشَّيْطَانِ الرَّجِيمِ، وَإِذَا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عَافَانِي مِنَ الْبَلَاءِ، وَأَمَاطَ عَنِّي الْأَذَى</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مضی تفسير مفردات الدعاء في شرح الحديث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عافاني من البلاء، يحتمل أن يراد من البلاء شرّ الشيطان ووسوسته، أو ما يتسبّب به بقاء الفضلات في بدن الإنسان من أمراض وعلل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يحتمل إرادة إذا فرغت من قضاء الحاجة كما يحتمل إرادة الخروج من الخلاء، ولعلّه الأقرب بقرينة باقي الأحاديث؛ فإنّها نصّت علی أنّ الذكر المخصوص يقال عند الخروج من الخلاء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سند الشيخ إلی الحسين بن سعيد صحيح، ويوجد له سند آخر معتبر</w:t>
      </w:r>
      <w:r>
        <w:rPr>
          <w:rFonts w:eastAsia="IRNazanin" w:cs="IRNazanin"/>
          <w:color w:val="111111"/>
          <w:sz w:val="28"/>
          <w:szCs w:val="28"/>
          <w:rtl w:val="true"/>
          <w:lang w:bidi="fa-IR"/>
        </w:rPr>
        <w:t>(</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والقاسم بن محمد هو الجوهري؛ لرواية الحسين بن سعيد الأهوازي عنه، وأمّا علي بن أبي حمزة فهو البطائني، فالسند ضعيف به، إلا أن يقال بأنّ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رواياته كانت قبل وقفه، وهذا هو سبب الاعتماد عليها، فيكون السند معتبراً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عَلِيِّ بْنِ مَحْبُوبٍ، عَنِ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الْمُغِيرَةِ، عَنْ عَبْدِ اللَّهِ بْنِ مَيْمُونٍ الْقَدَّاحِ، عَنْ أَبِي عَبْدِ اللَّهِ،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خَرَجَ مِنَ الْخَلَاءِ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لَذَّتَهُ وَأَبْقَى قُوَّتَهُ فِي جَسَدِي وَأَخْرَجَ عَنِّي أَذَاهُ، يَا لَهَا نِعْمَةً</w:t>
      </w:r>
      <w:r>
        <w:rPr>
          <w:rFonts w:eastAsia="Amiri" w:cs="Amiri" w:ascii="Amiri" w:hAnsi="Amiri"/>
          <w:color w:val="111111"/>
          <w:sz w:val="28"/>
          <w:szCs w:val="28"/>
          <w:rtl w:val="true"/>
          <w:lang w:bidi="ar-SA"/>
        </w:rPr>
        <w:t>(</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ثَلَاثاً</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هذا الحديث لما يقال عند الخروج من الخلاء، ولم يتعرّض لما يقال عند الدخول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الحمد علی نعمة رزق لذّة الطعام، وكون الطعام ذا لذّة أمر مهم جدّاً ليتحرّك الإنسان إلی طلبه، ولولا ذلك لما طلبه أو تثاقل عن طلبه، وهذا إن دام واستمر أدّی إلی انحلال البدن بالتدريج ومن ثمّ إلی هلاك الإنسان، وفيه أيضاً الحمد علی نعمة أخری وهي إبقاء قوة الطعام في جسد الإنسان، إذ الطعام بعد هضمه يتوزّع علی جميع أجزاء جسم الإنسان ويمدّها بالقوّة اللازمة لها للقيام بوظائفها، وفيه أيضاً نعمة ثالثة عظيمة وهي إخراج أذی الطعام، والذي لو بقي في جسم الإنسان لأوجب أمراضاً عديدة ومن ثَمّ أدّی إلی الهلاك</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وأفاد المجلسي الثاني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لها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للتعجّب، كما هو الحال في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ونعمةً منصوبة علی أنّها تمييز </w:t>
      </w:r>
      <w:bookmarkStart w:id="421" w:name="pg15724_204527"/>
    </w:p>
    <w:p>
      <w:pPr>
        <w:pStyle w:val="BookText"/>
        <w:rPr/>
      </w:pPr>
      <w:bookmarkEnd w:id="421"/>
      <w:r>
        <w:rPr>
          <w:rFonts w:ascii="IRNazanin" w:hAnsi="IRNazanin" w:eastAsia="IRNazanin"/>
          <w:color w:val="111111"/>
          <w:sz w:val="28"/>
          <w:sz w:val="28"/>
          <w:szCs w:val="28"/>
          <w:rtl w:val="true"/>
          <w:lang w:bidi="fa-IR"/>
        </w:rPr>
        <w:t xml:space="preserve">يفسّر الضمير المبهم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ويحتمل أنّ الضمير يرجع إلی النعم التي ذكرت في الدعاء، أو يرجع إلی ما دلّ عليه المقام من النعم</w:t>
      </w:r>
      <w:r>
        <w:rPr>
          <w:rFonts w:eastAsia="IRNazanin" w:cs="IRNazanin"/>
          <w:color w:val="111111"/>
          <w:sz w:val="28"/>
          <w:szCs w:val="28"/>
          <w:rtl w:val="true"/>
          <w:lang w:bidi="fa-IR"/>
        </w:rPr>
        <w:t>(</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لها من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إمّا أن يراد أنّه كان يقول الجملة الأخيرة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لها نعمةً، أو يا لها من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أو يراد أنّه كان يقول الدعاء كلّه ثلاث مرات</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2418173_2142443653"/>
      <w:bookmarkStart w:id="423" w:name="_Toc156"/>
      <w:bookmarkEnd w:id="422"/>
      <w:r>
        <w:rPr>
          <w:rtl w:val="true"/>
        </w:rPr>
        <w:t>بحث رجالي حول صباح الحذاء</w:t>
      </w:r>
      <w:bookmarkEnd w:id="423"/>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أنّ سند الشيخ إلی محمد بن علي بن محبوب صحيح</w:t>
      </w:r>
      <w:r>
        <w:rPr>
          <w:rStyle w:val="FootnoteAnchor"/>
          <w:rtl w:val="true"/>
        </w:rPr>
        <w:footnoteReference w:id="1078"/>
      </w:r>
      <w:r>
        <w:rPr>
          <w:rFonts w:ascii="IRNazanin" w:hAnsi="IRNazanin" w:eastAsia="IRNazanin"/>
          <w:color w:val="111111"/>
          <w:sz w:val="28"/>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ويوجد له سند آخر معتبر، وقول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منه للتوضيح، وهي صحيحة؛ لرواية محمد بن علي بن محبوب عنه وروايته عن عبد الله بن المغيرة، لكنّها ليست موجودة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مُحَمَّدِ بْنِ الْحُسَيْنِ، عَنِ الْحَسَنِ بْنِ عَلِيٍّ، عَنْ أَبِيهِ، عَنْ آبَائِهِ،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انْكَشَفَ أَحَدُكُمْ لِبَوْلٍ أَوْ غَيْرِ ذَلِكَ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فَإِنَّ الشَّيْطَانَ يَغُضُّ بَصَرَهُ</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مطلوبيّة قول بسم الله عند كشف العورة للبول، أو غيره كالجماع وعند تبديل الملابس عند الانتهاء من الحمّام ونحوه، وفائدة التسمية أنّ الشيطان يغضّ بصره عن المسمِّي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المجلسي الثاني في معنی غضّ الشيطان لبصره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المراد بغضّ البصر إعراض الشيطان عنه بالاستعانة بالله تعالی وذكر اسمه، ولا يوقعه في الوساوس الباطلة التي تكون في الخلوة غالباً</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عن محمد بن علي بن محبوب، ومحمد بن الحسين هو محمد بن الحسين بن أبي الخطّاب</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الفاضل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أظنّه في السند الغلط، ويصحّ بالقلب، بأن يكون السند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أبيه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كما سيجيء بلا فاصلة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يبقی الإشكال في رواية الحسن بن علي الذي يروي عنه محمد بن الحسين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يبعد سقوط شيء من </w:t>
      </w:r>
    </w:p>
    <w:p>
      <w:pPr>
        <w:pStyle w:val="BookText"/>
        <w:rPr/>
      </w:pPr>
      <w:r>
        <w:rPr>
          <w:rFonts w:ascii="Amiri" w:hAnsi="Amiri" w:eastAsia="Amiri" w:cs="Amiri"/>
          <w:color w:val="111111"/>
          <w:sz w:val="28"/>
          <w:sz w:val="28"/>
          <w:szCs w:val="28"/>
          <w:rtl w:val="true"/>
          <w:lang w:bidi="ar-SA"/>
        </w:rPr>
        <w:t>الرجال في البين، ولا أستبعد أن يكون الساقطة بعد الحسن بن علي النوفلي عن السكوني</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الحسن بن علي هو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ويقرّب ذلك أنّ الشيخ عدّ في رجاله محمد بن الحسين بن أبي الخطاب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فيتمّ ما ذكره، ولو من دون القلب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 البعيد أن يكون المراد منه هو الحسن بن علي بن فضّال، فيكون راوياً عن أبيه علي، عن آبائه؛ فإنّه وإن كان ممّن يروي عنه محمد بن الحسين بن أبي الخطّاب مكرّراً، ويروي هو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تارة وباثنتين أخری، بل بثلاث إلّا أنّه لم يُعهد روايته عن أبيه عن آبائه عن الصادق أو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وسيأتي في الحديث التاسع من هذا الباب</w:t>
      </w:r>
      <w:r>
        <w:rPr>
          <w:rFonts w:eastAsia="Amiri" w:cs="Amiri" w:ascii="Amiri" w:hAnsi="Amiri"/>
          <w:color w:val="111111"/>
          <w:sz w:val="28"/>
          <w:szCs w:val="28"/>
          <w:rtl w:val="true"/>
          <w:lang w:bidi="ar-SA"/>
        </w:rPr>
        <w:t>(</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فالسند صحيح علی تقدير صحّة الاحتمال الذي ذكرناه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دُخُولَ المتوضّأ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الرِّجْسِ النِّجْسِ الْخَبِيثِ الْمُخْبِثِ الشَّيْطَانِ الرَّجِيمِ، اللَّهُمَّ أَمِطْ عَنِّي الْأَذَى وَأَعِذْنِي مِنَ الشَّيْطَانِ الرَّجِيمِ، وَإِذَا اسْتَوَى جَالِساً لِلْوُضُوءِ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عَنِّي الْقَذَى وَالْأَذَى، وَاجْعَلْنِي مِنَ الْمُتَطَهِّرِينَ، وَإِذَا انْزَحَرَ</w:t>
      </w:r>
      <w:r>
        <w:rPr>
          <w:rFonts w:eastAsia="Amiri" w:cs="Amiri" w:ascii="Amiri" w:hAnsi="Amiri"/>
          <w:color w:val="111111"/>
          <w:sz w:val="28"/>
          <w:szCs w:val="28"/>
          <w:rtl w:val="true"/>
          <w:lang w:bidi="ar-SA"/>
        </w:rPr>
        <w:t>(</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أَطْعَمْتَنِيهِ طَيِّباً فِي عَافِيَةٍ فَأَخْرِجْهُ مِنِّي خَبِيثاً فِي عَافِيَةٍ</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المتوضّأ هو الكنيف والخلاء، وقد دلّ الحديث علی مطلوبيّة هذا الدعاء عند إرادة دخول الخلاء تأسّياً برسول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استوی جالساً للوضوء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 المراد من الوضوء هنا قضاء الحاجة الموجبة للوضوء، كما يعبّر عن الكنيف بالمتوضّأ، لا أنّ المراد الوضوء الشرعي، فيدلّ حينئذٍ علی استحباب الدعاء المذكور عند الاستنجاء</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اللهم أذهب عني القذی والأذی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أنّ المراد بالقذی النجاسات وبالأذی لازمها،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انزحر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كما أطعمتنيه طيّباً في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أفاده المجلسي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الغائط أو إذا عسر </w:t>
      </w:r>
    </w:p>
    <w:p>
      <w:pPr>
        <w:pStyle w:val="BookText"/>
        <w:rPr/>
      </w:pPr>
      <w:r>
        <w:rPr>
          <w:rFonts w:ascii="Amiri" w:hAnsi="Amiri" w:eastAsia="Amiri" w:cs="Amiri"/>
          <w:color w:val="111111"/>
          <w:sz w:val="28"/>
          <w:sz w:val="28"/>
          <w:szCs w:val="28"/>
          <w:rtl w:val="true"/>
          <w:lang w:bidi="ar-SA"/>
        </w:rPr>
        <w:t>خروجه كما هو الظاهر،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اطعمتني الطعام طيباً وأنا في عافية منك فأخرج مني فضلاته وأنا صحيح البدن في عافية بلا مرضٍ من احتباس أو إسهال أو غيرهما</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مراراً أنّ مراسيل الصدوق في الفقيه معتبرة</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الْخَلَاءَ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الْحَافِظِ الْمُؤَدِّي، فَإِذَا خَرَجَ مَسَحَ بَطْنَهُ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 عَنِّي أَذَاهُ، وَأَبْقَى فِيَّ قُوَّتَهُ، فَيَا لَهَا مِنْ نِعْمَةٍ لَا يَقْدِرُ الْقَادِرُونَ قَدْرَهَا</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من الآداب عند دخول الخلاء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الحافظ المؤدّي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الحافظ لما لابد من حفظه، والدافع لما لابد من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يقول الحمد لله الذي يحفظنا بالقوّة الماسكة ويدفع عنّا المضار بالقوة الدافعة</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من الآداب أيضاً مسح البطن بعد الخروج من الخلاء وقول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أخرج عني أذاه، وأبقی فيّ قوته فيالها من نعمة لا يقدر القادرون 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والضمير في أذاه وفي قوّته يرجعان إلی الطعام، وقد وقع الحمد علی نعمة جليلة من نِعم الله سبحانه لا يقدر القادرون قدرها، وهي تسهيل إخراج أذی الطعام، والذي لو بقي لأوجب أمراضاً عديدة ومن ثَمّ أدّی إلی الهلاك، وإبقاء قوّة الطعام المستخلَص قبل إخراج بقاياه التي يستغني عنها البدن؛ فإنّ الحياة الإنسانيّة قائمة في بقاء الفرد ودوام النوع علی الطعام في جملة أمور أخری مهمّة، فلو لم يكن طعام لتحلّل البدن وانحلّت قواه، ومن ثَمّ مات، والله سبحانه جعل التدبير في جسم الإنسان بحيث يُهضم الطعام ثم يحصل امتصاص لما رقّ منه، وتوزيعه علی أجزاء الجسم لتعويض ما فُقد من أنسجة الجسم </w:t>
      </w:r>
    </w:p>
    <w:p>
      <w:pPr>
        <w:pStyle w:val="BookText"/>
        <w:rPr/>
      </w:pPr>
      <w:r>
        <w:rPr>
          <w:rFonts w:ascii="IRNazanin" w:hAnsi="IRNazanin" w:eastAsia="IRNazanin"/>
          <w:color w:val="111111"/>
          <w:sz w:val="28"/>
          <w:sz w:val="28"/>
          <w:szCs w:val="28"/>
          <w:rtl w:val="true"/>
          <w:lang w:bidi="fa-IR"/>
        </w:rPr>
        <w:t>وأجزائه وإعطائها القوّة علی القيام بوظائفها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مراسيل الصدوق في الفقيه معتبرة</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الْخَلَاءَ يُقَنِّعُ رَأْسَهُ وَيَقُولُ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وَلَا إِلَهَ إِلَّا اللَّهُ، رَبِّ أَخْرِجْ مِنِّي الْأَذَى سَرْحاً بِغَيْرِ حِسَابٍ، وَاجْعَلْنِي لَكَ مِنَ الشَّاكِرِينَ فِي مَا تَصْرِفُهُ عَنِّي مِنَ الْأَذَى، وَالْغَمِّ الَّذِي لَوْ حَبَسْتَهُ عَنِّي هَلَكْتُ، لَكَ الْحَمْدُ، اعْصِمْنِي مِنْ شَرِّ مَا فِي هَذِهِ الْبُقْعَةِ، وَأَخْرِجْنِي مِنْهَا سَالِماً وَحُلْ بَيْنِي وَبَيْنَ طَاعَةِ الشَّيْطَانِ الرَّجِيمِ</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الشَّيْخُ كَمَا مَرَّ</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استحباب التقنّع عند الدخول إلی الخلاء، وعلی الإخفات بالدعاء المذكور كما تقدّم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أفاده المجلسي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أستعين أو أتبرّك باسمه وبذاته، أو يكون قوله وبالله حالاً، يعني أستعين به والحال أنّ وجودي وحياتي وحولي وقوّتي به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أنّه ليس إله سواه حتی يمكن تخيّل الاستعانة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أخرج عني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يؤذيني من الأحداث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سريعاً بلا انقباض وعسر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متلبّساً بأن لا تحاسبني علی هذه النعمة الجليلة ولا تقاصّني بها، لأنّك إن حاسبتني عليها ذهبت حسناتي بواحدة منها،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مقترنة بنعم لا تتناهی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واجعلني لك </w:t>
      </w:r>
    </w:p>
    <w:p>
      <w:pPr>
        <w:pStyle w:val="BookText"/>
        <w:rPr/>
      </w:pPr>
      <w:r>
        <w:rPr>
          <w:rFonts w:ascii="IRNazanin" w:hAnsi="IRNazanin" w:eastAsia="IRNazanin"/>
          <w:color w:val="111111"/>
          <w:sz w:val="28"/>
          <w:sz w:val="28"/>
          <w:szCs w:val="28"/>
          <w:rtl w:val="true"/>
          <w:lang w:bidi="fa-IR"/>
        </w:rPr>
        <w:t>من الشاكرين في ما تصرفه عنّي من الأذی والغم الذي لو حبسته عنّي هلكت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وفّقني لأن أشكر أبداً، وأكون من جملة الشاكرين في جميع ما تصرفه عنّي من البلايا والغموم التي لو لم تصرفه ولا تصرفه عنّي لكنت من الهالكين، ومن جملتها دفع هذا الأذی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لمّا كان جميع الكمالات لك وجميع النعم منك فجميع المحامد مختصّ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اعصمني من شرّ ما في هذه البقعة وأخرجني منها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كان الخلاء محلّ الشياطين استعاذ بالله من شرّ ما فيه من البلايا وشرّهم بتسلّطهم ظاهراً وباطناً عليه، ولمّا كان هذا العدو لا يفارقه أبداً ويوسوسه دائماً بالمعاصي والمخالفات استعاذ منه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وحُل بيني وبين طاعة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كن حائلاً بيني وبينه حتی لا يصل إليَّ ولا يعبّدني ولا يجعلني مطيعاً له، فإنّه لا حول عن المعاصي ولا قوّة علی الطاعات إلّا بك وبعونك وفضلك</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هذا الحديث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الفقيه، ومرّ أنّ مراسيله معتبرة</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التهذيب، وقد مرّ في الحديث الثاني من الباب الثالث من هذه الأبواب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السند ينحل إلی سندين</w:t>
      </w:r>
      <w:r>
        <w:rPr>
          <w:rFonts w:eastAsia="IRNazanin" w:cs="IRNazanin"/>
          <w:color w:val="111111"/>
          <w:sz w:val="28"/>
          <w:szCs w:val="28"/>
          <w:rtl w:val="true"/>
          <w:lang w:bidi="fa-IR"/>
        </w:rPr>
        <w:t>(</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ضعيف بالإرسال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سَعْدِ بْنِ عَبْدِ اللَّهِ، رَفَعَهُ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عَلَيْهِ السَّهْوُ فِي الصَّلَاةِ فَلْيَقُلْ إِذَا دَخَلَ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أَعُوذُ بِاللَّهِ مِنَ الرِّجْسِ النِّجْسِ الْخَبِيثِ الْمُخْبِثِ الشَّيْطَانِ الرَّجِيمِ</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أنّ من جملة السنن عند دخول الخلاء قول الدعاء المذكور، وقد تقدّم شرح مفرداته، وأنّ من آثاره رفع كثرة السهو في الصلاة؛ لوجود طلب الاستعانة باسم الله وذاته، والالتجاء إليه سبحانه من الشيطان الرجيم لدفع وساوسه وتسويلاته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إسناد الصدوق إلی سعد بن عبد الله في المشيخة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ومحمد بن الحسن رضي الله عنهما، عن سعد بن عبد الله بن أبي خلف</w:t>
      </w:r>
      <w:r>
        <w:rPr>
          <w:rFonts w:eastAsia="IRNazanin" w:cs="IRNazanin"/>
          <w:color w:val="111111"/>
          <w:sz w:val="28"/>
          <w:szCs w:val="28"/>
          <w:rtl w:val="true"/>
          <w:lang w:bidi="fa-IR"/>
        </w:rPr>
        <w:t>»(</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سند صحيح أعلائي، لكنّ سند هذا الحديث مرفوع، فيكون ضعيفاً بالرفع، إلّا أن يقال بشمول شهادة الصدوق لكلّ ما في كتابه الفقيه، فيكون معتبراً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انْكَشَفَ أَحَدُكُمْ لِبَوْلٍ أَوْ لِغَيْرِ ذَلِكَ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فَإِنَّ الشَّيْطَانَ يَغُضُّ بَصَرَهُ عَنْهُ حَتَّى يَفْرُغَ</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ثَوَابِ الْأَعْمَالِ عَنْ أَبِيهِ، عَنْ عَلِيِّ بْنِ إِبْرَاهِيمَ، عَنْ أَبِيهِ،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متنه كالحديث الرابع المتقدّم بزيادة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يفرغ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حتّی يفرغ من قضاء حاجته ويستر عورته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هذا الحديث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الفقيه، ومرّ مراراً أنّ مراسيله معتبرة</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ثواب الأعمال، والنوفلي هو الحسين بن يزيد، والسكوني هو إسماعيل بن أبي زياد، والسند موثّق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إِبْرَاهِيمَ، عَنْ صَالِحِ بْنِ السِّنْدِيِّ، عَنْ جَعْفَرِ بْنِ بَشِيرٍ، عَنْ صَبَّاحٍ الْحَذَّاءِ، عَنْ أَبِي أُسَامَةَ،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وَهُوَ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السُّنَّةُ فِي دُخُولِ الْخَلَاءِ؟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اللَّهَ، وَيَتَعَوَّذُ بِاللَّهِ مِنَ الشَّيْطَانِ الرَّجِيمِ، فَإِذَا فَرَغْتَ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أَخْرَجَ مِنِّي مِنَ الْأَذَى فِي يُسْرٍ وَعَافِيَةٍ</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فِي الْعِلَلِ، عَنْ أَبِيهِ، عَنْ سَعْدِ بْنِ عَبْدِ اللَّهِ، عَنْ أَحْمَدَ بْنِ مُحَمَّدٍ، عَنْ صَالِحِ بْنِ السِّنْدِي،ِ مِثْلَهُ</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الدُّعَاءُ عِنْدَ النَّظَرِ إِلَى الْمَاءِ فَسَيَأْتِي إِنْ شَاءَ اللَّهُ تَعَالَى</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سؤال السائل عن السنّة في دخول الخلاء متضمّناً لذكر بعض المسنونات في الدخول والخروج، ويظهر من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السؤال كان عن السنّة في الأقوال التي تذكر عند الدخول فذكر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الله سبحانه وتعالى، ويتحقّق بأيّ ذِكر من الأذكار كالحمد لله وبسم الله ونحوهما ممّا هو مأثور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والتعوّذ بالله من الشيطان الرجيم، ويتحقّق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w:t>
      </w:r>
    </w:p>
    <w:p>
      <w:pPr>
        <w:pStyle w:val="BookText"/>
        <w:rPr/>
      </w:pPr>
      <w:r>
        <w:rPr>
          <w:rFonts w:ascii="IRNazanin" w:hAnsi="IRNazanin" w:eastAsia="IRNazanin"/>
          <w:color w:val="111111"/>
          <w:sz w:val="28"/>
          <w:sz w:val="28"/>
          <w:szCs w:val="28"/>
          <w:rtl w:val="true"/>
          <w:lang w:bidi="fa-IR"/>
        </w:rPr>
        <w:t>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الرجس النجس الخبيث المخبث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 ذلك ممّا فيه الاستعاذة من الشيطان، والالتزام بالمأثور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الأحاديث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عند الفراغ من الحاجة أو عند الخروج من الخلاء فالسنّة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ما أخرج منّي من الأذی في يسر وعافية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سندين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السندي، وقد مرّ أنه ثقة؛ لوروده في أسناد كتاب نوادر الحكمة، كما مرّ أنّ جعفر بن بشير ثقة جليل القدر</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صبّاح الحذّاء فهو صبّاح بن صبيح،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صبّاح بن صبيح الحذّاء الفزاري مولاهم، إمام مسجد دار اللؤلؤ بالكوفة، ثقة، عين،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 يرويه عنه جماعة</w:t>
      </w:r>
      <w:r>
        <w:rPr>
          <w:rFonts w:eastAsia="IRNazanin" w:cs="IRNazanin"/>
          <w:color w:val="111111"/>
          <w:sz w:val="28"/>
          <w:szCs w:val="28"/>
          <w:rtl w:val="true"/>
          <w:lang w:bidi="fa-IR"/>
        </w:rPr>
        <w:t>»(</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الشيخ في الفهرست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أخبرنا به جماعة</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فكتابه مشهور</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الشيخ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قائلاً في المرّة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الصباح بن صبيح الفزاري، مولاهم، إمام مسجد دار اللؤلؤ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المرّة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الصباح الحذاء الكوفي</w:t>
      </w:r>
      <w:r>
        <w:rPr>
          <w:rFonts w:eastAsia="IRNazanin" w:cs="IRNazanin"/>
          <w:color w:val="111111"/>
          <w:sz w:val="28"/>
          <w:szCs w:val="28"/>
          <w:rtl w:val="true"/>
          <w:lang w:bidi="fa-IR"/>
        </w:rPr>
        <w:t>»(</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ويظهر منه تعدّدهما، ولكن لا ينبغي الشك في </w:t>
      </w:r>
      <w:bookmarkStart w:id="424" w:name="pg15724_204540"/>
    </w:p>
    <w:p>
      <w:pPr>
        <w:pStyle w:val="BookText"/>
        <w:rPr/>
      </w:pPr>
      <w:bookmarkEnd w:id="424"/>
      <w:r>
        <w:rPr>
          <w:rFonts w:ascii="Amiri" w:hAnsi="Amiri" w:eastAsia="Amiri" w:cs="Amiri"/>
          <w:color w:val="111111"/>
          <w:sz w:val="28"/>
          <w:sz w:val="28"/>
          <w:szCs w:val="28"/>
          <w:rtl w:val="true"/>
          <w:lang w:bidi="ar-SA"/>
        </w:rPr>
        <w:t>كونهما شخصاً واحداً؛ وذلك لما أفاده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اقتصار الشيخ في الفهرست على ترجمة صباح الحذاء، واقتصار النجاشي على ترجمة صباح بن صبيح، وطريق كلّ منهما إليه حميد، عن القاسم بن إسماعيل، عن عبيس بن هشام،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أن ذكر الشيخ له متعدّداً إنّما هو لوروده بعنوانين في الروايات، والله العالم</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أبو أسامة فهو زيد الشحّام،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الصدوق في كتاب العلل،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وهو أحمد بن محمد بن خالد البرقي، كما يظهر من طريق الشيخ في الفهرست؛ فإنّه هو الراوي عن صالح بن السندي كتابه</w:t>
      </w:r>
      <w:r>
        <w:rPr>
          <w:rFonts w:eastAsia="Amiri" w:cs="Amiri" w:ascii="Amiri" w:hAnsi="Amiri"/>
          <w:color w:val="111111"/>
          <w:sz w:val="28"/>
          <w:szCs w:val="28"/>
          <w:rtl w:val="true"/>
          <w:lang w:bidi="ar-SA"/>
        </w:rPr>
        <w:t>(</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السند أيضا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عشرة أحاديث، أوّلها صحيح بسنديه، وكذا الثالث، والرابع صحيح على تقديرٍ، والثاني والخامس والسادس والثامن معتبرة الأسناد، والسابع معتبر بسنده الأوّل، وضعيف بسنده الثاني، والتاسع والعاشر معتبران بكلا سنديهما</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2418175_2142443653"/>
      <w:bookmarkStart w:id="426" w:name="_Toc157"/>
      <w:bookmarkEnd w:id="425"/>
      <w:r>
        <w:rPr>
          <w:rtl w:val="true"/>
        </w:rPr>
        <w:t>المتحصل من الأحادیث</w:t>
      </w:r>
      <w:bookmarkEnd w:id="426"/>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مطلوبيّة التسمية عند دخول الخلاء، وعند الخروج منه، وعند كشف العورة مطلقاً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مطلوبيّة الاستعاذة والالتجاء إلى الله تعالى لدفع وساوس الشيطان الرجيم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سنن الخلاء الدعاء بالمأثور عند دخول الخلاء، وعند الخروج منه، وكذا عند الفراغ من قضاء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السنن مسح البطن بعد الخروج من الخلاء</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التسمية عند إرادة كشف العورة إعراض الشيطان عن الإنسان، وعدم إيقاعه في الوساوس الباطلة التي تكون في الخلوة غالباً</w:t>
      </w:r>
      <w:r>
        <w:rPr>
          <w:rFonts w:eastAsia="Amiri" w:cs="Amiri" w:ascii="Amiri" w:hAnsi="Amiri"/>
          <w:color w:val="111111"/>
          <w:sz w:val="28"/>
          <w:szCs w:val="28"/>
          <w:rtl w:val="true"/>
          <w:lang w:bidi="ar-SA"/>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5724_204543"/>
      <w:bookmarkStart w:id="428" w:name="pg15724_204543"/>
      <w:bookmarkEnd w:id="428"/>
    </w:p>
    <w:p>
      <w:pPr>
        <w:pStyle w:val="Heading2"/>
        <w:numPr>
          <w:ilvl w:val="1"/>
          <w:numId w:val="1"/>
        </w:numPr>
        <w:rPr/>
      </w:pPr>
      <w:bookmarkStart w:id="429" w:name="pg15724_204543"/>
      <w:bookmarkStart w:id="430" w:name="__RefHeading___Toc12418177_2142443653"/>
      <w:bookmarkStart w:id="431" w:name="_Toc158"/>
      <w:bookmarkEnd w:id="429"/>
      <w:bookmarkEnd w:id="430"/>
      <w:r>
        <w:rPr/>
        <w:t>6</w:t>
      </w:r>
      <w:r>
        <w:rPr>
          <w:rtl w:val="true"/>
        </w:rPr>
        <w:t xml:space="preserve">- </w:t>
      </w:r>
      <w:r>
        <w:rPr>
          <w:rtl w:val="true"/>
        </w:rPr>
        <w:t>بَابُ كَرَاهَةِ الْكَلَامِ عَلَى الْخَلَا ء</w:t>
      </w:r>
      <w:bookmarkEnd w:id="431"/>
    </w:p>
    <w:p>
      <w:pPr>
        <w:pStyle w:val="Heading3"/>
        <w:numPr>
          <w:ilvl w:val="2"/>
          <w:numId w:val="1"/>
        </w:numPr>
        <w:rPr/>
      </w:pPr>
      <w:bookmarkStart w:id="432" w:name="__RefHeading___Toc12418179_2142443653"/>
      <w:bookmarkStart w:id="433" w:name="_Toc159"/>
      <w:bookmarkEnd w:id="432"/>
      <w:r>
        <w:rPr>
          <w:rtl w:val="true"/>
        </w:rPr>
        <w:t>اشارة</w:t>
      </w:r>
      <w:bookmarkEnd w:id="43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كَرَاهَةِ الْكَلَامِ عَلَى الْخَلَاء</w:t>
      </w:r>
    </w:p>
    <w:p>
      <w:pPr>
        <w:pStyle w:val="Heading3"/>
        <w:numPr>
          <w:ilvl w:val="2"/>
          <w:numId w:val="1"/>
        </w:numPr>
        <w:rPr/>
      </w:pPr>
      <w:bookmarkStart w:id="434" w:name="__RefHeading___Toc12418181_2142443653"/>
      <w:bookmarkStart w:id="435" w:name="_Toc160"/>
      <w:bookmarkEnd w:id="434"/>
      <w:r>
        <w:rPr>
          <w:rtl w:val="true"/>
        </w:rPr>
        <w:t>أقوال الخاصّة</w:t>
      </w:r>
      <w:r>
        <w:rPr>
          <w:rtl w:val="true"/>
        </w:rPr>
        <w:t>:</w:t>
      </w:r>
      <w:bookmarkEnd w:id="435"/>
    </w:p>
    <w:p>
      <w:pPr>
        <w:pStyle w:val="BookText"/>
        <w:rPr/>
      </w:pPr>
      <w:r>
        <w:rPr>
          <w:rFonts w:ascii="Amiri" w:hAnsi="Amiri" w:eastAsia="Amiri" w:cs="Amiri"/>
          <w:color w:val="111111"/>
          <w:sz w:val="28"/>
          <w:sz w:val="28"/>
          <w:szCs w:val="28"/>
          <w:rtl w:val="true"/>
          <w:lang w:bidi="ar-SA"/>
        </w:rPr>
        <w:t xml:space="preserve">لا خلاف بين الخاصّة في كراهة الكلام على الخلاء بغير القرآن والذكر، ما عدا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عبّر بعدم الجواز،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لا خلاف في الحكم بين الأصحاب، لتصريح كثير من القدماء والمتأخّرين به سوى ما يظهر من الفقيه،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ولعلّ مراده الكراهة</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12418183_2142443653"/>
      <w:bookmarkStart w:id="437" w:name="_Toc161"/>
      <w:bookmarkEnd w:id="436"/>
      <w:r>
        <w:rPr>
          <w:rtl w:val="true"/>
        </w:rPr>
        <w:t>أقوال العامّة</w:t>
      </w:r>
      <w:r>
        <w:rPr>
          <w:rtl w:val="true"/>
        </w:rPr>
        <w:t>:</w:t>
      </w:r>
      <w:bookmarkEnd w:id="437"/>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الكلام على الخلاء بغير القرآن فهو مكروه عندهم وإن كان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نصَّ الفقهاء في المذاهب الأربعة على كراهة التكلّم حال قضاء الحاجة بذكر أو غيره، وفيه خلاف لبعض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الحنفيّة بأنّ الكراهة في حال قضاء الحاجة سواء كانت بولاً أو غائطاً، وأنّه يكره التكلّم كذلك في موضع الخلاء، ولو في غير حال قضاء الحاجة، وقد صرّح المالكيّة والشافعيّة والحنابلة باستثناء حالة الضرورة</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مُحَمَّدِ بْنِ أَحْمَدَ بْنِ يَحْيَى، عَنْ إِبْرَاهِيمَ بْنِ هَاشِمٍ أَوْ غَيْرِهِ، عَنْ صَفْوَانَ،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 الرَّجُلُ آخَرَ</w:t>
      </w:r>
      <w:r>
        <w:rPr>
          <w:rFonts w:eastAsia="Amiri" w:cs="Amiri" w:ascii="Amiri" w:hAnsi="Amiri"/>
          <w:color w:val="111111"/>
          <w:sz w:val="28"/>
          <w:szCs w:val="28"/>
          <w:rtl w:val="true"/>
          <w:lang w:bidi="ar-SA"/>
        </w:rPr>
        <w:t>(</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الْغَائِطِ أَوْ يُكَلِّمَهُ حَتَّى يَفْرُغَ</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الْحُسَيْنِ فِي الْعِلَلِ</w:t>
      </w:r>
      <w:r>
        <w:rPr>
          <w:rFonts w:eastAsia="Amiri" w:cs="Amiri" w:ascii="Amiri" w:hAnsi="Amiri"/>
          <w:color w:val="111111"/>
          <w:sz w:val="28"/>
          <w:szCs w:val="28"/>
          <w:rtl w:val="true"/>
          <w:lang w:bidi="ar-SA"/>
        </w:rPr>
        <w:t>(</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عُيُونِ الْأَخْبَارِ</w:t>
      </w:r>
      <w:r>
        <w:rPr>
          <w:rFonts w:eastAsia="Amiri" w:cs="Amiri" w:ascii="Amiri" w:hAnsi="Amiri"/>
          <w:color w:val="111111"/>
          <w:sz w:val="28"/>
          <w:szCs w:val="28"/>
          <w:rtl w:val="true"/>
          <w:lang w:bidi="ar-SA"/>
        </w:rPr>
        <w:t>(</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أَحْمَدَ بْنِ إِدْرِيسَ، عَنْ أَبِيهِ، عَنْ مُحَمَّدِ بْنِ أَحْمَدَ بْنِ يَحْيَى، عَنْ إِبْرَاهِيمَ بْنِ هَاشِمٍ وَغَيْرِهِ جَمِيعاً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نهي عن التكلّم مع الغير ابتداءً وجواباً، وهو محمول على الكراهة، فيكون ظاهره كراهة التكلّم مع الغير حال قضاء الحاجة، سواء كانت بولاً أو غائطاً، وأن يجيب غيره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يدلّ على كراهة مطلق الكلام، بل ظاهره كراهة التكلّم مع الغير ابتداءً وجواباً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الماتن هذا الحديث بثلاثة أنحاء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في التهذيب، عن محمد بن أحمد بن يحيی بن عمران الأشعري، وقد سبق أنّ له عدّة طرق معتبرة</w:t>
      </w:r>
      <w:r>
        <w:rPr>
          <w:rFonts w:eastAsia="IRNazanin" w:cs="IRNazanin"/>
          <w:color w:val="111111"/>
          <w:sz w:val="28"/>
          <w:szCs w:val="28"/>
          <w:rtl w:val="true"/>
          <w:lang w:bidi="fa-IR"/>
        </w:rPr>
        <w:t>(</w:t>
      </w:r>
      <w:r>
        <w:rPr>
          <w:rStyle w:val="FootnoteAnchor"/>
          <w:rtl w:val="true"/>
        </w:rPr>
        <w:footnoteReference w:id="1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وصفوان هو صفوان بن يحيى، لكن الإشكال في هذا السند في الترديد بين إبراهيم بن هاشم وبين غيره المبهم، فيكون السند ضعيفاً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في علل الشرائع وعيون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أحمد بن إدريس، شيخ الصدوق، وقد مرّ أنّه ترضّى عنه</w:t>
      </w:r>
      <w:r>
        <w:rPr>
          <w:rFonts w:eastAsia="IRNazanin" w:cs="IRNazanin"/>
          <w:color w:val="111111"/>
          <w:sz w:val="28"/>
          <w:szCs w:val="28"/>
          <w:rtl w:val="true"/>
          <w:lang w:bidi="fa-IR"/>
        </w:rPr>
        <w:t>(</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وأبوه أحمد بن إدريس الثقة</w:t>
      </w:r>
      <w:r>
        <w:rPr>
          <w:rFonts w:eastAsia="Amiri" w:cs="Amiri" w:ascii="Amiri" w:hAnsi="Amiri"/>
          <w:color w:val="111111"/>
          <w:sz w:val="28"/>
          <w:szCs w:val="28"/>
          <w:rtl w:val="true"/>
          <w:lang w:bidi="ar-SA"/>
        </w:rPr>
        <w:t>(</w:t>
      </w:r>
      <w:r>
        <w:rPr>
          <w:rStyle w:val="FootnoteAnchor"/>
          <w:rtl w:val="true"/>
        </w:rPr>
        <w:footnoteReference w:id="1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وبقيّة السند كسابقه، مع فارق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السند معتبراً،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إضافات الماتن ولا توجد في المصدرين</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الفقيه، وقد ذكره الماتن في ذيل الحديث الآتي، ومرّ أنّ مراسيله معتبرة</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الْعِلَلِ عَنْ عَلِيِّ بْنِ أَحْمَدَ، عَنْ مُحَمَّدِ بْنِ أَبِي عَبْدِ اللَّهِ الْكُوفِيِّ، عَنْ مُوسَى بْنِ عِمْرَانَ النَّخَعِيِّ، عَنْ عَمِّهِ الْحُسَيْنِ بْنِ يَزِيدَ النَّوْفَلِيِّ، عَنْ عَلِيِّ بْنِ سَالِمٍ،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عَلَى الْخَلَاءِ فَإِنَّهُ مَنْ تَكَلَّمَ عَلَى الْخَلَاءِ لَمْ تُقْضَ لَهُ حَاجَةٌ</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فِي الْفَقِيهِ مُرْسَلًا</w:t>
      </w:r>
      <w:r>
        <w:rPr>
          <w:rFonts w:eastAsia="Amiri" w:cs="Amiri" w:ascii="Amiri" w:hAnsi="Amiri"/>
          <w:color w:val="111111"/>
          <w:sz w:val="28"/>
          <w:szCs w:val="28"/>
          <w:rtl w:val="true"/>
          <w:lang w:bidi="ar-SA"/>
        </w:rPr>
        <w:t>(</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الَّذِي قَبْلَهُ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 نهي عن التكلّم مطلقاً سواء كان التكلّم مع الغير ابتداءً وجواباً أم لم يكن، وهو محمول على الكراهة، وعُلّل بأنّ من تكلّم وهو على الخلاء لم تُقض له حاجة، وفي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تُقْضَ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التعليل أنّ المراد مطلق الحاجة، ويكون الكلام علی الخلاء مقتضياً لعدم خروج الحدث، ويحتمل أن يكون المراد منه الحاجة الخاصّة وهي خروج الحدث لانشغاله عنه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في الحديث السابع من الباب السابع من هذه الأبواب أنّه لم يرخّص في الكنيف في أكثر من آية الكرسي، ويحمد الله، وآية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التاسع من الباب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أحدكم وهو على الخلاء فليحمد الله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يدلّان بالأولويّة على كراهة الكلام غير الذكر</w:t>
      </w:r>
      <w:r>
        <w:rPr>
          <w:rFonts w:eastAsia="Amiri" w:cs="Amiri" w:ascii="Amiri" w:hAnsi="Amiri"/>
          <w:color w:val="111111"/>
          <w:sz w:val="28"/>
          <w:szCs w:val="28"/>
          <w:rtl w:val="true"/>
          <w:lang w:bidi="ar-SA"/>
        </w:rPr>
        <w:t xml:space="preserve">. </w:t>
      </w:r>
      <w:bookmarkStart w:id="438" w:name="pg15724_204547"/>
    </w:p>
    <w:p>
      <w:pPr>
        <w:pStyle w:val="Heading3"/>
        <w:numPr>
          <w:ilvl w:val="2"/>
          <w:numId w:val="1"/>
        </w:numPr>
        <w:rPr/>
      </w:pPr>
      <w:bookmarkStart w:id="439" w:name="__RefHeading___Toc12418185_2142443653"/>
      <w:bookmarkStart w:id="440" w:name="_Toc162"/>
      <w:bookmarkEnd w:id="438"/>
      <w:bookmarkEnd w:id="439"/>
      <w:r>
        <w:rPr>
          <w:rtl w:val="true"/>
        </w:rPr>
        <w:t>المتحصل من الحدیثين</w:t>
      </w:r>
      <w:bookmarkEnd w:id="440"/>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وهو علي بن أحمد بن محمد بن عمران الدقّاق، وقد مضى أنّ الشيخ الصدوق ترضّى عنه</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الكوفي، وهو محمد بن جعفر الأسدي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موسی بن عمران النخعي فقد سبق أنّه لم يوثّق</w:t>
      </w:r>
      <w:r>
        <w:rPr>
          <w:rFonts w:eastAsia="IRNazanin" w:cs="IRNazanin"/>
          <w:color w:val="111111"/>
          <w:sz w:val="28"/>
          <w:szCs w:val="28"/>
          <w:rtl w:val="true"/>
          <w:lang w:bidi="fa-IR"/>
        </w:rPr>
        <w:t>(</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عمّه الحسين بن يزيد النوفلي فقد ورد في النوادر، كما مرّ</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 بن سالم، إمّا هو الكوفي الذي روى عنه يونس بن عبد الرحمن كما سبق</w:t>
      </w:r>
      <w:r>
        <w:rPr>
          <w:rFonts w:eastAsia="Amiri" w:cs="Amiri" w:ascii="Amiri" w:hAnsi="Amiri"/>
          <w:color w:val="111111"/>
          <w:sz w:val="28"/>
          <w:szCs w:val="28"/>
          <w:rtl w:val="true"/>
          <w:lang w:bidi="ar-SA"/>
        </w:rPr>
        <w:t>(</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علي بن أبي حمزة البطائني، 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لم يرد فيه شيء كما مرّ</w:t>
      </w:r>
      <w:r>
        <w:rPr>
          <w:rFonts w:eastAsia="Amiri" w:cs="Amiri" w:ascii="Amiri" w:hAnsi="Amiri"/>
          <w:color w:val="111111"/>
          <w:sz w:val="28"/>
          <w:szCs w:val="28"/>
          <w:rtl w:val="true"/>
          <w:lang w:bidi="ar-SA"/>
        </w:rPr>
        <w:t>(</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حديثين، أوّلهما معتبر بسنديه الثاني والثالث، وثانيهما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منهما أمور،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التكلّم مع الغير حال قضاء الحاجة، وأنْ يجيب غيره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الكلام على الخلاء، وإن لم يكن مع الغير</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تكلّم وهو على الخلاء لم تُقض له حاجة</w:t>
      </w:r>
      <w:r>
        <w:rPr>
          <w:rFonts w:eastAsia="Amiri" w:cs="Amiri" w:ascii="Amiri" w:hAnsi="Amiri"/>
          <w:color w:val="111111"/>
          <w:sz w:val="28"/>
          <w:szCs w:val="28"/>
          <w:rtl w:val="true"/>
          <w:lang w:bidi="ar-SA"/>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15724_204549"/>
      <w:bookmarkStart w:id="442" w:name="pg15724_204549"/>
      <w:bookmarkEnd w:id="442"/>
    </w:p>
    <w:p>
      <w:pPr>
        <w:pStyle w:val="Heading2"/>
        <w:numPr>
          <w:ilvl w:val="1"/>
          <w:numId w:val="1"/>
        </w:numPr>
        <w:rPr/>
      </w:pPr>
      <w:bookmarkStart w:id="443" w:name="pg15724_204549"/>
      <w:bookmarkStart w:id="444" w:name="__RefHeading___Toc12418187_2142443653"/>
      <w:bookmarkStart w:id="445" w:name="_Toc163"/>
      <w:bookmarkEnd w:id="443"/>
      <w:bookmarkEnd w:id="444"/>
      <w:r>
        <w:rPr/>
        <w:t>7</w:t>
      </w:r>
      <w:r>
        <w:rPr>
          <w:rtl w:val="true"/>
        </w:rPr>
        <w:t xml:space="preserve">- </w:t>
      </w:r>
      <w:r>
        <w:rPr>
          <w:rtl w:val="true"/>
        </w:rPr>
        <w:t>بَابُ عَدَمِ كَرَاهَةِ ذِكْرِ اللَّهِ وَتَحْمِيدِهِ وَقِرَا ءَةِ آيَةِ الْكُرْسِيِّ عَلَى الْخَلَا ء</w:t>
      </w:r>
      <w:bookmarkEnd w:id="445"/>
    </w:p>
    <w:p>
      <w:pPr>
        <w:pStyle w:val="Heading3"/>
        <w:numPr>
          <w:ilvl w:val="2"/>
          <w:numId w:val="1"/>
        </w:numPr>
        <w:rPr/>
      </w:pPr>
      <w:bookmarkStart w:id="446" w:name="__RefHeading___Toc12418189_2142443653"/>
      <w:bookmarkStart w:id="447" w:name="_Toc164"/>
      <w:bookmarkEnd w:id="446"/>
      <w:r>
        <w:rPr>
          <w:rtl w:val="true"/>
        </w:rPr>
        <w:t>اشارة</w:t>
      </w:r>
      <w:bookmarkEnd w:id="44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كَرَاهَةِ ذِكْرِ اللَّهِ وَتَحْمِيدِهِ وَقِرَاءَةِ آيَةِ الْكُرْسِيِّ عَلَى الْخَلَاء</w:t>
      </w:r>
    </w:p>
    <w:p>
      <w:pPr>
        <w:pStyle w:val="Heading3"/>
        <w:numPr>
          <w:ilvl w:val="2"/>
          <w:numId w:val="1"/>
        </w:numPr>
        <w:rPr/>
      </w:pPr>
      <w:bookmarkStart w:id="448" w:name="__RefHeading___Toc12418191_2142443653"/>
      <w:bookmarkStart w:id="449" w:name="_Toc165"/>
      <w:bookmarkEnd w:id="448"/>
      <w:r>
        <w:rPr>
          <w:rtl w:val="true"/>
        </w:rPr>
        <w:t>شرح الباب</w:t>
      </w:r>
      <w:r>
        <w:rPr>
          <w:rtl w:val="true"/>
        </w:rPr>
        <w:t>:</w:t>
      </w:r>
      <w:bookmarkEnd w:id="449"/>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الباب تتمّة للباب السابق وهو معقود لبيان عدم كراهة ذكر الله تعالى وتحميده وقراءة آية الكرسي على الخلاء، والأحاديث الواردة في الباب كالناظرة لما عند العامّة من كراهة الكلام على الخلاء وإن كان ذكراً لله تعالى، وأمّا قراءة القرآن فهم بين محرّم لها وبين كاره كما يأتي، بلا فرق بين سوره، بينما جوّز الخاصّة قراءة القرآن، واستثنوا آية الكرسي من كراهة الكلام على الخلاء، وآية الكرسي هي آية واحدة، وورد في بعض الأخبار أنّها تقرأ في بعض الموارد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السيّد الحكيم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آية الكرسي الآية المشتملة على لفظ الكرسي التي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المقرر عند القرّاء والمفسرّين، ويظهر ذلك بأدنى ملاحظة لكلماتهم، وفي بعض الأخبار المرويّة في مجمع البيان أنّها خمسون كلمة، ولا ينطبق إلا عليها، وعليه ففي كلّ مورد وردت مطلقة حملت على ذلك، إلا أن تقيّد بمثل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يكره </w:t>
      </w:r>
      <w:bookmarkStart w:id="450" w:name="pg15724_204550"/>
    </w:p>
    <w:p>
      <w:pPr>
        <w:pStyle w:val="BookText"/>
        <w:rPr/>
      </w:pPr>
      <w:bookmarkEnd w:id="450"/>
      <w:r>
        <w:rPr>
          <w:rFonts w:ascii="IRNazanin" w:hAnsi="IRNazanin" w:eastAsia="IRNazanin"/>
          <w:color w:val="111111"/>
          <w:sz w:val="28"/>
          <w:sz w:val="28"/>
          <w:szCs w:val="28"/>
          <w:rtl w:val="true"/>
          <w:lang w:bidi="fa-IR"/>
        </w:rPr>
        <w:t>قراءة الآيتين الثانية والثالثة، والكراهة في أمثال المقام هي بمعنى قلّة الثواب، كما لا يخفی</w:t>
      </w:r>
      <w:r>
        <w:rPr>
          <w:rFonts w:eastAsia="IRNazanin" w:cs="IRNazanin"/>
          <w:color w:val="111111"/>
          <w:sz w:val="28"/>
          <w:szCs w:val="28"/>
          <w:rtl w:val="true"/>
          <w:lang w:bidi="fa-IR"/>
        </w:rPr>
        <w:t>.</w:t>
      </w:r>
    </w:p>
    <w:p>
      <w:pPr>
        <w:pStyle w:val="Heading3"/>
        <w:numPr>
          <w:ilvl w:val="2"/>
          <w:numId w:val="1"/>
        </w:numPr>
        <w:rPr/>
      </w:pPr>
      <w:bookmarkStart w:id="451" w:name="__RefHeading___Toc12418193_2142443653"/>
      <w:bookmarkStart w:id="452" w:name="_Toc166"/>
      <w:bookmarkEnd w:id="451"/>
      <w:r>
        <w:rPr>
          <w:rtl w:val="true"/>
        </w:rPr>
        <w:t>أقوال الخاصّة</w:t>
      </w:r>
      <w:r>
        <w:rPr>
          <w:rtl w:val="true"/>
        </w:rPr>
        <w:t>:</w:t>
      </w:r>
      <w:bookmarkEnd w:id="452"/>
    </w:p>
    <w:p>
      <w:pPr>
        <w:pStyle w:val="BookText"/>
        <w:rPr/>
      </w:pPr>
      <w:r>
        <w:rPr>
          <w:rFonts w:ascii="Amiri" w:hAnsi="Amiri" w:eastAsia="Amiri" w:cs="Amiri"/>
          <w:color w:val="111111"/>
          <w:sz w:val="28"/>
          <w:sz w:val="28"/>
          <w:szCs w:val="28"/>
          <w:rtl w:val="true"/>
          <w:lang w:bidi="ar-SA"/>
        </w:rPr>
        <w:t>نقل الشيخ النراقي الإجماع على الجواز في كل ما جاء فيه نهي في هذه الموارد، وهو الموجب لحمل ما ظاهره الحرمة على الكراهة</w:t>
      </w:r>
      <w:r>
        <w:rPr>
          <w:rFonts w:eastAsia="Amiri" w:cs="Amiri" w:ascii="Amiri" w:hAnsi="Amiri"/>
          <w:color w:val="111111"/>
          <w:sz w:val="28"/>
          <w:szCs w:val="28"/>
          <w:rtl w:val="true"/>
          <w:lang w:bidi="ar-SA"/>
        </w:rPr>
        <w:t>(</w:t>
      </w:r>
      <w:r>
        <w:rPr>
          <w:rStyle w:val="FootnoteAnchor"/>
          <w:rtl w:val="true"/>
        </w:rPr>
        <w:footnoteReference w:id="1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جماعة في كتبهم استثناء ذكر الله تعالى وأطلق جماعة القول بعدم كراهة قراءة آية الكرسي، أي سواء كان يقرؤها بينه وبين نفسه أم يقرؤها بحيث يسمعه غيره، منهم الشيخ في النهاية والمبسوط، والمحقّق في الشرائع، ويحيى بن سعيد الحلي في الجامع للشرائع، وقيّد ابن حمزة عدم كراهة قراءتها بما إذا قرأها بينه وبين نفسه، وذكر في علّة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يفوت شرف فضلها</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12418195_2142443653"/>
      <w:bookmarkStart w:id="454" w:name="_Toc167"/>
      <w:bookmarkEnd w:id="453"/>
      <w:r>
        <w:rPr>
          <w:rtl w:val="true"/>
        </w:rPr>
        <w:t>أقوال العامّة</w:t>
      </w:r>
      <w:r>
        <w:rPr>
          <w:rtl w:val="true"/>
        </w:rPr>
        <w:t>:</w:t>
      </w:r>
      <w:bookmarkEnd w:id="454"/>
    </w:p>
    <w:p>
      <w:pPr>
        <w:pStyle w:val="BookText"/>
        <w:rPr/>
      </w:pPr>
      <w:r>
        <w:rPr>
          <w:rFonts w:ascii="Amiri" w:hAnsi="Amiri" w:eastAsia="Amiri" w:cs="Amiri"/>
          <w:color w:val="111111"/>
          <w:sz w:val="28"/>
          <w:sz w:val="28"/>
          <w:szCs w:val="28"/>
          <w:rtl w:val="true"/>
          <w:lang w:bidi="ar-SA"/>
        </w:rPr>
        <w:t>تقدّم في شرح الباب السابق أنّهم يرون كراهة الكلام على الخلاء، وإن كان الكلام ذِكراً من الأذكار</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قراءة القرآن ففيها قولان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حرام، وهو المذهب عند الحنابلة وقول للمالكيّة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مكروهة، وهو مذهب الشافعيّة وقول للحنابلة</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أَحْمَدَ بْنِ مُحَمَّدِ بْنِ عِيسَى، عَنِ الْحَسَنِ بْنِ مَحْبُوبٍ، عَنْ عَبْدِ اللَّهِ بْنِ سِنَانٍ،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الَّتِي لَمْ تُغَيَّرْ أَنَّ مُوسَى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إِنَّهُ يَأْتِي عَلَيَّ مَجَالِسُ أُعِزُّكَ وَأُجِلُّكَ أَنْ أَذْكُرَكَ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ذِكْرِي حَسَنٌ عَلَى كُلِّ حَالٍ</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على أنّ التوراة الموجودة في أيدي أهل الكتاب مغيّرة محرّفة، وأنّ المحفوظة عن التغيير والتبديل كما أنزلت 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عليّ مجالس اُعزّك واُجلّك أن أذكرك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إنّه يحتاج بمقتضى الطبيعة الإنسانيّة إلى أن يجلس مجالس ذات مرتبة نازلة كمجلس التخلّي والجماع والاستحمام، وهي لخساستها يُجلّ الله ويُعظم ويُعز من أن يُذكر فيها، فهو على نبيّنا وآله وعليه أفضل التحية والسلام لشدّة تعلّقه بالله تعالى وحبّه له يريد ذكره في كل آنات حياته، لكن طبيعته البشريّة تقتضي أن يجلس تلك المجالس وهي ليست بالمكان الذي يناسب ذكر الله فيها ظاهراً لِخساسة شأنها، فجاءه الجواب بأنّ ذكر الله حسن على كلّ حال</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منه استحباب الذكر لشرفه في أيّ حال كان عليها العبد فسواء كان في مكان شريف أم لا، وسواء كان في حال الطهارة أم في حال التخلّي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يحيی، وهو العطّار، وأبو حمزة، وهو الثمالي، والسند صحيح أعلائي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عِدَّةٍ مِنْ أَصْحَابِنَا، عَنْ سَهْلِ بْنِ زِيَادٍ، عَنِ ابْنِ مَحْبُوب، عَنِ ابْنِ رِئَابٍ،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بِذِكْرِ اللَّهِ وَأَنْتَ تَبُولُ، فَإِنَّ ذِكْرَ اللَّهِ حَسَنٌ عَلَى كُلِّ حَالٍ، فَلَا تَسْأَمْ مِنْ ذِكْرِ اللَّهِ</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مطلوبيّة الذكر في حال التبوّل والكون في الخلاء، ثم علّل ذلك بأنّ ذكر الله حسن على كلّ حال سواء كان الذاكر متطهّراً أم غير متطهّر، وسواء كان في حال التخلّي أم لم يكن، ثم نهی عن السأم أي الملل والضجر من ذكر الله تعالى، ولازمه مطلوبيّة إدامة ذكر الله تعالى، وكراهة الغفلة عن ذلك؛ فإنّ الغفلة عن ذكر الله تعالى توجب قسوة القلب، وإذا قسا القلب بَعُدَ صاحبه عن الله سبحانه وهلك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وهو الحسن بن محبوب السرّاد، وابن رئاب هو علي بن رئاب الكوفي، والحلبي، وقد تقدّم أنّه مشترك بين أربعة من الثقات</w:t>
      </w:r>
      <w:r>
        <w:rPr>
          <w:rFonts w:eastAsia="Amiri" w:cs="Amiri" w:ascii="Amiri" w:hAnsi="Amiri"/>
          <w:color w:val="111111"/>
          <w:sz w:val="28"/>
          <w:szCs w:val="28"/>
          <w:rtl w:val="true"/>
          <w:lang w:bidi="ar-SA"/>
        </w:rPr>
        <w:t>(</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المراد به هنا محمد بن علي الحلبي</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والسند ضعيف بسهل بن زياد، ولكن يمكن تصحيحه بأنّ الشيخ يروي جميع كتب وروايات الشيخ الكليني، فهذا الحديث من جملة مرويات الشيخ،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يروي أيضاً جميع كتب وروايات الحسن بن محبوب بطريق صحيح</w:t>
      </w:r>
      <w:r>
        <w:rPr>
          <w:rFonts w:eastAsia="Amiri" w:cs="Amiri" w:ascii="Amiri" w:hAnsi="Amiri"/>
          <w:color w:val="111111"/>
          <w:sz w:val="28"/>
          <w:szCs w:val="28"/>
          <w:rtl w:val="true"/>
          <w:lang w:bidi="ar-SA"/>
        </w:rPr>
        <w:t>(</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الطريق الصحيح طريقاً إلى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فِي الْعِلَلِ عَنْ أَبِيهِ، عَنْ مُحَمَّدِ بْنِ يَحْيَى عَنِ الْعَمْرَكِيِّ، عَنْ عَلِيِّ بْنِ جَعْفَرٍ، عَنْ أَخِيهِ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مُوسَى، لَا تَفْرَحْ بِكَثْرَةِ الْمَالِ وَلَا تَدَعْ ذِكْرِي عَلَى كُلِّ حَالٍ، فَإِنَّ كَثْرَةَ الْمَالِ تُنْسِي الذُّنُوبَ، وَإِنَّ تَرْكَ ذِكْرِي يُقْسِي الْقُلُوبَ</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الْكُلَيْنِيُّ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الْخِصَالِ عَنْ أَحْمَدَ بْنِ مُحَمَّدِ بْنِ يَحْيَى، عَنْ أَبِيهِ، عَنِ الْحُسَيْنِ بْنِ إِسْحَاقَ، عَنْ عَلِيِّ بْنِ مَهْزِيَارَ، عَنْ فَضَالَةَ عَنْ إِسْمَاعِيلَ بْنِ أَبِي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الخطاب لنبيّ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والمقصود أمّته، لعصمته وتنزّهه عن التنزّل للاُمور الدنيوية كالفرح بالمال ونسيان الذنوب، وإخبار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لكونه من الوصايا الإلهية التي لا تختص باُمّة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هي صالحة لتربية جميع الاُمم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أوحاه الله تعالى إلى موسى أمران ولكل منهما أثر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 عن الفرح بكثرة المال، وأثر الفرح بكثرة المال نسيان الذنوب؛ وذلك لأنّ كثرة المال عند أغلب الناس توجب تقوية الشهوات، وأقوى الشهوات حبّ الإنسان للجاه والسيطرة على من هو دونه، وهي شهوة تتقوّى بالمال والثروة؛ لاحتياجها إلى إعداد الأسباب والوسائل، وللمال النصيب الأوفر في تسبيب تلك الأسباب، فإذا استغنی الإنسان وأصبح من ذوي الجاه والنفوذ طغى واشتغل بالدنيا وغفل عن الآخرة، وهذا يؤدّي إلى نسيان التوبة عن ذنوبه فهو في شغل دائم عنها، إلّا من رحم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ترك ذكر الله على كلّ حال، وأثر ترك ذكر الله قسوة القلب، وهي مسبَّبة عن الغفلة عن ذكر الله تعالى، والغفلة حجاب عظيم بين العبد وربّه، وعن طريقها يدخل الشيطان إلى قلب العبد ويستولي عليه فيقسو قلبه، ومن قسا قلبه بَعُدَ عن ربّه، ولم تؤثّر فيه المواعظ ولا الوعيد بالعقاب، وفي هذا كلّ 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الذكر رافع للغفلة ودافع لها، وبه ينسدّ الباب الذي يدخل منه الشيطان إلى قلب الإنسان، ولذا جاء الحثّ على الذكر والمداومة عليه في كلّ حال، ولو كان ذلك الحال خسيساً كحال التخلّي، لما له من الأثر الكبير في الارتباط بالله تعالى، والبُعد من الشيطان، وهو السبب القوي في رقّة القلب المقابلة لقسوته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هذا الحديث بثلاثة أسانيد</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الصدوق في كتاب علل الشرائع،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وهو </w:t>
      </w:r>
    </w:p>
    <w:p>
      <w:pPr>
        <w:pStyle w:val="BookText"/>
        <w:rPr/>
      </w:pPr>
      <w:r>
        <w:rPr>
          <w:rFonts w:ascii="Amiri" w:hAnsi="Amiri" w:eastAsia="Amiri" w:cs="Amiri"/>
          <w:color w:val="111111"/>
          <w:sz w:val="28"/>
          <w:sz w:val="28"/>
          <w:szCs w:val="28"/>
          <w:rtl w:val="true"/>
          <w:lang w:bidi="ar-SA"/>
        </w:rPr>
        <w:t>العطّار، والعمركي، وهو العمركي بن علي البوفكي، والسند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الكليني، وقد تقدّم الكلام مكرّراً في رجاله، وهو معتبر</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الصدوق في كتاب الخصال،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العطّار شيخه، وقد ترضّى عنه، وأبوه محمد بن يحيى العطّار الثقة الجليل، والحسين بن إسحاق، وهو الحسين بن إسحاق التاجر، وقد مرّ أنّه لم يرد فيه شيء</w:t>
      </w:r>
      <w:r>
        <w:rPr>
          <w:rFonts w:eastAsia="Amiri" w:cs="Amiri" w:ascii="Amiri" w:hAnsi="Amiri"/>
          <w:color w:val="111111"/>
          <w:sz w:val="28"/>
          <w:szCs w:val="28"/>
          <w:rtl w:val="true"/>
          <w:lang w:bidi="ar-SA"/>
        </w:rPr>
        <w:t>(</w:t>
      </w:r>
      <w:r>
        <w:rPr>
          <w:rStyle w:val="FootnoteAnchor"/>
          <w:rtl w:val="true"/>
        </w:rPr>
        <w:footnoteReference w:id="1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وفضالة هو فضالة بن أيوب، وإسماعيل بن أبي زياد وهو السكوني، والسند ضعيف، ولكن يمكن تصحيحه بأنّ الشيخ يروي جميع كتب وروايات الشيخ الصدوق، فهذا الحديث من جملة مرويّات الشيخ، وهو يروي أيضاً جميع كتب وروايات علي بن مهزيار بطريق صحيح، وكذا روايات السكوني</w:t>
      </w:r>
      <w:r>
        <w:rPr>
          <w:rFonts w:eastAsia="Amiri" w:cs="Amiri" w:ascii="Amiri" w:hAnsi="Amiri"/>
          <w:color w:val="111111"/>
          <w:sz w:val="28"/>
          <w:szCs w:val="28"/>
          <w:rtl w:val="true"/>
          <w:lang w:bidi="ar-SA"/>
        </w:rPr>
        <w:t>(</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من الطريقين الصحيحين طريقاً إلى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فالسند معتبر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التَّوْحِيدِ وَعُيُونِ الْأَخْبَارِ عَنِ الْحُسَيْنِ بْنِ مُحَمَّدٍ الْأُشْنَانِيِّ الْعَدْلِ، عَنْ عَلِيِّ بْنِ مَهْرَوَيْهِ الْقَزْوِينِيِّ، عَنْ دَاوُدَ بْنِ سُلَيْمَانَ الْفَرَّاءِ، عَنْ عَلِيِّ بْنِ مُوسَى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لَمَّا نَاجَى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أَبَعِيدٌ أَنْتَ مِنِّي فَأُنَادِيَكَ أَمْ قَرِيبٌ فَأُنَاجِيَكَ؟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جَلِيسُ مَنْ ذَكَرَنِي،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أَكُونُ فِي حَالٍ أُجِلُّكَ أَنْ أَذْكُرَكَ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اذْكُرْنِي عَلَى كُلِّ حَالٍ</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 أورده في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الذكر من كتاب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فِي الْفَقِيهِ مُرْسَلًا</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أبعيد أنت منّي فاُناديك أم قريب فاُناجيك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يحتمل في صدور هذا السؤال من نبيّ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بقرب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ذكره المجلسي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احتمالات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سؤال عن أدب الدعاء، وأنّه هل يرفع صوته بالدعاء، كمن ينادي بعيداً؛ لأنّه إذا نظر إلى نفسه وجدها في غاية البعد عنه تعالى أو يُسرّ به ويخفت كمن يناجي مُجالِسه القريب؛ لأنّه إذا نظر إليه تعالى فهو أقرب من كلّ قريب، </w:t>
      </w:r>
    </w:p>
    <w:p>
      <w:pPr>
        <w:pStyle w:val="BookText"/>
        <w:rPr/>
      </w:pPr>
      <w:r>
        <w:rPr>
          <w:rFonts w:ascii="Amiri" w:hAnsi="Amiri" w:eastAsia="Amiri" w:cs="Amiri"/>
          <w:color w:val="111111"/>
          <w:sz w:val="28"/>
          <w:sz w:val="28"/>
          <w:szCs w:val="28"/>
          <w:rtl w:val="true"/>
          <w:lang w:bidi="ar-SA"/>
        </w:rPr>
        <w:t>فكأنّه يقول لا أدري في دعائي لك أنظر إلى حالي أو إلى حالك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سؤال لغيره، 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قضيّة سؤال رؤية الله جلّ وعلا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سؤال من قِبَلِ قومه، ذكره موسى في مناجاته مع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الجواب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جليس من ذكرني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كناية عن الحضور لدى الذاكرين له سبحانه، أي أنا قريب ممّن يذكرني أسمع مناجاته إذا ناجاني فلا حاجة إلى الإجهار بالذكر والدعاء، كما لا يحتاج الجليس إلى رفع الصوت، أو ينبغي أن يلاحظوا في الذكر جهة قربي، لا جهة بُعدهم، وهو أنسب بأدب الدعاء، ويدلّ على أن الأنسب بالذكر الإسرار لا الإجهار، إلّا أن يكون الغرض من رفع الصوت التذكير لا الذكر فقط كالأذان والخطبة ونحوهما، فيرفع صوته بقدر الحاجة</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اذكرني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استحباب الذكر لشرفه في أيّ حال كان عليها العبد فسواء كان في مكان شريف أم لا، وسواء كان في حال الطهارة أم في حال التخلّي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هذا الحديث بنحوين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في التوحيد وعيون الأخبار،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الأشنانيّ العدل، وهو أبو عبد الله الأشناني الدارمي الفقيه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ببلخ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لكلمة العدل فليست تعديلاً له، قال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يبعد أن الرجل من العامّة، وأنّ كلمة العدل من ألقابه، وهذه كلمة تطلق على الكُتّاب في القضاء والحكومات،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العدل، وقد تقدّم نحوه في أحمد بن الحسن القطان</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داود بن سليمان الفراء، فقد مرّ أنّه لم يرد فيه شيء سوى أنّ له كتاباً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ووقع في أسناد كامل الزيارات، وكذّبه العامّة</w:t>
      </w:r>
      <w:r>
        <w:rPr>
          <w:rFonts w:eastAsia="IRNazanin" w:cs="IRNazanin"/>
          <w:color w:val="111111"/>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هذا السند ضعيف</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الفقيه، ومرّ أنّ مراسيله معتبرة</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عَلِيِّ بْنِ الْحَسَنِ، عَنْ عَلِيِّ بْنِ أَسْبَاطٍ، عَنْ حَكَمِ بْنِ مِسْكِينٍ، عَنْ أَبِي الْمُسْتَهِلِّ،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تَمُرُّ بِي حَالاتٌ أَسْتَحْيِي أَنْ أَذْكُرَكَ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ذِكْرِي عَلَى كُلِّ حَالٍ حَسَنٌ</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بيانه في الأحاديث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سند الشيخ إلى علي بن الحسن بن فضّال ضعيف، لكن سبق بيان وجهٍ في اعتباره</w:t>
      </w:r>
      <w:r>
        <w:rPr>
          <w:rFonts w:eastAsia="Amiri" w:cs="Amiri" w:ascii="Amiri" w:hAnsi="Amiri"/>
          <w:color w:val="111111"/>
          <w:sz w:val="28"/>
          <w:szCs w:val="28"/>
          <w:rtl w:val="true"/>
          <w:lang w:bidi="ar-SA"/>
        </w:rPr>
        <w:t>(</w:t>
      </w:r>
      <w:r>
        <w:rPr>
          <w:rStyle w:val="FootnoteAnchor"/>
          <w:rtl w:val="true"/>
        </w:rPr>
        <w:footnoteReference w:id="1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علي بن أسباط بن سالم فهو ثقة، والحكم بن مسكين الثقفي موثّق كما مضى</w:t>
      </w:r>
      <w:r>
        <w:rPr>
          <w:rFonts w:eastAsia="Amiri" w:cs="Amiri" w:ascii="Amiri" w:hAnsi="Amiri"/>
          <w:color w:val="111111"/>
          <w:sz w:val="28"/>
          <w:szCs w:val="28"/>
          <w:rtl w:val="true"/>
          <w:lang w:bidi="ar-SA"/>
        </w:rPr>
        <w:t>(</w:t>
      </w:r>
      <w:r>
        <w:rPr>
          <w:rStyle w:val="FootnoteAnchor"/>
          <w:rtl w:val="true"/>
        </w:rPr>
        <w:footnoteReference w:id="1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أبو المستهل فلم يرد فيه شيء، وسليمان بن خالد مضى الكلام في وثاقته</w:t>
      </w:r>
      <w:r>
        <w:rPr>
          <w:rFonts w:eastAsia="Amiri" w:cs="Amiri" w:ascii="Amiri" w:hAnsi="Amiri"/>
          <w:color w:val="111111"/>
          <w:sz w:val="28"/>
          <w:szCs w:val="28"/>
          <w:rtl w:val="true"/>
          <w:lang w:bidi="ar-SA"/>
        </w:rPr>
        <w:t>(</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فالسند 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عَبْدِ الرَّحْمَنِ بْنِ أَبِي نَجْرَانَ، عَنْ حَمَّادِ بْنِ عِيسَى، عَنْ حَرِيزٍ، عَنْ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 يَقْرءَانِ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شَاءَا إِلَّا السَّجْدَةَ، وَيَذْكُرَانِ اللَّهَ تَعَالَى عَلَى كُلِّ حَالٍ</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يقرءان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شيئاً من القرآن، بقرينة الجواب،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ما شاءا إلّا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على جواز قراءة الحائض والجنب للقرآن كلّه، وعدم حرمته ماعدا السجدة، وهي السور الأربع التي فيها السجدة الواجبة، المسمّاة بسور العزائم، وقد سمّيت السجدة، لأنّ السجود مذكور فيها، كما يقال سورة البقرة وسورة المائدة لذكر البقرة في الاُولى والمائدة في الثانية، وقد نقل في الجواهر الإجماع على حرمة قراءة سور العزائم، وقراءة أبعاضها</w:t>
      </w:r>
      <w:r>
        <w:rPr>
          <w:rFonts w:eastAsia="IRNazanin" w:cs="IRNazanin"/>
          <w:color w:val="111111"/>
          <w:sz w:val="28"/>
          <w:szCs w:val="28"/>
          <w:rtl w:val="true"/>
          <w:lang w:bidi="fa-IR"/>
        </w:rPr>
        <w:t>(</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ما يدلّ على كراهة قراءتهما للقرآن في حال الجنابة والحيض، وفي الحديث الآتي ما يدلّ على كراهة قراءتهما للقرآن حال التخلّي ما عدا آية الكرسي، أو آية اُخرى من القرآن، وعلى نقل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آية الحمد لله رب العالمين</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ويذكران الله تعالی علی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لحال الحيض والجنابة والتخلّي ولغيرها من الأحوال، فدلّ علی عدم كراهة ذكر الله في كلّ حال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أي عن علي بن الحسن بن فضّال، وفيه حريز، وهو حريز بن عبد الله السجستاني، وحريز روی الحديث عن زرارة تارة وعن محمد بن مسلم الثقفي اُخری، فهما سندان، فالسند معتبر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مُحَمَّدِ بْنِ عَلِيِّ بْنِ مَحْبُوبٍ، عَنْ مُحَمَّدِ بْنِ عَبْدِ الْحَمِيدِ، عَنْ مُحَمَّدِ بْنِ عُمَرَ بْنِ يَزِيدَ، عَنْ مُحَمَّدِ بْنِ عُذَافِرٍ،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التَّسْبِيحِ فِي الْمَخْرَجِ، وَقِرَاءَةِ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فِي الْكَنِيفِ فِي أَكْثَرَ مِنْ آيَةِ الْكُرْسِيِّ، وَيَحْمَدُ اللَّهَ وَآيَةٍ</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w:t>
      </w:r>
      <w:r>
        <w:rPr>
          <w:rFonts w:eastAsia="Amiri" w:cs="Amiri" w:ascii="Amiri" w:hAnsi="Amiri"/>
          <w:color w:val="111111"/>
          <w:sz w:val="28"/>
          <w:szCs w:val="28"/>
          <w:rtl w:val="true"/>
          <w:lang w:bidi="ar-SA"/>
        </w:rPr>
        <w:t>(</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عُمَرَ بْنِ يَزِيدَ إِلَّا أَنَّهُ قَالَ وَ</w:t>
      </w:r>
      <w:r>
        <w:rPr>
          <w:rFonts w:eastAsia="Amiri" w:cs="Amiri" w:ascii="Amiri" w:hAnsi="Amiri"/>
          <w:color w:val="111111"/>
          <w:sz w:val="28"/>
          <w:szCs w:val="28"/>
          <w:rtl w:val="true"/>
          <w:lang w:bidi="ar-SA"/>
        </w:rPr>
        <w:t>(</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الْحَمْدُ لِلَّهِ رَبِّ الْعالَمِينَ</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الْكَرَاهَةِ، بِمَعْنَى نُقْصَانِ الثَّوَابِ، لِمَا مَضَى</w:t>
      </w:r>
      <w:r>
        <w:rPr>
          <w:rFonts w:eastAsia="Amiri" w:cs="Amiri" w:ascii="Amiri" w:hAnsi="Amiri"/>
          <w:color w:val="111111"/>
          <w:sz w:val="28"/>
          <w:szCs w:val="28"/>
          <w:rtl w:val="true"/>
          <w:lang w:bidi="ar-SA"/>
        </w:rPr>
        <w:t>(</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علی أنّ قراءة القرآن غير مرخّص بها حال التخلّي ما عدا آية الكرسي، وآية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نقل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آية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جاء في </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عدا حمد الله، فيكون المعنی أنّ المرخّص للمتخلّي قراءة إمّا آية الكرسي، مع حمد الله تعالى، وإمّا آية، أي آية من القرآن مع حمد الله تعالى، وفي نقل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آية الحمد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فالمرخّص للمتخلّي إمّا آية الكرسي، مع حمد الله تعالى، وإما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عدم الترخيص هو بمعنی الكراهة، للإجماع المتقدّم على الجواز، ولما في الحديث السادس المتقدّم الصريح في الجواز، وسيأتي في الحديث الثامن ما يعضّده، والكراهة هنا بمعنی نقصان الثواب، كما ذكر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هذا الحديث بسندين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في التهذيب، وهو سنده إلى محمد بن علي بن محبوب، وقد تقدّم أنّه ثلاث طرق أحدها صحيح والآخر معتبر والثالث ضعيف</w:t>
      </w:r>
      <w:r>
        <w:rPr>
          <w:rFonts w:eastAsia="Amiri" w:cs="Amiri" w:ascii="Amiri" w:hAnsi="Amiri"/>
          <w:color w:val="111111"/>
          <w:sz w:val="28"/>
          <w:szCs w:val="28"/>
          <w:rtl w:val="true"/>
          <w:lang w:bidi="ar-SA"/>
        </w:rPr>
        <w:t>(</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وهو محمد بن عبد الحميد بن سالم العطّار، وقد سبق أنّ توثيق النجاشي يرجع إلى أبيه لا إليه</w:t>
      </w:r>
      <w:r>
        <w:rPr>
          <w:rFonts w:eastAsia="Amiri" w:cs="Amiri" w:ascii="Amiri" w:hAnsi="Amiri"/>
          <w:color w:val="111111"/>
          <w:sz w:val="28"/>
          <w:szCs w:val="28"/>
          <w:rtl w:val="true"/>
          <w:lang w:bidi="ar-SA"/>
        </w:rPr>
        <w:t>(</w:t>
      </w:r>
      <w:r>
        <w:rPr>
          <w:rStyle w:val="FootnoteAnchor"/>
          <w:rtl w:val="true"/>
        </w:rPr>
        <w:footnoteReference w:id="1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ثقة؛ لوروده في كتاب النوادر ورواية المشايخ الثقات عنه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يزيد بياع السابري وقد سبق أنّ المشايخ الثقات رووا عنه</w:t>
      </w:r>
      <w:r>
        <w:rPr>
          <w:rFonts w:eastAsia="Amiri" w:cs="Amiri" w:ascii="Amiri" w:hAnsi="Amiri"/>
          <w:color w:val="111111"/>
          <w:sz w:val="28"/>
          <w:szCs w:val="28"/>
          <w:rtl w:val="true"/>
          <w:lang w:bidi="ar-SA"/>
        </w:rPr>
        <w:t>(</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ثقة، ومحمد بن عذافر الصيرفي المدائني الثقة كما </w:t>
      </w:r>
    </w:p>
    <w:p>
      <w:pPr>
        <w:pStyle w:val="BookText"/>
        <w:rPr/>
      </w:pP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Style w:val="FootnoteAnchor"/>
          <w:rtl w:val="true"/>
        </w:rPr>
        <w:footnoteReference w:id="1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وعمر بن يزيد، وهو بياع السابري الثقة الجليل كما سبق تعيينه؛ لكونه صاحب كتاب، دون الصيقل</w:t>
      </w:r>
      <w:r>
        <w:rPr>
          <w:rFonts w:eastAsia="Amiri" w:cs="Amiri" w:ascii="Amiri" w:hAnsi="Amiri"/>
          <w:color w:val="111111"/>
          <w:sz w:val="28"/>
          <w:szCs w:val="28"/>
          <w:rtl w:val="true"/>
          <w:lang w:bidi="ar-SA"/>
        </w:rPr>
        <w:t>(</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الصدوق في الفقيه، وإسناده إلى عمر بن يزيد في المشيخة هو ثلاثة طرق،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كان فيه عن عمر بن يزيد فقد رويته عن أبي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العطار، عن يعقوب بن يزيد، عن محمد بن عمير، وصفوان بن يحيى، عن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رويته أيضاً عن أبي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الحميري، عن محمد بن عبد الحميد، عن محمد بن عمر بن يزيد، عن الحسين بن عمر بن يزيد، عن أبيه عمر بن يزيد</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ورويته أيضاً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 الله بن جعفر الحميري، عن محمد بن عبد الجبار، عن محمد بن إسماعيل، عن محمد بن عباس، عن عمر بن يزيد</w:t>
      </w:r>
      <w:r>
        <w:rPr>
          <w:rFonts w:eastAsia="Amiri" w:cs="Amiri" w:ascii="Amiri" w:hAnsi="Amiri"/>
          <w:color w:val="111111"/>
          <w:sz w:val="28"/>
          <w:szCs w:val="28"/>
          <w:rtl w:val="true"/>
          <w:lang w:bidi="ar-SA"/>
        </w:rPr>
        <w:t>»(</w:t>
      </w:r>
      <w:r>
        <w:rPr>
          <w:rStyle w:val="FootnoteAnchor"/>
          <w:rtl w:val="true"/>
        </w:rPr>
        <w:footnoteReference w:id="1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والطريق الأول صحيح والثاني معتبر، والثالث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السند صحيحاً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أَحْمَدَ بْنِ مُحَمَّدٍ، عَنِ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w:t>
      </w:r>
      <w:r>
        <w:rPr>
          <w:rFonts w:eastAsia="Amiri" w:cs="Amiri" w:ascii="Amiri" w:hAnsi="Amiri"/>
          <w:color w:val="111111"/>
          <w:sz w:val="28"/>
          <w:szCs w:val="28"/>
          <w:rtl w:val="true"/>
          <w:lang w:bidi="ar-SA"/>
        </w:rPr>
        <w:t>)(</w:t>
      </w:r>
      <w:r>
        <w:rPr>
          <w:rStyle w:val="FootnoteAnchor"/>
          <w:rtl w:val="true"/>
        </w:rPr>
        <w:footnoteReference w:id="1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عُبَيْدِ اللَّهِ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أَتَقْرَأُ النُّفَسَاءُ وَالْحَائِضُ وَالْجُنُبُ وَالرَّجُلُ يَتَغَوَّطُ</w:t>
      </w:r>
      <w:r>
        <w:rPr>
          <w:rFonts w:eastAsia="Amiri" w:cs="Amiri" w:ascii="Amiri" w:hAnsi="Amiri"/>
          <w:color w:val="111111"/>
          <w:sz w:val="28"/>
          <w:szCs w:val="28"/>
          <w:rtl w:val="true"/>
          <w:lang w:bidi="ar-SA"/>
        </w:rPr>
        <w:t>(</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يَقْرَءُونَ مَا شَاءُوا</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على أنّ قراءة القرآن كلّه جائزة للنفساء والحائض والجنب والمتغوّط، وهذا لا ينافي الكراهة بمعنی نقصان الثواب في هذه الأحوال، فلا تنافي بينه وبين الحديث السابع؛ لأنّ هذا الحديث ناظر لجواز القراءة، وذاك ناظر للكراهة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للشيخ خمس طرق إلى أحمد بن محمد بن عيسى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منها صحيحان وثلاثة معتبرات، وفي الفهرست طريقان معتبران، والثالث طريق إلى المبوّبة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بيان جلالة أفراد السند، وهو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فِي قُرْبِ الْإِسْنَادِ،عَنْ هَارُونَ بْنِ مُسْلِمٍ،عَنْ مَسْعَدَةَ بْنِ صَدَقَةَ،عَنْ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أَحَدُكُمْ وَهُوَ عَلَى خَلَاءٍ فَلْيَحْمَدِ اللَّهَ فِي نَفْسِهِ</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w:t>
      </w:r>
      <w:r>
        <w:rPr>
          <w:rFonts w:eastAsia="Amiri" w:cs="Amiri" w:ascii="Amiri" w:hAnsi="Amiri"/>
          <w:color w:val="111111"/>
          <w:sz w:val="28"/>
          <w:szCs w:val="28"/>
          <w:rtl w:val="true"/>
          <w:lang w:bidi="ar-SA"/>
        </w:rPr>
        <w:t>(</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مَا يَدُلُّ عَلَيْهِ إِنْ شَاءَ اللَّهُ تَعَالَى</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جواز أن يذكر المتخلّي في نفسه حمدَ الله بعد العطاس، وقد مضى في الباب الخامس أنّ ذكر الحمد هو من جملة الأذكار التي تقال عند الفراغ من الخلاء أو من قضاء الحاجة، فيكون لذكره في النفس هنا خصوصيّة بعد العطاس، ولا نظر للحديث إلى ما تعرّضت له الأحاديث الآتية في الباب اللاحق من استحباب حكاية الأذان أو قراءة آية الكرسي وبعض القرآن وغير ذلك من الأذكار التي مرّت، وإنّما هو بصدد ما يقال بعد العطاس في حال التخلّي، فلا منافاة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حول اعتبار الطريق إلى كتاب قرب الإسناد</w:t>
      </w:r>
      <w:r>
        <w:rPr>
          <w:rFonts w:eastAsia="Amiri" w:cs="Amiri" w:ascii="Amiri" w:hAnsi="Amiri"/>
          <w:color w:val="111111"/>
          <w:sz w:val="28"/>
          <w:szCs w:val="28"/>
          <w:rtl w:val="true"/>
          <w:lang w:bidi="ar-SA"/>
        </w:rPr>
        <w:t>(</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وجلالة </w:t>
      </w:r>
      <w:bookmarkStart w:id="455" w:name="pg15724_204569"/>
    </w:p>
    <w:p>
      <w:pPr>
        <w:pStyle w:val="BookText"/>
        <w:rPr/>
      </w:pPr>
      <w:bookmarkEnd w:id="455"/>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w:t>
      </w:r>
      <w:r>
        <w:rPr>
          <w:rStyle w:val="FootnoteAnchor"/>
          <w:rtl w:val="true"/>
        </w:rPr>
        <w:footnoteReference w:id="1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هارون بن مسلم فهو هارون بن مسلم بن سعدان الكاتب، وقد سبق أنّه ثقة وجه</w:t>
      </w:r>
      <w:r>
        <w:rPr>
          <w:rFonts w:eastAsia="Amiri" w:cs="Amiri" w:ascii="Amiri" w:hAnsi="Amiri"/>
          <w:color w:val="111111"/>
          <w:sz w:val="28"/>
          <w:szCs w:val="28"/>
          <w:rtl w:val="true"/>
          <w:lang w:bidi="ar-SA"/>
        </w:rPr>
        <w:t>(</w:t>
      </w:r>
      <w:r>
        <w:rPr>
          <w:rStyle w:val="FootnoteAnchor"/>
          <w:rtl w:val="true"/>
        </w:rPr>
        <w:footnoteReference w:id="1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سبق أنّ مسعدة بن صدقة شخصان، وأنّ من يروي عنه هارون بن مسلم هو الثقة</w:t>
      </w:r>
      <w:r>
        <w:rPr>
          <w:rFonts w:eastAsia="Amiri" w:cs="Amiri" w:ascii="Amiri" w:hAnsi="Amiri"/>
          <w:color w:val="111111"/>
          <w:sz w:val="28"/>
          <w:szCs w:val="28"/>
          <w:rtl w:val="true"/>
          <w:lang w:bidi="ar-SA"/>
        </w:rPr>
        <w:t>(</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تسعة أحاديث، أوّلها صحيح أعلائي، وثانيها معتبر، وثالثها صحيح بسنده الأوّل ومعتبر بسنديه الثاني والثالث، ورابعها ضعيف بسنده الأوّل ومعتبر بسنده الثاني، وخامسها ضعيف، وسادسها معتبر، وسابعها معتبر بسنده الأوّل وصحيح بسنده الثاني، وثامنها صحيح، وتاسعها معتبر</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2418197_2142443653"/>
      <w:bookmarkStart w:id="457" w:name="_Toc168"/>
      <w:bookmarkEnd w:id="456"/>
      <w:r>
        <w:rPr>
          <w:rtl w:val="true"/>
        </w:rPr>
        <w:t>المتحصل من الأحادیث</w:t>
      </w:r>
      <w:bookmarkEnd w:id="457"/>
    </w:p>
    <w:p>
      <w:pPr>
        <w:pStyle w:val="BookText"/>
        <w:rPr/>
      </w:pPr>
      <w:r>
        <w:rPr>
          <w:rFonts w:ascii="IRNazanin" w:hAnsi="IRNazanin" w:eastAsia="IRNazanin"/>
          <w:color w:val="111111"/>
          <w:sz w:val="28"/>
          <w:sz w:val="28"/>
          <w:szCs w:val="28"/>
          <w:rtl w:val="true"/>
          <w:lang w:bidi="fa-IR"/>
        </w:rPr>
        <w:t>والمستفاد منها اُمور،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ذكر الله تعالى في أيّ حال كان عليها العبد، ولو حال التخلّي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المداومة على ذكر الله تعالى، وكراهة السأم من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الأنسب بالذكر الإسرار لا الإجهار، إلّا ما كان الإجهار فيه مطلوباً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ذكر الله يورث قسوة القلب، والفرح بالمال يورث نسيان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قراءة القرآن كلّه للنفساء والحائض والجنب ما عدا سور العزائم</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قراءة القرآن كلّه للمتخلّي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كراهة قراءة القرآن حال التخلّي ما عدا حمد الله وآية الكرسي، وآية من القرآن أو آية الحمد لله ربّ العالمين، والكراهة بمعنی نقصان الثواب</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أن يذكر المتخلّي في نفسه ذكر الحمد بعد العطاس</w:t>
      </w:r>
      <w:r>
        <w:rPr>
          <w:rFonts w:eastAsia="Amiri" w:cs="Amiri" w:ascii="Amiri" w:hAnsi="Amiri"/>
          <w:color w:val="111111"/>
          <w:sz w:val="28"/>
          <w:szCs w:val="28"/>
          <w:rtl w:val="true"/>
          <w:lang w:bidi="ar-SA"/>
        </w:rPr>
        <w:t xml:space="preserve">. </w:t>
      </w:r>
      <w:bookmarkStart w:id="458" w:name="pg15724_204571"/>
    </w:p>
    <w:p>
      <w:pPr>
        <w:pStyle w:val="Heading2"/>
        <w:numPr>
          <w:ilvl w:val="1"/>
          <w:numId w:val="1"/>
        </w:numPr>
        <w:rPr/>
      </w:pPr>
      <w:bookmarkStart w:id="459" w:name="__RefHeading___Toc12418199_2142443653"/>
      <w:bookmarkStart w:id="460" w:name="_Toc169"/>
      <w:bookmarkEnd w:id="458"/>
      <w:bookmarkEnd w:id="459"/>
      <w:r>
        <w:rPr/>
        <w:t>8</w:t>
      </w:r>
      <w:r>
        <w:rPr>
          <w:rtl w:val="true"/>
        </w:rPr>
        <w:t xml:space="preserve">- </w:t>
      </w:r>
      <w:r>
        <w:rPr>
          <w:rtl w:val="true"/>
        </w:rPr>
        <w:t>بَابُ عَدَمِ كَرَاهَةِ حِكَايَةِ الْأَذَانِ عَلَى الْخَلَا ءِ وَاسْتِحْبَابِهِ</w:t>
      </w:r>
      <w:bookmarkEnd w:id="460"/>
    </w:p>
    <w:p>
      <w:pPr>
        <w:pStyle w:val="Heading3"/>
        <w:numPr>
          <w:ilvl w:val="2"/>
          <w:numId w:val="1"/>
        </w:numPr>
        <w:rPr/>
      </w:pPr>
      <w:bookmarkStart w:id="461" w:name="__RefHeading___Toc12418201_2142443653"/>
      <w:bookmarkStart w:id="462" w:name="_Toc170"/>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بَابُ عَدَمِ كَرَاهَةِ حِكَايَةِ الْأَذَانِ عَلَى الْخَلَا ءِ وَاسْتِحْبَابِهِ</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كَرَاهَةِ حِكَايَةِ الْأَذَانِ عَلَى الْخَلَاءِ وَاسْتِحْبَابِهِ</w:t>
      </w:r>
    </w:p>
    <w:p>
      <w:pPr>
        <w:pStyle w:val="Heading3"/>
        <w:numPr>
          <w:ilvl w:val="2"/>
          <w:numId w:val="1"/>
        </w:numPr>
        <w:rPr/>
      </w:pPr>
      <w:bookmarkStart w:id="463" w:name="__RefHeading___Toc12418203_2142443653"/>
      <w:bookmarkStart w:id="464" w:name="_Toc171"/>
      <w:bookmarkEnd w:id="463"/>
      <w:r>
        <w:rPr>
          <w:rtl w:val="true"/>
        </w:rPr>
        <w:t>شرح الباب</w:t>
      </w:r>
      <w:r>
        <w:rPr>
          <w:rtl w:val="true"/>
        </w:rPr>
        <w:t>:</w:t>
      </w:r>
      <w:bookmarkEnd w:id="464"/>
    </w:p>
    <w:p>
      <w:pPr>
        <w:pStyle w:val="BookText"/>
        <w:rPr/>
      </w:pPr>
      <w:r>
        <w:rPr>
          <w:rFonts w:ascii="IRNazanin" w:hAnsi="IRNazanin" w:eastAsia="IRNazanin"/>
          <w:color w:val="111111"/>
          <w:sz w:val="28"/>
          <w:sz w:val="28"/>
          <w:szCs w:val="28"/>
          <w:rtl w:val="true"/>
          <w:lang w:bidi="fa-IR"/>
        </w:rPr>
        <w:t>هذا الباب تتمّة للبابين السابقين، وفيه بيان عدم كراهة حكاية الأذان ولو علی الخلاء، بل إنّ حكايته مستحبّة للمتخلّي، والمراد من حكاية الأذان هو أن يقول مثل ما يقوله المؤذّن عند سماعه له، من غير فصل معتدٍّ به، وإلّا لم تصدق الحكاية، بل يكون أذاناً مستأنفاً</w:t>
      </w:r>
      <w:r>
        <w:rPr>
          <w:rFonts w:eastAsia="IRNazanin" w:cs="IRNazanin"/>
          <w:color w:val="111111"/>
          <w:sz w:val="28"/>
          <w:szCs w:val="28"/>
          <w:rtl w:val="true"/>
          <w:lang w:bidi="fa-IR"/>
        </w:rPr>
        <w:t>.</w:t>
      </w:r>
    </w:p>
    <w:p>
      <w:pPr>
        <w:pStyle w:val="Heading3"/>
        <w:numPr>
          <w:ilvl w:val="2"/>
          <w:numId w:val="1"/>
        </w:numPr>
        <w:rPr/>
      </w:pPr>
      <w:bookmarkStart w:id="465" w:name="__RefHeading___Toc12418205_2142443653"/>
      <w:bookmarkStart w:id="466" w:name="_Toc172"/>
      <w:bookmarkEnd w:id="465"/>
      <w:r>
        <w:rPr>
          <w:rtl w:val="true"/>
        </w:rPr>
        <w:t>أقوال الخاصّة</w:t>
      </w:r>
      <w:r>
        <w:rPr>
          <w:rtl w:val="true"/>
        </w:rPr>
        <w:t>:</w:t>
      </w:r>
      <w:bookmarkEnd w:id="466"/>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النراقي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حكاية الأذان عند سماعه بلا خلاف كما قيل، بل بالإجماع كما استفاض به النقل</w:t>
      </w:r>
      <w:r>
        <w:rPr>
          <w:rFonts w:eastAsia="Amiri" w:cs="Amiri" w:ascii="Amiri" w:hAnsi="Amiri"/>
          <w:color w:val="111111"/>
          <w:sz w:val="28"/>
          <w:szCs w:val="28"/>
          <w:rtl w:val="true"/>
          <w:lang w:bidi="ar-SA"/>
        </w:rPr>
        <w:t>»(</w:t>
      </w:r>
      <w:r>
        <w:rPr>
          <w:rStyle w:val="FootnoteAnchor"/>
          <w:rtl w:val="true"/>
        </w:rPr>
        <w:footnoteReference w:id="1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والإجماع هنا على استحباب حكايته فيشمل حكايته على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الجواهر أنّ استحباب حكايته على الخلاء هو المشهور</w:t>
      </w:r>
      <w:r>
        <w:rPr>
          <w:rFonts w:eastAsia="Amiri" w:cs="Amiri" w:ascii="Amiri" w:hAnsi="Amiri"/>
          <w:color w:val="111111"/>
          <w:sz w:val="28"/>
          <w:szCs w:val="28"/>
          <w:rtl w:val="true"/>
          <w:lang w:bidi="ar-SA"/>
        </w:rPr>
        <w:t>(</w:t>
      </w:r>
      <w:r>
        <w:rPr>
          <w:rStyle w:val="FootnoteAnchor"/>
          <w:rtl w:val="true"/>
        </w:rPr>
        <w:footnoteReference w:id="1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 لمن سمع </w:t>
      </w:r>
      <w:bookmarkStart w:id="467" w:name="pg15724_204572"/>
    </w:p>
    <w:p>
      <w:pPr>
        <w:pStyle w:val="BookText"/>
        <w:rPr/>
      </w:pPr>
      <w:bookmarkEnd w:id="467"/>
      <w:r>
        <w:rPr>
          <w:rFonts w:ascii="Amiri" w:hAnsi="Amiri" w:eastAsia="Amiri" w:cs="Amiri"/>
          <w:color w:val="111111"/>
          <w:sz w:val="28"/>
          <w:sz w:val="28"/>
          <w:szCs w:val="28"/>
          <w:rtl w:val="true"/>
          <w:lang w:bidi="ar-SA"/>
        </w:rPr>
        <w:t>الأذان أن يحكيه، إجماعاً بقسميه، بل المنقول منهما متواتر أو مستفيض جداً</w:t>
      </w:r>
      <w:r>
        <w:rPr>
          <w:rFonts w:eastAsia="Amiri" w:cs="Amiri" w:ascii="Amiri" w:hAnsi="Amiri"/>
          <w:color w:val="111111"/>
          <w:sz w:val="28"/>
          <w:szCs w:val="28"/>
          <w:rtl w:val="true"/>
          <w:lang w:bidi="ar-SA"/>
        </w:rPr>
        <w:t>»(</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المقام</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12418207_2142443653"/>
      <w:bookmarkStart w:id="469" w:name="_Toc173"/>
      <w:bookmarkEnd w:id="468"/>
      <w:r>
        <w:rPr>
          <w:rtl w:val="true"/>
        </w:rPr>
        <w:t>أقوال العامّة</w:t>
      </w:r>
      <w:r>
        <w:rPr>
          <w:rtl w:val="true"/>
        </w:rPr>
        <w:t>:</w:t>
      </w:r>
      <w:bookmarkEnd w:id="469"/>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ظاهرهم الاتفاق على استحباب حكاية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يُسنّ لمن سمع الأذان متابعته بمثله، وهو أن يقول مثل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ويسنّ أن يقول عند الحيعلة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سمع مؤذّناً ثانياً أو ثالثاً استحب له المتابعة أيضاً، وما سبق هو باتفاق إلّا أنّ المشهور عند المالكية أن يحكي السامع لآخر الشهادتين فقط، ولا يحكي الترجيع، ولا يحكي الصلاة خير من النوم ولا يبدلها بصدقت وبررت، ومقابل المشهور أنّه يحكي لآخر الأذان</w:t>
      </w:r>
      <w:r>
        <w:rPr>
          <w:rFonts w:eastAsia="Amiri" w:cs="Amiri" w:ascii="Amiri" w:hAnsi="Amiri"/>
          <w:color w:val="111111"/>
          <w:sz w:val="28"/>
          <w:szCs w:val="28"/>
          <w:rtl w:val="true"/>
          <w:lang w:bidi="ar-SA"/>
        </w:rPr>
        <w:t>»(</w:t>
      </w:r>
      <w:r>
        <w:rPr>
          <w:rStyle w:val="FootnoteAnchor"/>
          <w:rtl w:val="true"/>
        </w:rPr>
        <w:footnoteReference w:id="1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في حال الخلاء سبق أنّهم نصّوا علی كراهة التكلّم حال قضاء الحاجة بذكر أو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الأذكار التي نصّوا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المالكيّة والشافعيّة والحنابلة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يحمد إن عطس، ولا يشمّت عاطساً، ولا يجيب المؤذّن، ولا يردّ السلام، ولا يسبّح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صاحب الإنصاف من الحنابلة رواية عن أحمد أنّه لا يكره إجابة المؤذّن في تلك الحال، وبها أخذ الشيخ تقي الدين، والمذهب أنّه يكره</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بِإِسْنَادِهِ،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 لَا تَدَعَنَّ ذِكْرَ اللَّهِ عَلَى كُلِّ حَالٍ، وَلَوْ سَمِعْتَ الْمُنَادِيَ يُنَادِي بِالْأَذَانِ وَأَنْتَ عَلَى الْخَلَاءِ فَاذْكُرِ اللَّهَ عَزَّ وَجَلَّ وَقُلْ كَمَا يَقُولُ الْمُؤَذِّنُ</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الْعِلَلِ عَنْ مُحَمَّدِ بْنِ الْحَسَنِ بْنِ الْوَلِيدِ، عَنْ مُحَمَّدِ بْنِ الْحَسَنِ الصَّفَّارِ، عَنْ يَعْقُوبَ بْنِ يَزِيدَ، عَنْ حَمَّادِ بْنِ عِيسَى، عَنْ حَرِيزِ بْنِ عَبْدِ اللَّهِ، عَنْ مُحَمَّدِ بْنِ مُسْلِمٍ مِثْلَهُ</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على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ترك ذكر الله في حال من الأحوال،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على كل حال كنت فيها، فيفهم منه مطلوبية المداومة على ذكره تعالى، كما دلّ على مطلوبية ذكره تعالى في حال التخلّي، فإنّ حال التخلّي حال خسيسة فيتوهّم أنّها لا تناسب تعظيم الله سبحانه فلا يحسن ذكره تعالى فيها، فجاء النهي عن ترك ذكر الله، ولو في حال التخلّي، كما دلّ على مطلوبية حكاية الأذان عند سماعه له، بأن يقول كما يقول المؤذّن، وظاهر ذلك أنّه يستحب له قول جميع فصول الأذان حتى الحيعلات، وفيه كلام عند الفقهاء، وأنّ على من يحكي الأذان أن يستبدلها بالحوقلة، وهي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إطلاق الأذان يشمل أذان الإعلام وأذان الجماعة وأذان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الماتن هذا الحديث بسندين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الصدوق في الفقيه، وهو إسناده إلى محمد بن مسلم، وقد سبق أنّه معتبر</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الصدوق أيضاً في كتاب علل الشرائع،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وهو الأنباري الثقة الصدوق، والسند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أَحْمَدَ، عَنْ مُحَمَّدِ بْنِ أَبِي عَبْدِ اللَّهِ الْكُوفِيِّ، عَنْ مُوسَى بْنِ عِمْرَانَ النَّخَعِيِّ، عَنْ عَمِّهِ الْحُسَيْنِ بْنِ يَزِيدَ النَّوْفَلِيِّ، عَنْ عَلِيِّ بْنِ سَالِمٍ،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سَمِعْتَ الْأَذَانَ وَأَنْتَ عَلَى الْخَلَاءِ فَقُلْ مِثْلَ مَا يَقُولُ الْمُؤَذِّنُ، وَلَا تَدَعْ ذِكْرَ اللَّهِ عَزَّ وَجَلَّ فِي تِلْكَ الْحَالِ؛ لِأَنَّ ذِكْرَ اللَّهِ حَسَنٌ عَلَى كُلِّ حَالٍ، ثُمَّ ذَكَرَ حَدِيثَ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مطلوبيّة حكاية الأذان عند سماعه له حال التخلّي، بأن يقول كما يقول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نهي عن ترك ذكر الله في حال التخلّي لتوهّم عدم مناسبته في تلك الحال لتعظيم الله سبحانه وتعالی، وعلّل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 ذكر الله حسن علی كلّ حال، فإنّ الكون في حال دنيّة خسيسة لا يسلب الحسن عن ذكر الله تعالی، 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موسی مع الله سبحانه عن حيائه من ذكره له تعالی في المجالس التي هي من نوع مجلس التخلّي، وجواب الله له كما مرّ في الباب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أنّ هذا السند ضعيف</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أَحْمَدَ السِّنَانِيِّ، عَنْ حَمْزَةَ بْنِ الْقَاسِمِ الْعَلَوِيِّ، عَن جَعْفَرِ بْنِ مُحَمَّدِ بْنِ مَالِكٍ الْكُوفِيِّ، عَنْ جَعْفَرِ بْنِ سُلَيْمَانَ الْمَرْوَزِيِّ، عَنْ سُلَيْمَانَ بْنِ مُقْبِلٍ الْمَدِينِيِ</w:t>
      </w:r>
      <w:r>
        <w:rPr>
          <w:rFonts w:eastAsia="Amiri" w:cs="Amiri" w:ascii="Amiri" w:hAnsi="Amiri"/>
          <w:color w:val="111111"/>
          <w:sz w:val="28"/>
          <w:szCs w:val="28"/>
          <w:rtl w:val="true"/>
          <w:lang w:bidi="ar-SA"/>
        </w:rPr>
        <w:t>(</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لِأَيِّ عِلَّةٍ يُسْتَحَبُّ لِلْإِنْسَانِ إِذَا سَمِعَ الْأَذَانَ أَنْ يَقُولَ كَمَا يَقُولُ الْمُؤَذِّنُ وَإِنْ كَانَ عَلَى الْبَوْلِ وَالْغَائِطِ؟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يَزِيدُ فِي الرِّزْقِ</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أَحَادِيثِ حِكَايَةِ الْأَذَانِ مَا هُوَ مُطْلَقٌ عَامٌّ يَشْمَلُ هَذِهِ الْحَالَةَ، وَاللَّهُ أَعْلَمُ</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علی أنّ استحباب حكاية الأذان عند سماعه ولو كان ذلك حال التخلّي كان معروفاً في ذلك العصر، وإنّما سأل الراوي عن العلّة في استحباب ذلك، 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العمل يزيد في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في التعبير بالرزق دون المال ونحوه للدلالة علی الشمول لكلّ ما يقال له رزق، فيعم الرزق المادّي كالمال والمعنوي كالتوفيق للطاعات والمثوبات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السناني المكتب ترضّی عنه الصدوق كثيراً كما </w:t>
      </w:r>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ثقة، 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القاسم العلوي،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حمزة بن القاسم بن علي بن حمزة بن الحسن بن عبيد الله بن العباس بن علي بن أبي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أبو يعلی ثقة، جليل القدر، من أصحابنا، كثير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الحسين 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القلانسي، عن حمزة بن القاسم بجميع كتبه</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 هو من ترجمه الشيخ في الرجال،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القاسم، يكنّی أبا عمرو، هاشمي، عباسي، روی عنه التلعكبري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القاسم العلوي العباسي، يروي عن سعد بن عبد الله، روی عنه التلعكبري إجازة</w:t>
      </w:r>
      <w:r>
        <w:rPr>
          <w:rFonts w:eastAsia="IRNazanin" w:cs="IRNazanin"/>
          <w:color w:val="111111"/>
          <w:sz w:val="28"/>
          <w:szCs w:val="28"/>
          <w:rtl w:val="true"/>
          <w:lang w:bidi="fa-IR"/>
        </w:rPr>
        <w:t>»(</w:t>
      </w:r>
      <w:r>
        <w:rPr>
          <w:rStyle w:val="FootnoteAnchor"/>
          <w:rtl w:val="true"/>
        </w:rPr>
        <w:footnoteReference w:id="1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علي بن محمد القلانسي في طبقة التلعكبري، ويريد بكونه عباسياً أنّه من ولد العباس بن أمير المؤمنين،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مالك الكوفي، وقد سبق أنّ توثيقه من الشيخ معارض بتضعيف النجاشي له، فلا يمكن الحكم بوثاقته</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جعفر بن سليمان المروزي فلم يرد فيه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وسليمان بن مقبل المدائني أو المدني أبو أيوب، وإن عدّه الشيخ من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 يرد في حقه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فالسند ضعيف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الباب ثلاثة أحاديث، أوّلها معتبر بسنده الأول وصحيح بسنده الآخر، وثانيها وثالثها ضعيفان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منها 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 عن ترك ذكر الله في حال من الأحوال؛ لأنّ ذكر الله تعالی حسن علی كل 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حكاية الأذان عند سماعه حال التخلّي</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حكاية الأذان عند سماعه ولو كان ذلك حال التخلّي يزيد في الرزق المادي والمعنوي</w:t>
      </w:r>
      <w:r>
        <w:rPr>
          <w:rFonts w:eastAsia="Amiri" w:cs="Amiri" w:ascii="Amiri" w:hAnsi="Amiri"/>
          <w:color w:val="111111"/>
          <w:sz w:val="28"/>
          <w:szCs w:val="28"/>
          <w:rtl w:val="true"/>
          <w:lang w:bidi="ar-SA"/>
        </w:rPr>
        <w:t xml:space="preserve">. </w:t>
      </w:r>
      <w:bookmarkStart w:id="470" w:name="pg15724_204579"/>
    </w:p>
    <w:p>
      <w:pPr>
        <w:pStyle w:val="Heading2"/>
        <w:numPr>
          <w:ilvl w:val="1"/>
          <w:numId w:val="1"/>
        </w:numPr>
        <w:rPr/>
      </w:pPr>
      <w:bookmarkStart w:id="471" w:name="__RefHeading___Toc12418209_2142443653"/>
      <w:bookmarkStart w:id="472" w:name="_Toc174"/>
      <w:bookmarkEnd w:id="470"/>
      <w:bookmarkEnd w:id="471"/>
      <w:r>
        <w:rPr>
          <w:rtl w:val="true"/>
        </w:rPr>
        <w:t>فهارس الكتاب</w:t>
      </w:r>
      <w:bookmarkEnd w:id="472"/>
    </w:p>
    <w:p>
      <w:pPr>
        <w:pStyle w:val="Heading3"/>
        <w:numPr>
          <w:ilvl w:val="2"/>
          <w:numId w:val="1"/>
        </w:numPr>
        <w:rPr/>
      </w:pPr>
      <w:bookmarkStart w:id="473" w:name="__RefHeading___Toc12418211_2142443653"/>
      <w:bookmarkStart w:id="474" w:name="_Toc175"/>
      <w:bookmarkEnd w:id="473"/>
      <w:r>
        <w:rPr>
          <w:rtl w:val="true"/>
        </w:rPr>
        <w:t>اشارة</w:t>
      </w:r>
      <w:bookmarkEnd w:id="4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الأعلام المترجمين في الكتاب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الكنی والألقاب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الأسانيد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مطالب الكتاب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5" w:name="pg15724_204581"/>
      <w:bookmarkStart w:id="476" w:name="pg15724_204581"/>
      <w:bookmarkEnd w:id="476"/>
    </w:p>
    <w:p>
      <w:pPr>
        <w:pStyle w:val="Heading3"/>
        <w:numPr>
          <w:ilvl w:val="2"/>
          <w:numId w:val="1"/>
        </w:numPr>
        <w:rPr/>
      </w:pPr>
      <w:bookmarkStart w:id="477" w:name="pg15724_204581"/>
      <w:bookmarkStart w:id="478" w:name="__RefHeading___Toc12418213_2142443653"/>
      <w:bookmarkStart w:id="479" w:name="_Toc176"/>
      <w:bookmarkEnd w:id="477"/>
      <w:bookmarkEnd w:id="478"/>
      <w:r>
        <w:rPr/>
        <w:t>1</w:t>
      </w:r>
      <w:r>
        <w:rPr>
          <w:rtl w:val="true"/>
        </w:rPr>
        <w:t xml:space="preserve">- </w:t>
      </w:r>
      <w:r>
        <w:rPr>
          <w:rtl w:val="true"/>
        </w:rPr>
        <w:t>فهرس الأعلام المترجمين في الكتاب</w:t>
      </w:r>
      <w:bookmarkEnd w:id="4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بن أبي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إسحاق بن عبد الله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إسماعيل بن عبد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أيوب بن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بكر بن أبي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سليمان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الحارث بن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الحسن بن أخي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الحسن بن علي ابن بنت 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الحسين بن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الحسين بن محمد الأشنانيّ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بن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 بن عبد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سالم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سعد بن أبي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سليمان بن مقبل المدائني أو المدني أبو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صباح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الصباح بن صبيح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ظريف بن 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الأعلی مولی آل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عبد الرحمن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عبد الحميد بن عواض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عبد الصمد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الهاشمي، والد عيسی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عبد الله بن محمد أبو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الأسدي الحجال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محمد البلوي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عبد الله بن محمد التميمي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عبد الله بن محمد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عبد الله بن محمد الحصيني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عبد الله بن محمد الدعلجي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عبد الله بن محمد النهيكي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عبد الله بن محمد 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عبد الله بن محمد بن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عبد الله بن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عبد الملك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عبيد الله بن علي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علي بن أشيم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علي بن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عمران بن علي بن أبي شعبة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عمران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عمرو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عيسی بن عبد الله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عيسی بن عمر مولی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غالب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محمد بن أورمة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محمد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اليسع الأشعري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محمد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محمد بن عبد الله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محمد بن عبد الله أو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محمد بن عذافر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محمد بن علي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محمد بن علي بن حمزة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محمد بن علي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محمد بن علي بن يحيی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الهاشمي جدّ عيسی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محمد بن عيسی الأشعري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محمد بن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محمد بن يحيی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381</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معمّر بن خلّاد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موسی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عامر الأشعري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15724_204587"/>
      <w:bookmarkStart w:id="481" w:name="pg15724_204587"/>
      <w:bookmarkEnd w:id="481"/>
    </w:p>
    <w:p>
      <w:pPr>
        <w:pStyle w:val="Heading3"/>
        <w:numPr>
          <w:ilvl w:val="2"/>
          <w:numId w:val="1"/>
        </w:numPr>
        <w:rPr/>
      </w:pPr>
      <w:bookmarkStart w:id="482" w:name="pg15724_204587"/>
      <w:bookmarkStart w:id="483" w:name="__RefHeading___Toc12418215_2142443653"/>
      <w:bookmarkStart w:id="484" w:name="_Toc177"/>
      <w:bookmarkEnd w:id="482"/>
      <w:bookmarkEnd w:id="483"/>
      <w:r>
        <w:rPr/>
        <w:t>2</w:t>
      </w:r>
      <w:r>
        <w:rPr>
          <w:rtl w:val="true"/>
        </w:rPr>
        <w:t xml:space="preserve">- </w:t>
      </w:r>
      <w:r>
        <w:rPr>
          <w:rtl w:val="true"/>
        </w:rPr>
        <w:t>فهرس الكنی والألقاب</w:t>
      </w:r>
      <w:bookmarkEnd w:id="484"/>
    </w:p>
    <w:p>
      <w:pPr>
        <w:pStyle w:val="BookText"/>
        <w:rPr/>
      </w:pPr>
      <w:r>
        <w:rPr>
          <w:rFonts w:ascii="Amiri" w:hAnsi="Amiri" w:eastAsia="Amiri" w:cs="Amiri"/>
          <w:color w:val="111111"/>
          <w:sz w:val="28"/>
          <w:sz w:val="28"/>
          <w:szCs w:val="28"/>
          <w:rtl w:val="true"/>
          <w:lang w:bidi="ar-SA"/>
        </w:rPr>
        <w:t>أبو حبيب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ناجية بن أبي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المنشد، المسترق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أبو سعيد المكاري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أبو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أبو عبد الله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الرازي الجاموراني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أبو المستهل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أبو مريم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بن القاسم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15724_204589"/>
      <w:bookmarkStart w:id="486" w:name="pg15724_204589"/>
      <w:bookmarkEnd w:id="486"/>
    </w:p>
    <w:p>
      <w:pPr>
        <w:pStyle w:val="Heading3"/>
        <w:numPr>
          <w:ilvl w:val="2"/>
          <w:numId w:val="1"/>
        </w:numPr>
        <w:rPr/>
      </w:pPr>
      <w:bookmarkStart w:id="487" w:name="pg15724_204589"/>
      <w:bookmarkStart w:id="488" w:name="__RefHeading___Toc12418217_2142443653"/>
      <w:bookmarkStart w:id="489" w:name="_Toc178"/>
      <w:bookmarkEnd w:id="487"/>
      <w:bookmarkEnd w:id="488"/>
      <w:r>
        <w:rPr/>
        <w:t>3</w:t>
      </w:r>
      <w:r>
        <w:rPr>
          <w:rtl w:val="true"/>
        </w:rPr>
        <w:t xml:space="preserve">- </w:t>
      </w:r>
      <w:r>
        <w:rPr>
          <w:rtl w:val="true"/>
        </w:rPr>
        <w:t>فهرس الأسانيد</w:t>
      </w:r>
      <w:bookmarkEnd w:id="489"/>
    </w:p>
    <w:p>
      <w:pPr>
        <w:pStyle w:val="BookText"/>
        <w:rPr/>
      </w:pPr>
      <w:r>
        <w:rPr>
          <w:rFonts w:ascii="Amiri" w:hAnsi="Amiri" w:eastAsia="Amiri" w:cs="Amiri"/>
          <w:color w:val="111111"/>
          <w:sz w:val="28"/>
          <w:sz w:val="28"/>
          <w:szCs w:val="28"/>
          <w:rtl w:val="true"/>
          <w:lang w:bidi="ar-SA"/>
        </w:rPr>
        <w:t>أسناد الشيخ الصدوق</w:t>
      </w:r>
    </w:p>
    <w:p>
      <w:pPr>
        <w:pStyle w:val="BookText"/>
        <w:rPr/>
      </w:pPr>
      <w:r>
        <w:rPr>
          <w:rFonts w:ascii="IRNazanin" w:hAnsi="IRNazanin" w:eastAsia="IRNazanin"/>
          <w:color w:val="111111"/>
          <w:sz w:val="28"/>
          <w:sz w:val="28"/>
          <w:szCs w:val="28"/>
          <w:rtl w:val="true"/>
          <w:lang w:bidi="fa-IR"/>
        </w:rPr>
        <w:t xml:space="preserve">سنده إلی إسماعيل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سنده إلی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سنده إلی عبد الله بن أبي يعفور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سنده إلی حنان بن سدير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سنده إلی حريز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سنده إلی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سنده إلی سليمان بن داود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سنده إلی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سنده إلی عمر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أسناد الشيخ الطوسي</w:t>
      </w:r>
    </w:p>
    <w:p>
      <w:pPr>
        <w:pStyle w:val="BookText"/>
        <w:rPr/>
      </w:pPr>
      <w:r>
        <w:rPr>
          <w:rFonts w:ascii="IRNazanin" w:hAnsi="IRNazanin" w:eastAsia="IRNazanin"/>
          <w:color w:val="111111"/>
          <w:sz w:val="28"/>
          <w:sz w:val="28"/>
          <w:szCs w:val="28"/>
          <w:rtl w:val="true"/>
          <w:lang w:bidi="fa-IR"/>
        </w:rPr>
        <w:t xml:space="preserve">سنده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سنده إلی كتاب المشيخة للحسن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سنده إلی محمد بن مسعود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سنده إلی أحمد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في التتمة التي ذكرناها</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سنده إلی حريز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أسناد ابن ادريس</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سنده إلی محمد بن علي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15724_204591"/>
      <w:bookmarkStart w:id="491" w:name="pg15724_204591"/>
      <w:bookmarkEnd w:id="491"/>
    </w:p>
    <w:p>
      <w:pPr>
        <w:pStyle w:val="Heading3"/>
        <w:numPr>
          <w:ilvl w:val="2"/>
          <w:numId w:val="1"/>
        </w:numPr>
        <w:rPr/>
      </w:pPr>
      <w:bookmarkStart w:id="492" w:name="pg15724_204591"/>
      <w:bookmarkStart w:id="493" w:name="__RefHeading___Toc12418219_2142443653"/>
      <w:bookmarkStart w:id="494" w:name="_Toc179"/>
      <w:bookmarkEnd w:id="492"/>
      <w:bookmarkEnd w:id="493"/>
      <w:r>
        <w:rPr/>
        <w:t>4</w:t>
      </w:r>
      <w:r>
        <w:rPr>
          <w:rtl w:val="true"/>
        </w:rPr>
        <w:t xml:space="preserve">- </w:t>
      </w:r>
      <w:r>
        <w:rPr>
          <w:rtl w:val="true"/>
        </w:rPr>
        <w:t>فهرس المصادر</w:t>
      </w:r>
      <w:bookmarkEnd w:id="4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فخر الشيعة أبي عبد الله محمد بن النعمان العكبري البغدادي الملقب بالشيخ المفيد،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منشورات جماعة المدسين في الحوزة العلمية، 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معرفة الرجال المعروف برجال الكشي، شيخ الطائفة أبو جعفر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 الثالث ميرداماد الاستربادي،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في معرفة حجج الله علی العباد، لأبي عبد الله محمد بن محمد بن النعمان العكبري البغدادي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ضمن سلسلة مؤلفات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لتحقيق التراث،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المفيد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الشيخ الطوسي،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الخرسان، الطبعة الرابعة،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دار الكتب الاسلامية،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استقصاء الاعتبار في شرح الاستبصار، العلامة المحقق الشيخ محمد بن الحسن بن الشهيد الثاني،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الأولى، محرم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علم الرجال، تقرير بحث آية الله الشيخ مسلم الداوري، بقلم الشيخ محمد علي المعلّم،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العبودي، الطبعة الرابعة،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مؤسسة الإمام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والتحقيق العلمي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الدلائل، تقرير بحث آية الله الشيخ مسلم الداوري، بقلم السيد عباس الحسيني والشيخ محمد عيسی البنّاي، الطبعة الثانية،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الهدی،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العلامة الشيخ محمد باقر المجلسي،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الميانحي، محمد الباقر البهبودي، الطبعة 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ونهاية المقتصد، الإمام القاضي أبو الوليد محمد بن أحمد ابن رشد القرطبي الأندلسي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رشد الحفيد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تنقيح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العطار، إشراف مكتب البحوث والدراسات، دار الفكر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الصنائع، علاء الدين ابو بكر الكاساني الحنفي،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المكتبة الحبيبية، كويتة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محمد مرتضی الواسطي الزبيدي،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شيري،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الفكر،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أسماء الثقات، الحافظ عمر بن شاهين،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السامرّائي،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الدار السلفيّة، الكويت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أبو محمد الحسن بن علي الحرّاني،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قم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الفقهاء، العلامة الحلي الحسن بن يوسف بن المطهر،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الأولى، محرم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أسانيد الكافي، آية الله العظمى السيد آقا حسين الطباطبائي البروجردي، تخريج واستدراك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محمود درياب النجفي، الطبعة الأولی،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منشورات مؤسسة آية الله العظمى البروجردي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تقرير بحث آية الله الشيخ مسلم الداوري، بقلم الشيخ محمد علي المعلّم،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التنقيح في شرح العروة الوثقی، تقرير بحث آية الله العظمی السيد الخوئي، بقلم الشهيد الشيخ ميرزا علي الغروي، الطبعة الثالثة،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إحياء آثار الإمام الخوئي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الشيخ الطوسي،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الخرسان، الطبعة الرابعة،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دار الكتب الاسلامية،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الحافظ يوسف المزي،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بشّار عواد معروف، الطبعة الرابعة،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 مؤسسة الرسالة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أحاديث الشيعة، تحت إشراف أية الله العظمی السيد البروجردي، نشر دار الأولياء، بيروت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في شرح القواعد، المحقق الثاني الشيخ علي بن الحسين الكركي،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الأولی، </w:t>
      </w:r>
    </w:p>
    <w:p>
      <w:pPr>
        <w:pStyle w:val="BookText"/>
        <w:rPr/>
      </w:pP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والتعديل، الحافظ عبد الرحمن الرازي، الطبعة الأولی،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 نشر دار إحياء التراث العربي،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أهل الموصل، 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نجف،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دار المفيد،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الشيخ محمد حسن النجفي،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الطبعة الثانية،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الكتب الإسلامية،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ردّ المحتار علی الدر المختار شرح تنوير الأبصار في فقه الإمام أبي حنيفة النعمان، لخاتمة المحققين محمد أمين الشهير بابن عابدين،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البحوث والدراسات،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المتين، الشيخ البهائي العاملي،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بلاسم الموسوي الحسيني، الطبعة الأولی،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البحوث الإسلامية، مشهد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في أحكام العترة الطاهرة، الفقيه المحدث الشيخ يوسف البحراني، تحقيق وتعليق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 مؤسسة النشر الإسلامي التابعة لجماعة المدرسين، قم المشرفة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 قطب الدين الراوندي،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للشيخ الجليل الأقدم الصدوق أبي جعفر محمد بن علي بن الحسين بن بابويه القمي،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الأقوال في معرفة الرجال، العلامة الحلي أبي منصور الحسن بن يوسف بن المطهر الأسدي،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جواد القيومي،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نشر الفقاهة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الشيخ الطوسي، تحت إشراف الشيخ مجتبی العراقي، الطبعة السابعة،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الإسلامي،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تفسير المأثور، عبد الرحمن السيوطي، دار المعرفة للطباعة والنشر،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الغضائري، أحمد بن الحسين الغضائري،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رضا الجلالي،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الحديث،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البرقي، أحمد بن عبد الله البرقي،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محمد علي البغدادي، الطبعة الأولی،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البرقي، أحمد بن عبد الله بن أحمد بن محمد بن خالد البرقي،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محمد علي البغدادي، الطبعة الثانية،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 الشيخ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الطبعة الرابعة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قم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النجاشي، أحمد بن علي النجاشي،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موسی الشبيري الزنجاني، الطبعة الثامنة،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الإسلامي،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المعاني، محمود الآلوسي البغدادي،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الأمد وعمر عبد السلام السلامي، 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إحياء التراث العربي،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الطالبين، للإمام أبي زكريا يحيی بن شرف النووي الدمشقي،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عادل أحمد عبد الموجود والشيخ علي محمد معوض،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المتقين في شرح من لا يحضره الفقيه للصدوق، العلامة المولی محمد تقي المجلسي، توثيق وتدقيق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التحقيق في مؤسسة دار الكتاب الإسلامي، الطبعة الأولی،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مؤسسة دار الكتاب الإسلامي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محمد بن يزيد القزويني ابن ماجة،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الجوهري،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العطّار، الطبعة 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دار العلم للملايين،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السيد محمد كاظم اليزدي، الطبعة الثالثة،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 مؤسسة النشر الإسلامي، قم</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الشيخ الصدوق، تقديم السيد محمد صادق بحر العلوم، </w:t>
      </w:r>
    </w:p>
    <w:p>
      <w:pPr>
        <w:pStyle w:val="BookText"/>
        <w:rPr/>
      </w:pPr>
      <w:r>
        <w:rPr>
          <w:rFonts w:ascii="Amiri" w:hAnsi="Amiri" w:eastAsia="Amiri" w:cs="Amiri"/>
          <w:color w:val="111111"/>
          <w:sz w:val="28"/>
          <w:sz w:val="28"/>
          <w:szCs w:val="28"/>
          <w:rtl w:val="true"/>
          <w:lang w:bidi="ar-SA"/>
        </w:rPr>
        <w:t xml:space="preserve">منشورات المكتبة الحيدرية، النجف الأشرف،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الخليل بن أحمد الفراهيدي،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المخزومي، الدكتور إبراهيم السامرائي،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دار الهجرة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الشيخ الصدوق،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الطبعة الثانية،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الأعلمي للمطبوعات،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غنية المتملّي شرح منية المصلي، الشيخ إبراهيم بن محمد الحلبي،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البهادري،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المتملي شرح منية المصلي، الشيخ إبراهيم بن محمد الحلبي، طبعة حجرية،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النزوع، السيد ابن زهرة الحلبي، تحقيق الشيخ ابراهيم البهادري، الطبعة الاولی،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مؤسسة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اللغة وسرّ العربيّة، أبو منصور الثعالبي،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فائز محمد، الطبعة الثانية،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الطبعة الثانية،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محمد بن يعقوب الفيروزآبادي، نشر دار العلم للجميع، بيروت</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الشيخ محمد بن يعقوب الكليني،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w:t>
      </w:r>
    </w:p>
    <w:p>
      <w:pPr>
        <w:pStyle w:val="BookText"/>
        <w:rPr/>
      </w:pPr>
      <w:r>
        <w:rPr>
          <w:rFonts w:ascii="Amiri" w:hAnsi="Amiri" w:eastAsia="Amiri" w:cs="Amiri"/>
          <w:color w:val="111111"/>
          <w:sz w:val="28"/>
          <w:sz w:val="28"/>
          <w:szCs w:val="28"/>
          <w:rtl w:val="true"/>
          <w:lang w:bidi="ar-SA"/>
        </w:rPr>
        <w:t xml:space="preserve">الغفّاري، الطبعة الثالثة،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دار الكتب الإسلامية،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كشّاف القناع، الشيخ منصور البهوتي،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إسماعيل الشافعي،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محمد علي بيضون، دار الكتب العلميّة،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الأسرار في شرح الاستبصار، السيد نعمة الله الجزائري، حققه وعلق وأشرف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المفتي السيد طيّب الموسوي الجزائري،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دار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اللثام، الشيخ محمد الاصفهاني المعروف بالفاضل الهندي، الطبعة الاولی،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 مؤسسة النشر الإسلامي،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العرفان، جمال الدين المقداد السيوري، نشر المكتبة المرتضويّة لإحياء آثار الجعفريّة،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محمد بن مكرم بن منظور،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الشيخ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الكشفي، نشر المكتبة المرتضوية لإحياء آثار الجعفرية،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الشيخ فخر الدين الطريحي، تحقيق السيد أحمد الحسيني، نشر المكتبة المرتضوية، الطبعة المحققة الاولی،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 أمين الاسلام أبي علي الفضل بن الحسن الطبرسي،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والمحققين والأخصائيين، الطبعة </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مؤسسة الأعلمي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محي الدين النووي، نشر دار 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المحلّی، ابن حزم الأندلسي، الناشر دار 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الصحاح، محمد بن عبد القادر، ضبط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شمس الدين،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دار الكتب العلميّة،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الشيعة، العلامة الحلّي،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قم،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الأحكام في شرح شرائع الإسلام، الفقيه المحقق السيد محمد بن علي الموسوي العاملي،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العلامة المجلسي،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الحسيني، الطبعة الثالثة،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دار الكتب الإسلامية،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الأفهام، الشهيد الثاني،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 مؤسسة المعارف الإسلامية،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ومستنبط المسائل، خاتمة المحدثين الحاج ميرزا حسين النوري الطبرسي،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المحققة الأولى،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بيروت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مستمسك العروة الوثقی، فقيه العصر آية الله العظمى السيد محسن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الطباطبائي الحكيم، منشورات مكتبة آية الله العظمى المرعشي النجفي، </w:t>
      </w:r>
    </w:p>
    <w:p>
      <w:pPr>
        <w:pStyle w:val="BookText"/>
        <w:rPr/>
      </w:pP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الشيعة في أحكام الشريعة، المولی العلامة الفقيه أحمد بن محمد مهدي النراقي، الطبعة الأولی، ربيع الأول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مشهد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الفقيه، الشيخ آغا رضا الهمداني، تحقيق محمد الباقري ونورعلي النوري، الطبعة الثانية،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نشر آواي منجي،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أحمد بن محمد المقري الفيومي،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العظيم الشناوي، الطبعة الثانية، دار المعارف،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في شرح المختصر، المحقّق الحلّي، تحقيق عدّة من الأفاضل، الطبعة الاولی،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نشر مؤسسة سيد الشهداء،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السيد أبو القاسم الخوئي،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 عن كتب الأعاريب، ابن هشام الأنصاري،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المكتبة العصرية،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عبد الله بن قدامة، نشر دار الكتاب العربي، بيروت</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في شرح قواعد العلامة، السيد محمد جواد الحسيني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الخالصي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لجماعة المدرسين، قم المشرفة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الشيخ المفيد،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الأخيار في فهم تهذيب الأخبار، الشيخ محمد باقر المجلسي،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آية الله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الشيخ الصدوق، تصحيح وتعليق علي أكبر الغفاري،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جماعة المدرسين في الحوزة العلمية،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منتقی الجمان، الشيخ حسن بن الشهيد الثاني،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الطبعة الأولی،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مؤسسة النشر الإسلامي،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المطلب، العلامة الحلّي،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الفقه في مجمع البحوث الاسلامية، الطبعة الاولی،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الفقيه الأقدم القاضي عبد العزيز بن البراج الطرابلسي،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الإسلامي التابعة لجماعة المدرسين، 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الجليل لشرح مختصر خليل، لأبي عبد الله محمد بن محمد بن عبد الرحمن المغربي المعروف بالحطاب الرعيني، ضبطه وخرج آياته وأحاديثه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زكريا عميرات،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الفقهيّة، هيئة كبار علماء الإسلام،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إصدار وزارة الأوقاف والشئون الإسلامية، الكويت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مجد الدين أبي السعادات المبارك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الطبعة الرابعة،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مؤسسة إسماعيليان للطباعة والنشر،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محمد الشوكاني، نشر دار الجيل،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المولی محمد محسن، المشتهر بالفيض الكاشاني،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الحسيني العلامة الأصفهاني،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اصفهان</w:t>
      </w:r>
      <w:r>
        <w:rPr>
          <w:rFonts w:eastAsia="IRNazanin" w:cs="IRNazanin"/>
          <w:color w:val="111111"/>
          <w:sz w:val="28"/>
          <w:szCs w:val="28"/>
          <w:rtl w:val="true"/>
          <w:lang w:bidi="fa-IR"/>
        </w:rPr>
        <w:t xml:space="preserve">. </w:t>
      </w:r>
      <w:bookmarkStart w:id="495" w:name="pg15724_204603"/>
    </w:p>
    <w:p>
      <w:pPr>
        <w:pStyle w:val="Heading3"/>
        <w:numPr>
          <w:ilvl w:val="2"/>
          <w:numId w:val="1"/>
        </w:numPr>
        <w:rPr/>
      </w:pPr>
      <w:bookmarkStart w:id="496" w:name="__RefHeading___Toc12418221_2142443653"/>
      <w:bookmarkStart w:id="497" w:name="_Toc180"/>
      <w:bookmarkEnd w:id="495"/>
      <w:bookmarkEnd w:id="496"/>
      <w:r>
        <w:rPr/>
        <w:t>5</w:t>
      </w:r>
      <w:r>
        <w:rPr>
          <w:rtl w:val="true"/>
        </w:rPr>
        <w:t xml:space="preserve">- </w:t>
      </w:r>
      <w:r>
        <w:rPr>
          <w:rtl w:val="true"/>
        </w:rPr>
        <w:t>فهرس مطالب الكتاب</w:t>
      </w:r>
      <w:bookmarkEnd w:id="497"/>
    </w:p>
    <w:p>
      <w:pPr>
        <w:pStyle w:val="BookText"/>
        <w:rPr/>
      </w:pPr>
      <w:r>
        <w:rPr>
          <w:rFonts w:ascii="IRNazanin" w:hAnsi="IRNazanin" w:eastAsia="IRNazanin"/>
          <w:color w:val="111111"/>
          <w:sz w:val="28"/>
          <w:sz w:val="28"/>
          <w:szCs w:val="28"/>
          <w:rtl w:val="true"/>
          <w:lang w:bidi="fa-IR"/>
        </w:rPr>
        <w:t>أبواب نواقض الوضوء</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الفرق بين الناقض والموجب والسبب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لَا يَنْقُضُ الْوُضُوءَ إِلَّا الْيَقِينُ بِحُصُولِ الْحَدَثِ دُونَ الظَّنِّ وَالشَّك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بحث رجالي حول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البَولَ وَالغَائِطَ وَالرِّيحَ وَالمَنِيَّ وَالجَنَابَة تَنقُضُ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النَّومَ الغَالِبَ عَلَی السَّمعِ يَنقُضُ الوُضُوءَ عَلَی أَيِّ حَالٍ كَانَ، وَأَنَّهُ لَا</w:t>
      </w:r>
    </w:p>
    <w:p>
      <w:pPr>
        <w:pStyle w:val="BookText"/>
        <w:rPr/>
      </w:pPr>
      <w:r>
        <w:rPr>
          <w:rFonts w:ascii="Amiri" w:hAnsi="Amiri" w:eastAsia="Amiri" w:cs="Amiri"/>
          <w:color w:val="111111"/>
          <w:sz w:val="28"/>
          <w:sz w:val="28"/>
          <w:szCs w:val="28"/>
          <w:rtl w:val="true"/>
          <w:lang w:bidi="ar-SA"/>
        </w:rPr>
        <w:t xml:space="preserve">يَنقُضُ الوُضُوءَ شَيءٌ مِنَ الأَشيَاءِ غَيرُ الأَحدَاثِ المَنصُوصَةِ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الجمع بين أحاديث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مَا أَزَالَ الْعَقْلَ مِنْ إِغْمَاءٍ وَجُنُونٍ وَسُكْرٍ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مَا يَخْرُجُ مِنَ الدُّبُرِ مِنْ حَبِّ الْقَرْعِ وَالدِّيدَانِ لَا يَنْقُضُ الْوُضُوءَ إِلَّا أَنْ يَكُونَ مُتَلَطِّخاً بِالْعَذِرَةِ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الْقَيْ ءَ وَالْمِدَّةَالْقَيْحَ وَالْجُشَاءَ وَالضَّحِكَ وَالْقَهْقَهَةَ وَالْقَرْقَرَةَ فِي الْبَطْنِ لَا</w:t>
      </w:r>
    </w:p>
    <w:p>
      <w:pPr>
        <w:pStyle w:val="BookText"/>
        <w:rPr/>
      </w:pPr>
      <w:r>
        <w:rPr>
          <w:rFonts w:ascii="Amiri" w:hAnsi="Amiri" w:eastAsia="Amiri" w:cs="Amiri"/>
          <w:color w:val="111111"/>
          <w:sz w:val="28"/>
          <w:sz w:val="28"/>
          <w:szCs w:val="28"/>
          <w:rtl w:val="true"/>
          <w:lang w:bidi="ar-SA"/>
        </w:rPr>
        <w:t>يَنْقُضُ شَيْ ءٌ مِنْهَا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w:t>
      </w:r>
    </w:p>
    <w:p>
      <w:pPr>
        <w:pStyle w:val="BookText"/>
        <w:rPr/>
      </w:pPr>
      <w:r>
        <w:rPr>
          <w:rFonts w:ascii="Amiri" w:hAnsi="Amiri" w:eastAsia="Amiri" w:cs="Amiri"/>
          <w:color w:val="111111"/>
          <w:sz w:val="28"/>
          <w:sz w:val="28"/>
          <w:szCs w:val="28"/>
          <w:rtl w:val="true"/>
          <w:lang w:bidi="ar-SA"/>
        </w:rPr>
        <w:t>يَنْقُضُ الْوُضُوءَ رُعَافٌ وَلَا</w:t>
      </w:r>
    </w:p>
    <w:p>
      <w:pPr>
        <w:pStyle w:val="BookText"/>
        <w:rPr/>
      </w:pPr>
      <w:r>
        <w:rPr>
          <w:rFonts w:ascii="Amiri" w:hAnsi="Amiri" w:eastAsia="Amiri" w:cs="Amiri"/>
          <w:color w:val="111111"/>
          <w:sz w:val="28"/>
          <w:sz w:val="28"/>
          <w:szCs w:val="28"/>
          <w:rtl w:val="true"/>
          <w:lang w:bidi="ar-SA"/>
        </w:rPr>
        <w:t>حِجَامَةٌ وَلَا خُرُوجُ دَمٍ غَيْرُ الْحَيْضِ وَالِاسْتِحَاضَةِ وَالنِّفَاسِ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بحث رجالي حول عبدالأعلي مولی آل سام</w:t>
      </w:r>
      <w:r>
        <w:rPr>
          <w:rFonts w:eastAsia="IRNazanin" w:cs="IRNazanin"/>
          <w:color w:val="111111"/>
          <w:sz w:val="28"/>
          <w:szCs w:val="28"/>
          <w:rtl w:val="true"/>
          <w:lang w:bidi="fa-IR"/>
        </w:rPr>
        <w:t>............................................</w:t>
      </w:r>
      <w:r>
        <w:rPr>
          <w:rFonts w:eastAsia="IRNazanin" w:cs="IRNazanin"/>
          <w:color w:val="111111"/>
          <w:sz w:val="28"/>
          <w:szCs w:val="28"/>
          <w:lang w:bidi="fa-IR"/>
        </w:rPr>
        <w:t>164</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إِنْشَادَ الشِّعْرِ لَا يَنْقُضُ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الْقُبْلَةَ وَالْمُبَاشَرَةَ وَالْمُضَاجَعَةَ وَمَسَّ الْفَرْجِ مُطْلَقاً وَنَحْوَ ذَلِكَ مِمَّا دُونَ الْجِمَاعِ لَا</w:t>
      </w:r>
    </w:p>
    <w:p>
      <w:pPr>
        <w:pStyle w:val="BookText"/>
        <w:rPr/>
      </w:pPr>
      <w:r>
        <w:rPr>
          <w:rFonts w:ascii="Amiri" w:hAnsi="Amiri" w:eastAsia="Amiri" w:cs="Amiri"/>
          <w:color w:val="111111"/>
          <w:sz w:val="28"/>
          <w:sz w:val="28"/>
          <w:szCs w:val="28"/>
          <w:rtl w:val="true"/>
          <w:lang w:bidi="ar-SA"/>
        </w:rPr>
        <w:t>يَنْقُضُ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الحلبي مشترك بين أربعة أشخاص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الجمع بين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بحث رجالي حول محمد بن مسعود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مُلَاقَاةَ</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الْبَوْلِ وَالْغَائِطِ لِلْبَدَنِ لَا يَنْقُضُ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المتحصل من الحديثين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لَمْسَ الْكَلْبِ وَالْكَافِرِ لَا يَنْقُضُ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الْمَذْيَ وَالْوَذْيَ وَالْوَدْيَ وَالْإِنْعَاظَ وَالنُّخَامَةَ وَالْبُصَاقَ وَالْمُخَاطَ لَا يَنْقُضُ شَيْ ءٌ مِنْهَا الْوُضُوءَ لَكِنْ يُسْتَحَبُّ الْوُضُوءُ مِنَ الْمَذْيِ عَنْ شَهْوَةٍ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الجمع بين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الْبَلَلِ الْمُشْتَبِهِ الْخَارِجِ بَعْدَ الْبَوْلِ وَالْمَنِيِ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كيفيّة استفادة قول المشهور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تَقْلِيمَ الْأَظْفَارِ وَالْحَلْقَ وَنَتْفَ الْإِبْطِ وَأَخْذَ الشَّعْرِ لَا يَنْقُضُ الْوُضُوءَ وَلَكِنْ يُسْتَحَبُّ مَسْحُ الْمَوْضِعِ بِالْمَاءِ إِذَا كَانَ بِالْحَدِيدِ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أَكْلَ مَا غَيَّرَتِ النَّارُ بَلْ مُطْلَقَ الْأَكْلِ وَالشُّرْبِ وَاسْتِدْخَالَ أَيِّ شَيْ ءٍ كَانَ لَا</w:t>
      </w:r>
    </w:p>
    <w:p>
      <w:pPr>
        <w:pStyle w:val="BookText"/>
        <w:rPr/>
      </w:pPr>
      <w:r>
        <w:rPr>
          <w:rFonts w:ascii="Amiri" w:hAnsi="Amiri" w:eastAsia="Amiri" w:cs="Amiri"/>
          <w:color w:val="111111"/>
          <w:sz w:val="28"/>
          <w:sz w:val="28"/>
          <w:szCs w:val="28"/>
          <w:rtl w:val="true"/>
          <w:lang w:bidi="ar-SA"/>
        </w:rPr>
        <w:t>يَنْقُضُ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بحث رجالي حول محمد بن أورمة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اسْتِدْخَالَ الدَّوَاءِ وَخُرُوجَ النَّدَى وَالصُّفْرَةِ مِنَ الْمَقْعَدَةِ وَالنَّاصُورِ لَا يَنْقُضُ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قَتْلَ الْبَقَّةِ وَالْبُرْغُوثِ وَالْقَمْلَةِ وَالذُّبَابِ لَا يَنْقُضُ الْوُضُوءَ وَكَذَا الْكَذِبُ عَلَى اللَّهِ وَعَلَى رَسُولِهِ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المتحصل من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إِعَادَةِ الْوُضُوءِ عَلَى مَنْ تَرَكَ الِاسْتِنْجَاءَ وَتَوَضَّأَ وَصَلَّى وَوُجُوبِ إِعَادَةِ الصَّلَاةِ</w:t>
      </w:r>
    </w:p>
    <w:p>
      <w:pPr>
        <w:pStyle w:val="BookText"/>
        <w:rPr/>
      </w:pPr>
      <w:r>
        <w:rPr>
          <w:rFonts w:ascii="Amiri" w:hAnsi="Amiri" w:eastAsia="Amiri" w:cs="Amiri"/>
          <w:color w:val="111111"/>
          <w:sz w:val="28"/>
          <w:sz w:val="28"/>
          <w:szCs w:val="28"/>
          <w:rtl w:val="true"/>
          <w:lang w:bidi="ar-SA"/>
        </w:rPr>
        <w:t>حِينَئِذٍ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صَاحِبِ السَّلَسِ وَالْبَطَنِ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تتميم في حكم دائم الحدث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ثلاثة فروع حول المسلوس والمبطون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أَبْوَابُ أَحْكَامِ الْخَلْوَةِ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سَتْرِ الْعَوْرَةِ وَتَحْرِيمِ النَّظَرِ إِلَى عَوْرَةِ الْمُسْلِمِ غَيْرِ الْمُحَلَّلِ رَجُلًا كَانَ أَوِ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بحث رجالي في تمييز عبدالله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 حول ستر 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 جَوَازِ اسْتِقْبَالِ الْقِبْلَةِ وَاسْتِدْبَارِهَا عِنْدَ التَّخَلِّي وَكَرَاهَةِ اسْتِقْبَالِ الرِّيحِ وَاسْتِدْبَارِهَا وَاسْتِحْبَابِ اسْتِقْبَالِ الْمَشْرِقِ وَالْمَغْرِب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فروع ثلاثة حول التخلّي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الفرع الأول وفيه ثمانية 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تَغْطِيَةِ الرَّأْسِ وَالتَّقَنُّعِ عِنْدَ قَضَاءِ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التَّبَاعُدِ عَنِ النَّاسِ عِنْدَ التَّخَلِّي</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وَشِدَّةِ التَّسَتُّرِ وَالتَّحَفُّظ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التَّسْمِيَةِ وَالِاسْتِعَاذَةِ وَالدُّعَاءِ بِالْمَأْثُورِ عِنْدَ دُخُولِ الْمَخْرَجِ وَالْخُرُوجِ مِنْهُ وَالْفَرَاغِ وَالنَّظَرِ إِلَى الْمَاءِ وَالْوُضُوء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بحث رجالي حول صباح الحذاء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كَرَاهَةِ الْكَلَامِ عَلَى الْخَلَاء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الأحاديث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المتحصل من الحديثين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 كَرَاهَةِ ذِكْرِ اللَّهِ وَتَحْمِيدِهِ وَقِرَاءَةِ آيَةِ الْكُرْسِيِّ عَلَى الْخَلَاء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كَرَاهَةِ حِكَايَةِ الْأَذَانِ عَلَى الْخَلَاءِ وَاسْتِحْبَابِهِ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الأحاديث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شرح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أقوال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أقوال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المتحصل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فهارس الكتاب ص</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الأعلام المترجمين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الكنی والألقاب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الأسانيد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مطالب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وقريب منه في حاشية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ومصباح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 رأسه وهو ناعس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العجب من الشيخ علي في شرح القواعد حيث أفتى بأنّ ظنّ غلبة النوم كافٍ في نقض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والحرف الأول من هذه الكلمة منقوط في الأصل بنقطتين من فوق ومن تحت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الوسن، الصّحاح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 والسِّنة مثله، الصحاح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 وعن فقه اللغة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النوم، وهو أن يحتاج الإنسان إلی النوم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بتصرّف كثير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بتمامه في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كلّها،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باب من شك فلا يدري صلی ركعة أو اثنتين أو ثلاثاً،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المشيخة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الاستبصار، المشيخة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الدلائل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للوضوء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 لك أو على نفسك</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الفقرة الأولى، والفقرة الثانية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يخرج</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ما 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المحدّث الكاشاني في 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عبر عن نقض الوضوء بالكراهية لأنّ النواقض مما يستكره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ما أفاده الشيخ البهائي أوجه، لأنّ الحديث خصّ النوم بالكراهة، لا مطلق النواقض كما ذهب إليه المحدّث الكاشاني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المشيخة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وأورده أيضاً في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والصاد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غبر في باطنه فساد فكلّما بدا أعلاه، رجع غبرا فاسداً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ويأتي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التقية في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التقية في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جعلهما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في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يدلّ عليه في 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ما يدلّ عليه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وتقدّم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الخفقتان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ما ينقض الوضوء وما لا ينقضه، الحديث</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النوم، الحديث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الأعلام دعوى ودفعها، أمّا الدعوى فحاصلها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الاختلاف بالزيادة يوجب التعارض وخصوصاً في مثل هذا المورد الذي يكون فيه اتحاد الحديثين قريباً، حيث إنّ الراوي عن زيد الشحام في الحديث السابق هو عبد الرحمن بن الحجاج فالموجود هو حديث واحد مضطرب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وكذلك أحاديث هذا الباب من هذه الأبواب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في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والأحاديث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رقد، لسان العرب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وجهه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 قائل فلم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الأحاديث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ملاذ الأخيار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والعبد الصالح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الراوي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وإن كان محتملاً لما عرفت من أنّ النجاشي والشيخ ذكرا أنّه روی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الغالب في التعبير عن الإمام بالعبد الصالح هو في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للتقيّة، وقد صرّح الشيخ بأنّه روى عنه أيضاً، اللهم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اقتصار النجاشي على ذكر أنّه روی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وقول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أبي الحسن أيضاً، فيه إشعار بقلّة رواياته عن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لم يذكره النجاشي في مَن روی عنه، ولعلّها كانت رواية واحدة أو اثنتين مثلاً ولم يطّلع عليهما، واكتفی الشيخ بما مرّ فهذا يقوّي ما عن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يدلّ على ذلك في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وفي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يدل عليه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من كتاب الطهارة، وفي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 العين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غفو</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خرج من أحد السبيلين دود أو غيره من الهوام أو حصى أو دم غير الثلاثة أو شعر أو أشياف أو دهن قطره في احليله لم ينقض، إلّا أن تستصحب شيئا من النواقض، ذهب إليه علماؤنا أجمع؛ للأصل ولما تقدّم من الأحاديث، وقال أبو حنيفة وأصحابه والشافعي والثوري والأوزاعي وأحمد وأبوإسحاق وأبو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ناقض؛ لعدم انفكاكه من البلّة، وهو 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بدل أبي إسحاق والثلاثة بدل البلّة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ملطّخة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ناصح، موجود 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قده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هامش المخطوط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الحديث مرويّ في الوضوء من التهذيب والاستبصار وكما ذكرنا، ورواه في التيمم، وأسقط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يصنع،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نظيفاً من العذرة، وهاهنا هو الصحيح، وإن كان المعنى واحداً على التقديرين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أحاديث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يجتمع في الجرح من القيح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تنفّس المعدة عند الإمتلاء، وكأنّ صاحبه يريد أن يتقيّأ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قيأ</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قيح</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جشأ، لسان العرب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جشأ</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قهقه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المخطوط ما نصه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وأورده أيضاً في الحديث 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ويأتي بتمامه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وفي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قلس، وانظر لسان العرب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قده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رعف، ومجمع البحرين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القهقهة لا تنقض الوضوء وإن وقعت في الصلاة لكن تبطلها، ذهب إليه أكثر علمائنا، ثمّ نقله عن بعض العامّة واستدلّ عليه بالأصل وأحاديث الحصر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الجنيد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قهقه في صلاته قطع صلاته وأعاد وضوءه؛ لرواية سماعة، وقال أبو حنيفة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يجب الوضوء بالقهقهة في الصلاة وهو مرويّ عن الحسن والنخعيّ، وبه قال الثوري، وعن الأوزاعي روايتان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وأورده أيضاً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الآتي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ويأتي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ورواه بسند آخر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تكلم فليعد صلاته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ويأتي في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رقأ</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المخطوط، منه 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للشراب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الطبعة التي حقّقها الشيخ عبدالرحيم الرباني من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بعضٍ تفسير الركوة بالزورق الصغير، ثم بيانه بأنّه إناء صغير من جلد يشرب فيه الماء، وهو المناسب هنا ويكون قريباً من الدورق، انظر بحار الأنوار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وإحياء علوم الدين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في الهامش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ويأتي بتمامه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القاسم جعفر بن محمّد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أفاده بعض المتتبّعين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وفاة سعد كانت سنة إحدی وثلاثمائة، وقيل سنة تسع وتسعين ومائتين، ومات جعفر بن بشير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بالأبواء سنة ثمان ومائتين،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يدركه سعد هذا ليروي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تاويله في ذيل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الاستبصار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رواه أيّوب 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أنّ الشيخ روی بسنده عن أيوب بن الحر وارتضاه صاحب الوسائل، وإسناد الشيخ إلی أيوب بن الحر لم يذكره في مشيخة التهذيبين، نعم ذكره في الفهرست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كتاب أخبرنا به عدّة من أصحابنا عن أبي المفضل عن ابن بطّة عن اَحمد بن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أيوب 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الطريق ضعيف بأبي المفضّل وابن بطّة، إلّا أنّه مع ذلك يمكن تصحيح الطريق إليه من جهة أخری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 للصدوق طريقا صحيحاً إلی روايات أيوب بن الحر، وحيث إنّ للشيخ طريقاً معتبراً إلی جميع روايات الصدوق وكتبه فيكون طريق الصدوق إلی أيوب بن الحر طريقاً للشيخ وبهذا يصير طريق الشيخ إليه معتبراً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يدلّ على ذلك في 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يدلّ عليه في الحديثين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المتملي شرح منية المصلي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عدة أحاديث في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ينقض الوضوء وما لا ينقضه، ذيل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 هو ما ولي شَعْرَ جسد الإنسان دون ما سواه من الثياب، والجمع أَشْعِرَةٌ وشُعُرٌ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تفسير المأثور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روح المعاني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أنعظ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اشتهى الجماع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نعظ</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وكشف الأسرار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كنز العرفان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في العدد والرؤية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المشيخة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أصل النسخة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القرائن أيضاً أنّ الشيخ في التهذيب أورد في بعض الموارد السند مصرّحاً بأنّ من يروي عنه صفوان هو عبد الله، ومن يروي عنه عبد الله هو محمد بن علي الحلبي،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يحيى، عن عبد الله بن مسكان، عن محمد بن علي الحلبي، كما في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،كتاب الزكاة، باب زكاة مال الغائب والدين والقرض، الحديث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المكاسب، الحديث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والإستبصار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أن يذكر محمّد بن أبي عمير، وأورده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عبث</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والإستبصار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المخطوط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نقل العلامة في التذكرة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الحديثين عن جماعة كثيرين من العامّة، بل عن أكثرهم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ذيل الحديث</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 قوائمه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وللحديث ذيل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باليمن ينسب إليها الدروع والكلاب،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الثاني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كشف الأسرار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المخطوط، منه 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الساكنة، ماء ثخين يخرج عقيب البول، وهو غير ناقض إجماعاً، قاله في التذكرة،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نعظ</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بصق</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يخرج عند الملاعبة والتقبيل عن الصحاح للجوهري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حبائل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الحبائل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ويأتي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بشهوة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والاستبصار، المشيخة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دريرة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الجمهور إلّا مالكاً قائلون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المذي ينقض الوضوء، وكذا الودي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يدلّ على ذلك في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استبرائي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ويأتي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بتمامه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في حديث سماعة وحنان، أنّ البواطن لا تنجس لما يأتي، وأنّ ملاقاة البلل الطاهر من المخرج غير متيقنة غالباً، وهو طاهر غير ناقض للطهارة فلا بأس به، مع احتماله التقيّة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موارد كثيرة روى فيها الحسين بن محمد عن أحمد بن إسحاق عن سعدان بن مسلم في الكافي، ولم يتوسّط أحمد بن محمد بين الحسين وأحمد، فلعلّ وجود أحمد بن محمد في هذا السند زيادة من النّساخ، كما أفاده السيد البروجردي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أسانيد 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البابين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 ء</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الطيالسي، فيكون ثقة لوروده في أسناد كتاب نوادر الحكمة؛ وذلك لوجود نظائر هذا السند في نوادر الحكمة نقلها الشيخ في التهذيب والاستبصار، روی فيها محمد بن يحيی المعاذي عنه بعنوان محمد بن خالد الطيالسي أو بعنوان الطيالسي، وروی هو عن سيف بن عميرة، وفي بعضها روی عن سيف بن عميرة، والراوي عنه فيها شخص آخر غير محمد بن يحيى المعاذي، وعليه يكون السند معتبراً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إدريس ومحمد بن يحيی، عن محمد بن أحمد، عن أحمد بن الحسن، كما في أسانيد عديدة، فأحمد بن إدريس القمي ومحمد بن يحيی العطّار من مشايخ الكليني روی عنهما متعاطفين وغير متعاطفين عن محمد بن أحمد بن يحيی بن عمران الأشعري، وهو يروي عن أحمد بن الحسن بن علي بن فضال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جزز</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السند السابق عليه في التهذيب، وفي مواضع عديدة منه، وفي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ينقض الوضوء وما لا ينقضه،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عمّار بن موسی أي الساباطي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يعتدّ بصلاته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ويأتي بتمامه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وقطعة منه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سمكاً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تتوضّؤوا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أسماء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وأورده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الناسور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عنهما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يدلّ على ذلك في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هذه الأبواب، خصوصاً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وفي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بقق</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بقق</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برغث</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كشّاف القناع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 السابق</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الحديثين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الحسين بن الحسن بن أبان،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وكتب المصنّف في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وهو غير جيد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الحديثين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العجب من العلامة في المنتهى أنّه قال عند تضعيف الرواية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سليمان بن خالد لم ينص الأصحاب على توثيقه، وهي غفلة واضحة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الدلائل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وأورده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 متفرّق، في المناهي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أيضاً في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يدلّ على ذلك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وفي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الرواية علی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غسل يوم الجمعة، 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هامش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ورواه الشيخ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 ولسان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فني، ولسان العرب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شطط</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آداب التخلي، ذيل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الخلاء والاستنجاء،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ذهب بعضهم إلى وجوب استقبال المشرق أو المغرب للأمر في هذا الحديث، ولتحريم استقبال القبلة واستدبارها، ولا يتمّ إلّا باستقبال المشرق أو المغرب لقولهم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بين المشرق والمغرب 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مردود بأنّ الأوامر في مثله للاستحباب غالباً، خصوصاً بعد النهي، بل ورودها بعد النهي للجواز أغلب، حتّى قطع كثير من العلماء بعدم إفادتها للوجوب، وحديث القبلة مخصوص بالناسي واللّه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ذيل الحديث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يدلّ على ذلك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الخلاء والاستنجاء،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وقت الصلاة في يوم الغيم والريح ومن صلی لغير القبلة،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الخلاء والاستنجاء، ذيل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ردّ المحتار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مادة قنع</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الفائدة الثانية من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أستحي</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توحيد المفضل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الموضع الذي يتغوّط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بتمامه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والقضيّة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يتطهر به ويشرب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يدلّ على ذلك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وكشّاف القناع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والمجموع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 قطعة منه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خبث</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خبث</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خبث</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خبث</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لها من نعمة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أحكام التخلّي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تزحر، الزحير والزحار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استطلاق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الزحير والزحار والزحارة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الصوت أو النفس بأنين عند عمل أو شدة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ذيله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وتقدّم ما يدلّ على ذلك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يدلّ عليه في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من كتاب الصلاة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وأورده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من كتاب الصلاة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الدلائل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آية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2</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في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الأحاديث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والحديث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التهذيب</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المتغوط</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ورواه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أورده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الخلوة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الباب الآتي</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الشهيد الثاني في بعض كتبه أنّ هذه المسالة ليس فيها نص أصلاً ومثله كثير جدّاً، ووجه ذلك غالباً أنّهم كانوا يقتصرون على مطالعة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الروضة البهية في شرح اللمعة الدمشقية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المدائني وقد ورد في كتب الرجال باللّفظين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الدلائل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image" Target="media/image2.jpeg"/><Relationship Id="rId610" Type="http://schemas.openxmlformats.org/officeDocument/2006/relationships/image" Target="media/image2.jpeg"/><Relationship Id="rId611" Type="http://schemas.openxmlformats.org/officeDocument/2006/relationships/footer" Target="footer604.xml"/><Relationship Id="rId612" Type="http://schemas.openxmlformats.org/officeDocument/2006/relationships/footnotes" Target="footnotes.xml"/><Relationship Id="rId613" Type="http://schemas.openxmlformats.org/officeDocument/2006/relationships/numbering" Target="numbering.xml"/><Relationship Id="rId614" Type="http://schemas.openxmlformats.org/officeDocument/2006/relationships/fontTable" Target="fontTable.xml"/><Relationship Id="rId615" Type="http://schemas.openxmlformats.org/officeDocument/2006/relationships/settings" Target="settings.xml"/><Relationship Id="rId6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610</Pages>
  <Words>79355</Words>
  <Characters>352970</Characters>
  <CharactersWithSpaces>429865</CharactersWithSpaces>
  <Paragraphs>3458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2026-08-25T03:44:58Z</dcterms:created>
  <dc:creator>ghaemiyeh.com</dc:creator>
  <dc:description/>
  <dc:language>en-US</dc:language>
  <cp:lastModifiedBy/>
  <dcterms:modified xsi:type="dcterms:W3CDTF">2026-08-25T07:15:16Z</dcterms:modified>
  <cp:revision>1</cp:revision>
  <dc:subject/>
  <dc:title>ایضاح الدلائل فی شرح الوسائل جلد 5</dc:title>
</cp:coreProperties>
</file>

<file path=docProps/custom.xml><?xml version="1.0" encoding="utf-8"?>
<Properties xmlns="http://schemas.openxmlformats.org/officeDocument/2006/custom-properties" xmlns:vt="http://schemas.openxmlformats.org/officeDocument/2006/docPropsVTypes"/>
</file>