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أجوبة الشبهات الکلامیة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30211_2142443653">
            <w:r>
              <w:rPr>
                <w:webHidden/>
                <w:rStyle w:val="IndexLink"/>
                <w:rtl w:val="true"/>
              </w:rPr>
              <w:t>هوية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1030213_214244365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1030215_2142443653">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1030217_2142443653">
            <w:r>
              <w:rPr>
                <w:webHidden/>
                <w:rStyle w:val="IndexLink"/>
                <w:rtl w:val="true"/>
              </w:rPr>
              <w:t>الفصل الأول</w:t>
            </w:r>
            <w:r>
              <w:rPr>
                <w:rStyle w:val="IndexLink"/>
                <w:rtl w:val="true"/>
              </w:rPr>
              <w:tab/>
            </w:r>
            <w:r>
              <w:rPr>
                <w:rStyle w:val="IndexLink"/>
              </w:rPr>
              <w:t>19</w:t>
            </w:r>
          </w:hyperlink>
        </w:p>
        <w:p>
          <w:pPr>
            <w:pStyle w:val="Contents3"/>
            <w:tabs>
              <w:tab w:val="clear" w:pos="8459"/>
              <w:tab w:val="right" w:pos="9026" w:leader="dot"/>
            </w:tabs>
            <w:rPr/>
          </w:pPr>
          <w:hyperlink w:anchor="__RefHeading___Toc11030219_2142443653">
            <w:r>
              <w:rPr>
                <w:webHidden/>
                <w:rStyle w:val="IndexLink"/>
                <w:rtl w:val="true"/>
              </w:rPr>
              <w:t>أمور عامة</w:t>
            </w:r>
            <w:r>
              <w:rPr>
                <w:rStyle w:val="IndexLink"/>
                <w:rtl w:val="true"/>
              </w:rPr>
              <w:tab/>
            </w:r>
            <w:r>
              <w:rPr>
                <w:rStyle w:val="IndexLink"/>
              </w:rPr>
              <w:t>19</w:t>
            </w:r>
          </w:hyperlink>
        </w:p>
        <w:p>
          <w:pPr>
            <w:pStyle w:val="Contents3"/>
            <w:tabs>
              <w:tab w:val="clear" w:pos="8459"/>
              <w:tab w:val="right" w:pos="9026" w:leader="dot"/>
            </w:tabs>
            <w:rPr/>
          </w:pPr>
          <w:hyperlink w:anchor="__RefHeading___Toc11030221_2142443653">
            <w:r>
              <w:rPr>
                <w:webHidden/>
                <w:rStyle w:val="IndexLink"/>
                <w:rtl w:val="true"/>
              </w:rPr>
              <w:t xml:space="preserve">أولاً </w:t>
            </w:r>
            <w:r>
              <w:rPr>
                <w:rStyle w:val="IndexLink"/>
                <w:rtl w:val="true"/>
              </w:rPr>
              <w:t xml:space="preserve">: </w:t>
            </w:r>
            <w:r>
              <w:rPr>
                <w:rStyle w:val="IndexLink"/>
                <w:rtl w:val="true"/>
              </w:rPr>
              <w:t>ماهية الإمامة</w:t>
            </w:r>
            <w:r>
              <w:rPr>
                <w:rStyle w:val="IndexLink"/>
                <w:rtl w:val="true"/>
              </w:rPr>
              <w:t>:</w:t>
              <w:tab/>
            </w:r>
            <w:r>
              <w:rPr>
                <w:rStyle w:val="IndexLink"/>
              </w:rPr>
              <w:t>21</w:t>
            </w:r>
          </w:hyperlink>
        </w:p>
        <w:p>
          <w:pPr>
            <w:pStyle w:val="Contents4"/>
            <w:tabs>
              <w:tab w:val="clear" w:pos="8176"/>
              <w:tab w:val="right" w:pos="9026" w:leader="dot"/>
            </w:tabs>
            <w:rPr/>
          </w:pPr>
          <w:hyperlink w:anchor="__RefHeading___Toc11030223_2142443653">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030225_2142443653">
            <w:r>
              <w:rPr>
                <w:webHidden/>
                <w:rStyle w:val="IndexLink"/>
                <w:rtl w:val="true"/>
              </w:rPr>
              <w:t xml:space="preserve">أ </w:t>
            </w:r>
            <w:r>
              <w:rPr>
                <w:rStyle w:val="IndexLink"/>
                <w:rtl w:val="true"/>
              </w:rPr>
              <w:t xml:space="preserve">- </w:t>
            </w:r>
            <w:r>
              <w:rPr>
                <w:rStyle w:val="IndexLink"/>
                <w:rtl w:val="true"/>
              </w:rPr>
              <w:t>الإمامة من وجهة نظر أهل السنة</w:t>
            </w:r>
            <w:r>
              <w:rPr>
                <w:rStyle w:val="IndexLink"/>
                <w:rtl w:val="true"/>
              </w:rPr>
              <w:t>:</w:t>
              <w:tab/>
            </w:r>
            <w:r>
              <w:rPr>
                <w:rStyle w:val="IndexLink"/>
              </w:rPr>
              <w:t>21</w:t>
            </w:r>
          </w:hyperlink>
        </w:p>
        <w:p>
          <w:pPr>
            <w:pStyle w:val="Contents4"/>
            <w:tabs>
              <w:tab w:val="clear" w:pos="8176"/>
              <w:tab w:val="right" w:pos="9026" w:leader="dot"/>
            </w:tabs>
            <w:rPr/>
          </w:pPr>
          <w:hyperlink w:anchor="__RefHeading___Toc11030227_2142443653">
            <w:r>
              <w:rPr>
                <w:webHidden/>
                <w:rStyle w:val="IndexLink"/>
                <w:rtl w:val="true"/>
              </w:rPr>
              <w:t xml:space="preserve">ب </w:t>
            </w:r>
            <w:r>
              <w:rPr>
                <w:rStyle w:val="IndexLink"/>
                <w:rtl w:val="true"/>
              </w:rPr>
              <w:t xml:space="preserve">- </w:t>
            </w:r>
            <w:r>
              <w:rPr>
                <w:rStyle w:val="IndexLink"/>
                <w:rtl w:val="true"/>
              </w:rPr>
              <w:t>الإمامة من وجهة نظر الإمامية</w:t>
            </w:r>
            <w:r>
              <w:rPr>
                <w:rStyle w:val="IndexLink"/>
                <w:rtl w:val="true"/>
              </w:rPr>
              <w:t>:</w:t>
              <w:tab/>
            </w:r>
            <w:r>
              <w:rPr>
                <w:rStyle w:val="IndexLink"/>
              </w:rPr>
              <w:t>24</w:t>
            </w:r>
          </w:hyperlink>
        </w:p>
        <w:p>
          <w:pPr>
            <w:pStyle w:val="Contents4"/>
            <w:tabs>
              <w:tab w:val="clear" w:pos="8176"/>
              <w:tab w:val="right" w:pos="9026" w:leader="dot"/>
            </w:tabs>
            <w:rPr/>
          </w:pPr>
          <w:hyperlink w:anchor="__RefHeading___Toc11030229_2142443653">
            <w:r>
              <w:rPr>
                <w:webHidden/>
                <w:rStyle w:val="IndexLink"/>
                <w:rtl w:val="true"/>
              </w:rPr>
              <w:t xml:space="preserve">ج </w:t>
            </w:r>
            <w:r>
              <w:rPr>
                <w:rStyle w:val="IndexLink"/>
                <w:rtl w:val="true"/>
              </w:rPr>
              <w:t xml:space="preserve">- </w:t>
            </w:r>
            <w:r>
              <w:rPr>
                <w:rStyle w:val="IndexLink"/>
                <w:rtl w:val="true"/>
              </w:rPr>
              <w:t>مراتب وشؤون الإمام والإمامة</w:t>
            </w:r>
            <w:r>
              <w:rPr>
                <w:rStyle w:val="IndexLink"/>
                <w:rtl w:val="true"/>
              </w:rPr>
              <w:t>:</w:t>
              <w:tab/>
            </w:r>
            <w:r>
              <w:rPr>
                <w:rStyle w:val="IndexLink"/>
              </w:rPr>
              <w:t>35</w:t>
            </w:r>
          </w:hyperlink>
        </w:p>
        <w:p>
          <w:pPr>
            <w:pStyle w:val="Contents3"/>
            <w:tabs>
              <w:tab w:val="clear" w:pos="8459"/>
              <w:tab w:val="right" w:pos="9026" w:leader="dot"/>
            </w:tabs>
            <w:rPr/>
          </w:pPr>
          <w:hyperlink w:anchor="__RefHeading___Toc11030231_2142443653">
            <w:r>
              <w:rPr>
                <w:webHidden/>
                <w:rStyle w:val="IndexLink"/>
                <w:rtl w:val="true"/>
              </w:rPr>
              <w:t xml:space="preserve">ثانياً </w:t>
            </w:r>
            <w:r>
              <w:rPr>
                <w:rStyle w:val="IndexLink"/>
                <w:rtl w:val="true"/>
              </w:rPr>
              <w:t xml:space="preserve">: </w:t>
            </w:r>
            <w:r>
              <w:rPr>
                <w:rStyle w:val="IndexLink"/>
                <w:rtl w:val="true"/>
              </w:rPr>
              <w:t>فلسفة الإمامة</w:t>
            </w:r>
            <w:r>
              <w:rPr>
                <w:rStyle w:val="IndexLink"/>
                <w:rtl w:val="true"/>
              </w:rPr>
              <w:t>:</w:t>
              <w:tab/>
            </w:r>
            <w:r>
              <w:rPr>
                <w:rStyle w:val="IndexLink"/>
              </w:rPr>
              <w:t>37</w:t>
            </w:r>
          </w:hyperlink>
        </w:p>
        <w:p>
          <w:pPr>
            <w:pStyle w:val="Contents4"/>
            <w:tabs>
              <w:tab w:val="clear" w:pos="8176"/>
              <w:tab w:val="right" w:pos="9026" w:leader="dot"/>
            </w:tabs>
            <w:rPr/>
          </w:pPr>
          <w:hyperlink w:anchor="__RefHeading___Toc11030233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030235_2142443653">
            <w:r>
              <w:rPr>
                <w:webHidden/>
                <w:rStyle w:val="IndexLink"/>
                <w:rtl w:val="true"/>
              </w:rPr>
              <w:t xml:space="preserve">أ </w:t>
            </w:r>
            <w:r>
              <w:rPr>
                <w:rStyle w:val="IndexLink"/>
                <w:rtl w:val="true"/>
              </w:rPr>
              <w:t xml:space="preserve">- </w:t>
            </w:r>
            <w:r>
              <w:rPr>
                <w:rStyle w:val="IndexLink"/>
                <w:rtl w:val="true"/>
              </w:rPr>
              <w:t>هداية البشر</w:t>
            </w:r>
            <w:r>
              <w:rPr>
                <w:rStyle w:val="IndexLink"/>
                <w:rtl w:val="true"/>
              </w:rPr>
              <w:t>:</w:t>
              <w:tab/>
            </w:r>
            <w:r>
              <w:rPr>
                <w:rStyle w:val="IndexLink"/>
              </w:rPr>
              <w:t>38</w:t>
            </w:r>
          </w:hyperlink>
        </w:p>
        <w:p>
          <w:pPr>
            <w:pStyle w:val="Contents4"/>
            <w:tabs>
              <w:tab w:val="clear" w:pos="8176"/>
              <w:tab w:val="right" w:pos="9026" w:leader="dot"/>
            </w:tabs>
            <w:rPr/>
          </w:pPr>
          <w:hyperlink w:anchor="__RefHeading___Toc11030237_2142443653">
            <w:r>
              <w:rPr>
                <w:webHidden/>
                <w:rStyle w:val="IndexLink"/>
                <w:rtl w:val="true"/>
              </w:rPr>
              <w:t xml:space="preserve">ب </w:t>
            </w:r>
            <w:r>
              <w:rPr>
                <w:rStyle w:val="IndexLink"/>
                <w:rtl w:val="true"/>
              </w:rPr>
              <w:t xml:space="preserve">- </w:t>
            </w:r>
            <w:r>
              <w:rPr>
                <w:rStyle w:val="IndexLink"/>
                <w:rtl w:val="true"/>
              </w:rPr>
              <w:t>المرجعية الدينية</w:t>
            </w:r>
            <w:r>
              <w:rPr>
                <w:rStyle w:val="IndexLink"/>
                <w:rtl w:val="true"/>
              </w:rPr>
              <w:t>:</w:t>
              <w:tab/>
            </w:r>
            <w:r>
              <w:rPr>
                <w:rStyle w:val="IndexLink"/>
              </w:rPr>
              <w:t>39</w:t>
            </w:r>
          </w:hyperlink>
        </w:p>
        <w:p>
          <w:pPr>
            <w:pStyle w:val="Contents4"/>
            <w:tabs>
              <w:tab w:val="clear" w:pos="8176"/>
              <w:tab w:val="right" w:pos="9026" w:leader="dot"/>
            </w:tabs>
            <w:rPr/>
          </w:pPr>
          <w:hyperlink w:anchor="__RefHeading___Toc11030239_2142443653">
            <w:r>
              <w:rPr>
                <w:webHidden/>
                <w:rStyle w:val="IndexLink"/>
                <w:rtl w:val="true"/>
              </w:rPr>
              <w:t xml:space="preserve">ج </w:t>
            </w:r>
            <w:r>
              <w:rPr>
                <w:rStyle w:val="IndexLink"/>
                <w:rtl w:val="true"/>
              </w:rPr>
              <w:t xml:space="preserve">- </w:t>
            </w:r>
            <w:r>
              <w:rPr>
                <w:rStyle w:val="IndexLink"/>
                <w:rtl w:val="true"/>
              </w:rPr>
              <w:t xml:space="preserve">عدم البلوغ العقلي الكامل للمخاطبين </w:t>
            </w:r>
            <w:r>
              <w:rPr>
                <w:rStyle w:val="IndexLink"/>
                <w:rtl w:val="true"/>
              </w:rPr>
              <w:t>:</w:t>
              <w:tab/>
            </w:r>
            <w:r>
              <w:rPr>
                <w:rStyle w:val="IndexLink"/>
              </w:rPr>
              <w:t>40</w:t>
            </w:r>
          </w:hyperlink>
        </w:p>
        <w:p>
          <w:pPr>
            <w:pStyle w:val="Contents4"/>
            <w:tabs>
              <w:tab w:val="clear" w:pos="8176"/>
              <w:tab w:val="right" w:pos="9026" w:leader="dot"/>
            </w:tabs>
            <w:rPr/>
          </w:pPr>
          <w:hyperlink w:anchor="__RefHeading___Toc11030241_2142443653">
            <w:r>
              <w:rPr>
                <w:webHidden/>
                <w:rStyle w:val="IndexLink"/>
                <w:rtl w:val="true"/>
              </w:rPr>
              <w:t xml:space="preserve">د </w:t>
            </w:r>
            <w:r>
              <w:rPr>
                <w:rStyle w:val="IndexLink"/>
                <w:rtl w:val="true"/>
              </w:rPr>
              <w:t xml:space="preserve">- </w:t>
            </w:r>
            <w:r>
              <w:rPr>
                <w:rStyle w:val="IndexLink"/>
                <w:rtl w:val="true"/>
              </w:rPr>
              <w:t>تشريع الأحكام الفرعية</w:t>
            </w:r>
            <w:r>
              <w:rPr>
                <w:rStyle w:val="IndexLink"/>
                <w:rtl w:val="true"/>
              </w:rPr>
              <w:t>:</w:t>
              <w:tab/>
            </w:r>
            <w:r>
              <w:rPr>
                <w:rStyle w:val="IndexLink"/>
              </w:rPr>
              <w:t>42</w:t>
            </w:r>
          </w:hyperlink>
        </w:p>
        <w:p>
          <w:pPr>
            <w:pStyle w:val="Contents4"/>
            <w:tabs>
              <w:tab w:val="clear" w:pos="8176"/>
              <w:tab w:val="right" w:pos="9026" w:leader="dot"/>
            </w:tabs>
            <w:rPr/>
          </w:pPr>
          <w:hyperlink w:anchor="__RefHeading___Toc11030243_2142443653">
            <w:r>
              <w:rPr>
                <w:webHidden/>
                <w:rStyle w:val="IndexLink"/>
                <w:rtl w:val="true"/>
              </w:rPr>
              <w:t>هـ</w:t>
            </w:r>
            <w:r>
              <w:rPr>
                <w:rStyle w:val="IndexLink"/>
                <w:rtl w:val="true"/>
              </w:rPr>
              <w:t xml:space="preserve">- </w:t>
            </w:r>
            <w:r>
              <w:rPr>
                <w:rStyle w:val="IndexLink"/>
                <w:rtl w:val="true"/>
              </w:rPr>
              <w:t>إقامة الحكومة الدينية</w:t>
            </w:r>
            <w:r>
              <w:rPr>
                <w:rStyle w:val="IndexLink"/>
                <w:rtl w:val="true"/>
              </w:rPr>
              <w:t>:</w:t>
              <w:tab/>
            </w:r>
            <w:r>
              <w:rPr>
                <w:rStyle w:val="IndexLink"/>
              </w:rPr>
              <w:t>43</w:t>
            </w:r>
          </w:hyperlink>
        </w:p>
        <w:p>
          <w:pPr>
            <w:pStyle w:val="Contents4"/>
            <w:tabs>
              <w:tab w:val="clear" w:pos="8176"/>
              <w:tab w:val="right" w:pos="9026" w:leader="dot"/>
            </w:tabs>
            <w:rPr/>
          </w:pPr>
          <w:hyperlink w:anchor="__RefHeading___Toc11030245_2142443653">
            <w:r>
              <w:rPr>
                <w:webHidden/>
                <w:rStyle w:val="IndexLink"/>
                <w:rtl w:val="true"/>
              </w:rPr>
              <w:t xml:space="preserve">و </w:t>
            </w:r>
            <w:r>
              <w:rPr>
                <w:rStyle w:val="IndexLink"/>
                <w:rtl w:val="true"/>
              </w:rPr>
              <w:t xml:space="preserve">- </w:t>
            </w:r>
            <w:r>
              <w:rPr>
                <w:rStyle w:val="IndexLink"/>
                <w:rtl w:val="true"/>
              </w:rPr>
              <w:t>الأئمة وسائط الفيض الإلهي</w:t>
            </w:r>
            <w:r>
              <w:rPr>
                <w:rStyle w:val="IndexLink"/>
                <w:rtl w:val="true"/>
              </w:rPr>
              <w:t>:</w:t>
              <w:tab/>
            </w:r>
            <w:r>
              <w:rPr>
                <w:rStyle w:val="IndexLink"/>
              </w:rPr>
              <w:t>44</w:t>
            </w:r>
          </w:hyperlink>
        </w:p>
        <w:p>
          <w:pPr>
            <w:pStyle w:val="Contents3"/>
            <w:tabs>
              <w:tab w:val="clear" w:pos="8459"/>
              <w:tab w:val="right" w:pos="9026" w:leader="dot"/>
            </w:tabs>
            <w:rPr/>
          </w:pPr>
          <w:hyperlink w:anchor="__RefHeading___Toc11030247_2142443653">
            <w:r>
              <w:rPr>
                <w:webHidden/>
                <w:rStyle w:val="IndexLink"/>
                <w:rtl w:val="true"/>
              </w:rPr>
              <w:t>ثالثاً</w:t>
            </w:r>
            <w:r>
              <w:rPr>
                <w:rStyle w:val="IndexLink"/>
                <w:rtl w:val="true"/>
              </w:rPr>
              <w:t xml:space="preserve">: </w:t>
            </w:r>
            <w:r>
              <w:rPr>
                <w:rStyle w:val="IndexLink"/>
                <w:rtl w:val="true"/>
              </w:rPr>
              <w:t xml:space="preserve">وجوب معرفة الإمام </w:t>
            </w:r>
            <w:r>
              <w:rPr>
                <w:rStyle w:val="IndexLink"/>
                <w:rtl w:val="true"/>
              </w:rPr>
              <w:t>:</w:t>
              <w:tab/>
            </w:r>
            <w:r>
              <w:rPr>
                <w:rStyle w:val="IndexLink"/>
              </w:rPr>
              <w:t>50</w:t>
            </w:r>
          </w:hyperlink>
        </w:p>
        <w:p>
          <w:pPr>
            <w:pStyle w:val="Contents3"/>
            <w:tabs>
              <w:tab w:val="clear" w:pos="8459"/>
              <w:tab w:val="right" w:pos="9026" w:leader="dot"/>
            </w:tabs>
            <w:rPr/>
          </w:pPr>
          <w:hyperlink w:anchor="__RefHeading___Toc11030249_2142443653">
            <w:r>
              <w:rPr>
                <w:webHidden/>
                <w:rStyle w:val="IndexLink"/>
                <w:rtl w:val="true"/>
              </w:rPr>
              <w:t>رابعاً</w:t>
            </w:r>
            <w:r>
              <w:rPr>
                <w:rStyle w:val="IndexLink"/>
                <w:rtl w:val="true"/>
              </w:rPr>
              <w:t xml:space="preserve">: </w:t>
            </w:r>
            <w:r>
              <w:rPr>
                <w:rStyle w:val="IndexLink"/>
                <w:rtl w:val="true"/>
              </w:rPr>
              <w:t>إثبات نظرية الشيعة في تنصيب الإمام</w:t>
            </w:r>
            <w:r>
              <w:rPr>
                <w:rStyle w:val="IndexLink"/>
                <w:rtl w:val="true"/>
              </w:rPr>
              <w:t>:</w:t>
              <w:tab/>
            </w:r>
            <w:r>
              <w:rPr>
                <w:rStyle w:val="IndexLink"/>
              </w:rPr>
              <w:t>52</w:t>
            </w:r>
          </w:hyperlink>
        </w:p>
        <w:p>
          <w:pPr>
            <w:pStyle w:val="Contents4"/>
            <w:tabs>
              <w:tab w:val="clear" w:pos="8176"/>
              <w:tab w:val="right" w:pos="9026" w:leader="dot"/>
            </w:tabs>
            <w:rPr/>
          </w:pPr>
          <w:hyperlink w:anchor="__RefHeading___Toc11030251_2142443653">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030253_2142443653">
            <w:r>
              <w:rPr>
                <w:webHidden/>
                <w:rStyle w:val="IndexLink"/>
                <w:rtl w:val="true"/>
              </w:rPr>
              <w:t>أولاً</w:t>
            </w:r>
            <w:r>
              <w:rPr>
                <w:rStyle w:val="IndexLink"/>
                <w:rtl w:val="true"/>
              </w:rPr>
              <w:t xml:space="preserve">: </w:t>
            </w:r>
            <w:r>
              <w:rPr>
                <w:rStyle w:val="IndexLink"/>
                <w:rtl w:val="true"/>
              </w:rPr>
              <w:t>الاتجاه النقلي</w:t>
            </w:r>
            <w:r>
              <w:rPr>
                <w:rStyle w:val="IndexLink"/>
                <w:rtl w:val="true"/>
              </w:rPr>
              <w:t>:</w:t>
              <w:tab/>
            </w:r>
            <w:r>
              <w:rPr>
                <w:rStyle w:val="IndexLink"/>
              </w:rPr>
              <w:t>52</w:t>
            </w:r>
          </w:hyperlink>
        </w:p>
        <w:p>
          <w:pPr>
            <w:pStyle w:val="Contents4"/>
            <w:tabs>
              <w:tab w:val="clear" w:pos="8176"/>
              <w:tab w:val="right" w:pos="9026" w:leader="dot"/>
            </w:tabs>
            <w:rPr/>
          </w:pPr>
          <w:hyperlink w:anchor="__RefHeading___Toc11030255_2142443653">
            <w:r>
              <w:rPr>
                <w:webHidden/>
                <w:rStyle w:val="IndexLink"/>
                <w:rtl w:val="true"/>
              </w:rPr>
              <w:t>ثانياً</w:t>
            </w:r>
            <w:r>
              <w:rPr>
                <w:rStyle w:val="IndexLink"/>
                <w:rtl w:val="true"/>
              </w:rPr>
              <w:t xml:space="preserve">: </w:t>
            </w:r>
            <w:r>
              <w:rPr>
                <w:rStyle w:val="IndexLink"/>
                <w:rtl w:val="true"/>
              </w:rPr>
              <w:t xml:space="preserve">الاتجاه التحليلي والعقلي </w:t>
            </w:r>
            <w:r>
              <w:rPr>
                <w:rStyle w:val="IndexLink"/>
                <w:rtl w:val="true"/>
              </w:rPr>
              <w:t>:</w:t>
              <w:tab/>
            </w:r>
            <w:r>
              <w:rPr>
                <w:rStyle w:val="IndexLink"/>
              </w:rPr>
              <w:t>53</w:t>
            </w:r>
          </w:hyperlink>
        </w:p>
        <w:p>
          <w:pPr>
            <w:pStyle w:val="Contents4"/>
            <w:tabs>
              <w:tab w:val="clear" w:pos="8176"/>
              <w:tab w:val="right" w:pos="9026" w:leader="dot"/>
            </w:tabs>
            <w:rPr/>
          </w:pPr>
          <w:hyperlink w:anchor="__RefHeading___Toc11030257_2142443653">
            <w:r>
              <w:rPr>
                <w:webHidden/>
                <w:rStyle w:val="IndexLink"/>
                <w:rtl w:val="true"/>
              </w:rPr>
              <w:t>النبي الأكرم</w:t>
            </w:r>
            <w:r>
              <w:rPr>
                <w:rStyle w:val="IndexLink"/>
                <w:rtl w:val="true"/>
              </w:rPr>
              <w:t>(</w:t>
            </w:r>
            <w:r>
              <w:rPr>
                <w:rStyle w:val="IndexLink"/>
                <w:rtl w:val="true"/>
              </w:rPr>
              <w:t>صلی الله علیه و آله و سلم</w:t>
            </w:r>
            <w:r>
              <w:rPr>
                <w:rStyle w:val="IndexLink"/>
                <w:rtl w:val="true"/>
              </w:rPr>
              <w:t>)</w:t>
            </w:r>
            <w:r>
              <w:rPr>
                <w:rStyle w:val="IndexLink"/>
                <w:rtl w:val="true"/>
              </w:rPr>
              <w:t>على مفترق ثلاثة طرق</w:t>
            </w:r>
            <w:r>
              <w:rPr>
                <w:rStyle w:val="IndexLink"/>
                <w:rtl w:val="true"/>
              </w:rPr>
              <w:t>:</w:t>
              <w:tab/>
            </w:r>
            <w:r>
              <w:rPr>
                <w:rStyle w:val="IndexLink"/>
              </w:rPr>
              <w:t>54</w:t>
            </w:r>
          </w:hyperlink>
        </w:p>
        <w:p>
          <w:pPr>
            <w:pStyle w:val="Contents4"/>
            <w:tabs>
              <w:tab w:val="clear" w:pos="8176"/>
              <w:tab w:val="right" w:pos="9026" w:leader="dot"/>
            </w:tabs>
            <w:rPr/>
          </w:pPr>
          <w:hyperlink w:anchor="__RefHeading___Toc11030259_2142443653">
            <w:r>
              <w:rPr>
                <w:webHidden/>
                <w:rStyle w:val="IndexLink"/>
                <w:rtl w:val="true"/>
              </w:rPr>
              <w:t xml:space="preserve">الأدلة والشواهد على وجوب التنصيب </w:t>
            </w:r>
            <w:r>
              <w:rPr>
                <w:rStyle w:val="IndexLink"/>
                <w:rtl w:val="true"/>
              </w:rPr>
              <w:t>:</w:t>
              <w:tab/>
            </w:r>
            <w:r>
              <w:rPr>
                <w:rStyle w:val="IndexLink"/>
              </w:rPr>
              <w:t>55</w:t>
            </w:r>
          </w:hyperlink>
        </w:p>
        <w:p>
          <w:pPr>
            <w:pStyle w:val="Contents3"/>
            <w:tabs>
              <w:tab w:val="clear" w:pos="8459"/>
              <w:tab w:val="right" w:pos="9026" w:leader="dot"/>
            </w:tabs>
            <w:rPr/>
          </w:pPr>
          <w:hyperlink w:anchor="__RefHeading___Toc11030261_2142443653">
            <w:r>
              <w:rPr>
                <w:webHidden/>
                <w:rStyle w:val="IndexLink"/>
                <w:rtl w:val="true"/>
              </w:rPr>
              <w:t>مصداق التنصيب</w:t>
            </w:r>
            <w:r>
              <w:rPr>
                <w:rStyle w:val="IndexLink"/>
                <w:rtl w:val="true"/>
              </w:rPr>
              <w:tab/>
            </w:r>
            <w:r>
              <w:rPr>
                <w:rStyle w:val="IndexLink"/>
              </w:rPr>
              <w:t>66</w:t>
            </w:r>
          </w:hyperlink>
        </w:p>
        <w:p>
          <w:pPr>
            <w:pStyle w:val="Contents2"/>
            <w:tabs>
              <w:tab w:val="clear" w:pos="8743"/>
              <w:tab w:val="right" w:pos="9026" w:leader="dot"/>
            </w:tabs>
            <w:rPr/>
          </w:pPr>
          <w:hyperlink w:anchor="__RefHeading___Toc11030263_2142443653">
            <w:r>
              <w:rPr>
                <w:webHidden/>
                <w:rStyle w:val="IndexLink"/>
                <w:rtl w:val="true"/>
              </w:rPr>
              <w:t>الفَضْلُ الثاني</w:t>
            </w:r>
            <w:r>
              <w:rPr>
                <w:rStyle w:val="IndexLink"/>
                <w:rtl w:val="true"/>
              </w:rPr>
              <w:tab/>
            </w:r>
            <w:r>
              <w:rPr>
                <w:rStyle w:val="IndexLink"/>
              </w:rPr>
              <w:t>67</w:t>
            </w:r>
          </w:hyperlink>
        </w:p>
        <w:p>
          <w:pPr>
            <w:pStyle w:val="Contents3"/>
            <w:tabs>
              <w:tab w:val="clear" w:pos="8459"/>
              <w:tab w:val="right" w:pos="9026" w:leader="dot"/>
            </w:tabs>
            <w:rPr/>
          </w:pPr>
          <w:hyperlink w:anchor="__RefHeading___Toc11030265_2142443653">
            <w:r>
              <w:rPr>
                <w:webHidden/>
                <w:rStyle w:val="IndexLink"/>
                <w:rtl w:val="true"/>
              </w:rPr>
              <w:t>شبهات الإمامة ونقدها</w:t>
            </w:r>
            <w:r>
              <w:rPr>
                <w:rStyle w:val="IndexLink"/>
                <w:rtl w:val="true"/>
              </w:rPr>
              <w:tab/>
            </w:r>
            <w:r>
              <w:rPr>
                <w:rStyle w:val="IndexLink"/>
              </w:rPr>
              <w:t>67</w:t>
            </w:r>
          </w:hyperlink>
        </w:p>
        <w:p>
          <w:pPr>
            <w:pStyle w:val="Contents3"/>
            <w:tabs>
              <w:tab w:val="clear" w:pos="8459"/>
              <w:tab w:val="right" w:pos="9026" w:leader="dot"/>
            </w:tabs>
            <w:rPr/>
          </w:pPr>
          <w:hyperlink w:anchor="__RefHeading___Toc11030267_2142443653">
            <w:r>
              <w:rPr>
                <w:webHidden/>
                <w:rStyle w:val="IndexLink"/>
                <w:rtl w:val="true"/>
              </w:rPr>
              <w:t>الشبهة الأولى</w:t>
            </w:r>
            <w:r>
              <w:rPr>
                <w:rStyle w:val="IndexLink"/>
                <w:rtl w:val="true"/>
              </w:rPr>
              <w:t xml:space="preserve">: </w:t>
            </w:r>
            <w:r>
              <w:rPr>
                <w:rStyle w:val="IndexLink"/>
                <w:rtl w:val="true"/>
              </w:rPr>
              <w:t>نظرية وجوب الإمامة تعيين للتكليف على الله تعالى</w:t>
            </w:r>
            <w:r>
              <w:rPr>
                <w:rStyle w:val="IndexLink"/>
                <w:rtl w:val="true"/>
              </w:rPr>
              <w:t>:</w:t>
              <w:tab/>
            </w:r>
            <w:r>
              <w:rPr>
                <w:rStyle w:val="IndexLink"/>
              </w:rPr>
              <w:t>69</w:t>
            </w:r>
          </w:hyperlink>
        </w:p>
        <w:p>
          <w:pPr>
            <w:pStyle w:val="Contents4"/>
            <w:tabs>
              <w:tab w:val="clear" w:pos="8176"/>
              <w:tab w:val="right" w:pos="9026" w:leader="dot"/>
            </w:tabs>
            <w:rPr/>
          </w:pPr>
          <w:hyperlink w:anchor="__RefHeading___Toc11030269_2142443653">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1030271_2142443653">
            <w:r>
              <w:rPr>
                <w:webHidden/>
                <w:rStyle w:val="IndexLink"/>
                <w:rtl w:val="true"/>
              </w:rPr>
              <w:t xml:space="preserve">أ </w:t>
            </w:r>
            <w:r>
              <w:rPr>
                <w:rStyle w:val="IndexLink"/>
                <w:rtl w:val="true"/>
              </w:rPr>
              <w:t xml:space="preserve">- </w:t>
            </w:r>
            <w:r>
              <w:rPr>
                <w:rStyle w:val="IndexLink"/>
                <w:rtl w:val="true"/>
              </w:rPr>
              <w:t>الإشكال المرتبط بإنكار الحسن والقبح العقليين</w:t>
            </w:r>
            <w:r>
              <w:rPr>
                <w:rStyle w:val="IndexLink"/>
                <w:rtl w:val="true"/>
              </w:rPr>
              <w:t>:</w:t>
              <w:tab/>
            </w:r>
            <w:r>
              <w:rPr>
                <w:rStyle w:val="IndexLink"/>
              </w:rPr>
              <w:t>70</w:t>
            </w:r>
          </w:hyperlink>
        </w:p>
        <w:p>
          <w:pPr>
            <w:pStyle w:val="Contents4"/>
            <w:tabs>
              <w:tab w:val="clear" w:pos="8176"/>
              <w:tab w:val="right" w:pos="9026" w:leader="dot"/>
            </w:tabs>
            <w:rPr/>
          </w:pPr>
          <w:hyperlink w:anchor="__RefHeading___Toc11030273_2142443653">
            <w:r>
              <w:rPr>
                <w:webHidden/>
                <w:rStyle w:val="IndexLink"/>
                <w:rtl w:val="true"/>
              </w:rPr>
              <w:t xml:space="preserve">ب </w:t>
            </w:r>
            <w:r>
              <w:rPr>
                <w:rStyle w:val="IndexLink"/>
                <w:rtl w:val="true"/>
              </w:rPr>
              <w:t xml:space="preserve">- </w:t>
            </w:r>
            <w:r>
              <w:rPr>
                <w:rStyle w:val="IndexLink"/>
                <w:rtl w:val="true"/>
              </w:rPr>
              <w:t>الخلط بين الوجوبين الاعتباري والتكويني</w:t>
            </w:r>
            <w:r>
              <w:rPr>
                <w:rStyle w:val="IndexLink"/>
                <w:rtl w:val="true"/>
              </w:rPr>
              <w:t>:</w:t>
              <w:tab/>
            </w:r>
            <w:r>
              <w:rPr>
                <w:rStyle w:val="IndexLink"/>
              </w:rPr>
              <w:t>71</w:t>
            </w:r>
          </w:hyperlink>
        </w:p>
        <w:p>
          <w:pPr>
            <w:pStyle w:val="Contents3"/>
            <w:tabs>
              <w:tab w:val="clear" w:pos="8459"/>
              <w:tab w:val="right" w:pos="9026" w:leader="dot"/>
            </w:tabs>
            <w:rPr/>
          </w:pPr>
          <w:hyperlink w:anchor="__RefHeading___Toc11030275_2142443653">
            <w:r>
              <w:rPr>
                <w:webHidden/>
                <w:rStyle w:val="IndexLink"/>
                <w:rtl w:val="true"/>
              </w:rPr>
              <w:t>الشبهة الثانية</w:t>
            </w:r>
            <w:r>
              <w:rPr>
                <w:rStyle w:val="IndexLink"/>
                <w:rtl w:val="true"/>
              </w:rPr>
              <w:t xml:space="preserve">: </w:t>
            </w:r>
            <w:r>
              <w:rPr>
                <w:rStyle w:val="IndexLink"/>
                <w:rtl w:val="true"/>
              </w:rPr>
              <w:t>اعتبار نظرية وجوب تعيين الإمام بدعة</w:t>
            </w:r>
            <w:r>
              <w:rPr>
                <w:rStyle w:val="IndexLink"/>
                <w:rtl w:val="true"/>
              </w:rPr>
              <w:t>:</w:t>
              <w:tab/>
            </w:r>
            <w:r>
              <w:rPr>
                <w:rStyle w:val="IndexLink"/>
              </w:rPr>
              <w:t>72</w:t>
            </w:r>
          </w:hyperlink>
        </w:p>
        <w:p>
          <w:pPr>
            <w:pStyle w:val="Contents3"/>
            <w:tabs>
              <w:tab w:val="clear" w:pos="8459"/>
              <w:tab w:val="right" w:pos="9026" w:leader="dot"/>
            </w:tabs>
            <w:rPr/>
          </w:pPr>
          <w:hyperlink w:anchor="__RefHeading___Toc11030277_2142443653">
            <w:r>
              <w:rPr>
                <w:webHidden/>
                <w:rStyle w:val="IndexLink"/>
                <w:rtl w:val="true"/>
              </w:rPr>
              <w:t>مناقشة وتحليل</w:t>
            </w:r>
            <w:r>
              <w:rPr>
                <w:rStyle w:val="IndexLink"/>
                <w:rtl w:val="true"/>
              </w:rPr>
              <w:t>:</w:t>
              <w:tab/>
            </w:r>
            <w:r>
              <w:rPr>
                <w:rStyle w:val="IndexLink"/>
              </w:rPr>
              <w:t>73</w:t>
            </w:r>
          </w:hyperlink>
        </w:p>
        <w:p>
          <w:pPr>
            <w:pStyle w:val="Contents3"/>
            <w:tabs>
              <w:tab w:val="clear" w:pos="8459"/>
              <w:tab w:val="right" w:pos="9026" w:leader="dot"/>
            </w:tabs>
            <w:rPr/>
          </w:pPr>
          <w:hyperlink w:anchor="__RefHeading___Toc11030279_2142443653">
            <w:r>
              <w:rPr>
                <w:webHidden/>
                <w:rStyle w:val="IndexLink"/>
                <w:rtl w:val="true"/>
              </w:rPr>
              <w:t>الشبهة الثالثة</w:t>
            </w:r>
            <w:r>
              <w:rPr>
                <w:rStyle w:val="IndexLink"/>
                <w:rtl w:val="true"/>
              </w:rPr>
              <w:t xml:space="preserve">: </w:t>
            </w:r>
            <w:r>
              <w:rPr>
                <w:rStyle w:val="IndexLink"/>
                <w:rtl w:val="true"/>
              </w:rPr>
              <w:t>البدعة في اعتبار الإمامة مسألة كلامية</w:t>
            </w:r>
            <w:r>
              <w:rPr>
                <w:rStyle w:val="IndexLink"/>
                <w:rtl w:val="true"/>
              </w:rPr>
              <w:t>:</w:t>
              <w:tab/>
            </w:r>
            <w:r>
              <w:rPr>
                <w:rStyle w:val="IndexLink"/>
              </w:rPr>
              <w:t>78</w:t>
            </w:r>
          </w:hyperlink>
        </w:p>
        <w:p>
          <w:pPr>
            <w:pStyle w:val="Contents4"/>
            <w:tabs>
              <w:tab w:val="clear" w:pos="8176"/>
              <w:tab w:val="right" w:pos="9026" w:leader="dot"/>
            </w:tabs>
            <w:rPr/>
          </w:pPr>
          <w:hyperlink w:anchor="__RefHeading___Toc11030281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030283_2142443653">
            <w:r>
              <w:rPr>
                <w:webHidden/>
                <w:rStyle w:val="IndexLink"/>
                <w:rtl w:val="true"/>
              </w:rPr>
              <w:t>نقد ورؤية</w:t>
            </w:r>
            <w:r>
              <w:rPr>
                <w:rStyle w:val="IndexLink"/>
                <w:rtl w:val="true"/>
              </w:rPr>
              <w:t>:</w:t>
              <w:tab/>
            </w:r>
            <w:r>
              <w:rPr>
                <w:rStyle w:val="IndexLink"/>
              </w:rPr>
              <w:t>78</w:t>
            </w:r>
          </w:hyperlink>
        </w:p>
        <w:p>
          <w:pPr>
            <w:pStyle w:val="Contents3"/>
            <w:tabs>
              <w:tab w:val="clear" w:pos="8459"/>
              <w:tab w:val="right" w:pos="9026" w:leader="dot"/>
            </w:tabs>
            <w:rPr/>
          </w:pPr>
          <w:hyperlink w:anchor="__RefHeading___Toc11030285_2142443653">
            <w:r>
              <w:rPr>
                <w:webHidden/>
                <w:rStyle w:val="IndexLink"/>
                <w:rtl w:val="true"/>
              </w:rPr>
              <w:t>الشبهة الرابعة</w:t>
            </w:r>
            <w:r>
              <w:rPr>
                <w:rStyle w:val="IndexLink"/>
                <w:rtl w:val="true"/>
              </w:rPr>
              <w:t xml:space="preserve">: </w:t>
            </w:r>
            <w:r>
              <w:rPr>
                <w:rStyle w:val="IndexLink"/>
                <w:rtl w:val="true"/>
              </w:rPr>
              <w:t>تكفير من ينكر الإمامة</w:t>
            </w:r>
            <w:r>
              <w:rPr>
                <w:rStyle w:val="IndexLink"/>
                <w:rtl w:val="true"/>
              </w:rPr>
              <w:t>:</w:t>
              <w:tab/>
            </w:r>
            <w:r>
              <w:rPr>
                <w:rStyle w:val="IndexLink"/>
              </w:rPr>
              <w:t>80</w:t>
            </w:r>
          </w:hyperlink>
        </w:p>
        <w:p>
          <w:pPr>
            <w:pStyle w:val="Contents4"/>
            <w:tabs>
              <w:tab w:val="clear" w:pos="8176"/>
              <w:tab w:val="right" w:pos="9026" w:leader="dot"/>
            </w:tabs>
            <w:rPr/>
          </w:pPr>
          <w:hyperlink w:anchor="__RefHeading___Toc11030287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030289_2142443653">
            <w:r>
              <w:rPr>
                <w:webHidden/>
                <w:rStyle w:val="IndexLink"/>
                <w:rtl w:val="true"/>
              </w:rPr>
              <w:t>مناقشة وتحليل</w:t>
            </w:r>
            <w:r>
              <w:rPr>
                <w:rStyle w:val="IndexLink"/>
                <w:rtl w:val="true"/>
              </w:rPr>
              <w:tab/>
            </w:r>
            <w:r>
              <w:rPr>
                <w:rStyle w:val="IndexLink"/>
              </w:rPr>
              <w:t>80</w:t>
            </w:r>
          </w:hyperlink>
        </w:p>
        <w:p>
          <w:pPr>
            <w:pStyle w:val="Contents3"/>
            <w:tabs>
              <w:tab w:val="clear" w:pos="8459"/>
              <w:tab w:val="right" w:pos="9026" w:leader="dot"/>
            </w:tabs>
            <w:rPr/>
          </w:pPr>
          <w:hyperlink w:anchor="__RefHeading___Toc11030291_2142443653">
            <w:r>
              <w:rPr>
                <w:webHidden/>
                <w:rStyle w:val="IndexLink"/>
                <w:rtl w:val="true"/>
              </w:rPr>
              <w:t>الشبهة الخامسة، توريث الإمامة</w:t>
            </w:r>
            <w:r>
              <w:rPr>
                <w:rStyle w:val="IndexLink"/>
                <w:rtl w:val="true"/>
              </w:rPr>
              <w:t>:</w:t>
              <w:tab/>
            </w:r>
            <w:r>
              <w:rPr>
                <w:rStyle w:val="IndexLink"/>
              </w:rPr>
              <w:t>88</w:t>
            </w:r>
          </w:hyperlink>
        </w:p>
        <w:p>
          <w:pPr>
            <w:pStyle w:val="Contents4"/>
            <w:tabs>
              <w:tab w:val="clear" w:pos="8176"/>
              <w:tab w:val="right" w:pos="9026" w:leader="dot"/>
            </w:tabs>
            <w:rPr/>
          </w:pPr>
          <w:hyperlink w:anchor="__RefHeading___Toc11030293_2142443653">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030295_2142443653">
            <w:r>
              <w:rPr>
                <w:webHidden/>
                <w:rStyle w:val="IndexLink"/>
                <w:rtl w:val="true"/>
              </w:rPr>
              <w:t>اعتراف الخلفاء الثلاثة</w:t>
            </w:r>
            <w:r>
              <w:rPr>
                <w:rStyle w:val="IndexLink"/>
                <w:rtl w:val="true"/>
              </w:rPr>
              <w:t>:</w:t>
              <w:tab/>
            </w:r>
            <w:r>
              <w:rPr>
                <w:rStyle w:val="IndexLink"/>
              </w:rPr>
              <w:t>91</w:t>
            </w:r>
          </w:hyperlink>
        </w:p>
        <w:p>
          <w:pPr>
            <w:pStyle w:val="Contents4"/>
            <w:tabs>
              <w:tab w:val="clear" w:pos="8176"/>
              <w:tab w:val="right" w:pos="9026" w:leader="dot"/>
            </w:tabs>
            <w:rPr/>
          </w:pPr>
          <w:hyperlink w:anchor="__RefHeading___Toc11030297_2142443653">
            <w:r>
              <w:rPr>
                <w:webHidden/>
                <w:rStyle w:val="IndexLink"/>
                <w:rtl w:val="true"/>
              </w:rPr>
              <w:t>اعتراف أئمة المذاهب الفقهية الأربعة بفضائل الأئمة</w:t>
            </w:r>
            <w:r>
              <w:rPr>
                <w:rStyle w:val="IndexLink"/>
                <w:rtl w:val="true"/>
              </w:rPr>
              <w:t>:</w:t>
              <w:tab/>
            </w:r>
            <w:r>
              <w:rPr>
                <w:rStyle w:val="IndexLink"/>
              </w:rPr>
              <w:t>91</w:t>
            </w:r>
          </w:hyperlink>
        </w:p>
        <w:p>
          <w:pPr>
            <w:pStyle w:val="Contents4"/>
            <w:tabs>
              <w:tab w:val="clear" w:pos="8176"/>
              <w:tab w:val="right" w:pos="9026" w:leader="dot"/>
            </w:tabs>
            <w:rPr/>
          </w:pPr>
          <w:hyperlink w:anchor="__RefHeading___Toc11030299_2142443653">
            <w:r>
              <w:rPr>
                <w:webHidden/>
                <w:rStyle w:val="IndexLink"/>
                <w:rtl w:val="true"/>
              </w:rPr>
              <w:t xml:space="preserve">اعتراف المعتزلة </w:t>
            </w:r>
            <w:r>
              <w:rPr>
                <w:rStyle w:val="IndexLink"/>
                <w:rtl w:val="true"/>
              </w:rPr>
              <w:t>:</w:t>
              <w:tab/>
            </w:r>
            <w:r>
              <w:rPr>
                <w:rStyle w:val="IndexLink"/>
              </w:rPr>
              <w:t>93</w:t>
            </w:r>
          </w:hyperlink>
        </w:p>
        <w:p>
          <w:pPr>
            <w:pStyle w:val="Contents3"/>
            <w:tabs>
              <w:tab w:val="clear" w:pos="8459"/>
              <w:tab w:val="right" w:pos="9026" w:leader="dot"/>
            </w:tabs>
            <w:rPr/>
          </w:pPr>
          <w:hyperlink w:anchor="__RefHeading___Toc11030301_2142443653">
            <w:r>
              <w:rPr>
                <w:webHidden/>
                <w:rStyle w:val="IndexLink"/>
                <w:rtl w:val="true"/>
              </w:rPr>
              <w:t xml:space="preserve">الشبهة السادسة </w:t>
            </w:r>
            <w:r>
              <w:rPr>
                <w:rStyle w:val="IndexLink"/>
                <w:rtl w:val="true"/>
              </w:rPr>
              <w:t xml:space="preserve">: </w:t>
            </w:r>
            <w:r>
              <w:rPr>
                <w:rStyle w:val="IndexLink"/>
                <w:rtl w:val="true"/>
              </w:rPr>
              <w:t>الإمامة في الصغر</w:t>
            </w:r>
            <w:r>
              <w:rPr>
                <w:rStyle w:val="IndexLink"/>
                <w:rtl w:val="true"/>
              </w:rPr>
              <w:t>:</w:t>
              <w:tab/>
            </w:r>
            <w:r>
              <w:rPr>
                <w:rStyle w:val="IndexLink"/>
              </w:rPr>
              <w:t>94</w:t>
            </w:r>
          </w:hyperlink>
        </w:p>
        <w:p>
          <w:pPr>
            <w:pStyle w:val="Contents3"/>
            <w:tabs>
              <w:tab w:val="clear" w:pos="8459"/>
              <w:tab w:val="right" w:pos="9026" w:leader="dot"/>
            </w:tabs>
            <w:rPr/>
          </w:pPr>
          <w:hyperlink w:anchor="__RefHeading___Toc11030303_2142443653">
            <w:r>
              <w:rPr>
                <w:webHidden/>
                <w:rStyle w:val="IndexLink"/>
                <w:rtl w:val="true"/>
              </w:rPr>
              <w:t>مناقشة وتحليل</w:t>
            </w:r>
            <w:r>
              <w:rPr>
                <w:rStyle w:val="IndexLink"/>
                <w:rtl w:val="true"/>
              </w:rPr>
              <w:t>:</w:t>
              <w:tab/>
            </w:r>
            <w:r>
              <w:rPr>
                <w:rStyle w:val="IndexLink"/>
              </w:rPr>
              <w:t>95</w:t>
            </w:r>
          </w:hyperlink>
        </w:p>
        <w:p>
          <w:pPr>
            <w:pStyle w:val="Contents3"/>
            <w:tabs>
              <w:tab w:val="clear" w:pos="8459"/>
              <w:tab w:val="right" w:pos="9026" w:leader="dot"/>
            </w:tabs>
            <w:rPr/>
          </w:pPr>
          <w:hyperlink w:anchor="__RefHeading___Toc11030305_2142443653">
            <w:r>
              <w:rPr>
                <w:webHidden/>
                <w:rStyle w:val="IndexLink"/>
                <w:rtl w:val="true"/>
              </w:rPr>
              <w:t>الشبهة السابعة</w:t>
            </w:r>
            <w:r>
              <w:rPr>
                <w:rStyle w:val="IndexLink"/>
                <w:rtl w:val="true"/>
              </w:rPr>
              <w:t xml:space="preserve">: </w:t>
            </w:r>
            <w:r>
              <w:rPr>
                <w:rStyle w:val="IndexLink"/>
                <w:rtl w:val="true"/>
              </w:rPr>
              <w:t>أفضلية الإمامة على النبوة</w:t>
            </w:r>
            <w:r>
              <w:rPr>
                <w:rStyle w:val="IndexLink"/>
                <w:rtl w:val="true"/>
              </w:rPr>
              <w:t>:</w:t>
              <w:tab/>
            </w:r>
            <w:r>
              <w:rPr>
                <w:rStyle w:val="IndexLink"/>
              </w:rPr>
              <w:t>104</w:t>
            </w:r>
          </w:hyperlink>
        </w:p>
        <w:p>
          <w:pPr>
            <w:pStyle w:val="Contents3"/>
            <w:tabs>
              <w:tab w:val="clear" w:pos="8459"/>
              <w:tab w:val="right" w:pos="9026" w:leader="dot"/>
            </w:tabs>
            <w:rPr/>
          </w:pPr>
          <w:hyperlink w:anchor="__RefHeading___Toc11030307_2142443653">
            <w:r>
              <w:rPr>
                <w:webHidden/>
                <w:rStyle w:val="IndexLink"/>
                <w:rtl w:val="true"/>
              </w:rPr>
              <w:t>مناقشة وتحليل</w:t>
            </w:r>
            <w:r>
              <w:rPr>
                <w:rStyle w:val="IndexLink"/>
                <w:rtl w:val="true"/>
              </w:rPr>
              <w:tab/>
            </w:r>
            <w:r>
              <w:rPr>
                <w:rStyle w:val="IndexLink"/>
              </w:rPr>
              <w:t>104</w:t>
            </w:r>
          </w:hyperlink>
        </w:p>
        <w:p>
          <w:pPr>
            <w:pStyle w:val="Contents3"/>
            <w:tabs>
              <w:tab w:val="clear" w:pos="8459"/>
              <w:tab w:val="right" w:pos="9026" w:leader="dot"/>
            </w:tabs>
            <w:rPr/>
          </w:pPr>
          <w:hyperlink w:anchor="__RefHeading___Toc11030309_2142443653">
            <w:r>
              <w:rPr>
                <w:webHidden/>
                <w:rStyle w:val="IndexLink"/>
                <w:rtl w:val="true"/>
              </w:rPr>
              <w:t>الشبهة الثامنة</w:t>
            </w:r>
            <w:r>
              <w:rPr>
                <w:rStyle w:val="IndexLink"/>
                <w:rtl w:val="true"/>
              </w:rPr>
              <w:t xml:space="preserve">: </w:t>
            </w:r>
            <w:r>
              <w:rPr>
                <w:rStyle w:val="IndexLink"/>
                <w:rtl w:val="true"/>
              </w:rPr>
              <w:t>أفضلية أئمة الشيعة على الأنبياء</w:t>
            </w:r>
            <w:r>
              <w:rPr>
                <w:rStyle w:val="IndexLink"/>
                <w:rtl w:val="true"/>
              </w:rPr>
              <w:t>(</w:t>
            </w:r>
            <w:r>
              <w:rPr>
                <w:rStyle w:val="IndexLink"/>
                <w:rtl w:val="true"/>
              </w:rPr>
              <w:t>علیهم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11030311_2142443653">
            <w:r>
              <w:rPr>
                <w:webHidden/>
                <w:rStyle w:val="IndexLink"/>
                <w:rtl w:val="true"/>
              </w:rPr>
              <w:t>الشبهة التاسعة</w:t>
            </w:r>
            <w:r>
              <w:rPr>
                <w:rStyle w:val="IndexLink"/>
                <w:rtl w:val="true"/>
              </w:rPr>
              <w:t xml:space="preserve">: </w:t>
            </w:r>
            <w:r>
              <w:rPr>
                <w:rStyle w:val="IndexLink"/>
                <w:rtl w:val="true"/>
              </w:rPr>
              <w:t>استبعاد مقام الإمامة من دون نبوة</w:t>
            </w:r>
            <w:r>
              <w:rPr>
                <w:rStyle w:val="IndexLink"/>
                <w:rtl w:val="true"/>
              </w:rPr>
              <w:tab/>
            </w:r>
            <w:r>
              <w:rPr>
                <w:rStyle w:val="IndexLink"/>
              </w:rPr>
              <w:t>119</w:t>
            </w:r>
          </w:hyperlink>
        </w:p>
        <w:p>
          <w:pPr>
            <w:pStyle w:val="Contents4"/>
            <w:tabs>
              <w:tab w:val="clear" w:pos="8176"/>
              <w:tab w:val="right" w:pos="9026" w:leader="dot"/>
            </w:tabs>
            <w:rPr/>
          </w:pPr>
          <w:hyperlink w:anchor="__RefHeading___Toc11030313_2142443653">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030315_2142443653">
            <w:r>
              <w:rPr>
                <w:webHidden/>
                <w:rStyle w:val="IndexLink"/>
                <w:rtl w:val="true"/>
              </w:rPr>
              <w:t xml:space="preserve">مناقشة وتحليل </w:t>
            </w:r>
            <w:r>
              <w:rPr>
                <w:rStyle w:val="IndexLink"/>
                <w:rtl w:val="true"/>
              </w:rPr>
              <w:t>(</w:t>
            </w:r>
            <w:r>
              <w:rPr>
                <w:rStyle w:val="IndexLink"/>
                <w:rtl w:val="true"/>
              </w:rPr>
              <w:t>الولاية جوهر النبوة</w:t>
            </w:r>
            <w:r>
              <w:rPr>
                <w:rStyle w:val="IndexLink"/>
                <w:rtl w:val="true"/>
              </w:rPr>
              <w:t>):</w:t>
              <w:tab/>
            </w:r>
            <w:r>
              <w:rPr>
                <w:rStyle w:val="IndexLink"/>
              </w:rPr>
              <w:t>119</w:t>
            </w:r>
          </w:hyperlink>
        </w:p>
        <w:p>
          <w:pPr>
            <w:pStyle w:val="Contents3"/>
            <w:tabs>
              <w:tab w:val="clear" w:pos="8459"/>
              <w:tab w:val="right" w:pos="9026" w:leader="dot"/>
            </w:tabs>
            <w:rPr/>
          </w:pPr>
          <w:hyperlink w:anchor="__RefHeading___Toc11030317_2142443653">
            <w:r>
              <w:rPr>
                <w:webHidden/>
                <w:rStyle w:val="IndexLink"/>
                <w:rtl w:val="true"/>
              </w:rPr>
              <w:t>الشبهة العاشرة</w:t>
            </w:r>
            <w:r>
              <w:rPr>
                <w:rStyle w:val="IndexLink"/>
                <w:rtl w:val="true"/>
              </w:rPr>
              <w:t xml:space="preserve">: </w:t>
            </w:r>
            <w:r>
              <w:rPr>
                <w:rStyle w:val="IndexLink"/>
                <w:rtl w:val="true"/>
              </w:rPr>
              <w:t>عدم انسجام الإمامة مع الديمقراطية</w:t>
            </w:r>
            <w:r>
              <w:rPr>
                <w:rStyle w:val="IndexLink"/>
                <w:rtl w:val="true"/>
              </w:rPr>
              <w:t>:</w:t>
              <w:tab/>
            </w:r>
            <w:r>
              <w:rPr>
                <w:rStyle w:val="IndexLink"/>
              </w:rPr>
              <w:t>121</w:t>
            </w:r>
          </w:hyperlink>
        </w:p>
        <w:p>
          <w:pPr>
            <w:pStyle w:val="Contents3"/>
            <w:tabs>
              <w:tab w:val="clear" w:pos="8459"/>
              <w:tab w:val="right" w:pos="9026" w:leader="dot"/>
            </w:tabs>
            <w:rPr/>
          </w:pPr>
          <w:hyperlink w:anchor="__RefHeading___Toc11030319_2142443653">
            <w:r>
              <w:rPr>
                <w:webHidden/>
                <w:rStyle w:val="IndexLink"/>
                <w:rtl w:val="true"/>
              </w:rPr>
              <w:t>نقد ورأي</w:t>
            </w:r>
            <w:r>
              <w:rPr>
                <w:rStyle w:val="IndexLink"/>
                <w:rtl w:val="true"/>
              </w:rPr>
              <w:tab/>
            </w:r>
            <w:r>
              <w:rPr>
                <w:rStyle w:val="IndexLink"/>
              </w:rPr>
              <w:t>122</w:t>
            </w:r>
          </w:hyperlink>
        </w:p>
        <w:p>
          <w:pPr>
            <w:pStyle w:val="Contents4"/>
            <w:tabs>
              <w:tab w:val="clear" w:pos="8176"/>
              <w:tab w:val="right" w:pos="9026" w:leader="dot"/>
            </w:tabs>
            <w:rPr/>
          </w:pPr>
          <w:hyperlink w:anchor="__RefHeading___Toc11030321_2142443653">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030323_2142443653">
            <w:r>
              <w:rPr>
                <w:webHidden/>
                <w:rStyle w:val="IndexLink"/>
                <w:rtl w:val="true"/>
              </w:rPr>
              <w:t xml:space="preserve">- </w:t>
            </w:r>
            <w:r>
              <w:rPr>
                <w:rStyle w:val="IndexLink"/>
                <w:rtl w:val="true"/>
              </w:rPr>
              <w:t>النقد الأول</w:t>
            </w:r>
            <w:r>
              <w:rPr>
                <w:rStyle w:val="IndexLink"/>
                <w:rtl w:val="true"/>
              </w:rPr>
              <w:t xml:space="preserve">: </w:t>
            </w:r>
            <w:r>
              <w:rPr>
                <w:rStyle w:val="IndexLink"/>
                <w:rtl w:val="true"/>
              </w:rPr>
              <w:t>تعدّد نماذج الديمقراطية</w:t>
            </w:r>
            <w:r>
              <w:rPr>
                <w:rStyle w:val="IndexLink"/>
                <w:rtl w:val="true"/>
              </w:rPr>
              <w:t>:</w:t>
              <w:tab/>
            </w:r>
            <w:r>
              <w:rPr>
                <w:rStyle w:val="IndexLink"/>
              </w:rPr>
              <w:t>122</w:t>
            </w:r>
          </w:hyperlink>
        </w:p>
        <w:p>
          <w:pPr>
            <w:pStyle w:val="Contents4"/>
            <w:tabs>
              <w:tab w:val="clear" w:pos="8176"/>
              <w:tab w:val="right" w:pos="9026" w:leader="dot"/>
            </w:tabs>
            <w:rPr/>
          </w:pPr>
          <w:hyperlink w:anchor="__RefHeading___Toc11030325_2142443653">
            <w:r>
              <w:rPr>
                <w:webHidden/>
                <w:rStyle w:val="IndexLink"/>
                <w:rtl w:val="true"/>
              </w:rPr>
              <w:t>نسبة الإسلام والتشيّع إلى الديمقراطية</w:t>
            </w:r>
            <w:r>
              <w:rPr>
                <w:rStyle w:val="IndexLink"/>
                <w:rtl w:val="true"/>
              </w:rPr>
              <w:t>:</w:t>
              <w:tab/>
            </w:r>
            <w:r>
              <w:rPr>
                <w:rStyle w:val="IndexLink"/>
              </w:rPr>
              <w:t>125</w:t>
            </w:r>
          </w:hyperlink>
        </w:p>
        <w:p>
          <w:pPr>
            <w:pStyle w:val="Contents4"/>
            <w:tabs>
              <w:tab w:val="clear" w:pos="8176"/>
              <w:tab w:val="right" w:pos="9026" w:leader="dot"/>
            </w:tabs>
            <w:rPr/>
          </w:pPr>
          <w:hyperlink w:anchor="__RefHeading___Toc11030327_2142443653">
            <w:r>
              <w:rPr>
                <w:webHidden/>
                <w:rStyle w:val="IndexLink"/>
                <w:rtl w:val="true"/>
              </w:rPr>
              <w:t>النقد الثاني</w:t>
            </w:r>
            <w:r>
              <w:rPr>
                <w:rStyle w:val="IndexLink"/>
                <w:rtl w:val="true"/>
              </w:rPr>
              <w:t xml:space="preserve">: </w:t>
            </w:r>
            <w:r>
              <w:rPr>
                <w:rStyle w:val="IndexLink"/>
                <w:rtl w:val="true"/>
              </w:rPr>
              <w:t>مشاركة الشعب في مضمار السياسة عند الشيعة</w:t>
            </w:r>
            <w:r>
              <w:rPr>
                <w:rStyle w:val="IndexLink"/>
                <w:rtl w:val="true"/>
              </w:rPr>
              <w:t>:</w:t>
              <w:tab/>
            </w:r>
            <w:r>
              <w:rPr>
                <w:rStyle w:val="IndexLink"/>
              </w:rPr>
              <w:t>129</w:t>
            </w:r>
          </w:hyperlink>
        </w:p>
        <w:p>
          <w:pPr>
            <w:pStyle w:val="Contents4"/>
            <w:tabs>
              <w:tab w:val="clear" w:pos="8176"/>
              <w:tab w:val="right" w:pos="9026" w:leader="dot"/>
            </w:tabs>
            <w:rPr/>
          </w:pPr>
          <w:hyperlink w:anchor="__RefHeading___Toc11030329_2142443653">
            <w:r>
              <w:rPr>
                <w:webHidden/>
                <w:rStyle w:val="IndexLink"/>
                <w:rtl w:val="true"/>
              </w:rPr>
              <w:t>النقد الثالث</w:t>
            </w:r>
            <w:r>
              <w:rPr>
                <w:rStyle w:val="IndexLink"/>
                <w:rtl w:val="true"/>
              </w:rPr>
              <w:t xml:space="preserve">: </w:t>
            </w:r>
            <w:r>
              <w:rPr>
                <w:rStyle w:val="IndexLink"/>
                <w:rtl w:val="true"/>
              </w:rPr>
              <w:t>اختلاف الإمامة عن الحكومة</w:t>
            </w:r>
            <w:r>
              <w:rPr>
                <w:rStyle w:val="IndexLink"/>
                <w:rtl w:val="true"/>
              </w:rPr>
              <w:t>:</w:t>
              <w:tab/>
            </w:r>
            <w:r>
              <w:rPr>
                <w:rStyle w:val="IndexLink"/>
              </w:rPr>
              <w:t>135</w:t>
            </w:r>
          </w:hyperlink>
        </w:p>
        <w:p>
          <w:pPr>
            <w:pStyle w:val="Contents4"/>
            <w:tabs>
              <w:tab w:val="clear" w:pos="8176"/>
              <w:tab w:val="right" w:pos="9026" w:leader="dot"/>
            </w:tabs>
            <w:rPr/>
          </w:pPr>
          <w:hyperlink w:anchor="__RefHeading___Toc11030331_2142443653">
            <w:r>
              <w:rPr>
                <w:webHidden/>
                <w:rStyle w:val="IndexLink"/>
                <w:rtl w:val="true"/>
              </w:rPr>
              <w:t>النقد الرابع</w:t>
            </w:r>
            <w:r>
              <w:rPr>
                <w:rStyle w:val="IndexLink"/>
                <w:rtl w:val="true"/>
              </w:rPr>
              <w:t xml:space="preserve">: </w:t>
            </w:r>
            <w:r>
              <w:rPr>
                <w:rStyle w:val="IndexLink"/>
                <w:rtl w:val="true"/>
              </w:rPr>
              <w:t>الأئمة المنتخبون حصرياً هم الحكام الأكفاء</w:t>
            </w:r>
            <w:r>
              <w:rPr>
                <w:rStyle w:val="IndexLink"/>
                <w:rtl w:val="true"/>
              </w:rPr>
              <w:t>:</w:t>
              <w:tab/>
            </w:r>
            <w:r>
              <w:rPr>
                <w:rStyle w:val="IndexLink"/>
              </w:rPr>
              <w:t>137</w:t>
            </w:r>
          </w:hyperlink>
        </w:p>
        <w:p>
          <w:pPr>
            <w:pStyle w:val="Contents4"/>
            <w:tabs>
              <w:tab w:val="clear" w:pos="8176"/>
              <w:tab w:val="right" w:pos="9026" w:leader="dot"/>
            </w:tabs>
            <w:rPr/>
          </w:pPr>
          <w:hyperlink w:anchor="__RefHeading___Toc11030333_2142443653">
            <w:r>
              <w:rPr>
                <w:webHidden/>
                <w:rStyle w:val="IndexLink"/>
                <w:rtl w:val="true"/>
              </w:rPr>
              <w:t xml:space="preserve">النقد الخامس </w:t>
            </w:r>
            <w:r>
              <w:rPr>
                <w:rStyle w:val="IndexLink"/>
                <w:rtl w:val="true"/>
              </w:rPr>
              <w:t xml:space="preserve">: </w:t>
            </w:r>
            <w:r>
              <w:rPr>
                <w:rStyle w:val="IndexLink"/>
                <w:rtl w:val="true"/>
              </w:rPr>
              <w:t>حاجة الديمقراطية الحقيقية للأرضية المناسبة</w:t>
            </w:r>
            <w:r>
              <w:rPr>
                <w:rStyle w:val="IndexLink"/>
                <w:rtl w:val="true"/>
              </w:rPr>
              <w:t>:</w:t>
              <w:tab/>
            </w:r>
            <w:r>
              <w:rPr>
                <w:rStyle w:val="IndexLink"/>
              </w:rPr>
              <w:t>138</w:t>
            </w:r>
          </w:hyperlink>
        </w:p>
        <w:p>
          <w:pPr>
            <w:pStyle w:val="Contents4"/>
            <w:tabs>
              <w:tab w:val="clear" w:pos="8176"/>
              <w:tab w:val="right" w:pos="9026" w:leader="dot"/>
            </w:tabs>
            <w:rPr/>
          </w:pPr>
          <w:hyperlink w:anchor="__RefHeading___Toc11030335_2142443653">
            <w:r>
              <w:rPr>
                <w:webHidden/>
                <w:rStyle w:val="IndexLink"/>
                <w:rtl w:val="true"/>
              </w:rPr>
              <w:t>النقد السادس</w:t>
            </w:r>
            <w:r>
              <w:rPr>
                <w:rStyle w:val="IndexLink"/>
                <w:rtl w:val="true"/>
              </w:rPr>
              <w:t xml:space="preserve">: </w:t>
            </w:r>
            <w:r>
              <w:rPr>
                <w:rStyle w:val="IndexLink"/>
                <w:rtl w:val="true"/>
              </w:rPr>
              <w:t>تقديم الحكم الإلهي على الديمقراطية</w:t>
            </w:r>
            <w:r>
              <w:rPr>
                <w:rStyle w:val="IndexLink"/>
                <w:rtl w:val="true"/>
              </w:rPr>
              <w:t>:</w:t>
              <w:tab/>
            </w:r>
            <w:r>
              <w:rPr>
                <w:rStyle w:val="IndexLink"/>
              </w:rPr>
              <w:t>140</w:t>
            </w:r>
          </w:hyperlink>
        </w:p>
        <w:p>
          <w:pPr>
            <w:pStyle w:val="Contents4"/>
            <w:tabs>
              <w:tab w:val="clear" w:pos="8176"/>
              <w:tab w:val="right" w:pos="9026" w:leader="dot"/>
            </w:tabs>
            <w:rPr/>
          </w:pPr>
          <w:hyperlink w:anchor="__RefHeading___Toc11030337_2142443653">
            <w:r>
              <w:rPr>
                <w:webHidden/>
                <w:rStyle w:val="IndexLink"/>
                <w:rtl w:val="true"/>
              </w:rPr>
              <w:t xml:space="preserve">النقد السابع </w:t>
            </w:r>
            <w:r>
              <w:rPr>
                <w:rStyle w:val="IndexLink"/>
                <w:rtl w:val="true"/>
              </w:rPr>
              <w:t xml:space="preserve">: </w:t>
            </w:r>
            <w:r>
              <w:rPr>
                <w:rStyle w:val="IndexLink"/>
                <w:rtl w:val="true"/>
              </w:rPr>
              <w:t>ثغرات الديمقراطية</w:t>
            </w:r>
            <w:r>
              <w:rPr>
                <w:rStyle w:val="IndexLink"/>
                <w:rtl w:val="true"/>
              </w:rPr>
              <w:tab/>
            </w:r>
            <w:r>
              <w:rPr>
                <w:rStyle w:val="IndexLink"/>
              </w:rPr>
              <w:t>140</w:t>
            </w:r>
          </w:hyperlink>
        </w:p>
        <w:p>
          <w:pPr>
            <w:pStyle w:val="Contents4"/>
            <w:tabs>
              <w:tab w:val="clear" w:pos="8176"/>
              <w:tab w:val="right" w:pos="9026" w:leader="dot"/>
            </w:tabs>
            <w:rPr/>
          </w:pPr>
          <w:hyperlink w:anchor="__RefHeading___Toc11030339_2142443653">
            <w:r>
              <w:rPr>
                <w:webHidden/>
                <w:rStyle w:val="IndexLink"/>
                <w:rtl w:val="true"/>
              </w:rPr>
              <w:t>إقرار المفكرين الغربيين</w:t>
            </w:r>
            <w:r>
              <w:rPr>
                <w:rStyle w:val="IndexLink"/>
                <w:rtl w:val="true"/>
              </w:rPr>
              <w:t>:</w:t>
              <w:tab/>
            </w:r>
            <w:r>
              <w:rPr>
                <w:rStyle w:val="IndexLink"/>
              </w:rPr>
              <w:t>142</w:t>
            </w:r>
          </w:hyperlink>
        </w:p>
        <w:p>
          <w:pPr>
            <w:pStyle w:val="Contents4"/>
            <w:tabs>
              <w:tab w:val="clear" w:pos="8176"/>
              <w:tab w:val="right" w:pos="9026" w:leader="dot"/>
            </w:tabs>
            <w:rPr/>
          </w:pPr>
          <w:hyperlink w:anchor="__RefHeading___Toc11030341_2142443653">
            <w:r>
              <w:rPr>
                <w:webHidden/>
                <w:rStyle w:val="IndexLink"/>
                <w:rtl w:val="true"/>
              </w:rPr>
              <w:t>النقد الثامن</w:t>
            </w:r>
            <w:r>
              <w:rPr>
                <w:rStyle w:val="IndexLink"/>
                <w:rtl w:val="true"/>
              </w:rPr>
              <w:t xml:space="preserve">: </w:t>
            </w:r>
            <w:r>
              <w:rPr>
                <w:rStyle w:val="IndexLink"/>
                <w:rtl w:val="true"/>
              </w:rPr>
              <w:t xml:space="preserve">جواب نقضي </w:t>
            </w:r>
            <w:r>
              <w:rPr>
                <w:rStyle w:val="IndexLink"/>
                <w:rtl w:val="true"/>
              </w:rPr>
              <w:t>:</w:t>
              <w:tab/>
            </w:r>
            <w:r>
              <w:rPr>
                <w:rStyle w:val="IndexLink"/>
              </w:rPr>
              <w:t>143</w:t>
            </w:r>
          </w:hyperlink>
        </w:p>
        <w:p>
          <w:pPr>
            <w:pStyle w:val="Contents4"/>
            <w:tabs>
              <w:tab w:val="clear" w:pos="8176"/>
              <w:tab w:val="right" w:pos="9026" w:leader="dot"/>
            </w:tabs>
            <w:rPr/>
          </w:pPr>
          <w:hyperlink w:anchor="__RefHeading___Toc11030343_2142443653">
            <w:r>
              <w:rPr>
                <w:webHidden/>
                <w:rStyle w:val="IndexLink"/>
                <w:rtl w:val="true"/>
              </w:rPr>
              <w:t>تقييم عام</w:t>
            </w:r>
            <w:r>
              <w:rPr>
                <w:rStyle w:val="IndexLink"/>
                <w:rtl w:val="true"/>
              </w:rPr>
              <w:tab/>
            </w:r>
            <w:r>
              <w:rPr>
                <w:rStyle w:val="IndexLink"/>
              </w:rPr>
              <w:t>144</w:t>
            </w:r>
          </w:hyperlink>
        </w:p>
        <w:p>
          <w:pPr>
            <w:pStyle w:val="Contents3"/>
            <w:tabs>
              <w:tab w:val="clear" w:pos="8459"/>
              <w:tab w:val="right" w:pos="9026" w:leader="dot"/>
            </w:tabs>
            <w:rPr/>
          </w:pPr>
          <w:hyperlink w:anchor="__RefHeading___Toc11030345_2142443653">
            <w:r>
              <w:rPr>
                <w:webHidden/>
                <w:rStyle w:val="IndexLink"/>
                <w:rtl w:val="true"/>
              </w:rPr>
              <w:t>الشبهة الحادية عشرة</w:t>
            </w:r>
            <w:r>
              <w:rPr>
                <w:rStyle w:val="IndexLink"/>
                <w:rtl w:val="true"/>
              </w:rPr>
              <w:t xml:space="preserve">: </w:t>
            </w:r>
            <w:r>
              <w:rPr>
                <w:rStyle w:val="IndexLink"/>
                <w:rtl w:val="true"/>
              </w:rPr>
              <w:t>غيبة الإمام تنافي فلسفة ضرورة الإمامة</w:t>
            </w:r>
            <w:r>
              <w:rPr>
                <w:rStyle w:val="IndexLink"/>
                <w:rtl w:val="true"/>
              </w:rPr>
              <w:t>:</w:t>
              <w:tab/>
            </w:r>
            <w:r>
              <w:rPr>
                <w:rStyle w:val="IndexLink"/>
              </w:rPr>
              <w:t>145</w:t>
            </w:r>
          </w:hyperlink>
        </w:p>
        <w:p>
          <w:pPr>
            <w:pStyle w:val="Contents3"/>
            <w:tabs>
              <w:tab w:val="clear" w:pos="8459"/>
              <w:tab w:val="right" w:pos="9026" w:leader="dot"/>
            </w:tabs>
            <w:rPr/>
          </w:pPr>
          <w:hyperlink w:anchor="__RefHeading___Toc11030347_2142443653">
            <w:r>
              <w:rPr>
                <w:webHidden/>
                <w:rStyle w:val="IndexLink"/>
                <w:rtl w:val="true"/>
              </w:rPr>
              <w:t>نقد ورأي</w:t>
            </w:r>
            <w:r>
              <w:rPr>
                <w:rStyle w:val="IndexLink"/>
                <w:rtl w:val="true"/>
              </w:rPr>
              <w:t>:</w:t>
              <w:tab/>
            </w:r>
            <w:r>
              <w:rPr>
                <w:rStyle w:val="IndexLink"/>
              </w:rPr>
              <w:t>146</w:t>
            </w:r>
          </w:hyperlink>
        </w:p>
        <w:p>
          <w:pPr>
            <w:pStyle w:val="Contents3"/>
            <w:tabs>
              <w:tab w:val="clear" w:pos="8459"/>
              <w:tab w:val="right" w:pos="9026" w:leader="dot"/>
            </w:tabs>
            <w:rPr/>
          </w:pPr>
          <w:hyperlink w:anchor="__RefHeading___Toc11030349_2142443653">
            <w:r>
              <w:rPr>
                <w:webHidden/>
                <w:rStyle w:val="IndexLink"/>
                <w:rtl w:val="true"/>
              </w:rPr>
              <w:t>الشبهة الثانية عشرة</w:t>
            </w:r>
            <w:r>
              <w:rPr>
                <w:rStyle w:val="IndexLink"/>
                <w:rtl w:val="true"/>
              </w:rPr>
              <w:t xml:space="preserve">: </w:t>
            </w:r>
            <w:r>
              <w:rPr>
                <w:rStyle w:val="IndexLink"/>
                <w:rtl w:val="true"/>
              </w:rPr>
              <w:t>عدم انسجام المهدوية مع الديمقراطية</w:t>
            </w:r>
            <w:r>
              <w:rPr>
                <w:rStyle w:val="IndexLink"/>
                <w:rtl w:val="true"/>
              </w:rPr>
              <w:t>:</w:t>
              <w:tab/>
            </w:r>
            <w:r>
              <w:rPr>
                <w:rStyle w:val="IndexLink"/>
              </w:rPr>
              <w:t>152</w:t>
            </w:r>
          </w:hyperlink>
        </w:p>
        <w:p>
          <w:pPr>
            <w:pStyle w:val="Contents3"/>
            <w:tabs>
              <w:tab w:val="clear" w:pos="8459"/>
              <w:tab w:val="right" w:pos="9026" w:leader="dot"/>
            </w:tabs>
            <w:rPr/>
          </w:pPr>
          <w:hyperlink w:anchor="__RefHeading___Toc11030351_2142443653">
            <w:r>
              <w:rPr>
                <w:webHidden/>
                <w:rStyle w:val="IndexLink"/>
                <w:rtl w:val="true"/>
              </w:rPr>
              <w:t>نقد ورأي</w:t>
            </w:r>
            <w:r>
              <w:rPr>
                <w:rStyle w:val="IndexLink"/>
                <w:rtl w:val="true"/>
              </w:rPr>
              <w:t>:</w:t>
              <w:tab/>
            </w:r>
            <w:r>
              <w:rPr>
                <w:rStyle w:val="IndexLink"/>
              </w:rPr>
              <w:t>154</w:t>
            </w:r>
          </w:hyperlink>
        </w:p>
        <w:p>
          <w:pPr>
            <w:pStyle w:val="Contents4"/>
            <w:tabs>
              <w:tab w:val="clear" w:pos="8176"/>
              <w:tab w:val="right" w:pos="9026" w:leader="dot"/>
            </w:tabs>
            <w:rPr/>
          </w:pPr>
          <w:hyperlink w:anchor="__RefHeading___Toc11030353_2142443653">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030355_2142443653">
            <w:r>
              <w:rPr>
                <w:webHidden/>
                <w:rStyle w:val="IndexLink"/>
                <w:rtl w:val="true"/>
              </w:rPr>
              <w:t xml:space="preserve">أ </w:t>
            </w:r>
            <w:r>
              <w:rPr>
                <w:rStyle w:val="IndexLink"/>
                <w:rtl w:val="true"/>
              </w:rPr>
              <w:t xml:space="preserve">- </w:t>
            </w:r>
            <w:r>
              <w:rPr>
                <w:rStyle w:val="IndexLink"/>
                <w:rtl w:val="true"/>
              </w:rPr>
              <w:t>تجاهل فضائل المجتمع المهدوي</w:t>
            </w:r>
            <w:r>
              <w:rPr>
                <w:rStyle w:val="IndexLink"/>
                <w:rtl w:val="true"/>
              </w:rPr>
              <w:t>:</w:t>
              <w:tab/>
            </w:r>
            <w:r>
              <w:rPr>
                <w:rStyle w:val="IndexLink"/>
              </w:rPr>
              <w:t>154</w:t>
            </w:r>
          </w:hyperlink>
        </w:p>
        <w:p>
          <w:pPr>
            <w:pStyle w:val="Contents5"/>
            <w:tabs>
              <w:tab w:val="clear" w:pos="7892"/>
              <w:tab w:val="right" w:pos="9026" w:leader="dot"/>
            </w:tabs>
            <w:rPr/>
          </w:pPr>
          <w:hyperlink w:anchor="__RefHeading___Toc11030357_2142443653">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030359_2142443653">
            <w:r>
              <w:rPr>
                <w:webHidden/>
                <w:rStyle w:val="IndexLink"/>
                <w:rtl w:val="true"/>
              </w:rPr>
              <w:t>إشارة إلى خصائص الحكومة المهدوية العالمية</w:t>
            </w:r>
            <w:r>
              <w:rPr>
                <w:rStyle w:val="IndexLink"/>
                <w:rtl w:val="true"/>
              </w:rPr>
              <w:t>:</w:t>
              <w:tab/>
            </w:r>
            <w:r>
              <w:rPr>
                <w:rStyle w:val="IndexLink"/>
              </w:rPr>
              <w:t>154</w:t>
            </w:r>
          </w:hyperlink>
        </w:p>
        <w:p>
          <w:pPr>
            <w:pStyle w:val="Contents4"/>
            <w:tabs>
              <w:tab w:val="clear" w:pos="8176"/>
              <w:tab w:val="right" w:pos="9026" w:leader="dot"/>
            </w:tabs>
            <w:rPr/>
          </w:pPr>
          <w:hyperlink w:anchor="__RefHeading___Toc11030361_2142443653">
            <w:r>
              <w:rPr>
                <w:webHidden/>
                <w:rStyle w:val="IndexLink"/>
                <w:rtl w:val="true"/>
              </w:rPr>
              <w:t xml:space="preserve">ب </w:t>
            </w:r>
            <w:r>
              <w:rPr>
                <w:rStyle w:val="IndexLink"/>
                <w:rtl w:val="true"/>
              </w:rPr>
              <w:t xml:space="preserve">- </w:t>
            </w:r>
            <w:r>
              <w:rPr>
                <w:rStyle w:val="IndexLink"/>
                <w:rtl w:val="true"/>
              </w:rPr>
              <w:t>موافقة جميع المواطنين عن حكومة الإمام المهدي</w:t>
            </w:r>
            <w:r>
              <w:rPr>
                <w:rStyle w:val="IndexLink"/>
                <w:rtl w:val="true"/>
              </w:rPr>
              <w:t>(</w:t>
            </w:r>
            <w:r>
              <w:rPr>
                <w:rStyle w:val="IndexLink"/>
                <w:rtl w:val="true"/>
              </w:rPr>
              <w:t>علیه السّلام</w:t>
            </w:r>
            <w:r>
              <w:rPr>
                <w:rStyle w:val="IndexLink"/>
                <w:rtl w:val="true"/>
              </w:rPr>
              <w:t>) :</w:t>
              <w:tab/>
            </w:r>
            <w:r>
              <w:rPr>
                <w:rStyle w:val="IndexLink"/>
              </w:rPr>
              <w:t>159</w:t>
            </w:r>
          </w:hyperlink>
        </w:p>
        <w:p>
          <w:pPr>
            <w:pStyle w:val="Contents4"/>
            <w:tabs>
              <w:tab w:val="clear" w:pos="8176"/>
              <w:tab w:val="right" w:pos="9026" w:leader="dot"/>
            </w:tabs>
            <w:rPr/>
          </w:pPr>
          <w:hyperlink w:anchor="__RefHeading___Toc11030363_2142443653">
            <w:r>
              <w:rPr>
                <w:webHidden/>
                <w:rStyle w:val="IndexLink"/>
                <w:rtl w:val="true"/>
              </w:rPr>
              <w:t xml:space="preserve">ج </w:t>
            </w:r>
            <w:r>
              <w:rPr>
                <w:rStyle w:val="IndexLink"/>
                <w:rtl w:val="true"/>
              </w:rPr>
              <w:t xml:space="preserve">- </w:t>
            </w:r>
            <w:r>
              <w:rPr>
                <w:rStyle w:val="IndexLink"/>
                <w:rtl w:val="true"/>
              </w:rPr>
              <w:t>الديمقراطية وسيلة ومقدمة وليست هدفاً وغاية</w:t>
            </w:r>
            <w:r>
              <w:rPr>
                <w:rStyle w:val="IndexLink"/>
                <w:rtl w:val="true"/>
              </w:rPr>
              <w:t>:</w:t>
              <w:tab/>
            </w:r>
            <w:r>
              <w:rPr>
                <w:rStyle w:val="IndexLink"/>
              </w:rPr>
              <w:t>160</w:t>
            </w:r>
          </w:hyperlink>
        </w:p>
        <w:p>
          <w:pPr>
            <w:pStyle w:val="Contents4"/>
            <w:tabs>
              <w:tab w:val="clear" w:pos="8176"/>
              <w:tab w:val="right" w:pos="9026" w:leader="dot"/>
            </w:tabs>
            <w:rPr/>
          </w:pPr>
          <w:hyperlink w:anchor="__RefHeading___Toc11030365_2142443653">
            <w:r>
              <w:rPr>
                <w:webHidden/>
                <w:rStyle w:val="IndexLink"/>
                <w:rtl w:val="true"/>
              </w:rPr>
              <w:t xml:space="preserve">د </w:t>
            </w:r>
            <w:r>
              <w:rPr>
                <w:rStyle w:val="IndexLink"/>
                <w:rtl w:val="true"/>
              </w:rPr>
              <w:t xml:space="preserve">- </w:t>
            </w:r>
            <w:r>
              <w:rPr>
                <w:rStyle w:val="IndexLink"/>
                <w:rtl w:val="true"/>
              </w:rPr>
              <w:t>المسلمون هم غالبية المجتمع المهدوي</w:t>
            </w:r>
            <w:r>
              <w:rPr>
                <w:rStyle w:val="IndexLink"/>
                <w:rtl w:val="true"/>
              </w:rPr>
              <w:t>:</w:t>
              <w:tab/>
            </w:r>
            <w:r>
              <w:rPr>
                <w:rStyle w:val="IndexLink"/>
              </w:rPr>
              <w:t>162</w:t>
            </w:r>
          </w:hyperlink>
        </w:p>
        <w:p>
          <w:pPr>
            <w:pStyle w:val="Contents4"/>
            <w:tabs>
              <w:tab w:val="clear" w:pos="8176"/>
              <w:tab w:val="right" w:pos="9026" w:leader="dot"/>
            </w:tabs>
            <w:rPr/>
          </w:pPr>
          <w:hyperlink w:anchor="__RefHeading___Toc11030367_2142443653">
            <w:r>
              <w:rPr>
                <w:webHidden/>
                <w:rStyle w:val="IndexLink"/>
                <w:rtl w:val="true"/>
              </w:rPr>
              <w:t>هـ</w:t>
            </w:r>
            <w:r>
              <w:rPr>
                <w:rStyle w:val="IndexLink"/>
                <w:rtl w:val="true"/>
              </w:rPr>
              <w:t xml:space="preserve">- </w:t>
            </w:r>
            <w:r>
              <w:rPr>
                <w:rStyle w:val="IndexLink"/>
                <w:rtl w:val="true"/>
              </w:rPr>
              <w:t>رعاية حقوق الأقليات</w:t>
            </w:r>
            <w:r>
              <w:rPr>
                <w:rStyle w:val="IndexLink"/>
                <w:rtl w:val="true"/>
              </w:rPr>
              <w:t>:</w:t>
              <w:tab/>
            </w:r>
            <w:r>
              <w:rPr>
                <w:rStyle w:val="IndexLink"/>
              </w:rPr>
              <w:t>162</w:t>
            </w:r>
          </w:hyperlink>
        </w:p>
        <w:p>
          <w:pPr>
            <w:pStyle w:val="Contents2"/>
            <w:tabs>
              <w:tab w:val="clear" w:pos="8743"/>
              <w:tab w:val="right" w:pos="9026" w:leader="dot"/>
            </w:tabs>
            <w:rPr/>
          </w:pPr>
          <w:hyperlink w:anchor="__RefHeading___Toc11030369_2142443653">
            <w:r>
              <w:rPr>
                <w:webHidden/>
                <w:rStyle w:val="IndexLink"/>
                <w:rtl w:val="true"/>
              </w:rPr>
              <w:t>الفَضْلُ الثالث</w:t>
            </w:r>
            <w:r>
              <w:rPr>
                <w:rStyle w:val="IndexLink"/>
                <w:rtl w:val="true"/>
              </w:rPr>
              <w:tab/>
            </w:r>
            <w:r>
              <w:rPr>
                <w:rStyle w:val="IndexLink"/>
              </w:rPr>
              <w:t>165</w:t>
            </w:r>
          </w:hyperlink>
        </w:p>
        <w:p>
          <w:pPr>
            <w:pStyle w:val="Contents3"/>
            <w:tabs>
              <w:tab w:val="clear" w:pos="8459"/>
              <w:tab w:val="right" w:pos="9026" w:leader="dot"/>
            </w:tabs>
            <w:rPr/>
          </w:pPr>
          <w:hyperlink w:anchor="__RefHeading___Toc11030371_2142443653">
            <w:r>
              <w:rPr>
                <w:webHidden/>
                <w:rStyle w:val="IndexLink"/>
                <w:rtl w:val="true"/>
              </w:rPr>
              <w:t>شبهة التنافي بين الإمامة وأصل الخاتمية</w:t>
            </w:r>
            <w:r>
              <w:rPr>
                <w:rStyle w:val="IndexLink"/>
                <w:rtl w:val="true"/>
              </w:rPr>
              <w:tab/>
            </w:r>
            <w:r>
              <w:rPr>
                <w:rStyle w:val="IndexLink"/>
              </w:rPr>
              <w:t>165</w:t>
            </w:r>
          </w:hyperlink>
        </w:p>
        <w:p>
          <w:pPr>
            <w:pStyle w:val="Contents3"/>
            <w:tabs>
              <w:tab w:val="clear" w:pos="8459"/>
              <w:tab w:val="right" w:pos="9026" w:leader="dot"/>
            </w:tabs>
            <w:rPr/>
          </w:pPr>
          <w:hyperlink w:anchor="__RefHeading___Toc11030373_2142443653">
            <w:r>
              <w:rPr>
                <w:webHidden/>
                <w:rStyle w:val="IndexLink"/>
                <w:rtl w:val="true"/>
              </w:rPr>
              <w:t>الشبهة الأولى</w:t>
            </w:r>
            <w:r>
              <w:rPr>
                <w:rStyle w:val="IndexLink"/>
                <w:rtl w:val="true"/>
              </w:rPr>
              <w:t xml:space="preserve">: </w:t>
            </w:r>
            <w:r>
              <w:rPr>
                <w:rStyle w:val="IndexLink"/>
                <w:rtl w:val="true"/>
              </w:rPr>
              <w:t>المبنى العقلي لضرورة الإمامة يتنافى مع الخاتمية</w:t>
            </w:r>
            <w:r>
              <w:rPr>
                <w:rStyle w:val="IndexLink"/>
                <w:rtl w:val="true"/>
              </w:rPr>
              <w:t>:</w:t>
              <w:tab/>
            </w:r>
            <w:r>
              <w:rPr>
                <w:rStyle w:val="IndexLink"/>
              </w:rPr>
              <w:t>167</w:t>
            </w:r>
          </w:hyperlink>
        </w:p>
        <w:p>
          <w:pPr>
            <w:pStyle w:val="Contents3"/>
            <w:tabs>
              <w:tab w:val="clear" w:pos="8459"/>
              <w:tab w:val="right" w:pos="9026" w:leader="dot"/>
            </w:tabs>
            <w:rPr/>
          </w:pPr>
          <w:hyperlink w:anchor="__RefHeading___Toc11030375_2142443653">
            <w:r>
              <w:rPr>
                <w:webHidden/>
                <w:rStyle w:val="IndexLink"/>
                <w:rtl w:val="true"/>
              </w:rPr>
              <w:t>مناقشة وتحليل</w:t>
            </w:r>
            <w:r>
              <w:rPr>
                <w:rStyle w:val="IndexLink"/>
                <w:rtl w:val="true"/>
              </w:rPr>
              <w:t>:</w:t>
              <w:tab/>
            </w:r>
            <w:r>
              <w:rPr>
                <w:rStyle w:val="IndexLink"/>
              </w:rPr>
              <w:t>168</w:t>
            </w:r>
          </w:hyperlink>
        </w:p>
        <w:p>
          <w:pPr>
            <w:pStyle w:val="Contents4"/>
            <w:tabs>
              <w:tab w:val="clear" w:pos="8176"/>
              <w:tab w:val="right" w:pos="9026" w:leader="dot"/>
            </w:tabs>
            <w:rPr/>
          </w:pPr>
          <w:hyperlink w:anchor="__RefHeading___Toc11030377_2142443653">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030379_2142443653">
            <w:r>
              <w:rPr>
                <w:webHidden/>
                <w:rStyle w:val="IndexLink"/>
                <w:rtl w:val="true"/>
              </w:rPr>
              <w:t>اختلاف صدر الإسلام عن عصر الغيبة</w:t>
            </w:r>
            <w:r>
              <w:rPr>
                <w:rStyle w:val="IndexLink"/>
                <w:rtl w:val="true"/>
              </w:rPr>
              <w:t>:</w:t>
              <w:tab/>
            </w:r>
            <w:r>
              <w:rPr>
                <w:rStyle w:val="IndexLink"/>
              </w:rPr>
              <w:t>169</w:t>
            </w:r>
          </w:hyperlink>
        </w:p>
        <w:p>
          <w:pPr>
            <w:pStyle w:val="Contents3"/>
            <w:tabs>
              <w:tab w:val="clear" w:pos="8459"/>
              <w:tab w:val="right" w:pos="9026" w:leader="dot"/>
            </w:tabs>
            <w:rPr/>
          </w:pPr>
          <w:hyperlink w:anchor="__RefHeading___Toc11030381_2142443653">
            <w:r>
              <w:rPr>
                <w:webHidden/>
                <w:rStyle w:val="IndexLink"/>
                <w:rtl w:val="true"/>
              </w:rPr>
              <w:t>الشبهة الثانية</w:t>
            </w:r>
            <w:r>
              <w:rPr>
                <w:rStyle w:val="IndexLink"/>
                <w:rtl w:val="true"/>
              </w:rPr>
              <w:t xml:space="preserve">: </w:t>
            </w:r>
            <w:r>
              <w:rPr>
                <w:rStyle w:val="IndexLink"/>
                <w:rtl w:val="true"/>
              </w:rPr>
              <w:t>تنافي عصمة الإمام مع الخاتمية</w:t>
            </w:r>
            <w:r>
              <w:rPr>
                <w:rStyle w:val="IndexLink"/>
                <w:rtl w:val="true"/>
              </w:rPr>
              <w:t>:</w:t>
              <w:tab/>
            </w:r>
            <w:r>
              <w:rPr>
                <w:rStyle w:val="IndexLink"/>
              </w:rPr>
              <w:t>171</w:t>
            </w:r>
          </w:hyperlink>
        </w:p>
        <w:p>
          <w:pPr>
            <w:pStyle w:val="Contents3"/>
            <w:tabs>
              <w:tab w:val="clear" w:pos="8459"/>
              <w:tab w:val="right" w:pos="9026" w:leader="dot"/>
            </w:tabs>
            <w:rPr/>
          </w:pPr>
          <w:hyperlink w:anchor="__RefHeading___Toc11030383_2142443653">
            <w:r>
              <w:rPr>
                <w:webHidden/>
                <w:rStyle w:val="IndexLink"/>
                <w:rtl w:val="true"/>
              </w:rPr>
              <w:t>رأي وتحليل</w:t>
            </w:r>
            <w:r>
              <w:rPr>
                <w:rStyle w:val="IndexLink"/>
                <w:rtl w:val="true"/>
              </w:rPr>
              <w:t>:</w:t>
              <w:tab/>
            </w:r>
            <w:r>
              <w:rPr>
                <w:rStyle w:val="IndexLink"/>
              </w:rPr>
              <w:t>172</w:t>
            </w:r>
          </w:hyperlink>
        </w:p>
        <w:p>
          <w:pPr>
            <w:pStyle w:val="Contents3"/>
            <w:tabs>
              <w:tab w:val="clear" w:pos="8459"/>
              <w:tab w:val="right" w:pos="9026" w:leader="dot"/>
            </w:tabs>
            <w:rPr/>
          </w:pPr>
          <w:hyperlink w:anchor="__RefHeading___Toc11030385_2142443653">
            <w:r>
              <w:rPr>
                <w:webHidden/>
                <w:rStyle w:val="IndexLink"/>
                <w:rtl w:val="true"/>
              </w:rPr>
              <w:t>الشبهة الثالثة</w:t>
            </w:r>
            <w:r>
              <w:rPr>
                <w:rStyle w:val="IndexLink"/>
                <w:rtl w:val="true"/>
              </w:rPr>
              <w:t xml:space="preserve">: </w:t>
            </w:r>
            <w:r>
              <w:rPr>
                <w:rStyle w:val="IndexLink"/>
                <w:rtl w:val="true"/>
              </w:rPr>
              <w:t>القول بوجوب إطاعة الإمام يتنافى مع الخاتمية</w:t>
            </w:r>
            <w:r>
              <w:rPr>
                <w:rStyle w:val="IndexLink"/>
                <w:rtl w:val="true"/>
              </w:rPr>
              <w:t>:</w:t>
              <w:tab/>
            </w:r>
            <w:r>
              <w:rPr>
                <w:rStyle w:val="IndexLink"/>
              </w:rPr>
              <w:t>183</w:t>
            </w:r>
          </w:hyperlink>
        </w:p>
        <w:p>
          <w:pPr>
            <w:pStyle w:val="Contents3"/>
            <w:tabs>
              <w:tab w:val="clear" w:pos="8459"/>
              <w:tab w:val="right" w:pos="9026" w:leader="dot"/>
            </w:tabs>
            <w:rPr/>
          </w:pPr>
          <w:hyperlink w:anchor="__RefHeading___Toc11030387_2142443653">
            <w:r>
              <w:rPr>
                <w:webHidden/>
                <w:rStyle w:val="IndexLink"/>
                <w:rtl w:val="true"/>
              </w:rPr>
              <w:t>الشبهة الرابعة</w:t>
            </w:r>
            <w:r>
              <w:rPr>
                <w:rStyle w:val="IndexLink"/>
                <w:rtl w:val="true"/>
              </w:rPr>
              <w:t xml:space="preserve">: </w:t>
            </w:r>
            <w:r>
              <w:rPr>
                <w:rStyle w:val="IndexLink"/>
                <w:rtl w:val="true"/>
              </w:rPr>
              <w:t>القول بالحجية الإلهية للأئمة ينافي الخاتمية</w:t>
            </w:r>
            <w:r>
              <w:rPr>
                <w:rStyle w:val="IndexLink"/>
                <w:rtl w:val="true"/>
              </w:rPr>
              <w:t>:</w:t>
              <w:tab/>
            </w:r>
            <w:r>
              <w:rPr>
                <w:rStyle w:val="IndexLink"/>
              </w:rPr>
              <w:t>185</w:t>
            </w:r>
          </w:hyperlink>
        </w:p>
        <w:p>
          <w:pPr>
            <w:pStyle w:val="Contents3"/>
            <w:tabs>
              <w:tab w:val="clear" w:pos="8459"/>
              <w:tab w:val="right" w:pos="9026" w:leader="dot"/>
            </w:tabs>
            <w:rPr/>
          </w:pPr>
          <w:hyperlink w:anchor="__RefHeading___Toc11030389_2142443653">
            <w:r>
              <w:rPr>
                <w:webHidden/>
                <w:rStyle w:val="IndexLink"/>
                <w:rtl w:val="true"/>
              </w:rPr>
              <w:t>تقرير الشبهة</w:t>
            </w:r>
            <w:r>
              <w:rPr>
                <w:rStyle w:val="IndexLink"/>
                <w:rtl w:val="true"/>
              </w:rPr>
              <w:t>:</w:t>
              <w:tab/>
            </w:r>
            <w:r>
              <w:rPr>
                <w:rStyle w:val="IndexLink"/>
              </w:rPr>
              <w:t>186</w:t>
            </w:r>
          </w:hyperlink>
        </w:p>
        <w:p>
          <w:pPr>
            <w:pStyle w:val="Contents4"/>
            <w:tabs>
              <w:tab w:val="clear" w:pos="8176"/>
              <w:tab w:val="right" w:pos="9026" w:leader="dot"/>
            </w:tabs>
            <w:rPr/>
          </w:pPr>
          <w:hyperlink w:anchor="__RefHeading___Toc11030391_2142443653">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030393_2142443653">
            <w:r>
              <w:rPr>
                <w:webHidden/>
                <w:rStyle w:val="IndexLink"/>
                <w:rtl w:val="true"/>
              </w:rPr>
              <w:t xml:space="preserve">أ </w:t>
            </w:r>
            <w:r>
              <w:rPr>
                <w:rStyle w:val="IndexLink"/>
                <w:rtl w:val="true"/>
              </w:rPr>
              <w:t xml:space="preserve">- </w:t>
            </w:r>
            <w:r>
              <w:rPr>
                <w:rStyle w:val="IndexLink"/>
                <w:rtl w:val="true"/>
              </w:rPr>
              <w:t>عدم الانسجام مع الشخصية الحقوقية للنبي الأكرم</w:t>
            </w:r>
            <w:r>
              <w:rPr>
                <w:rStyle w:val="IndexLink"/>
                <w:rtl w:val="true"/>
              </w:rPr>
              <w:t>(</w:t>
            </w:r>
            <w:r>
              <w:rPr>
                <w:rStyle w:val="IndexLink"/>
                <w:rtl w:val="true"/>
              </w:rPr>
              <w:t>صلی الله علیه و آله و سلم</w:t>
            </w:r>
            <w:r>
              <w:rPr>
                <w:rStyle w:val="IndexLink"/>
                <w:rtl w:val="true"/>
              </w:rPr>
              <w:t>):</w:t>
              <w:tab/>
            </w:r>
            <w:r>
              <w:rPr>
                <w:rStyle w:val="IndexLink"/>
              </w:rPr>
              <w:t>186</w:t>
            </w:r>
          </w:hyperlink>
        </w:p>
        <w:p>
          <w:pPr>
            <w:pStyle w:val="Contents4"/>
            <w:tabs>
              <w:tab w:val="clear" w:pos="8176"/>
              <w:tab w:val="right" w:pos="9026" w:leader="dot"/>
            </w:tabs>
            <w:rPr/>
          </w:pPr>
          <w:hyperlink w:anchor="__RefHeading___Toc11030395_2142443653">
            <w:r>
              <w:rPr>
                <w:webHidden/>
                <w:rStyle w:val="IndexLink"/>
                <w:rtl w:val="true"/>
              </w:rPr>
              <w:t xml:space="preserve">ب </w:t>
            </w:r>
            <w:r>
              <w:rPr>
                <w:rStyle w:val="IndexLink"/>
                <w:rtl w:val="true"/>
              </w:rPr>
              <w:t xml:space="preserve">- </w:t>
            </w:r>
            <w:r>
              <w:rPr>
                <w:rStyle w:val="IndexLink"/>
                <w:rtl w:val="true"/>
              </w:rPr>
              <w:t>عدم حجية روايات الأئمة</w:t>
            </w:r>
            <w:r>
              <w:rPr>
                <w:rStyle w:val="IndexLink"/>
                <w:rtl w:val="true"/>
              </w:rPr>
              <w:t>(</w:t>
            </w:r>
            <w:r>
              <w:rPr>
                <w:rStyle w:val="IndexLink"/>
                <w:rtl w:val="true"/>
              </w:rPr>
              <w:t>علیهم السّلام</w:t>
            </w:r>
            <w:r>
              <w:rPr>
                <w:rStyle w:val="IndexLink"/>
                <w:rtl w:val="true"/>
              </w:rPr>
              <w:t>):</w:t>
              <w:tab/>
            </w:r>
            <w:r>
              <w:rPr>
                <w:rStyle w:val="IndexLink"/>
              </w:rPr>
              <w:t>187</w:t>
            </w:r>
          </w:hyperlink>
        </w:p>
        <w:p>
          <w:pPr>
            <w:pStyle w:val="Contents3"/>
            <w:tabs>
              <w:tab w:val="clear" w:pos="8459"/>
              <w:tab w:val="right" w:pos="9026" w:leader="dot"/>
            </w:tabs>
            <w:rPr/>
          </w:pPr>
          <w:hyperlink w:anchor="__RefHeading___Toc11030397_2142443653">
            <w:r>
              <w:rPr>
                <w:webHidden/>
                <w:rStyle w:val="IndexLink"/>
                <w:rtl w:val="true"/>
              </w:rPr>
              <w:t>نقد ورأي</w:t>
            </w:r>
            <w:r>
              <w:rPr>
                <w:rStyle w:val="IndexLink"/>
                <w:rtl w:val="true"/>
              </w:rPr>
              <w:t>:</w:t>
              <w:tab/>
            </w:r>
            <w:r>
              <w:rPr>
                <w:rStyle w:val="IndexLink"/>
              </w:rPr>
              <w:t>189</w:t>
            </w:r>
          </w:hyperlink>
        </w:p>
        <w:p>
          <w:pPr>
            <w:pStyle w:val="Contents4"/>
            <w:tabs>
              <w:tab w:val="clear" w:pos="8176"/>
              <w:tab w:val="right" w:pos="9026" w:leader="dot"/>
            </w:tabs>
            <w:rPr/>
          </w:pPr>
          <w:hyperlink w:anchor="__RefHeading___Toc11030399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030401_2142443653">
            <w:r>
              <w:rPr>
                <w:webHidden/>
                <w:rStyle w:val="IndexLink"/>
                <w:rtl w:val="true"/>
              </w:rPr>
              <w:t xml:space="preserve">أ </w:t>
            </w:r>
            <w:r>
              <w:rPr>
                <w:rStyle w:val="IndexLink"/>
                <w:rtl w:val="true"/>
              </w:rPr>
              <w:t xml:space="preserve">- </w:t>
            </w:r>
            <w:r>
              <w:rPr>
                <w:rStyle w:val="IndexLink"/>
                <w:rtl w:val="true"/>
              </w:rPr>
              <w:t>مجرد دعوى من دون دليل</w:t>
            </w:r>
            <w:r>
              <w:rPr>
                <w:rStyle w:val="IndexLink"/>
                <w:rtl w:val="true"/>
              </w:rPr>
              <w:t>:</w:t>
              <w:tab/>
            </w:r>
            <w:r>
              <w:rPr>
                <w:rStyle w:val="IndexLink"/>
              </w:rPr>
              <w:t>189</w:t>
            </w:r>
          </w:hyperlink>
        </w:p>
        <w:p>
          <w:pPr>
            <w:pStyle w:val="Contents4"/>
            <w:tabs>
              <w:tab w:val="clear" w:pos="8176"/>
              <w:tab w:val="right" w:pos="9026" w:leader="dot"/>
            </w:tabs>
            <w:rPr/>
          </w:pPr>
          <w:hyperlink w:anchor="__RefHeading___Toc11030403_2142443653">
            <w:r>
              <w:rPr>
                <w:webHidden/>
                <w:rStyle w:val="IndexLink"/>
                <w:rtl w:val="true"/>
              </w:rPr>
              <w:t xml:space="preserve">ب </w:t>
            </w:r>
            <w:r>
              <w:rPr>
                <w:rStyle w:val="IndexLink"/>
                <w:rtl w:val="true"/>
              </w:rPr>
              <w:t xml:space="preserve">- </w:t>
            </w:r>
            <w:r>
              <w:rPr>
                <w:rStyle w:val="IndexLink"/>
                <w:rtl w:val="true"/>
              </w:rPr>
              <w:t>الحجة وافتراض الطاعة من لوازم العصمة</w:t>
            </w:r>
            <w:r>
              <w:rPr>
                <w:rStyle w:val="IndexLink"/>
                <w:rtl w:val="true"/>
              </w:rPr>
              <w:t>:</w:t>
              <w:tab/>
            </w:r>
            <w:r>
              <w:rPr>
                <w:rStyle w:val="IndexLink"/>
              </w:rPr>
              <w:t>189</w:t>
            </w:r>
          </w:hyperlink>
        </w:p>
        <w:p>
          <w:pPr>
            <w:pStyle w:val="Contents4"/>
            <w:tabs>
              <w:tab w:val="clear" w:pos="8176"/>
              <w:tab w:val="right" w:pos="9026" w:leader="dot"/>
            </w:tabs>
            <w:rPr/>
          </w:pPr>
          <w:hyperlink w:anchor="__RefHeading___Toc11030405_2142443653">
            <w:r>
              <w:rPr>
                <w:webHidden/>
                <w:rStyle w:val="IndexLink"/>
                <w:rtl w:val="true"/>
              </w:rPr>
              <w:t xml:space="preserve">ج </w:t>
            </w:r>
            <w:r>
              <w:rPr>
                <w:rStyle w:val="IndexLink"/>
                <w:rtl w:val="true"/>
              </w:rPr>
              <w:t xml:space="preserve">- </w:t>
            </w:r>
            <w:r>
              <w:rPr>
                <w:rStyle w:val="IndexLink"/>
                <w:rtl w:val="true"/>
              </w:rPr>
              <w:t>أمر القرآن بالإطاعة وجعل الحجية</w:t>
            </w:r>
            <w:r>
              <w:rPr>
                <w:rStyle w:val="IndexLink"/>
                <w:rtl w:val="true"/>
              </w:rPr>
              <w:t>:</w:t>
              <w:tab/>
            </w:r>
            <w:r>
              <w:rPr>
                <w:rStyle w:val="IndexLink"/>
              </w:rPr>
              <w:t>190</w:t>
            </w:r>
          </w:hyperlink>
        </w:p>
        <w:p>
          <w:pPr>
            <w:pStyle w:val="Contents4"/>
            <w:tabs>
              <w:tab w:val="clear" w:pos="8176"/>
              <w:tab w:val="right" w:pos="9026" w:leader="dot"/>
            </w:tabs>
            <w:rPr/>
          </w:pPr>
          <w:hyperlink w:anchor="__RefHeading___Toc11030407_2142443653">
            <w:r>
              <w:rPr>
                <w:webHidden/>
                <w:rStyle w:val="IndexLink"/>
                <w:rtl w:val="true"/>
              </w:rPr>
              <w:t xml:space="preserve">هـ </w:t>
            </w:r>
            <w:r>
              <w:rPr>
                <w:rStyle w:val="IndexLink"/>
                <w:rtl w:val="true"/>
              </w:rPr>
              <w:t xml:space="preserve">- </w:t>
            </w:r>
            <w:r>
              <w:rPr>
                <w:rStyle w:val="IndexLink"/>
                <w:rtl w:val="true"/>
              </w:rPr>
              <w:t>حجية الإمام علي</w:t>
            </w:r>
            <w:r>
              <w:rPr>
                <w:rStyle w:val="IndexLink"/>
                <w:rtl w:val="true"/>
              </w:rPr>
              <w:t>(</w:t>
            </w:r>
            <w:r>
              <w:rPr>
                <w:rStyle w:val="IndexLink"/>
                <w:rtl w:val="true"/>
              </w:rPr>
              <w:t>علیه السّلام</w:t>
            </w:r>
            <w:r>
              <w:rPr>
                <w:rStyle w:val="IndexLink"/>
                <w:rtl w:val="true"/>
              </w:rPr>
              <w:t>)</w:t>
            </w:r>
            <w:r>
              <w:rPr>
                <w:rStyle w:val="IndexLink"/>
                <w:rtl w:val="true"/>
              </w:rPr>
              <w:t xml:space="preserve">في طول حجية النبي وحجية الله </w:t>
            </w:r>
            <w:r>
              <w:rPr>
                <w:rStyle w:val="IndexLink"/>
                <w:rtl w:val="true"/>
              </w:rPr>
              <w:t>:</w:t>
              <w:tab/>
            </w:r>
            <w:r>
              <w:rPr>
                <w:rStyle w:val="IndexLink"/>
              </w:rPr>
              <w:t>197</w:t>
            </w:r>
          </w:hyperlink>
        </w:p>
        <w:p>
          <w:pPr>
            <w:pStyle w:val="Contents3"/>
            <w:tabs>
              <w:tab w:val="clear" w:pos="8459"/>
              <w:tab w:val="right" w:pos="9026" w:leader="dot"/>
            </w:tabs>
            <w:rPr/>
          </w:pPr>
          <w:hyperlink w:anchor="__RefHeading___Toc11030409_2142443653">
            <w:r>
              <w:rPr>
                <w:webHidden/>
                <w:rStyle w:val="IndexLink"/>
                <w:rtl w:val="true"/>
              </w:rPr>
              <w:t>البرقعي وتمسكه بالأدلة النقلية في تقرير الشبهة</w:t>
            </w:r>
            <w:r>
              <w:rPr>
                <w:rStyle w:val="IndexLink"/>
                <w:rtl w:val="true"/>
              </w:rPr>
              <w:t>:</w:t>
              <w:tab/>
            </w:r>
            <w:r>
              <w:rPr>
                <w:rStyle w:val="IndexLink"/>
              </w:rPr>
              <w:t>198</w:t>
            </w:r>
          </w:hyperlink>
        </w:p>
        <w:p>
          <w:pPr>
            <w:pStyle w:val="Contents4"/>
            <w:tabs>
              <w:tab w:val="clear" w:pos="8176"/>
              <w:tab w:val="right" w:pos="9026" w:leader="dot"/>
            </w:tabs>
            <w:rPr/>
          </w:pPr>
          <w:hyperlink w:anchor="__RefHeading___Toc11030411_2142443653">
            <w:r>
              <w:rPr>
                <w:webHidden/>
                <w:rStyle w:val="IndexLink"/>
                <w:rtl w:val="true"/>
              </w:rPr>
              <w:t>اشارة</w:t>
            </w:r>
            <w:r>
              <w:rPr>
                <w:rStyle w:val="IndexLink"/>
                <w:rtl w:val="true"/>
              </w:rPr>
              <w:tab/>
            </w:r>
            <w:r>
              <w:rPr>
                <w:rStyle w:val="IndexLink"/>
              </w:rPr>
              <w:t>198</w:t>
            </w:r>
          </w:hyperlink>
        </w:p>
        <w:p>
          <w:pPr>
            <w:pStyle w:val="Contents4"/>
            <w:tabs>
              <w:tab w:val="clear" w:pos="8176"/>
              <w:tab w:val="right" w:pos="9026" w:leader="dot"/>
            </w:tabs>
            <w:rPr/>
          </w:pPr>
          <w:hyperlink w:anchor="__RefHeading___Toc11030413_2142443653">
            <w:r>
              <w:rPr>
                <w:webHidden/>
                <w:rStyle w:val="IndexLink"/>
                <w:rtl w:val="true"/>
              </w:rPr>
              <w:t xml:space="preserve">أ </w:t>
            </w:r>
            <w:r>
              <w:rPr>
                <w:rStyle w:val="IndexLink"/>
                <w:rtl w:val="true"/>
              </w:rPr>
              <w:t xml:space="preserve">- </w:t>
            </w:r>
            <w:r>
              <w:rPr>
                <w:rStyle w:val="IndexLink"/>
                <w:rtl w:val="true"/>
              </w:rPr>
              <w:t>دلالة القرآن على خاتمية الحجة الإلهية؟</w:t>
            </w:r>
            <w:r>
              <w:rPr>
                <w:rStyle w:val="IndexLink"/>
                <w:rtl w:val="true"/>
              </w:rPr>
              <w:t>!</w:t>
              <w:tab/>
            </w:r>
            <w:r>
              <w:rPr>
                <w:rStyle w:val="IndexLink"/>
              </w:rPr>
              <w:t>198</w:t>
            </w:r>
          </w:hyperlink>
        </w:p>
        <w:p>
          <w:pPr>
            <w:pStyle w:val="Contents4"/>
            <w:tabs>
              <w:tab w:val="clear" w:pos="8176"/>
              <w:tab w:val="right" w:pos="9026" w:leader="dot"/>
            </w:tabs>
            <w:rPr/>
          </w:pPr>
          <w:hyperlink w:anchor="__RefHeading___Toc11030415_2142443653">
            <w:r>
              <w:rPr>
                <w:webHidden/>
                <w:rStyle w:val="IndexLink"/>
                <w:rtl w:val="true"/>
              </w:rPr>
              <w:t xml:space="preserve">ب </w:t>
            </w:r>
            <w:r>
              <w:rPr>
                <w:rStyle w:val="IndexLink"/>
                <w:rtl w:val="true"/>
              </w:rPr>
              <w:t xml:space="preserve">- </w:t>
            </w:r>
            <w:r>
              <w:rPr>
                <w:rStyle w:val="IndexLink"/>
                <w:rtl w:val="true"/>
              </w:rPr>
              <w:t>كلام الإمام علي</w:t>
            </w:r>
            <w:r>
              <w:rPr>
                <w:rStyle w:val="IndexLink"/>
                <w:rtl w:val="true"/>
              </w:rPr>
              <w:t>(</w:t>
            </w:r>
            <w:r>
              <w:rPr>
                <w:rStyle w:val="IndexLink"/>
                <w:rtl w:val="true"/>
              </w:rPr>
              <w:t>علیه السّلام</w:t>
            </w:r>
            <w:r>
              <w:rPr>
                <w:rStyle w:val="IndexLink"/>
                <w:rtl w:val="true"/>
              </w:rPr>
              <w:t>)</w:t>
            </w:r>
            <w:r>
              <w:rPr>
                <w:rStyle w:val="IndexLink"/>
                <w:rtl w:val="true"/>
              </w:rPr>
              <w:t>في خاتمية الحجة الإلهية؟</w:t>
            </w:r>
            <w:r>
              <w:rPr>
                <w:rStyle w:val="IndexLink"/>
                <w:rtl w:val="true"/>
              </w:rPr>
              <w:t>!</w:t>
              <w:tab/>
            </w:r>
            <w:r>
              <w:rPr>
                <w:rStyle w:val="IndexLink"/>
              </w:rPr>
              <w:t>199</w:t>
            </w:r>
          </w:hyperlink>
        </w:p>
        <w:p>
          <w:pPr>
            <w:pStyle w:val="Contents4"/>
            <w:tabs>
              <w:tab w:val="clear" w:pos="8176"/>
              <w:tab w:val="right" w:pos="9026" w:leader="dot"/>
            </w:tabs>
            <w:rPr/>
          </w:pPr>
          <w:hyperlink w:anchor="__RefHeading___Toc11030417_2142443653">
            <w:r>
              <w:rPr>
                <w:webHidden/>
                <w:rStyle w:val="IndexLink"/>
                <w:rtl w:val="true"/>
              </w:rPr>
              <w:t xml:space="preserve">ج </w:t>
            </w:r>
            <w:r>
              <w:rPr>
                <w:rStyle w:val="IndexLink"/>
                <w:rtl w:val="true"/>
              </w:rPr>
              <w:t xml:space="preserve">- </w:t>
            </w:r>
            <w:r>
              <w:rPr>
                <w:rStyle w:val="IndexLink"/>
                <w:rtl w:val="true"/>
              </w:rPr>
              <w:t>حصر الحجة بالنبي والعقل</w:t>
            </w:r>
            <w:r>
              <w:rPr>
                <w:rStyle w:val="IndexLink"/>
                <w:rtl w:val="true"/>
              </w:rPr>
              <w:t>:</w:t>
              <w:tab/>
            </w:r>
            <w:r>
              <w:rPr>
                <w:rStyle w:val="IndexLink"/>
              </w:rPr>
              <w:t>203</w:t>
            </w:r>
          </w:hyperlink>
        </w:p>
        <w:p>
          <w:pPr>
            <w:pStyle w:val="Contents3"/>
            <w:tabs>
              <w:tab w:val="clear" w:pos="8459"/>
              <w:tab w:val="right" w:pos="9026" w:leader="dot"/>
            </w:tabs>
            <w:rPr/>
          </w:pPr>
          <w:hyperlink w:anchor="__RefHeading___Toc11030419_2142443653">
            <w:r>
              <w:rPr>
                <w:webHidden/>
                <w:rStyle w:val="IndexLink"/>
                <w:rtl w:val="true"/>
              </w:rPr>
              <w:t>الشبهة الخامسة</w:t>
            </w:r>
            <w:r>
              <w:rPr>
                <w:rStyle w:val="IndexLink"/>
                <w:rtl w:val="true"/>
              </w:rPr>
              <w:t xml:space="preserve">: </w:t>
            </w:r>
            <w:r>
              <w:rPr>
                <w:rStyle w:val="IndexLink"/>
                <w:rtl w:val="true"/>
              </w:rPr>
              <w:t>عدم انسجام الإلهام والولاية الباطنية للإمام مع الخاتمية</w:t>
            </w:r>
            <w:r>
              <w:rPr>
                <w:rStyle w:val="IndexLink"/>
                <w:rtl w:val="true"/>
              </w:rPr>
              <w:t>:</w:t>
              <w:tab/>
            </w:r>
            <w:r>
              <w:rPr>
                <w:rStyle w:val="IndexLink"/>
              </w:rPr>
              <w:t>205</w:t>
            </w:r>
          </w:hyperlink>
        </w:p>
        <w:p>
          <w:pPr>
            <w:pStyle w:val="Contents4"/>
            <w:tabs>
              <w:tab w:val="clear" w:pos="8176"/>
              <w:tab w:val="right" w:pos="9026" w:leader="dot"/>
            </w:tabs>
            <w:rPr/>
          </w:pPr>
          <w:hyperlink w:anchor="__RefHeading___Toc11030421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030423_2142443653">
            <w:r>
              <w:rPr>
                <w:webHidden/>
                <w:rStyle w:val="IndexLink"/>
                <w:rtl w:val="true"/>
              </w:rPr>
              <w:t xml:space="preserve">أ </w:t>
            </w:r>
            <w:r>
              <w:rPr>
                <w:rStyle w:val="IndexLink"/>
                <w:rtl w:val="true"/>
              </w:rPr>
              <w:t xml:space="preserve">- </w:t>
            </w:r>
            <w:r>
              <w:rPr>
                <w:rStyle w:val="IndexLink"/>
                <w:rtl w:val="true"/>
              </w:rPr>
              <w:t>تحقق الإلهام والاتصال الغيبي لغير الأنبياء</w:t>
            </w:r>
            <w:r>
              <w:rPr>
                <w:rStyle w:val="IndexLink"/>
                <w:rtl w:val="true"/>
              </w:rPr>
              <w:t>:</w:t>
              <w:tab/>
            </w:r>
            <w:r>
              <w:rPr>
                <w:rStyle w:val="IndexLink"/>
              </w:rPr>
              <w:t>206</w:t>
            </w:r>
          </w:hyperlink>
        </w:p>
        <w:p>
          <w:pPr>
            <w:pStyle w:val="Contents4"/>
            <w:tabs>
              <w:tab w:val="clear" w:pos="8176"/>
              <w:tab w:val="right" w:pos="9026" w:leader="dot"/>
            </w:tabs>
            <w:rPr/>
          </w:pPr>
          <w:hyperlink w:anchor="__RefHeading___Toc11030425_2142443653">
            <w:r>
              <w:rPr>
                <w:webHidden/>
                <w:rStyle w:val="IndexLink"/>
                <w:rtl w:val="true"/>
              </w:rPr>
              <w:t xml:space="preserve">ب </w:t>
            </w:r>
            <w:r>
              <w:rPr>
                <w:rStyle w:val="IndexLink"/>
                <w:rtl w:val="true"/>
              </w:rPr>
              <w:t>-</w:t>
            </w:r>
            <w:r>
              <w:rPr>
                <w:rStyle w:val="IndexLink"/>
                <w:rtl w:val="true"/>
              </w:rPr>
              <w:t xml:space="preserve">مقام الإمامة والولاية أسمى من مقام النبوة </w:t>
            </w:r>
            <w:r>
              <w:rPr>
                <w:rStyle w:val="IndexLink"/>
                <w:rtl w:val="true"/>
              </w:rPr>
              <w:t>(</w:t>
            </w:r>
            <w:r>
              <w:rPr>
                <w:rStyle w:val="IndexLink"/>
                <w:rtl w:val="true"/>
              </w:rPr>
              <w:t>رؤية عرفانية</w:t>
            </w:r>
            <w:r>
              <w:rPr>
                <w:rStyle w:val="IndexLink"/>
                <w:rtl w:val="true"/>
              </w:rPr>
              <w:t>):</w:t>
              <w:tab/>
            </w:r>
            <w:r>
              <w:rPr>
                <w:rStyle w:val="IndexLink"/>
              </w:rPr>
              <w:t>213</w:t>
            </w:r>
          </w:hyperlink>
        </w:p>
        <w:p>
          <w:pPr>
            <w:pStyle w:val="Contents4"/>
            <w:tabs>
              <w:tab w:val="clear" w:pos="8176"/>
              <w:tab w:val="right" w:pos="9026" w:leader="dot"/>
            </w:tabs>
            <w:rPr/>
          </w:pPr>
          <w:hyperlink w:anchor="__RefHeading___Toc11030427_2142443653">
            <w:r>
              <w:rPr>
                <w:webHidden/>
                <w:rStyle w:val="IndexLink"/>
                <w:rtl w:val="true"/>
              </w:rPr>
              <w:t xml:space="preserve">ج </w:t>
            </w:r>
            <w:r>
              <w:rPr>
                <w:rStyle w:val="IndexLink"/>
                <w:rtl w:val="true"/>
              </w:rPr>
              <w:t xml:space="preserve">- </w:t>
            </w:r>
            <w:r>
              <w:rPr>
                <w:rStyle w:val="IndexLink"/>
                <w:rtl w:val="true"/>
              </w:rPr>
              <w:t>اعتراف أهل السنة بأصل الإلهام والمكاشفة</w:t>
            </w:r>
            <w:r>
              <w:rPr>
                <w:rStyle w:val="IndexLink"/>
                <w:rtl w:val="true"/>
              </w:rPr>
              <w:t>:</w:t>
              <w:tab/>
            </w:r>
            <w:r>
              <w:rPr>
                <w:rStyle w:val="IndexLink"/>
              </w:rPr>
              <w:t>215</w:t>
            </w:r>
          </w:hyperlink>
        </w:p>
        <w:p>
          <w:pPr>
            <w:pStyle w:val="Contents4"/>
            <w:tabs>
              <w:tab w:val="clear" w:pos="8176"/>
              <w:tab w:val="right" w:pos="9026" w:leader="dot"/>
            </w:tabs>
            <w:rPr/>
          </w:pPr>
          <w:hyperlink w:anchor="__RefHeading___Toc11030429_2142443653">
            <w:r>
              <w:rPr>
                <w:webHidden/>
                <w:rStyle w:val="IndexLink"/>
                <w:rtl w:val="true"/>
              </w:rPr>
              <w:t xml:space="preserve">د </w:t>
            </w:r>
            <w:r>
              <w:rPr>
                <w:rStyle w:val="IndexLink"/>
                <w:rtl w:val="true"/>
              </w:rPr>
              <w:t xml:space="preserve">- </w:t>
            </w:r>
            <w:r>
              <w:rPr>
                <w:rStyle w:val="IndexLink"/>
                <w:rtl w:val="true"/>
              </w:rPr>
              <w:t>التصريح بالروح الباطنية للأئمة في الروايات النبوية</w:t>
            </w:r>
            <w:r>
              <w:rPr>
                <w:rStyle w:val="IndexLink"/>
                <w:rtl w:val="true"/>
              </w:rPr>
              <w:t>:</w:t>
              <w:tab/>
            </w:r>
            <w:r>
              <w:rPr>
                <w:rStyle w:val="IndexLink"/>
              </w:rPr>
              <w:t>217</w:t>
            </w:r>
          </w:hyperlink>
        </w:p>
        <w:p>
          <w:pPr>
            <w:pStyle w:val="Contents4"/>
            <w:tabs>
              <w:tab w:val="clear" w:pos="8176"/>
              <w:tab w:val="right" w:pos="9026" w:leader="dot"/>
            </w:tabs>
            <w:rPr/>
          </w:pPr>
          <w:hyperlink w:anchor="__RefHeading___Toc11030431_2142443653">
            <w:r>
              <w:rPr>
                <w:webHidden/>
                <w:rStyle w:val="IndexLink"/>
                <w:rtl w:val="true"/>
              </w:rPr>
              <w:t xml:space="preserve">هـ </w:t>
            </w:r>
            <w:r>
              <w:rPr>
                <w:rStyle w:val="IndexLink"/>
                <w:rtl w:val="true"/>
              </w:rPr>
              <w:t xml:space="preserve">- </w:t>
            </w:r>
            <w:r>
              <w:rPr>
                <w:rStyle w:val="IndexLink"/>
                <w:rtl w:val="true"/>
              </w:rPr>
              <w:t>الجواب النقضي على شبهة الدهلوي والدكتور سروش</w:t>
            </w:r>
            <w:r>
              <w:rPr>
                <w:rStyle w:val="IndexLink"/>
                <w:rtl w:val="true"/>
              </w:rPr>
              <w:t>:</w:t>
              <w:tab/>
            </w:r>
            <w:r>
              <w:rPr>
                <w:rStyle w:val="IndexLink"/>
              </w:rPr>
              <w:t>219</w:t>
            </w:r>
          </w:hyperlink>
        </w:p>
        <w:p>
          <w:pPr>
            <w:pStyle w:val="Contents3"/>
            <w:tabs>
              <w:tab w:val="clear" w:pos="8459"/>
              <w:tab w:val="right" w:pos="9026" w:leader="dot"/>
            </w:tabs>
            <w:rPr/>
          </w:pPr>
          <w:hyperlink w:anchor="__RefHeading___Toc11030433_2142443653">
            <w:r>
              <w:rPr>
                <w:webHidden/>
                <w:rStyle w:val="IndexLink"/>
                <w:rtl w:val="true"/>
              </w:rPr>
              <w:t>الشبهة السادسة</w:t>
            </w:r>
            <w:r>
              <w:rPr>
                <w:rStyle w:val="IndexLink"/>
                <w:rtl w:val="true"/>
              </w:rPr>
              <w:t xml:space="preserve">: </w:t>
            </w:r>
            <w:r>
              <w:rPr>
                <w:rStyle w:val="IndexLink"/>
                <w:rtl w:val="true"/>
              </w:rPr>
              <w:t>عدم انسجام الولاية التشريعية للإمام مع كمال الدين وخاتميته</w:t>
            </w:r>
            <w:r>
              <w:rPr>
                <w:rStyle w:val="IndexLink"/>
                <w:rtl w:val="true"/>
              </w:rPr>
              <w:t>:</w:t>
              <w:tab/>
            </w:r>
            <w:r>
              <w:rPr>
                <w:rStyle w:val="IndexLink"/>
              </w:rPr>
              <w:t>223</w:t>
            </w:r>
          </w:hyperlink>
        </w:p>
        <w:p>
          <w:pPr>
            <w:pStyle w:val="Contents4"/>
            <w:tabs>
              <w:tab w:val="clear" w:pos="8176"/>
              <w:tab w:val="right" w:pos="9026" w:leader="dot"/>
            </w:tabs>
            <w:rPr/>
          </w:pPr>
          <w:hyperlink w:anchor="__RefHeading___Toc11030435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030437_2142443653">
            <w:r>
              <w:rPr>
                <w:webHidden/>
                <w:rStyle w:val="IndexLink"/>
                <w:rtl w:val="true"/>
              </w:rPr>
              <w:t xml:space="preserve">أ </w:t>
            </w:r>
            <w:r>
              <w:rPr>
                <w:rStyle w:val="IndexLink"/>
                <w:rtl w:val="true"/>
              </w:rPr>
              <w:t xml:space="preserve">- </w:t>
            </w:r>
            <w:r>
              <w:rPr>
                <w:rStyle w:val="IndexLink"/>
                <w:rtl w:val="true"/>
              </w:rPr>
              <w:t>توضيح أصل التشريع والتخطئة</w:t>
            </w:r>
            <w:r>
              <w:rPr>
                <w:rStyle w:val="IndexLink"/>
                <w:rtl w:val="true"/>
              </w:rPr>
              <w:t>:</w:t>
              <w:tab/>
            </w:r>
            <w:r>
              <w:rPr>
                <w:rStyle w:val="IndexLink"/>
              </w:rPr>
              <w:t>226</w:t>
            </w:r>
          </w:hyperlink>
        </w:p>
        <w:p>
          <w:pPr>
            <w:pStyle w:val="Contents4"/>
            <w:tabs>
              <w:tab w:val="clear" w:pos="8176"/>
              <w:tab w:val="right" w:pos="9026" w:leader="dot"/>
            </w:tabs>
            <w:rPr/>
          </w:pPr>
          <w:hyperlink w:anchor="__RefHeading___Toc11030439_2142443653">
            <w:r>
              <w:rPr>
                <w:webHidden/>
                <w:rStyle w:val="IndexLink"/>
                <w:rtl w:val="true"/>
              </w:rPr>
              <w:t xml:space="preserve">ب </w:t>
            </w:r>
            <w:r>
              <w:rPr>
                <w:rStyle w:val="IndexLink"/>
                <w:rtl w:val="true"/>
              </w:rPr>
              <w:t xml:space="preserve">- </w:t>
            </w:r>
            <w:r>
              <w:rPr>
                <w:rStyle w:val="IndexLink"/>
                <w:rtl w:val="true"/>
              </w:rPr>
              <w:t>تشريع النبي الأكرم</w:t>
            </w:r>
            <w:r>
              <w:rPr>
                <w:rStyle w:val="IndexLink"/>
                <w:rtl w:val="true"/>
              </w:rPr>
              <w:t>(</w:t>
            </w:r>
            <w:r>
              <w:rPr>
                <w:rStyle w:val="IndexLink"/>
                <w:rtl w:val="true"/>
              </w:rPr>
              <w:t>صلی الله علیه و آله و سلم</w:t>
            </w:r>
            <w:r>
              <w:rPr>
                <w:rStyle w:val="IndexLink"/>
                <w:rtl w:val="true"/>
              </w:rPr>
              <w:t>)</w:t>
            </w:r>
            <w:r>
              <w:rPr>
                <w:rStyle w:val="IndexLink"/>
                <w:rtl w:val="true"/>
              </w:rPr>
              <w:t>كاشف عن الواقع</w:t>
            </w:r>
            <w:r>
              <w:rPr>
                <w:rStyle w:val="IndexLink"/>
                <w:rtl w:val="true"/>
              </w:rPr>
              <w:t>:</w:t>
              <w:tab/>
            </w:r>
            <w:r>
              <w:rPr>
                <w:rStyle w:val="IndexLink"/>
              </w:rPr>
              <w:t>228</w:t>
            </w:r>
          </w:hyperlink>
        </w:p>
        <w:p>
          <w:pPr>
            <w:pStyle w:val="Contents4"/>
            <w:tabs>
              <w:tab w:val="clear" w:pos="8176"/>
              <w:tab w:val="right" w:pos="9026" w:leader="dot"/>
            </w:tabs>
            <w:rPr/>
          </w:pPr>
          <w:hyperlink w:anchor="__RefHeading___Toc11030441_2142443653">
            <w:r>
              <w:rPr>
                <w:webHidden/>
                <w:rStyle w:val="IndexLink"/>
                <w:rtl w:val="true"/>
              </w:rPr>
              <w:t xml:space="preserve">ج </w:t>
            </w:r>
            <w:r>
              <w:rPr>
                <w:rStyle w:val="IndexLink"/>
                <w:rtl w:val="true"/>
              </w:rPr>
              <w:t xml:space="preserve">- </w:t>
            </w:r>
            <w:r>
              <w:rPr>
                <w:rStyle w:val="IndexLink"/>
                <w:rtl w:val="true"/>
              </w:rPr>
              <w:t>تشريع الأئمة</w:t>
            </w:r>
            <w:r>
              <w:rPr>
                <w:rStyle w:val="IndexLink"/>
                <w:rtl w:val="true"/>
              </w:rPr>
              <w:t>(</w:t>
            </w:r>
            <w:r>
              <w:rPr>
                <w:rStyle w:val="IndexLink"/>
                <w:rtl w:val="true"/>
              </w:rPr>
              <w:t>علیهم السّلام</w:t>
            </w:r>
            <w:r>
              <w:rPr>
                <w:rStyle w:val="IndexLink"/>
                <w:rtl w:val="true"/>
              </w:rPr>
              <w:t>)</w:t>
            </w:r>
            <w:r>
              <w:rPr>
                <w:rStyle w:val="IndexLink"/>
                <w:rtl w:val="true"/>
              </w:rPr>
              <w:t xml:space="preserve">في طول التشريع النبوي ومكمل له </w:t>
            </w:r>
            <w:r>
              <w:rPr>
                <w:rStyle w:val="IndexLink"/>
                <w:rtl w:val="true"/>
              </w:rPr>
              <w:t>:</w:t>
              <w:tab/>
            </w:r>
            <w:r>
              <w:rPr>
                <w:rStyle w:val="IndexLink"/>
              </w:rPr>
              <w:t>230</w:t>
            </w:r>
          </w:hyperlink>
        </w:p>
        <w:p>
          <w:pPr>
            <w:pStyle w:val="Contents4"/>
            <w:tabs>
              <w:tab w:val="clear" w:pos="8176"/>
              <w:tab w:val="right" w:pos="9026" w:leader="dot"/>
            </w:tabs>
            <w:rPr/>
          </w:pPr>
          <w:hyperlink w:anchor="__RefHeading___Toc11030443_2142443653">
            <w:r>
              <w:rPr>
                <w:webHidden/>
                <w:rStyle w:val="IndexLink"/>
                <w:rtl w:val="true"/>
              </w:rPr>
              <w:t xml:space="preserve">د </w:t>
            </w:r>
            <w:r>
              <w:rPr>
                <w:rStyle w:val="IndexLink"/>
                <w:rtl w:val="true"/>
              </w:rPr>
              <w:t xml:space="preserve">- </w:t>
            </w:r>
            <w:r>
              <w:rPr>
                <w:rStyle w:val="IndexLink"/>
                <w:rtl w:val="true"/>
              </w:rPr>
              <w:t>تشريع الأئمة</w:t>
            </w:r>
            <w:r>
              <w:rPr>
                <w:rStyle w:val="IndexLink"/>
                <w:rtl w:val="true"/>
              </w:rPr>
              <w:t>(</w:t>
            </w:r>
            <w:r>
              <w:rPr>
                <w:rStyle w:val="IndexLink"/>
                <w:rtl w:val="true"/>
              </w:rPr>
              <w:t>علیهم السّلام</w:t>
            </w:r>
            <w:r>
              <w:rPr>
                <w:rStyle w:val="IndexLink"/>
                <w:rtl w:val="true"/>
              </w:rPr>
              <w:t>)</w:t>
            </w:r>
            <w:r>
              <w:rPr>
                <w:rStyle w:val="IndexLink"/>
                <w:rtl w:val="true"/>
              </w:rPr>
              <w:t>في طول التشريع الإلهي</w:t>
            </w:r>
            <w:r>
              <w:rPr>
                <w:rStyle w:val="IndexLink"/>
                <w:rtl w:val="true"/>
              </w:rPr>
              <w:t>:</w:t>
              <w:tab/>
            </w:r>
            <w:r>
              <w:rPr>
                <w:rStyle w:val="IndexLink"/>
              </w:rPr>
              <w:t>231</w:t>
            </w:r>
          </w:hyperlink>
        </w:p>
        <w:p>
          <w:pPr>
            <w:pStyle w:val="Contents4"/>
            <w:tabs>
              <w:tab w:val="clear" w:pos="8176"/>
              <w:tab w:val="right" w:pos="9026" w:leader="dot"/>
            </w:tabs>
            <w:rPr/>
          </w:pPr>
          <w:hyperlink w:anchor="__RefHeading___Toc11030445_2142443653">
            <w:r>
              <w:rPr>
                <w:webHidden/>
                <w:rStyle w:val="IndexLink"/>
                <w:rtl w:val="true"/>
              </w:rPr>
              <w:t>هـ تشريع الأئمة</w:t>
            </w:r>
            <w:r>
              <w:rPr>
                <w:rStyle w:val="IndexLink"/>
                <w:rtl w:val="true"/>
              </w:rPr>
              <w:t>(</w:t>
            </w:r>
            <w:r>
              <w:rPr>
                <w:rStyle w:val="IndexLink"/>
                <w:rtl w:val="true"/>
              </w:rPr>
              <w:t>علیهم السّلام</w:t>
            </w:r>
            <w:r>
              <w:rPr>
                <w:rStyle w:val="IndexLink"/>
                <w:rtl w:val="true"/>
              </w:rPr>
              <w:t>)</w:t>
            </w:r>
            <w:r>
              <w:rPr>
                <w:rStyle w:val="IndexLink"/>
                <w:rtl w:val="true"/>
              </w:rPr>
              <w:t>مكمل للدين في الجزئيات</w:t>
            </w:r>
            <w:r>
              <w:rPr>
                <w:rStyle w:val="IndexLink"/>
                <w:rtl w:val="true"/>
              </w:rPr>
              <w:t>:</w:t>
              <w:tab/>
            </w:r>
            <w:r>
              <w:rPr>
                <w:rStyle w:val="IndexLink"/>
              </w:rPr>
              <w:t>236</w:t>
            </w:r>
          </w:hyperlink>
        </w:p>
        <w:p>
          <w:pPr>
            <w:pStyle w:val="Contents4"/>
            <w:tabs>
              <w:tab w:val="clear" w:pos="8176"/>
              <w:tab w:val="right" w:pos="9026" w:leader="dot"/>
            </w:tabs>
            <w:rPr/>
          </w:pPr>
          <w:hyperlink w:anchor="__RefHeading___Toc11030447_2142443653">
            <w:r>
              <w:rPr>
                <w:webHidden/>
                <w:rStyle w:val="IndexLink"/>
                <w:rtl w:val="true"/>
              </w:rPr>
              <w:t xml:space="preserve">و </w:t>
            </w:r>
            <w:r>
              <w:rPr>
                <w:rStyle w:val="IndexLink"/>
                <w:rtl w:val="true"/>
              </w:rPr>
              <w:t xml:space="preserve">- </w:t>
            </w:r>
            <w:r>
              <w:rPr>
                <w:rStyle w:val="IndexLink"/>
                <w:rtl w:val="true"/>
              </w:rPr>
              <w:t>الجمع بين نظرية الموافقين والمخالفين</w:t>
            </w:r>
            <w:r>
              <w:rPr>
                <w:rStyle w:val="IndexLink"/>
                <w:rtl w:val="true"/>
              </w:rPr>
              <w:t>:</w:t>
              <w:tab/>
            </w:r>
            <w:r>
              <w:rPr>
                <w:rStyle w:val="IndexLink"/>
              </w:rPr>
              <w:t>238</w:t>
            </w:r>
          </w:hyperlink>
        </w:p>
        <w:p>
          <w:pPr>
            <w:pStyle w:val="Contents3"/>
            <w:tabs>
              <w:tab w:val="clear" w:pos="8459"/>
              <w:tab w:val="right" w:pos="9026" w:leader="dot"/>
            </w:tabs>
            <w:rPr/>
          </w:pPr>
          <w:hyperlink w:anchor="__RefHeading___Toc11030449_2142443653">
            <w:r>
              <w:rPr>
                <w:webHidden/>
                <w:rStyle w:val="IndexLink"/>
                <w:rtl w:val="true"/>
              </w:rPr>
              <w:t>الشبهة السابعة</w:t>
            </w:r>
            <w:r>
              <w:rPr>
                <w:rStyle w:val="IndexLink"/>
                <w:rtl w:val="true"/>
              </w:rPr>
              <w:t xml:space="preserve">: </w:t>
            </w:r>
            <w:r>
              <w:rPr>
                <w:rStyle w:val="IndexLink"/>
                <w:rtl w:val="true"/>
              </w:rPr>
              <w:t>تعارض علم الإمام اللدني مع الخاتمية</w:t>
            </w:r>
            <w:r>
              <w:rPr>
                <w:rStyle w:val="IndexLink"/>
                <w:rtl w:val="true"/>
              </w:rPr>
              <w:t>:</w:t>
              <w:tab/>
            </w:r>
            <w:r>
              <w:rPr>
                <w:rStyle w:val="IndexLink"/>
              </w:rPr>
              <w:t>240</w:t>
            </w:r>
          </w:hyperlink>
        </w:p>
        <w:p>
          <w:pPr>
            <w:pStyle w:val="Contents4"/>
            <w:tabs>
              <w:tab w:val="clear" w:pos="8176"/>
              <w:tab w:val="right" w:pos="9026" w:leader="dot"/>
            </w:tabs>
            <w:rPr/>
          </w:pPr>
          <w:hyperlink w:anchor="__RefHeading___Toc11030451_2142443653">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030453_2142443653">
            <w:r>
              <w:rPr>
                <w:webHidden/>
                <w:rStyle w:val="IndexLink"/>
                <w:rtl w:val="true"/>
              </w:rPr>
              <w:t xml:space="preserve">أ </w:t>
            </w:r>
            <w:r>
              <w:rPr>
                <w:rStyle w:val="IndexLink"/>
                <w:rtl w:val="true"/>
              </w:rPr>
              <w:t xml:space="preserve">- </w:t>
            </w:r>
            <w:r>
              <w:rPr>
                <w:rStyle w:val="IndexLink"/>
                <w:rtl w:val="true"/>
              </w:rPr>
              <w:t>عدم اختصاص العلم اللدني بالأنبياء</w:t>
            </w:r>
            <w:r>
              <w:rPr>
                <w:rStyle w:val="IndexLink"/>
                <w:rtl w:val="true"/>
              </w:rPr>
              <w:t>:</w:t>
              <w:tab/>
            </w:r>
            <w:r>
              <w:rPr>
                <w:rStyle w:val="IndexLink"/>
              </w:rPr>
              <w:t>241</w:t>
            </w:r>
          </w:hyperlink>
        </w:p>
        <w:p>
          <w:pPr>
            <w:pStyle w:val="Contents4"/>
            <w:tabs>
              <w:tab w:val="clear" w:pos="8176"/>
              <w:tab w:val="right" w:pos="9026" w:leader="dot"/>
            </w:tabs>
            <w:rPr/>
          </w:pPr>
          <w:hyperlink w:anchor="__RefHeading___Toc11030455_2142443653">
            <w:r>
              <w:rPr>
                <w:webHidden/>
                <w:rStyle w:val="IndexLink"/>
                <w:rtl w:val="true"/>
              </w:rPr>
              <w:t xml:space="preserve">ب </w:t>
            </w:r>
            <w:r>
              <w:rPr>
                <w:rStyle w:val="IndexLink"/>
                <w:rtl w:val="true"/>
              </w:rPr>
              <w:t xml:space="preserve">- </w:t>
            </w:r>
            <w:r>
              <w:rPr>
                <w:rStyle w:val="IndexLink"/>
                <w:rtl w:val="true"/>
              </w:rPr>
              <w:t>تصريح النبي الأكرم</w:t>
            </w:r>
            <w:r>
              <w:rPr>
                <w:rStyle w:val="IndexLink"/>
                <w:rtl w:val="true"/>
              </w:rPr>
              <w:t>(</w:t>
            </w:r>
            <w:r>
              <w:rPr>
                <w:rStyle w:val="IndexLink"/>
                <w:rtl w:val="true"/>
              </w:rPr>
              <w:t>صلی الله علیه و آله و سلم</w:t>
            </w:r>
            <w:r>
              <w:rPr>
                <w:rStyle w:val="IndexLink"/>
                <w:rtl w:val="true"/>
              </w:rPr>
              <w:t>)</w:t>
            </w:r>
            <w:r>
              <w:rPr>
                <w:rStyle w:val="IndexLink"/>
                <w:rtl w:val="true"/>
              </w:rPr>
              <w:t>بالعلم اللدنى للأئمة</w:t>
            </w:r>
            <w:r>
              <w:rPr>
                <w:rStyle w:val="IndexLink"/>
                <w:rtl w:val="true"/>
              </w:rPr>
              <w:t>(</w:t>
            </w:r>
            <w:r>
              <w:rPr>
                <w:rStyle w:val="IndexLink"/>
                <w:rtl w:val="true"/>
              </w:rPr>
              <w:t>علیهم السّلام</w:t>
            </w:r>
            <w:r>
              <w:rPr>
                <w:rStyle w:val="IndexLink"/>
                <w:rtl w:val="true"/>
              </w:rPr>
              <w:t>) :</w:t>
              <w:tab/>
            </w:r>
            <w:r>
              <w:rPr>
                <w:rStyle w:val="IndexLink"/>
              </w:rPr>
              <w:t>243</w:t>
            </w:r>
          </w:hyperlink>
        </w:p>
        <w:p>
          <w:pPr>
            <w:pStyle w:val="Contents4"/>
            <w:tabs>
              <w:tab w:val="clear" w:pos="8176"/>
              <w:tab w:val="right" w:pos="9026" w:leader="dot"/>
            </w:tabs>
            <w:rPr/>
          </w:pPr>
          <w:hyperlink w:anchor="__RefHeading___Toc11030457_2142443653">
            <w:r>
              <w:rPr>
                <w:webHidden/>
                <w:rStyle w:val="IndexLink"/>
                <w:rtl w:val="true"/>
              </w:rPr>
              <w:t xml:space="preserve">ج </w:t>
            </w:r>
            <w:r>
              <w:rPr>
                <w:rStyle w:val="IndexLink"/>
                <w:rtl w:val="true"/>
              </w:rPr>
              <w:t xml:space="preserve">- </w:t>
            </w:r>
            <w:r>
              <w:rPr>
                <w:rStyle w:val="IndexLink"/>
                <w:rtl w:val="true"/>
              </w:rPr>
              <w:t>تصريح الإمام علي</w:t>
            </w:r>
            <w:r>
              <w:rPr>
                <w:rStyle w:val="IndexLink"/>
                <w:rtl w:val="true"/>
              </w:rPr>
              <w:t>(</w:t>
            </w:r>
            <w:r>
              <w:rPr>
                <w:rStyle w:val="IndexLink"/>
                <w:rtl w:val="true"/>
              </w:rPr>
              <w:t>علیه السّلام</w:t>
            </w:r>
            <w:r>
              <w:rPr>
                <w:rStyle w:val="IndexLink"/>
                <w:rtl w:val="true"/>
              </w:rPr>
              <w:t>)</w:t>
            </w:r>
            <w:r>
              <w:rPr>
                <w:rStyle w:val="IndexLink"/>
                <w:rtl w:val="true"/>
              </w:rPr>
              <w:t>بعلمه للغيب</w:t>
            </w:r>
            <w:r>
              <w:rPr>
                <w:rStyle w:val="IndexLink"/>
                <w:rtl w:val="true"/>
              </w:rPr>
              <w:t>:</w:t>
              <w:tab/>
            </w:r>
            <w:r>
              <w:rPr>
                <w:rStyle w:val="IndexLink"/>
              </w:rPr>
              <w:t>244</w:t>
            </w:r>
          </w:hyperlink>
        </w:p>
        <w:p>
          <w:pPr>
            <w:pStyle w:val="Contents4"/>
            <w:tabs>
              <w:tab w:val="clear" w:pos="8176"/>
              <w:tab w:val="right" w:pos="9026" w:leader="dot"/>
            </w:tabs>
            <w:rPr/>
          </w:pPr>
          <w:hyperlink w:anchor="__RefHeading___Toc11030459_2142443653">
            <w:r>
              <w:rPr>
                <w:webHidden/>
                <w:rStyle w:val="IndexLink"/>
                <w:rtl w:val="true"/>
              </w:rPr>
              <w:t xml:space="preserve">د </w:t>
            </w:r>
            <w:r>
              <w:rPr>
                <w:rStyle w:val="IndexLink"/>
                <w:rtl w:val="true"/>
              </w:rPr>
              <w:t xml:space="preserve">- </w:t>
            </w:r>
            <w:r>
              <w:rPr>
                <w:rStyle w:val="IndexLink"/>
                <w:rtl w:val="true"/>
              </w:rPr>
              <w:t>اعتراف بعض أهل السنة بعلم الإمام للغيب</w:t>
            </w:r>
            <w:r>
              <w:rPr>
                <w:rStyle w:val="IndexLink"/>
                <w:rtl w:val="true"/>
              </w:rPr>
              <w:t>:</w:t>
              <w:tab/>
            </w:r>
            <w:r>
              <w:rPr>
                <w:rStyle w:val="IndexLink"/>
              </w:rPr>
              <w:t>246</w:t>
            </w:r>
          </w:hyperlink>
        </w:p>
        <w:p>
          <w:pPr>
            <w:pStyle w:val="Contents4"/>
            <w:tabs>
              <w:tab w:val="clear" w:pos="8176"/>
              <w:tab w:val="right" w:pos="9026" w:leader="dot"/>
            </w:tabs>
            <w:rPr/>
          </w:pPr>
          <w:hyperlink w:anchor="__RefHeading___Toc11030461_2142443653">
            <w:r>
              <w:rPr>
                <w:webHidden/>
                <w:rStyle w:val="IndexLink"/>
                <w:rtl w:val="true"/>
              </w:rPr>
              <w:t xml:space="preserve">هـ </w:t>
            </w:r>
            <w:r>
              <w:rPr>
                <w:rStyle w:val="IndexLink"/>
                <w:rtl w:val="true"/>
              </w:rPr>
              <w:t xml:space="preserve">- </w:t>
            </w:r>
            <w:r>
              <w:rPr>
                <w:rStyle w:val="IndexLink"/>
                <w:rtl w:val="true"/>
              </w:rPr>
              <w:t>علم الغيب من نتائج الولاية الباطنية</w:t>
            </w:r>
            <w:r>
              <w:rPr>
                <w:rStyle w:val="IndexLink"/>
                <w:rtl w:val="true"/>
              </w:rPr>
              <w:t>:</w:t>
              <w:tab/>
            </w:r>
            <w:r>
              <w:rPr>
                <w:rStyle w:val="IndexLink"/>
              </w:rPr>
              <w:t>247</w:t>
            </w:r>
          </w:hyperlink>
        </w:p>
        <w:p>
          <w:pPr>
            <w:pStyle w:val="Contents3"/>
            <w:tabs>
              <w:tab w:val="clear" w:pos="8459"/>
              <w:tab w:val="right" w:pos="9026" w:leader="dot"/>
            </w:tabs>
            <w:rPr/>
          </w:pPr>
          <w:hyperlink w:anchor="__RefHeading___Toc11030463_2142443653">
            <w:r>
              <w:rPr>
                <w:webHidden/>
                <w:rStyle w:val="IndexLink"/>
                <w:rtl w:val="true"/>
              </w:rPr>
              <w:t>الشبهة الثامنة</w:t>
            </w:r>
            <w:r>
              <w:rPr>
                <w:rStyle w:val="IndexLink"/>
                <w:rtl w:val="true"/>
              </w:rPr>
              <w:t xml:space="preserve">: </w:t>
            </w:r>
            <w:r>
              <w:rPr>
                <w:rStyle w:val="IndexLink"/>
                <w:rtl w:val="true"/>
              </w:rPr>
              <w:t>تفويض أمور النبوة للإمام نقض للخاتمية</w:t>
            </w:r>
            <w:r>
              <w:rPr>
                <w:rStyle w:val="IndexLink"/>
                <w:rtl w:val="true"/>
              </w:rPr>
              <w:t>:</w:t>
              <w:tab/>
            </w:r>
            <w:r>
              <w:rPr>
                <w:rStyle w:val="IndexLink"/>
              </w:rPr>
              <w:t>250</w:t>
            </w:r>
          </w:hyperlink>
        </w:p>
        <w:p>
          <w:pPr>
            <w:pStyle w:val="Contents3"/>
            <w:tabs>
              <w:tab w:val="clear" w:pos="8459"/>
              <w:tab w:val="right" w:pos="9026" w:leader="dot"/>
            </w:tabs>
            <w:rPr/>
          </w:pPr>
          <w:hyperlink w:anchor="__RefHeading___Toc11030465_2142443653">
            <w:r>
              <w:rPr>
                <w:webHidden/>
                <w:rStyle w:val="IndexLink"/>
                <w:rtl w:val="true"/>
              </w:rPr>
              <w:t>مناقشة وتحليل</w:t>
            </w:r>
            <w:r>
              <w:rPr>
                <w:rStyle w:val="IndexLink"/>
                <w:rtl w:val="true"/>
              </w:rPr>
              <w:t>:</w:t>
              <w:tab/>
            </w:r>
            <w:r>
              <w:rPr>
                <w:rStyle w:val="IndexLink"/>
              </w:rPr>
              <w:t>251</w:t>
            </w:r>
          </w:hyperlink>
        </w:p>
        <w:p>
          <w:pPr>
            <w:pStyle w:val="Contents2"/>
            <w:tabs>
              <w:tab w:val="clear" w:pos="8743"/>
              <w:tab w:val="right" w:pos="9026" w:leader="dot"/>
            </w:tabs>
            <w:rPr/>
          </w:pPr>
          <w:hyperlink w:anchor="__RefHeading___Toc11030467_2142443653">
            <w:r>
              <w:rPr>
                <w:webHidden/>
                <w:rStyle w:val="IndexLink"/>
                <w:rtl w:val="true"/>
              </w:rPr>
              <w:t>الفصل الرابع</w:t>
            </w:r>
            <w:r>
              <w:rPr>
                <w:rStyle w:val="IndexLink"/>
                <w:rtl w:val="true"/>
              </w:rPr>
              <w:tab/>
            </w:r>
            <w:r>
              <w:rPr>
                <w:rStyle w:val="IndexLink"/>
              </w:rPr>
              <w:t>253</w:t>
            </w:r>
          </w:hyperlink>
        </w:p>
        <w:p>
          <w:pPr>
            <w:pStyle w:val="Contents3"/>
            <w:tabs>
              <w:tab w:val="clear" w:pos="8459"/>
              <w:tab w:val="right" w:pos="9026" w:leader="dot"/>
            </w:tabs>
            <w:rPr/>
          </w:pPr>
          <w:hyperlink w:anchor="__RefHeading___Toc11030469_2142443653">
            <w:r>
              <w:rPr>
                <w:webHidden/>
                <w:rStyle w:val="IndexLink"/>
                <w:rtl w:val="true"/>
              </w:rPr>
              <w:t>شبهات حول أصل التنصيب ونقدها</w:t>
            </w:r>
            <w:r>
              <w:rPr>
                <w:rStyle w:val="IndexLink"/>
                <w:rtl w:val="true"/>
              </w:rPr>
              <w:tab/>
            </w:r>
            <w:r>
              <w:rPr>
                <w:rStyle w:val="IndexLink"/>
              </w:rPr>
              <w:t>253</w:t>
            </w:r>
          </w:hyperlink>
        </w:p>
        <w:p>
          <w:pPr>
            <w:pStyle w:val="Contents3"/>
            <w:tabs>
              <w:tab w:val="clear" w:pos="8459"/>
              <w:tab w:val="right" w:pos="9026" w:leader="dot"/>
            </w:tabs>
            <w:rPr/>
          </w:pPr>
          <w:hyperlink w:anchor="__RefHeading___Toc11030471_2142443653">
            <w:r>
              <w:rPr>
                <w:webHidden/>
                <w:rStyle w:val="IndexLink"/>
                <w:rtl w:val="true"/>
              </w:rPr>
              <w:t>الشبهة الأولى</w:t>
            </w:r>
            <w:r>
              <w:rPr>
                <w:rStyle w:val="IndexLink"/>
                <w:rtl w:val="true"/>
              </w:rPr>
              <w:t xml:space="preserve">: </w:t>
            </w:r>
            <w:r>
              <w:rPr>
                <w:rStyle w:val="IndexLink"/>
                <w:rtl w:val="true"/>
              </w:rPr>
              <w:t xml:space="preserve">عدم ذكر التنصيب في القرآن الكريم </w:t>
            </w:r>
            <w:r>
              <w:rPr>
                <w:rStyle w:val="IndexLink"/>
                <w:rtl w:val="true"/>
              </w:rPr>
              <w:t>:</w:t>
              <w:tab/>
            </w:r>
            <w:r>
              <w:rPr>
                <w:rStyle w:val="IndexLink"/>
              </w:rPr>
              <w:t>255</w:t>
            </w:r>
          </w:hyperlink>
        </w:p>
        <w:p>
          <w:pPr>
            <w:pStyle w:val="Contents4"/>
            <w:tabs>
              <w:tab w:val="clear" w:pos="8176"/>
              <w:tab w:val="right" w:pos="9026" w:leader="dot"/>
            </w:tabs>
            <w:rPr/>
          </w:pPr>
          <w:hyperlink w:anchor="__RefHeading___Toc11030473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1030475_2142443653">
            <w:r>
              <w:rPr>
                <w:webHidden/>
                <w:rStyle w:val="IndexLink"/>
                <w:rtl w:val="true"/>
              </w:rPr>
              <w:t xml:space="preserve">وجود الآيات الظاهرة في التنصيب </w:t>
            </w:r>
            <w:r>
              <w:rPr>
                <w:rStyle w:val="IndexLink"/>
                <w:rtl w:val="true"/>
              </w:rPr>
              <w:t>:</w:t>
              <w:tab/>
            </w:r>
            <w:r>
              <w:rPr>
                <w:rStyle w:val="IndexLink"/>
              </w:rPr>
              <w:t>256</w:t>
            </w:r>
          </w:hyperlink>
        </w:p>
        <w:p>
          <w:pPr>
            <w:pStyle w:val="Contents3"/>
            <w:tabs>
              <w:tab w:val="clear" w:pos="8459"/>
              <w:tab w:val="right" w:pos="9026" w:leader="dot"/>
            </w:tabs>
            <w:rPr/>
          </w:pPr>
          <w:hyperlink w:anchor="__RefHeading___Toc11030477_2142443653">
            <w:r>
              <w:rPr>
                <w:webHidden/>
                <w:rStyle w:val="IndexLink"/>
                <w:rtl w:val="true"/>
              </w:rPr>
              <w:t>الشبهة الثانية</w:t>
            </w:r>
            <w:r>
              <w:rPr>
                <w:rStyle w:val="IndexLink"/>
                <w:rtl w:val="true"/>
              </w:rPr>
              <w:t xml:space="preserve">: </w:t>
            </w:r>
            <w:r>
              <w:rPr>
                <w:rStyle w:val="IndexLink"/>
                <w:rtl w:val="true"/>
              </w:rPr>
              <w:t>عدم ذكر اسم الإمام علي</w:t>
            </w:r>
            <w:r>
              <w:rPr>
                <w:rStyle w:val="IndexLink"/>
                <w:rtl w:val="true"/>
              </w:rPr>
              <w:t>(</w:t>
            </w:r>
            <w:r>
              <w:rPr>
                <w:rStyle w:val="IndexLink"/>
                <w:rtl w:val="true"/>
              </w:rPr>
              <w:t>علیه السّلام</w:t>
            </w:r>
            <w:r>
              <w:rPr>
                <w:rStyle w:val="IndexLink"/>
                <w:rtl w:val="true"/>
              </w:rPr>
              <w:t>)</w:t>
            </w:r>
            <w:r>
              <w:rPr>
                <w:rStyle w:val="IndexLink"/>
                <w:rtl w:val="true"/>
              </w:rPr>
              <w:t xml:space="preserve">في القرآن الكريم </w:t>
            </w:r>
            <w:r>
              <w:rPr>
                <w:rStyle w:val="IndexLink"/>
                <w:rtl w:val="true"/>
              </w:rPr>
              <w:t>:</w:t>
              <w:tab/>
            </w:r>
            <w:r>
              <w:rPr>
                <w:rStyle w:val="IndexLink"/>
              </w:rPr>
              <w:t>266</w:t>
            </w:r>
          </w:hyperlink>
        </w:p>
        <w:p>
          <w:pPr>
            <w:pStyle w:val="Contents3"/>
            <w:tabs>
              <w:tab w:val="clear" w:pos="8459"/>
              <w:tab w:val="right" w:pos="9026" w:leader="dot"/>
            </w:tabs>
            <w:rPr/>
          </w:pPr>
          <w:hyperlink w:anchor="__RefHeading___Toc11030479_2142443653">
            <w:r>
              <w:rPr>
                <w:webHidden/>
                <w:rStyle w:val="IndexLink"/>
                <w:rtl w:val="true"/>
              </w:rPr>
              <w:t xml:space="preserve">الشبهة الثالثة </w:t>
            </w:r>
            <w:r>
              <w:rPr>
                <w:rStyle w:val="IndexLink"/>
                <w:rtl w:val="true"/>
              </w:rPr>
              <w:t xml:space="preserve">: </w:t>
            </w:r>
            <w:r>
              <w:rPr>
                <w:rStyle w:val="IndexLink"/>
                <w:rtl w:val="true"/>
              </w:rPr>
              <w:t>عدم وجود التنصيب في الروايات النبوية</w:t>
            </w:r>
            <w:r>
              <w:rPr>
                <w:rStyle w:val="IndexLink"/>
                <w:rtl w:val="true"/>
              </w:rPr>
              <w:t>:</w:t>
              <w:tab/>
            </w:r>
            <w:r>
              <w:rPr>
                <w:rStyle w:val="IndexLink"/>
              </w:rPr>
              <w:t>275</w:t>
            </w:r>
          </w:hyperlink>
        </w:p>
        <w:p>
          <w:pPr>
            <w:pStyle w:val="Contents4"/>
            <w:tabs>
              <w:tab w:val="clear" w:pos="8176"/>
              <w:tab w:val="right" w:pos="9026" w:leader="dot"/>
            </w:tabs>
            <w:rPr/>
          </w:pPr>
          <w:hyperlink w:anchor="__RefHeading___Toc11030481_2142443653">
            <w:r>
              <w:rPr>
                <w:webHidden/>
                <w:rStyle w:val="IndexLink"/>
                <w:rtl w:val="true"/>
              </w:rPr>
              <w:t>اشارة</w:t>
            </w:r>
            <w:r>
              <w:rPr>
                <w:rStyle w:val="IndexLink"/>
                <w:rtl w:val="true"/>
              </w:rPr>
              <w:tab/>
            </w:r>
            <w:r>
              <w:rPr>
                <w:rStyle w:val="IndexLink"/>
              </w:rPr>
              <w:t>275</w:t>
            </w:r>
          </w:hyperlink>
        </w:p>
        <w:p>
          <w:pPr>
            <w:pStyle w:val="Contents4"/>
            <w:tabs>
              <w:tab w:val="clear" w:pos="8176"/>
              <w:tab w:val="right" w:pos="9026" w:leader="dot"/>
            </w:tabs>
            <w:rPr/>
          </w:pPr>
          <w:hyperlink w:anchor="__RefHeading___Toc11030483_2142443653">
            <w:r>
              <w:rPr>
                <w:webHidden/>
                <w:rStyle w:val="IndexLink"/>
                <w:rtl w:val="true"/>
              </w:rPr>
              <w:t>أولاً</w:t>
            </w:r>
            <w:r>
              <w:rPr>
                <w:rStyle w:val="IndexLink"/>
                <w:rtl w:val="true"/>
              </w:rPr>
              <w:t xml:space="preserve">: </w:t>
            </w:r>
            <w:r>
              <w:rPr>
                <w:rStyle w:val="IndexLink"/>
                <w:rtl w:val="true"/>
              </w:rPr>
              <w:t>أحاديث الخلافة</w:t>
            </w:r>
            <w:r>
              <w:rPr>
                <w:rStyle w:val="IndexLink"/>
                <w:rtl w:val="true"/>
              </w:rPr>
              <w:t>:</w:t>
              <w:tab/>
            </w:r>
            <w:r>
              <w:rPr>
                <w:rStyle w:val="IndexLink"/>
              </w:rPr>
              <w:t>276</w:t>
            </w:r>
          </w:hyperlink>
        </w:p>
        <w:p>
          <w:pPr>
            <w:pStyle w:val="Contents5"/>
            <w:tabs>
              <w:tab w:val="clear" w:pos="7892"/>
              <w:tab w:val="right" w:pos="9026" w:leader="dot"/>
            </w:tabs>
            <w:rPr/>
          </w:pPr>
          <w:hyperlink w:anchor="__RefHeading___Toc11030485_2142443653">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030487_2142443653">
            <w:r>
              <w:rPr>
                <w:webHidden/>
                <w:rStyle w:val="IndexLink"/>
                <w:rtl w:val="true"/>
              </w:rPr>
              <w:t>التصريح بخلافة الإمام علي</w:t>
            </w:r>
            <w:r>
              <w:rPr>
                <w:rStyle w:val="IndexLink"/>
                <w:rtl w:val="true"/>
              </w:rPr>
              <w:t>(</w:t>
            </w:r>
            <w:r>
              <w:rPr>
                <w:rStyle w:val="IndexLink"/>
                <w:rtl w:val="true"/>
              </w:rPr>
              <w:t>علیه السّلام</w:t>
            </w:r>
            <w:r>
              <w:rPr>
                <w:rStyle w:val="IndexLink"/>
                <w:rtl w:val="true"/>
              </w:rPr>
              <w:t>) :</w:t>
              <w:tab/>
            </w:r>
            <w:r>
              <w:rPr>
                <w:rStyle w:val="IndexLink"/>
              </w:rPr>
              <w:t>278</w:t>
            </w:r>
          </w:hyperlink>
        </w:p>
        <w:p>
          <w:pPr>
            <w:pStyle w:val="Contents5"/>
            <w:tabs>
              <w:tab w:val="clear" w:pos="7892"/>
              <w:tab w:val="right" w:pos="9026" w:leader="dot"/>
            </w:tabs>
            <w:rPr/>
          </w:pPr>
          <w:hyperlink w:anchor="__RefHeading___Toc11030489_2142443653">
            <w:r>
              <w:rPr>
                <w:webHidden/>
                <w:rStyle w:val="IndexLink"/>
                <w:rtl w:val="true"/>
              </w:rPr>
              <w:t xml:space="preserve">حديث خاصف النعل </w:t>
            </w:r>
            <w:r>
              <w:rPr>
                <w:rStyle w:val="IndexLink"/>
                <w:rtl w:val="true"/>
              </w:rPr>
              <w:t>:</w:t>
              <w:tab/>
            </w:r>
            <w:r>
              <w:rPr>
                <w:rStyle w:val="IndexLink"/>
              </w:rPr>
              <w:t>280</w:t>
            </w:r>
          </w:hyperlink>
        </w:p>
        <w:p>
          <w:pPr>
            <w:pStyle w:val="Contents4"/>
            <w:tabs>
              <w:tab w:val="clear" w:pos="8176"/>
              <w:tab w:val="right" w:pos="9026" w:leader="dot"/>
            </w:tabs>
            <w:rPr/>
          </w:pPr>
          <w:hyperlink w:anchor="__RefHeading___Toc11030491_2142443653">
            <w:r>
              <w:rPr>
                <w:webHidden/>
                <w:rStyle w:val="IndexLink"/>
                <w:rtl w:val="true"/>
              </w:rPr>
              <w:t xml:space="preserve">ثانياً </w:t>
            </w:r>
            <w:r>
              <w:rPr>
                <w:rStyle w:val="IndexLink"/>
                <w:rtl w:val="true"/>
              </w:rPr>
              <w:t xml:space="preserve">: </w:t>
            </w:r>
            <w:r>
              <w:rPr>
                <w:rStyle w:val="IndexLink"/>
                <w:rtl w:val="true"/>
              </w:rPr>
              <w:t>أحاديث إمامة أمير المؤمنين واستيزاره</w:t>
            </w:r>
            <w:r>
              <w:rPr>
                <w:rStyle w:val="IndexLink"/>
                <w:rtl w:val="true"/>
              </w:rPr>
              <w:t>:</w:t>
              <w:tab/>
            </w:r>
            <w:r>
              <w:rPr>
                <w:rStyle w:val="IndexLink"/>
              </w:rPr>
              <w:t>281</w:t>
            </w:r>
          </w:hyperlink>
        </w:p>
        <w:p>
          <w:pPr>
            <w:pStyle w:val="Contents4"/>
            <w:tabs>
              <w:tab w:val="clear" w:pos="8176"/>
              <w:tab w:val="right" w:pos="9026" w:leader="dot"/>
            </w:tabs>
            <w:rPr/>
          </w:pPr>
          <w:hyperlink w:anchor="__RefHeading___Toc11030493_2142443653">
            <w:r>
              <w:rPr>
                <w:webHidden/>
                <w:rStyle w:val="IndexLink"/>
                <w:rtl w:val="true"/>
              </w:rPr>
              <w:t>ثالثاً</w:t>
            </w:r>
            <w:r>
              <w:rPr>
                <w:rStyle w:val="IndexLink"/>
                <w:rtl w:val="true"/>
              </w:rPr>
              <w:t xml:space="preserve">: </w:t>
            </w:r>
            <w:r>
              <w:rPr>
                <w:rStyle w:val="IndexLink"/>
                <w:rtl w:val="true"/>
              </w:rPr>
              <w:t>حديث الغدير</w:t>
            </w:r>
            <w:r>
              <w:rPr>
                <w:rStyle w:val="IndexLink"/>
                <w:rtl w:val="true"/>
              </w:rPr>
              <w:t>:</w:t>
              <w:tab/>
            </w:r>
            <w:r>
              <w:rPr>
                <w:rStyle w:val="IndexLink"/>
              </w:rPr>
              <w:t>283</w:t>
            </w:r>
          </w:hyperlink>
        </w:p>
        <w:p>
          <w:pPr>
            <w:pStyle w:val="Contents4"/>
            <w:tabs>
              <w:tab w:val="clear" w:pos="8176"/>
              <w:tab w:val="right" w:pos="9026" w:leader="dot"/>
            </w:tabs>
            <w:rPr/>
          </w:pPr>
          <w:hyperlink w:anchor="__RefHeading___Toc11030495_2142443653">
            <w:r>
              <w:rPr>
                <w:webHidden/>
                <w:rStyle w:val="IndexLink"/>
                <w:rtl w:val="true"/>
              </w:rPr>
              <w:t>رابعاً</w:t>
            </w:r>
            <w:r>
              <w:rPr>
                <w:rStyle w:val="IndexLink"/>
                <w:rtl w:val="true"/>
              </w:rPr>
              <w:t xml:space="preserve">: </w:t>
            </w:r>
            <w:r>
              <w:rPr>
                <w:rStyle w:val="IndexLink"/>
                <w:rtl w:val="true"/>
              </w:rPr>
              <w:t>أحاديث المنزلة</w:t>
            </w:r>
            <w:r>
              <w:rPr>
                <w:rStyle w:val="IndexLink"/>
                <w:rtl w:val="true"/>
              </w:rPr>
              <w:t>:</w:t>
              <w:tab/>
            </w:r>
            <w:r>
              <w:rPr>
                <w:rStyle w:val="IndexLink"/>
              </w:rPr>
              <w:t>290</w:t>
            </w:r>
          </w:hyperlink>
        </w:p>
        <w:p>
          <w:pPr>
            <w:pStyle w:val="Contents4"/>
            <w:tabs>
              <w:tab w:val="clear" w:pos="8176"/>
              <w:tab w:val="right" w:pos="9026" w:leader="dot"/>
            </w:tabs>
            <w:rPr/>
          </w:pPr>
          <w:hyperlink w:anchor="__RefHeading___Toc11030497_2142443653">
            <w:r>
              <w:rPr>
                <w:webHidden/>
                <w:rStyle w:val="IndexLink"/>
                <w:rtl w:val="true"/>
              </w:rPr>
              <w:t>خامساً</w:t>
            </w:r>
            <w:r>
              <w:rPr>
                <w:rStyle w:val="IndexLink"/>
                <w:rtl w:val="true"/>
              </w:rPr>
              <w:t xml:space="preserve">: </w:t>
            </w:r>
            <w:r>
              <w:rPr>
                <w:rStyle w:val="IndexLink"/>
                <w:rtl w:val="true"/>
              </w:rPr>
              <w:t xml:space="preserve">حديث الدواة والقلم </w:t>
            </w:r>
            <w:r>
              <w:rPr>
                <w:rStyle w:val="IndexLink"/>
                <w:rtl w:val="true"/>
              </w:rPr>
              <w:t>(</w:t>
            </w:r>
            <w:r>
              <w:rPr>
                <w:rStyle w:val="IndexLink"/>
                <w:rtl w:val="true"/>
              </w:rPr>
              <w:t>الوصية غير المكتوبة</w:t>
            </w:r>
            <w:r>
              <w:rPr>
                <w:rStyle w:val="IndexLink"/>
                <w:rtl w:val="true"/>
              </w:rPr>
              <w:t>):</w:t>
              <w:tab/>
            </w:r>
            <w:r>
              <w:rPr>
                <w:rStyle w:val="IndexLink"/>
              </w:rPr>
              <w:t>291</w:t>
            </w:r>
          </w:hyperlink>
        </w:p>
        <w:p>
          <w:pPr>
            <w:pStyle w:val="Contents4"/>
            <w:tabs>
              <w:tab w:val="clear" w:pos="8176"/>
              <w:tab w:val="right" w:pos="9026" w:leader="dot"/>
            </w:tabs>
            <w:rPr/>
          </w:pPr>
          <w:hyperlink w:anchor="__RefHeading___Toc11030499_2142443653">
            <w:r>
              <w:rPr>
                <w:webHidden/>
                <w:rStyle w:val="IndexLink"/>
                <w:rtl w:val="true"/>
              </w:rPr>
              <w:t>سادساً</w:t>
            </w:r>
            <w:r>
              <w:rPr>
                <w:rStyle w:val="IndexLink"/>
                <w:rtl w:val="true"/>
              </w:rPr>
              <w:t xml:space="preserve">: </w:t>
            </w:r>
            <w:r>
              <w:rPr>
                <w:rStyle w:val="IndexLink"/>
                <w:rtl w:val="true"/>
              </w:rPr>
              <w:t>أحاديث الحجة</w:t>
            </w:r>
            <w:r>
              <w:rPr>
                <w:rStyle w:val="IndexLink"/>
                <w:rtl w:val="true"/>
              </w:rPr>
              <w:t>:</w:t>
              <w:tab/>
            </w:r>
            <w:r>
              <w:rPr>
                <w:rStyle w:val="IndexLink"/>
              </w:rPr>
              <w:t>297</w:t>
            </w:r>
          </w:hyperlink>
        </w:p>
        <w:p>
          <w:pPr>
            <w:pStyle w:val="Contents4"/>
            <w:tabs>
              <w:tab w:val="clear" w:pos="8176"/>
              <w:tab w:val="right" w:pos="9026" w:leader="dot"/>
            </w:tabs>
            <w:rPr/>
          </w:pPr>
          <w:hyperlink w:anchor="__RefHeading___Toc11030501_2142443653">
            <w:r>
              <w:rPr>
                <w:webHidden/>
                <w:rStyle w:val="IndexLink"/>
                <w:rtl w:val="true"/>
              </w:rPr>
              <w:t>سابعاً</w:t>
            </w:r>
            <w:r>
              <w:rPr>
                <w:rStyle w:val="IndexLink"/>
                <w:rtl w:val="true"/>
              </w:rPr>
              <w:t xml:space="preserve">: </w:t>
            </w:r>
            <w:r>
              <w:rPr>
                <w:rStyle w:val="IndexLink"/>
                <w:rtl w:val="true"/>
              </w:rPr>
              <w:t>أحاديث العصمة</w:t>
            </w:r>
            <w:r>
              <w:rPr>
                <w:rStyle w:val="IndexLink"/>
                <w:rtl w:val="true"/>
              </w:rPr>
              <w:t>:</w:t>
              <w:tab/>
            </w:r>
            <w:r>
              <w:rPr>
                <w:rStyle w:val="IndexLink"/>
              </w:rPr>
              <w:t>298</w:t>
            </w:r>
          </w:hyperlink>
        </w:p>
        <w:p>
          <w:pPr>
            <w:pStyle w:val="Contents4"/>
            <w:tabs>
              <w:tab w:val="clear" w:pos="8176"/>
              <w:tab w:val="right" w:pos="9026" w:leader="dot"/>
            </w:tabs>
            <w:rPr/>
          </w:pPr>
          <w:hyperlink w:anchor="__RefHeading___Toc11030503_2142443653">
            <w:r>
              <w:rPr>
                <w:webHidden/>
                <w:rStyle w:val="IndexLink"/>
                <w:rtl w:val="true"/>
              </w:rPr>
              <w:t>ثامناً</w:t>
            </w:r>
            <w:r>
              <w:rPr>
                <w:rStyle w:val="IndexLink"/>
                <w:rtl w:val="true"/>
              </w:rPr>
              <w:t xml:space="preserve">: </w:t>
            </w:r>
            <w:r>
              <w:rPr>
                <w:rStyle w:val="IndexLink"/>
                <w:rtl w:val="true"/>
              </w:rPr>
              <w:t>روايات المرجعية العلمية والدينية</w:t>
            </w:r>
            <w:r>
              <w:rPr>
                <w:rStyle w:val="IndexLink"/>
                <w:rtl w:val="true"/>
              </w:rPr>
              <w:t>:</w:t>
              <w:tab/>
            </w:r>
            <w:r>
              <w:rPr>
                <w:rStyle w:val="IndexLink"/>
              </w:rPr>
              <w:t>298</w:t>
            </w:r>
          </w:hyperlink>
        </w:p>
        <w:p>
          <w:pPr>
            <w:pStyle w:val="Contents3"/>
            <w:tabs>
              <w:tab w:val="clear" w:pos="8459"/>
              <w:tab w:val="right" w:pos="9026" w:leader="dot"/>
            </w:tabs>
            <w:rPr/>
          </w:pPr>
          <w:hyperlink w:anchor="__RefHeading___Toc11030505_2142443653">
            <w:r>
              <w:rPr>
                <w:webHidden/>
                <w:rStyle w:val="IndexLink"/>
                <w:rtl w:val="true"/>
              </w:rPr>
              <w:t>الشبهة الرابعة</w:t>
            </w:r>
            <w:r>
              <w:rPr>
                <w:rStyle w:val="IndexLink"/>
                <w:rtl w:val="true"/>
              </w:rPr>
              <w:t xml:space="preserve">: </w:t>
            </w:r>
            <w:r>
              <w:rPr>
                <w:rStyle w:val="IndexLink"/>
                <w:rtl w:val="true"/>
              </w:rPr>
              <w:t>التنصيب عنصر تفرقة</w:t>
            </w:r>
            <w:r>
              <w:rPr>
                <w:rStyle w:val="IndexLink"/>
                <w:rtl w:val="true"/>
              </w:rPr>
              <w:t>:</w:t>
              <w:tab/>
            </w:r>
            <w:r>
              <w:rPr>
                <w:rStyle w:val="IndexLink"/>
              </w:rPr>
              <w:t>306</w:t>
            </w:r>
          </w:hyperlink>
        </w:p>
        <w:p>
          <w:pPr>
            <w:pStyle w:val="Contents4"/>
            <w:tabs>
              <w:tab w:val="clear" w:pos="8176"/>
              <w:tab w:val="right" w:pos="9026" w:leader="dot"/>
            </w:tabs>
            <w:rPr/>
          </w:pPr>
          <w:hyperlink w:anchor="__RefHeading___Toc11030507_2142443653">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11030509_2142443653">
            <w:r>
              <w:rPr>
                <w:webHidden/>
                <w:rStyle w:val="IndexLink"/>
                <w:rtl w:val="true"/>
              </w:rPr>
              <w:t xml:space="preserve">أ </w:t>
            </w:r>
            <w:r>
              <w:rPr>
                <w:rStyle w:val="IndexLink"/>
                <w:rtl w:val="true"/>
              </w:rPr>
              <w:t xml:space="preserve">- </w:t>
            </w:r>
            <w:r>
              <w:rPr>
                <w:rStyle w:val="IndexLink"/>
                <w:rtl w:val="true"/>
              </w:rPr>
              <w:t>لزوم التبعية للحكم الشرعي</w:t>
            </w:r>
            <w:r>
              <w:rPr>
                <w:rStyle w:val="IndexLink"/>
                <w:rtl w:val="true"/>
              </w:rPr>
              <w:t>:</w:t>
              <w:tab/>
            </w:r>
            <w:r>
              <w:rPr>
                <w:rStyle w:val="IndexLink"/>
              </w:rPr>
              <w:t>307</w:t>
            </w:r>
          </w:hyperlink>
        </w:p>
        <w:p>
          <w:pPr>
            <w:pStyle w:val="Contents4"/>
            <w:tabs>
              <w:tab w:val="clear" w:pos="8176"/>
              <w:tab w:val="right" w:pos="9026" w:leader="dot"/>
            </w:tabs>
            <w:rPr/>
          </w:pPr>
          <w:hyperlink w:anchor="__RefHeading___Toc11030511_2142443653">
            <w:r>
              <w:rPr>
                <w:webHidden/>
                <w:rStyle w:val="IndexLink"/>
                <w:rtl w:val="true"/>
              </w:rPr>
              <w:t xml:space="preserve">ب </w:t>
            </w:r>
            <w:r>
              <w:rPr>
                <w:rStyle w:val="IndexLink"/>
                <w:rtl w:val="true"/>
              </w:rPr>
              <w:t xml:space="preserve">- </w:t>
            </w:r>
            <w:r>
              <w:rPr>
                <w:rStyle w:val="IndexLink"/>
                <w:rtl w:val="true"/>
              </w:rPr>
              <w:t>التنصيب الخاص أفضل خيار</w:t>
            </w:r>
            <w:r>
              <w:rPr>
                <w:rStyle w:val="IndexLink"/>
                <w:rtl w:val="true"/>
              </w:rPr>
              <w:t>:</w:t>
              <w:tab/>
            </w:r>
            <w:r>
              <w:rPr>
                <w:rStyle w:val="IndexLink"/>
              </w:rPr>
              <w:t>308</w:t>
            </w:r>
          </w:hyperlink>
        </w:p>
        <w:p>
          <w:pPr>
            <w:pStyle w:val="Contents4"/>
            <w:tabs>
              <w:tab w:val="clear" w:pos="8176"/>
              <w:tab w:val="right" w:pos="9026" w:leader="dot"/>
            </w:tabs>
            <w:rPr/>
          </w:pPr>
          <w:hyperlink w:anchor="__RefHeading___Toc11030513_2142443653">
            <w:r>
              <w:rPr>
                <w:webHidden/>
                <w:rStyle w:val="IndexLink"/>
                <w:rtl w:val="true"/>
              </w:rPr>
              <w:t xml:space="preserve">ج </w:t>
            </w:r>
            <w:r>
              <w:rPr>
                <w:rStyle w:val="IndexLink"/>
                <w:rtl w:val="true"/>
              </w:rPr>
              <w:t xml:space="preserve">- </w:t>
            </w:r>
            <w:r>
              <w:rPr>
                <w:rStyle w:val="IndexLink"/>
                <w:rtl w:val="true"/>
              </w:rPr>
              <w:t>إمكان الخطأ في الانتخاب</w:t>
            </w:r>
            <w:r>
              <w:rPr>
                <w:rStyle w:val="IndexLink"/>
                <w:rtl w:val="true"/>
              </w:rPr>
              <w:t>:</w:t>
              <w:tab/>
            </w:r>
            <w:r>
              <w:rPr>
                <w:rStyle w:val="IndexLink"/>
              </w:rPr>
              <w:t>310</w:t>
            </w:r>
          </w:hyperlink>
        </w:p>
        <w:p>
          <w:pPr>
            <w:pStyle w:val="Contents4"/>
            <w:tabs>
              <w:tab w:val="clear" w:pos="8176"/>
              <w:tab w:val="right" w:pos="9026" w:leader="dot"/>
            </w:tabs>
            <w:rPr/>
          </w:pPr>
          <w:hyperlink w:anchor="__RefHeading___Toc11030515_2142443653">
            <w:r>
              <w:rPr>
                <w:webHidden/>
                <w:rStyle w:val="IndexLink"/>
                <w:rtl w:val="true"/>
              </w:rPr>
              <w:t xml:space="preserve">د </w:t>
            </w:r>
            <w:r>
              <w:rPr>
                <w:rStyle w:val="IndexLink"/>
                <w:rtl w:val="true"/>
              </w:rPr>
              <w:t xml:space="preserve">- </w:t>
            </w:r>
            <w:r>
              <w:rPr>
                <w:rStyle w:val="IndexLink"/>
                <w:rtl w:val="true"/>
              </w:rPr>
              <w:t>صفح علي</w:t>
            </w:r>
            <w:r>
              <w:rPr>
                <w:rStyle w:val="IndexLink"/>
                <w:rtl w:val="true"/>
              </w:rPr>
              <w:t>(</w:t>
            </w:r>
            <w:r>
              <w:rPr>
                <w:rStyle w:val="IndexLink"/>
                <w:rtl w:val="true"/>
              </w:rPr>
              <w:t>علیه السّلام</w:t>
            </w:r>
            <w:r>
              <w:rPr>
                <w:rStyle w:val="IndexLink"/>
                <w:rtl w:val="true"/>
              </w:rPr>
              <w:t>)</w:t>
            </w:r>
            <w:r>
              <w:rPr>
                <w:rStyle w:val="IndexLink"/>
                <w:rtl w:val="true"/>
              </w:rPr>
              <w:t>محور المحافظة على وحدة الأمة</w:t>
            </w:r>
            <w:r>
              <w:rPr>
                <w:rStyle w:val="IndexLink"/>
                <w:rtl w:val="true"/>
              </w:rPr>
              <w:t>:</w:t>
              <w:tab/>
            </w:r>
            <w:r>
              <w:rPr>
                <w:rStyle w:val="IndexLink"/>
              </w:rPr>
              <w:t>311</w:t>
            </w:r>
          </w:hyperlink>
        </w:p>
        <w:p>
          <w:pPr>
            <w:pStyle w:val="Contents4"/>
            <w:tabs>
              <w:tab w:val="clear" w:pos="8176"/>
              <w:tab w:val="right" w:pos="9026" w:leader="dot"/>
            </w:tabs>
            <w:rPr/>
          </w:pPr>
          <w:hyperlink w:anchor="__RefHeading___Toc11030517_2142443653">
            <w:r>
              <w:rPr>
                <w:webHidden/>
                <w:rStyle w:val="IndexLink"/>
                <w:rtl w:val="true"/>
              </w:rPr>
              <w:t xml:space="preserve">هـ </w:t>
            </w:r>
            <w:r>
              <w:rPr>
                <w:rStyle w:val="IndexLink"/>
                <w:rtl w:val="true"/>
              </w:rPr>
              <w:t xml:space="preserve">- </w:t>
            </w:r>
            <w:r>
              <w:rPr>
                <w:rStyle w:val="IndexLink"/>
                <w:rtl w:val="true"/>
              </w:rPr>
              <w:t xml:space="preserve">جواب نقضي </w:t>
            </w:r>
            <w:r>
              <w:rPr>
                <w:rStyle w:val="IndexLink"/>
                <w:rtl w:val="true"/>
              </w:rPr>
              <w:t>(</w:t>
            </w:r>
            <w:r>
              <w:rPr>
                <w:rStyle w:val="IndexLink"/>
                <w:rtl w:val="true"/>
              </w:rPr>
              <w:t>تنصيب الخليفة الأول والثاني</w:t>
            </w:r>
            <w:r>
              <w:rPr>
                <w:rStyle w:val="IndexLink"/>
                <w:rtl w:val="true"/>
              </w:rPr>
              <w:t>):</w:t>
              <w:tab/>
            </w:r>
            <w:r>
              <w:rPr>
                <w:rStyle w:val="IndexLink"/>
              </w:rPr>
              <w:t>312</w:t>
            </w:r>
          </w:hyperlink>
        </w:p>
        <w:p>
          <w:pPr>
            <w:pStyle w:val="Contents4"/>
            <w:tabs>
              <w:tab w:val="clear" w:pos="8176"/>
              <w:tab w:val="right" w:pos="9026" w:leader="dot"/>
            </w:tabs>
            <w:rPr/>
          </w:pPr>
          <w:hyperlink w:anchor="__RefHeading___Toc11030519_2142443653">
            <w:r>
              <w:rPr>
                <w:webHidden/>
                <w:rStyle w:val="IndexLink"/>
                <w:rtl w:val="true"/>
              </w:rPr>
              <w:t xml:space="preserve">و </w:t>
            </w:r>
            <w:r>
              <w:rPr>
                <w:rStyle w:val="IndexLink"/>
                <w:rtl w:val="true"/>
              </w:rPr>
              <w:t xml:space="preserve">- </w:t>
            </w:r>
            <w:r>
              <w:rPr>
                <w:rStyle w:val="IndexLink"/>
                <w:rtl w:val="true"/>
              </w:rPr>
              <w:t>جواب الآمدي</w:t>
            </w:r>
            <w:r>
              <w:rPr>
                <w:rStyle w:val="IndexLink"/>
                <w:rtl w:val="true"/>
              </w:rPr>
              <w:t>:</w:t>
              <w:tab/>
            </w:r>
            <w:r>
              <w:rPr>
                <w:rStyle w:val="IndexLink"/>
              </w:rPr>
              <w:t>313</w:t>
            </w:r>
          </w:hyperlink>
        </w:p>
        <w:p>
          <w:pPr>
            <w:pStyle w:val="Contents3"/>
            <w:tabs>
              <w:tab w:val="clear" w:pos="8459"/>
              <w:tab w:val="right" w:pos="9026" w:leader="dot"/>
            </w:tabs>
            <w:rPr/>
          </w:pPr>
          <w:hyperlink w:anchor="__RefHeading___Toc11030521_2142443653">
            <w:r>
              <w:rPr>
                <w:webHidden/>
                <w:rStyle w:val="IndexLink"/>
                <w:rtl w:val="true"/>
              </w:rPr>
              <w:t>الشبهة الخامسة</w:t>
            </w:r>
            <w:r>
              <w:rPr>
                <w:rStyle w:val="IndexLink"/>
                <w:rtl w:val="true"/>
              </w:rPr>
              <w:t xml:space="preserve">: </w:t>
            </w:r>
            <w:r>
              <w:rPr>
                <w:rStyle w:val="IndexLink"/>
                <w:rtl w:val="true"/>
              </w:rPr>
              <w:t>عدم اشتهار التنصيب</w:t>
            </w:r>
            <w:r>
              <w:rPr>
                <w:rStyle w:val="IndexLink"/>
                <w:rtl w:val="true"/>
              </w:rPr>
              <w:t>:</w:t>
              <w:tab/>
            </w:r>
            <w:r>
              <w:rPr>
                <w:rStyle w:val="IndexLink"/>
              </w:rPr>
              <w:t>314</w:t>
            </w:r>
          </w:hyperlink>
        </w:p>
        <w:p>
          <w:pPr>
            <w:pStyle w:val="Contents4"/>
            <w:tabs>
              <w:tab w:val="clear" w:pos="8176"/>
              <w:tab w:val="right" w:pos="9026" w:leader="dot"/>
            </w:tabs>
            <w:rPr/>
          </w:pPr>
          <w:hyperlink w:anchor="__RefHeading___Toc11030523_2142443653">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1030525_2142443653">
            <w:r>
              <w:rPr>
                <w:webHidden/>
                <w:rStyle w:val="IndexLink"/>
                <w:rtl w:val="true"/>
              </w:rPr>
              <w:t xml:space="preserve">أ </w:t>
            </w:r>
            <w:r>
              <w:rPr>
                <w:rStyle w:val="IndexLink"/>
                <w:rtl w:val="true"/>
              </w:rPr>
              <w:t xml:space="preserve">- </w:t>
            </w:r>
            <w:r>
              <w:rPr>
                <w:rStyle w:val="IndexLink"/>
                <w:rtl w:val="true"/>
              </w:rPr>
              <w:t>تأويل النص من قبل بعض الصحابة</w:t>
            </w:r>
            <w:r>
              <w:rPr>
                <w:rStyle w:val="IndexLink"/>
                <w:rtl w:val="true"/>
              </w:rPr>
              <w:t>:</w:t>
              <w:tab/>
            </w:r>
            <w:r>
              <w:rPr>
                <w:rStyle w:val="IndexLink"/>
              </w:rPr>
              <w:t>315</w:t>
            </w:r>
          </w:hyperlink>
        </w:p>
        <w:p>
          <w:pPr>
            <w:pStyle w:val="Contents4"/>
            <w:tabs>
              <w:tab w:val="clear" w:pos="8176"/>
              <w:tab w:val="right" w:pos="9026" w:leader="dot"/>
            </w:tabs>
            <w:rPr/>
          </w:pPr>
          <w:hyperlink w:anchor="__RefHeading___Toc11030527_2142443653">
            <w:r>
              <w:rPr>
                <w:webHidden/>
                <w:rStyle w:val="IndexLink"/>
                <w:rtl w:val="true"/>
              </w:rPr>
              <w:t xml:space="preserve">ب </w:t>
            </w:r>
            <w:r>
              <w:rPr>
                <w:rStyle w:val="IndexLink"/>
                <w:rtl w:val="true"/>
              </w:rPr>
              <w:t xml:space="preserve">- </w:t>
            </w:r>
            <w:r>
              <w:rPr>
                <w:rStyle w:val="IndexLink"/>
                <w:rtl w:val="true"/>
              </w:rPr>
              <w:t>إمكان الاختفاء</w:t>
            </w:r>
            <w:r>
              <w:rPr>
                <w:rStyle w:val="IndexLink"/>
                <w:rtl w:val="true"/>
              </w:rPr>
              <w:t>:</w:t>
              <w:tab/>
            </w:r>
            <w:r>
              <w:rPr>
                <w:rStyle w:val="IndexLink"/>
              </w:rPr>
              <w:t>315</w:t>
            </w:r>
          </w:hyperlink>
        </w:p>
        <w:p>
          <w:pPr>
            <w:pStyle w:val="Contents4"/>
            <w:tabs>
              <w:tab w:val="clear" w:pos="8176"/>
              <w:tab w:val="right" w:pos="9026" w:leader="dot"/>
            </w:tabs>
            <w:rPr/>
          </w:pPr>
          <w:hyperlink w:anchor="__RefHeading___Toc11030529_2142443653">
            <w:r>
              <w:rPr>
                <w:webHidden/>
                <w:rStyle w:val="IndexLink"/>
                <w:rtl w:val="true"/>
              </w:rPr>
              <w:t xml:space="preserve">ج </w:t>
            </w:r>
            <w:r>
              <w:rPr>
                <w:rStyle w:val="IndexLink"/>
                <w:rtl w:val="true"/>
              </w:rPr>
              <w:t xml:space="preserve">- </w:t>
            </w:r>
            <w:r>
              <w:rPr>
                <w:rStyle w:val="IndexLink"/>
                <w:rtl w:val="true"/>
              </w:rPr>
              <w:t>وجود الدوافع السياسية في مسألة الإمامة</w:t>
            </w:r>
            <w:r>
              <w:rPr>
                <w:rStyle w:val="IndexLink"/>
                <w:rtl w:val="true"/>
              </w:rPr>
              <w:t>:</w:t>
              <w:tab/>
            </w:r>
            <w:r>
              <w:rPr>
                <w:rStyle w:val="IndexLink"/>
              </w:rPr>
              <w:t>317</w:t>
            </w:r>
          </w:hyperlink>
        </w:p>
        <w:p>
          <w:pPr>
            <w:pStyle w:val="Contents4"/>
            <w:tabs>
              <w:tab w:val="clear" w:pos="8176"/>
              <w:tab w:val="right" w:pos="9026" w:leader="dot"/>
            </w:tabs>
            <w:rPr/>
          </w:pPr>
          <w:hyperlink w:anchor="__RefHeading___Toc11030531_2142443653">
            <w:r>
              <w:rPr>
                <w:webHidden/>
                <w:rStyle w:val="IndexLink"/>
                <w:rtl w:val="true"/>
              </w:rPr>
              <w:t xml:space="preserve">د </w:t>
            </w:r>
            <w:r>
              <w:rPr>
                <w:rStyle w:val="IndexLink"/>
                <w:rtl w:val="true"/>
              </w:rPr>
              <w:t xml:space="preserve">- </w:t>
            </w:r>
            <w:r>
              <w:rPr>
                <w:rStyle w:val="IndexLink"/>
                <w:rtl w:val="true"/>
              </w:rPr>
              <w:t>تصريح الإمام علي</w:t>
            </w:r>
            <w:r>
              <w:rPr>
                <w:rStyle w:val="IndexLink"/>
                <w:rtl w:val="true"/>
              </w:rPr>
              <w:t>(</w:t>
            </w:r>
            <w:r>
              <w:rPr>
                <w:rStyle w:val="IndexLink"/>
                <w:rtl w:val="true"/>
              </w:rPr>
              <w:t>علیه السّلام</w:t>
            </w:r>
            <w:r>
              <w:rPr>
                <w:rStyle w:val="IndexLink"/>
                <w:rtl w:val="true"/>
              </w:rPr>
              <w:t>)</w:t>
            </w:r>
            <w:r>
              <w:rPr>
                <w:rStyle w:val="IndexLink"/>
                <w:rtl w:val="true"/>
              </w:rPr>
              <w:t>وبعض الصحابة بوجود النص</w:t>
            </w:r>
            <w:r>
              <w:rPr>
                <w:rStyle w:val="IndexLink"/>
                <w:rtl w:val="true"/>
              </w:rPr>
              <w:t>:</w:t>
              <w:tab/>
            </w:r>
            <w:r>
              <w:rPr>
                <w:rStyle w:val="IndexLink"/>
              </w:rPr>
              <w:t>318</w:t>
            </w:r>
          </w:hyperlink>
        </w:p>
        <w:p>
          <w:pPr>
            <w:pStyle w:val="Contents4"/>
            <w:tabs>
              <w:tab w:val="clear" w:pos="8176"/>
              <w:tab w:val="right" w:pos="9026" w:leader="dot"/>
            </w:tabs>
            <w:rPr/>
          </w:pPr>
          <w:hyperlink w:anchor="__RefHeading___Toc11030533_2142443653">
            <w:r>
              <w:rPr>
                <w:webHidden/>
                <w:rStyle w:val="IndexLink"/>
                <w:rtl w:val="true"/>
              </w:rPr>
              <w:t xml:space="preserve">هـ </w:t>
            </w:r>
            <w:r>
              <w:rPr>
                <w:rStyle w:val="IndexLink"/>
                <w:rtl w:val="true"/>
              </w:rPr>
              <w:t xml:space="preserve">- </w:t>
            </w:r>
            <w:r>
              <w:rPr>
                <w:rStyle w:val="IndexLink"/>
                <w:rtl w:val="true"/>
              </w:rPr>
              <w:t>الفصل بين الإمامة والخلافة</w:t>
            </w:r>
            <w:r>
              <w:rPr>
                <w:rStyle w:val="IndexLink"/>
                <w:rtl w:val="true"/>
              </w:rPr>
              <w:t>:</w:t>
              <w:tab/>
            </w:r>
            <w:r>
              <w:rPr>
                <w:rStyle w:val="IndexLink"/>
              </w:rPr>
              <w:t>319</w:t>
            </w:r>
          </w:hyperlink>
        </w:p>
        <w:p>
          <w:pPr>
            <w:pStyle w:val="Contents4"/>
            <w:tabs>
              <w:tab w:val="clear" w:pos="8176"/>
              <w:tab w:val="right" w:pos="9026" w:leader="dot"/>
            </w:tabs>
            <w:rPr/>
          </w:pPr>
          <w:hyperlink w:anchor="__RefHeading___Toc11030535_2142443653">
            <w:r>
              <w:rPr>
                <w:webHidden/>
                <w:rStyle w:val="IndexLink"/>
                <w:rtl w:val="true"/>
              </w:rPr>
              <w:t xml:space="preserve">و </w:t>
            </w:r>
            <w:r>
              <w:rPr>
                <w:rStyle w:val="IndexLink"/>
                <w:rtl w:val="true"/>
              </w:rPr>
              <w:t xml:space="preserve">- </w:t>
            </w:r>
            <w:r>
              <w:rPr>
                <w:rStyle w:val="IndexLink"/>
                <w:rtl w:val="true"/>
              </w:rPr>
              <w:t>عدم دلالة عدم الاشتهار على العدم</w:t>
            </w:r>
            <w:r>
              <w:rPr>
                <w:rStyle w:val="IndexLink"/>
                <w:rtl w:val="true"/>
              </w:rPr>
              <w:t>:</w:t>
              <w:tab/>
            </w:r>
            <w:r>
              <w:rPr>
                <w:rStyle w:val="IndexLink"/>
              </w:rPr>
              <w:t>320</w:t>
            </w:r>
          </w:hyperlink>
        </w:p>
        <w:p>
          <w:pPr>
            <w:pStyle w:val="Contents4"/>
            <w:tabs>
              <w:tab w:val="clear" w:pos="8176"/>
              <w:tab w:val="right" w:pos="9026" w:leader="dot"/>
            </w:tabs>
            <w:rPr/>
          </w:pPr>
          <w:hyperlink w:anchor="__RefHeading___Toc11030537_2142443653">
            <w:r>
              <w:rPr>
                <w:webHidden/>
                <w:rStyle w:val="IndexLink"/>
                <w:rtl w:val="true"/>
              </w:rPr>
              <w:t xml:space="preserve">ز </w:t>
            </w:r>
            <w:r>
              <w:rPr>
                <w:rStyle w:val="IndexLink"/>
                <w:rtl w:val="true"/>
              </w:rPr>
              <w:t xml:space="preserve">- </w:t>
            </w:r>
            <w:r>
              <w:rPr>
                <w:rStyle w:val="IndexLink"/>
                <w:rtl w:val="true"/>
              </w:rPr>
              <w:t>عدم الملازمة بين ترك النص والكفر</w:t>
            </w:r>
            <w:r>
              <w:rPr>
                <w:rStyle w:val="IndexLink"/>
                <w:rtl w:val="true"/>
              </w:rPr>
              <w:t>:</w:t>
              <w:tab/>
            </w:r>
            <w:r>
              <w:rPr>
                <w:rStyle w:val="IndexLink"/>
              </w:rPr>
              <w:t>321</w:t>
            </w:r>
          </w:hyperlink>
        </w:p>
        <w:p>
          <w:pPr>
            <w:pStyle w:val="Contents3"/>
            <w:tabs>
              <w:tab w:val="clear" w:pos="8459"/>
              <w:tab w:val="right" w:pos="9026" w:leader="dot"/>
            </w:tabs>
            <w:rPr/>
          </w:pPr>
          <w:hyperlink w:anchor="__RefHeading___Toc11030539_2142443653">
            <w:r>
              <w:rPr>
                <w:webHidden/>
                <w:rStyle w:val="IndexLink"/>
                <w:rtl w:val="true"/>
              </w:rPr>
              <w:t xml:space="preserve">الشبهة السادسة مبايعة الصحابة لمرشح السقيفة </w:t>
            </w:r>
            <w:r>
              <w:rPr>
                <w:rStyle w:val="IndexLink"/>
                <w:rtl w:val="true"/>
              </w:rPr>
              <w:t>(</w:t>
            </w:r>
            <w:r>
              <w:rPr>
                <w:rStyle w:val="IndexLink"/>
                <w:rtl w:val="true"/>
              </w:rPr>
              <w:t>أبي بكر</w:t>
            </w:r>
            <w:r>
              <w:rPr>
                <w:rStyle w:val="IndexLink"/>
                <w:rtl w:val="true"/>
              </w:rPr>
              <w:t>):</w:t>
              <w:tab/>
            </w:r>
            <w:r>
              <w:rPr>
                <w:rStyle w:val="IndexLink"/>
              </w:rPr>
              <w:t>321</w:t>
            </w:r>
          </w:hyperlink>
        </w:p>
        <w:p>
          <w:pPr>
            <w:pStyle w:val="Contents4"/>
            <w:tabs>
              <w:tab w:val="clear" w:pos="8176"/>
              <w:tab w:val="right" w:pos="9026" w:leader="dot"/>
            </w:tabs>
            <w:rPr/>
          </w:pPr>
          <w:hyperlink w:anchor="__RefHeading___Toc11030541_2142443653">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11030543_2142443653">
            <w:r>
              <w:rPr>
                <w:webHidden/>
                <w:rStyle w:val="IndexLink"/>
                <w:rtl w:val="true"/>
              </w:rPr>
              <w:t xml:space="preserve">أ </w:t>
            </w:r>
            <w:r>
              <w:rPr>
                <w:rStyle w:val="IndexLink"/>
                <w:rtl w:val="true"/>
              </w:rPr>
              <w:t xml:space="preserve">- </w:t>
            </w:r>
            <w:r>
              <w:rPr>
                <w:rStyle w:val="IndexLink"/>
                <w:rtl w:val="true"/>
              </w:rPr>
              <w:t>استعجال تشكيل السقيفة وعدم مشروعيتها</w:t>
            </w:r>
            <w:r>
              <w:rPr>
                <w:rStyle w:val="IndexLink"/>
                <w:rtl w:val="true"/>
              </w:rPr>
              <w:t>:</w:t>
              <w:tab/>
            </w:r>
            <w:r>
              <w:rPr>
                <w:rStyle w:val="IndexLink"/>
              </w:rPr>
              <w:t>323</w:t>
            </w:r>
          </w:hyperlink>
        </w:p>
        <w:p>
          <w:pPr>
            <w:pStyle w:val="Contents4"/>
            <w:tabs>
              <w:tab w:val="clear" w:pos="8176"/>
              <w:tab w:val="right" w:pos="9026" w:leader="dot"/>
            </w:tabs>
            <w:rPr/>
          </w:pPr>
          <w:hyperlink w:anchor="__RefHeading___Toc11030545_2142443653">
            <w:r>
              <w:rPr>
                <w:webHidden/>
                <w:rStyle w:val="IndexLink"/>
                <w:rtl w:val="true"/>
              </w:rPr>
              <w:t xml:space="preserve">ب </w:t>
            </w:r>
            <w:r>
              <w:rPr>
                <w:rStyle w:val="IndexLink"/>
                <w:rtl w:val="true"/>
              </w:rPr>
              <w:t xml:space="preserve">- </w:t>
            </w:r>
            <w:r>
              <w:rPr>
                <w:rStyle w:val="IndexLink"/>
                <w:rtl w:val="true"/>
              </w:rPr>
              <w:t>الدوافع الدنيوية في بيعة السقيفة</w:t>
            </w:r>
            <w:r>
              <w:rPr>
                <w:rStyle w:val="IndexLink"/>
                <w:rtl w:val="true"/>
              </w:rPr>
              <w:t>:</w:t>
              <w:tab/>
            </w:r>
            <w:r>
              <w:rPr>
                <w:rStyle w:val="IndexLink"/>
              </w:rPr>
              <w:t>326</w:t>
            </w:r>
          </w:hyperlink>
        </w:p>
        <w:p>
          <w:pPr>
            <w:pStyle w:val="Contents4"/>
            <w:tabs>
              <w:tab w:val="clear" w:pos="8176"/>
              <w:tab w:val="right" w:pos="9026" w:leader="dot"/>
            </w:tabs>
            <w:rPr/>
          </w:pPr>
          <w:hyperlink w:anchor="__RefHeading___Toc11030547_2142443653">
            <w:r>
              <w:rPr>
                <w:webHidden/>
                <w:rStyle w:val="IndexLink"/>
                <w:rtl w:val="true"/>
              </w:rPr>
              <w:t xml:space="preserve">ج </w:t>
            </w:r>
            <w:r>
              <w:rPr>
                <w:rStyle w:val="IndexLink"/>
                <w:rtl w:val="true"/>
              </w:rPr>
              <w:t xml:space="preserve">- </w:t>
            </w:r>
            <w:r>
              <w:rPr>
                <w:rStyle w:val="IndexLink"/>
                <w:rtl w:val="true"/>
              </w:rPr>
              <w:t>البيعة بالإكراه والإجبار</w:t>
            </w:r>
            <w:r>
              <w:rPr>
                <w:rStyle w:val="IndexLink"/>
                <w:rtl w:val="true"/>
              </w:rPr>
              <w:t>:</w:t>
              <w:tab/>
            </w:r>
            <w:r>
              <w:rPr>
                <w:rStyle w:val="IndexLink"/>
              </w:rPr>
              <w:t>329</w:t>
            </w:r>
          </w:hyperlink>
        </w:p>
        <w:p>
          <w:pPr>
            <w:pStyle w:val="Contents4"/>
            <w:tabs>
              <w:tab w:val="clear" w:pos="8176"/>
              <w:tab w:val="right" w:pos="9026" w:leader="dot"/>
            </w:tabs>
            <w:rPr/>
          </w:pPr>
          <w:hyperlink w:anchor="__RefHeading___Toc11030549_2142443653">
            <w:r>
              <w:rPr>
                <w:webHidden/>
                <w:rStyle w:val="IndexLink"/>
                <w:rtl w:val="true"/>
              </w:rPr>
              <w:t xml:space="preserve">د </w:t>
            </w:r>
            <w:r>
              <w:rPr>
                <w:rStyle w:val="IndexLink"/>
                <w:rtl w:val="true"/>
              </w:rPr>
              <w:t xml:space="preserve">- </w:t>
            </w:r>
            <w:r>
              <w:rPr>
                <w:rStyle w:val="IndexLink"/>
                <w:rtl w:val="true"/>
              </w:rPr>
              <w:t>المخالفون لنتائج السقيفة</w:t>
            </w:r>
            <w:r>
              <w:rPr>
                <w:rStyle w:val="IndexLink"/>
                <w:rtl w:val="true"/>
              </w:rPr>
              <w:t>:</w:t>
              <w:tab/>
            </w:r>
            <w:r>
              <w:rPr>
                <w:rStyle w:val="IndexLink"/>
              </w:rPr>
              <w:t>331</w:t>
            </w:r>
          </w:hyperlink>
        </w:p>
        <w:p>
          <w:pPr>
            <w:pStyle w:val="Contents4"/>
            <w:tabs>
              <w:tab w:val="clear" w:pos="8176"/>
              <w:tab w:val="right" w:pos="9026" w:leader="dot"/>
            </w:tabs>
            <w:rPr/>
          </w:pPr>
          <w:hyperlink w:anchor="__RefHeading___Toc11030551_2142443653">
            <w:r>
              <w:rPr>
                <w:webHidden/>
                <w:rStyle w:val="IndexLink"/>
                <w:rtl w:val="true"/>
              </w:rPr>
              <w:t xml:space="preserve">هـ </w:t>
            </w:r>
            <w:r>
              <w:rPr>
                <w:rStyle w:val="IndexLink"/>
                <w:rtl w:val="true"/>
              </w:rPr>
              <w:t xml:space="preserve">- </w:t>
            </w:r>
            <w:r>
              <w:rPr>
                <w:rStyle w:val="IndexLink"/>
                <w:rtl w:val="true"/>
              </w:rPr>
              <w:t xml:space="preserve">وقفة على حديث </w:t>
            </w:r>
            <w:r>
              <w:rPr>
                <w:rStyle w:val="IndexLink"/>
                <w:rtl w:val="true"/>
              </w:rPr>
              <w:t>«</w:t>
            </w:r>
            <w:r>
              <w:rPr>
                <w:rStyle w:val="IndexLink"/>
                <w:rtl w:val="true"/>
              </w:rPr>
              <w:t>لا تجتمع أمتي على خطأ</w:t>
            </w:r>
            <w:r>
              <w:rPr>
                <w:rStyle w:val="IndexLink"/>
                <w:rtl w:val="true"/>
              </w:rPr>
              <w:t>»:</w:t>
              <w:tab/>
            </w:r>
            <w:r>
              <w:rPr>
                <w:rStyle w:val="IndexLink"/>
              </w:rPr>
              <w:t>339</w:t>
            </w:r>
          </w:hyperlink>
        </w:p>
        <w:p>
          <w:pPr>
            <w:pStyle w:val="Contents4"/>
            <w:tabs>
              <w:tab w:val="clear" w:pos="8176"/>
              <w:tab w:val="right" w:pos="9026" w:leader="dot"/>
            </w:tabs>
            <w:rPr/>
          </w:pPr>
          <w:hyperlink w:anchor="__RefHeading___Toc11030553_2142443653">
            <w:r>
              <w:rPr>
                <w:webHidden/>
                <w:rStyle w:val="IndexLink"/>
                <w:rtl w:val="true"/>
              </w:rPr>
              <w:t xml:space="preserve">ز </w:t>
            </w:r>
            <w:r>
              <w:rPr>
                <w:rStyle w:val="IndexLink"/>
                <w:rtl w:val="true"/>
              </w:rPr>
              <w:t xml:space="preserve">- </w:t>
            </w:r>
            <w:r>
              <w:rPr>
                <w:rStyle w:val="IndexLink"/>
                <w:rtl w:val="true"/>
              </w:rPr>
              <w:t>اختفاء النص ونسيانه</w:t>
            </w:r>
            <w:r>
              <w:rPr>
                <w:rStyle w:val="IndexLink"/>
                <w:rtl w:val="true"/>
              </w:rPr>
              <w:t>:</w:t>
              <w:tab/>
            </w:r>
            <w:r>
              <w:rPr>
                <w:rStyle w:val="IndexLink"/>
              </w:rPr>
              <w:t>341</w:t>
            </w:r>
          </w:hyperlink>
        </w:p>
        <w:p>
          <w:pPr>
            <w:pStyle w:val="Contents4"/>
            <w:tabs>
              <w:tab w:val="clear" w:pos="8176"/>
              <w:tab w:val="right" w:pos="9026" w:leader="dot"/>
            </w:tabs>
            <w:rPr/>
          </w:pPr>
          <w:hyperlink w:anchor="__RefHeading___Toc11030555_2142443653">
            <w:r>
              <w:rPr>
                <w:webHidden/>
                <w:rStyle w:val="IndexLink"/>
                <w:rtl w:val="true"/>
              </w:rPr>
              <w:t xml:space="preserve">ح </w:t>
            </w:r>
            <w:r>
              <w:rPr>
                <w:rStyle w:val="IndexLink"/>
                <w:rtl w:val="true"/>
              </w:rPr>
              <w:t xml:space="preserve">- </w:t>
            </w:r>
            <w:r>
              <w:rPr>
                <w:rStyle w:val="IndexLink"/>
                <w:rtl w:val="true"/>
              </w:rPr>
              <w:t xml:space="preserve">المنع من انتشار نظرية </w:t>
            </w:r>
            <w:r>
              <w:rPr>
                <w:rStyle w:val="IndexLink"/>
                <w:rtl w:val="true"/>
              </w:rPr>
              <w:t>«</w:t>
            </w:r>
            <w:r>
              <w:rPr>
                <w:rStyle w:val="IndexLink"/>
                <w:rtl w:val="true"/>
              </w:rPr>
              <w:t>النص</w:t>
            </w:r>
            <w:r>
              <w:rPr>
                <w:rStyle w:val="IndexLink"/>
                <w:rtl w:val="true"/>
              </w:rPr>
              <w:t>»:</w:t>
              <w:tab/>
            </w:r>
            <w:r>
              <w:rPr>
                <w:rStyle w:val="IndexLink"/>
              </w:rPr>
              <w:t>341</w:t>
            </w:r>
          </w:hyperlink>
        </w:p>
        <w:p>
          <w:pPr>
            <w:pStyle w:val="Contents4"/>
            <w:tabs>
              <w:tab w:val="clear" w:pos="8176"/>
              <w:tab w:val="right" w:pos="9026" w:leader="dot"/>
            </w:tabs>
            <w:rPr/>
          </w:pPr>
          <w:hyperlink w:anchor="__RefHeading___Toc11030557_2142443653">
            <w:r>
              <w:rPr>
                <w:webHidden/>
                <w:rStyle w:val="IndexLink"/>
                <w:rtl w:val="true"/>
              </w:rPr>
              <w:t xml:space="preserve">ط </w:t>
            </w:r>
            <w:r>
              <w:rPr>
                <w:rStyle w:val="IndexLink"/>
                <w:rtl w:val="true"/>
              </w:rPr>
              <w:t xml:space="preserve">- </w:t>
            </w:r>
            <w:r>
              <w:rPr>
                <w:rStyle w:val="IndexLink"/>
                <w:rtl w:val="true"/>
              </w:rPr>
              <w:t>القراءة العلمانية للنص</w:t>
            </w:r>
            <w:r>
              <w:rPr>
                <w:rStyle w:val="IndexLink"/>
                <w:rtl w:val="true"/>
              </w:rPr>
              <w:t>:</w:t>
              <w:tab/>
            </w:r>
            <w:r>
              <w:rPr>
                <w:rStyle w:val="IndexLink"/>
              </w:rPr>
              <w:t>342</w:t>
            </w:r>
          </w:hyperlink>
        </w:p>
        <w:p>
          <w:pPr>
            <w:pStyle w:val="Contents4"/>
            <w:tabs>
              <w:tab w:val="clear" w:pos="8176"/>
              <w:tab w:val="right" w:pos="9026" w:leader="dot"/>
            </w:tabs>
            <w:rPr/>
          </w:pPr>
          <w:hyperlink w:anchor="__RefHeading___Toc11030559_2142443653">
            <w:r>
              <w:rPr>
                <w:webHidden/>
                <w:rStyle w:val="IndexLink"/>
                <w:rtl w:val="true"/>
              </w:rPr>
              <w:t xml:space="preserve">ي </w:t>
            </w:r>
            <w:r>
              <w:rPr>
                <w:rStyle w:val="IndexLink"/>
                <w:rtl w:val="true"/>
              </w:rPr>
              <w:t xml:space="preserve">- </w:t>
            </w:r>
            <w:r>
              <w:rPr>
                <w:rStyle w:val="IndexLink"/>
                <w:rtl w:val="true"/>
              </w:rPr>
              <w:t>إبعاد الإمام علي</w:t>
            </w:r>
            <w:r>
              <w:rPr>
                <w:rStyle w:val="IndexLink"/>
                <w:rtl w:val="true"/>
              </w:rPr>
              <w:t>(</w:t>
            </w:r>
            <w:r>
              <w:rPr>
                <w:rStyle w:val="IndexLink"/>
                <w:rtl w:val="true"/>
              </w:rPr>
              <w:t>علیه السّلام</w:t>
            </w:r>
            <w:r>
              <w:rPr>
                <w:rStyle w:val="IndexLink"/>
                <w:rtl w:val="true"/>
              </w:rPr>
              <w:t>)</w:t>
            </w:r>
            <w:r>
              <w:rPr>
                <w:rStyle w:val="IndexLink"/>
                <w:rtl w:val="true"/>
              </w:rPr>
              <w:t>بذرائع واهية</w:t>
            </w:r>
            <w:r>
              <w:rPr>
                <w:rStyle w:val="IndexLink"/>
                <w:rtl w:val="true"/>
              </w:rPr>
              <w:t>:</w:t>
              <w:tab/>
            </w:r>
            <w:r>
              <w:rPr>
                <w:rStyle w:val="IndexLink"/>
              </w:rPr>
              <w:t>343</w:t>
            </w:r>
          </w:hyperlink>
        </w:p>
        <w:p>
          <w:pPr>
            <w:pStyle w:val="Contents3"/>
            <w:tabs>
              <w:tab w:val="clear" w:pos="8459"/>
              <w:tab w:val="right" w:pos="9026" w:leader="dot"/>
            </w:tabs>
            <w:rPr/>
          </w:pPr>
          <w:hyperlink w:anchor="__RefHeading___Toc11030561_2142443653">
            <w:r>
              <w:rPr>
                <w:webHidden/>
                <w:rStyle w:val="IndexLink"/>
                <w:rtl w:val="true"/>
              </w:rPr>
              <w:t>الشبهة السابعة</w:t>
            </w:r>
            <w:r>
              <w:rPr>
                <w:rStyle w:val="IndexLink"/>
                <w:rtl w:val="true"/>
              </w:rPr>
              <w:t xml:space="preserve">: </w:t>
            </w:r>
            <w:r>
              <w:rPr>
                <w:rStyle w:val="IndexLink"/>
                <w:rtl w:val="true"/>
              </w:rPr>
              <w:t>عدم احتجاج الإمام علي</w:t>
            </w:r>
            <w:r>
              <w:rPr>
                <w:rStyle w:val="IndexLink"/>
                <w:rtl w:val="true"/>
              </w:rPr>
              <w:t>(</w:t>
            </w:r>
            <w:r>
              <w:rPr>
                <w:rStyle w:val="IndexLink"/>
                <w:rtl w:val="true"/>
              </w:rPr>
              <w:t>علیه السّلام</w:t>
            </w:r>
            <w:r>
              <w:rPr>
                <w:rStyle w:val="IndexLink"/>
                <w:rtl w:val="true"/>
              </w:rPr>
              <w:t xml:space="preserve">) </w:t>
            </w:r>
            <w:r>
              <w:rPr>
                <w:rStyle w:val="IndexLink"/>
                <w:rtl w:val="true"/>
              </w:rPr>
              <w:t>بأصل التنصيب</w:t>
            </w:r>
            <w:r>
              <w:rPr>
                <w:rStyle w:val="IndexLink"/>
                <w:rtl w:val="true"/>
              </w:rPr>
              <w:t>:</w:t>
              <w:tab/>
            </w:r>
            <w:r>
              <w:rPr>
                <w:rStyle w:val="IndexLink"/>
              </w:rPr>
              <w:t>344</w:t>
            </w:r>
          </w:hyperlink>
        </w:p>
        <w:p>
          <w:pPr>
            <w:pStyle w:val="Contents4"/>
            <w:tabs>
              <w:tab w:val="clear" w:pos="8176"/>
              <w:tab w:val="right" w:pos="9026" w:leader="dot"/>
            </w:tabs>
            <w:rPr/>
          </w:pPr>
          <w:hyperlink w:anchor="__RefHeading___Toc11030563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1030565_2142443653">
            <w:r>
              <w:rPr>
                <w:webHidden/>
                <w:rStyle w:val="IndexLink"/>
                <w:rtl w:val="true"/>
              </w:rPr>
              <w:t>أولاً</w:t>
            </w:r>
            <w:r>
              <w:rPr>
                <w:rStyle w:val="IndexLink"/>
                <w:rtl w:val="true"/>
              </w:rPr>
              <w:t xml:space="preserve">: </w:t>
            </w:r>
            <w:r>
              <w:rPr>
                <w:rStyle w:val="IndexLink"/>
                <w:rtl w:val="true"/>
              </w:rPr>
              <w:t xml:space="preserve">الروايات الواردة بلفظ النصب والعهد والاختصاص والاصطفاء والاختيار والأخذ </w:t>
            </w:r>
            <w:r>
              <w:rPr>
                <w:rStyle w:val="IndexLink"/>
                <w:rtl w:val="true"/>
              </w:rPr>
              <w:t>:</w:t>
              <w:tab/>
            </w:r>
            <w:r>
              <w:rPr>
                <w:rStyle w:val="IndexLink"/>
              </w:rPr>
              <w:t>346</w:t>
            </w:r>
          </w:hyperlink>
        </w:p>
        <w:p>
          <w:pPr>
            <w:pStyle w:val="Contents4"/>
            <w:tabs>
              <w:tab w:val="clear" w:pos="8176"/>
              <w:tab w:val="right" w:pos="9026" w:leader="dot"/>
            </w:tabs>
            <w:rPr/>
          </w:pPr>
          <w:hyperlink w:anchor="__RefHeading___Toc11030567_2142443653">
            <w:r>
              <w:rPr>
                <w:webHidden/>
                <w:rStyle w:val="IndexLink"/>
                <w:rtl w:val="true"/>
              </w:rPr>
              <w:t>الثاني</w:t>
            </w:r>
            <w:r>
              <w:rPr>
                <w:rStyle w:val="IndexLink"/>
                <w:rtl w:val="true"/>
              </w:rPr>
              <w:t xml:space="preserve">: </w:t>
            </w:r>
            <w:r>
              <w:rPr>
                <w:rStyle w:val="IndexLink"/>
                <w:rtl w:val="true"/>
              </w:rPr>
              <w:t>حديث الغدير</w:t>
            </w:r>
            <w:r>
              <w:rPr>
                <w:rStyle w:val="IndexLink"/>
                <w:rtl w:val="true"/>
              </w:rPr>
              <w:t>:</w:t>
              <w:tab/>
            </w:r>
            <w:r>
              <w:rPr>
                <w:rStyle w:val="IndexLink"/>
              </w:rPr>
              <w:t>349</w:t>
            </w:r>
          </w:hyperlink>
        </w:p>
        <w:p>
          <w:pPr>
            <w:pStyle w:val="Contents4"/>
            <w:tabs>
              <w:tab w:val="clear" w:pos="8176"/>
              <w:tab w:val="right" w:pos="9026" w:leader="dot"/>
            </w:tabs>
            <w:rPr/>
          </w:pPr>
          <w:hyperlink w:anchor="__RefHeading___Toc11030569_2142443653">
            <w:r>
              <w:rPr>
                <w:webHidden/>
                <w:rStyle w:val="IndexLink"/>
                <w:rtl w:val="true"/>
              </w:rPr>
              <w:t>ثالثاً</w:t>
            </w:r>
            <w:r>
              <w:rPr>
                <w:rStyle w:val="IndexLink"/>
                <w:rtl w:val="true"/>
              </w:rPr>
              <w:t xml:space="preserve">: </w:t>
            </w:r>
            <w:r>
              <w:rPr>
                <w:rStyle w:val="IndexLink"/>
                <w:rtl w:val="true"/>
              </w:rPr>
              <w:t>حديث المنزلة</w:t>
            </w:r>
            <w:r>
              <w:rPr>
                <w:rStyle w:val="IndexLink"/>
                <w:rtl w:val="true"/>
              </w:rPr>
              <w:t>:</w:t>
              <w:tab/>
            </w:r>
            <w:r>
              <w:rPr>
                <w:rStyle w:val="IndexLink"/>
              </w:rPr>
              <w:t>357</w:t>
            </w:r>
          </w:hyperlink>
        </w:p>
        <w:p>
          <w:pPr>
            <w:pStyle w:val="Contents4"/>
            <w:tabs>
              <w:tab w:val="clear" w:pos="8176"/>
              <w:tab w:val="right" w:pos="9026" w:leader="dot"/>
            </w:tabs>
            <w:rPr/>
          </w:pPr>
          <w:hyperlink w:anchor="__RefHeading___Toc11030571_2142443653">
            <w:r>
              <w:rPr>
                <w:webHidden/>
                <w:rStyle w:val="IndexLink"/>
                <w:rtl w:val="true"/>
              </w:rPr>
              <w:t>رابعاً</w:t>
            </w:r>
            <w:r>
              <w:rPr>
                <w:rStyle w:val="IndexLink"/>
                <w:rtl w:val="true"/>
              </w:rPr>
              <w:t xml:space="preserve">: </w:t>
            </w:r>
            <w:r>
              <w:rPr>
                <w:rStyle w:val="IndexLink"/>
                <w:rtl w:val="true"/>
              </w:rPr>
              <w:t xml:space="preserve">حديث الخلافة </w:t>
            </w:r>
            <w:r>
              <w:rPr>
                <w:rStyle w:val="IndexLink"/>
                <w:rtl w:val="true"/>
              </w:rPr>
              <w:t>:</w:t>
              <w:tab/>
            </w:r>
            <w:r>
              <w:rPr>
                <w:rStyle w:val="IndexLink"/>
              </w:rPr>
              <w:t>360</w:t>
            </w:r>
          </w:hyperlink>
        </w:p>
        <w:p>
          <w:pPr>
            <w:pStyle w:val="Contents4"/>
            <w:tabs>
              <w:tab w:val="clear" w:pos="8176"/>
              <w:tab w:val="right" w:pos="9026" w:leader="dot"/>
            </w:tabs>
            <w:rPr/>
          </w:pPr>
          <w:hyperlink w:anchor="__RefHeading___Toc11030573_2142443653">
            <w:r>
              <w:rPr>
                <w:webHidden/>
                <w:rStyle w:val="IndexLink"/>
                <w:rtl w:val="true"/>
              </w:rPr>
              <w:t>خامساً</w:t>
            </w:r>
            <w:r>
              <w:rPr>
                <w:rStyle w:val="IndexLink"/>
                <w:rtl w:val="true"/>
              </w:rPr>
              <w:t xml:space="preserve">: </w:t>
            </w:r>
            <w:r>
              <w:rPr>
                <w:rStyle w:val="IndexLink"/>
                <w:rtl w:val="true"/>
              </w:rPr>
              <w:t>حديث الوزارة</w:t>
            </w:r>
            <w:r>
              <w:rPr>
                <w:rStyle w:val="IndexLink"/>
                <w:rtl w:val="true"/>
              </w:rPr>
              <w:t>:</w:t>
              <w:tab/>
            </w:r>
            <w:r>
              <w:rPr>
                <w:rStyle w:val="IndexLink"/>
              </w:rPr>
              <w:t>362</w:t>
            </w:r>
          </w:hyperlink>
        </w:p>
        <w:p>
          <w:pPr>
            <w:pStyle w:val="Contents4"/>
            <w:tabs>
              <w:tab w:val="clear" w:pos="8176"/>
              <w:tab w:val="right" w:pos="9026" w:leader="dot"/>
            </w:tabs>
            <w:rPr/>
          </w:pPr>
          <w:hyperlink w:anchor="__RefHeading___Toc11030575_2142443653">
            <w:r>
              <w:rPr>
                <w:webHidden/>
                <w:rStyle w:val="IndexLink"/>
                <w:rtl w:val="true"/>
              </w:rPr>
              <w:t>سادساً</w:t>
            </w:r>
            <w:r>
              <w:rPr>
                <w:rStyle w:val="IndexLink"/>
                <w:rtl w:val="true"/>
              </w:rPr>
              <w:t xml:space="preserve">: </w:t>
            </w:r>
            <w:r>
              <w:rPr>
                <w:rStyle w:val="IndexLink"/>
                <w:rtl w:val="true"/>
              </w:rPr>
              <w:t>حديث أمير المؤمنين</w:t>
            </w:r>
            <w:r>
              <w:rPr>
                <w:rStyle w:val="IndexLink"/>
                <w:rtl w:val="true"/>
              </w:rPr>
              <w:t>:</w:t>
              <w:tab/>
            </w:r>
            <w:r>
              <w:rPr>
                <w:rStyle w:val="IndexLink"/>
              </w:rPr>
              <w:t>365</w:t>
            </w:r>
          </w:hyperlink>
        </w:p>
        <w:p>
          <w:pPr>
            <w:pStyle w:val="Contents3"/>
            <w:tabs>
              <w:tab w:val="clear" w:pos="8459"/>
              <w:tab w:val="right" w:pos="9026" w:leader="dot"/>
            </w:tabs>
            <w:rPr/>
          </w:pPr>
          <w:hyperlink w:anchor="__RefHeading___Toc11030577_2142443653">
            <w:r>
              <w:rPr>
                <w:webHidden/>
                <w:rStyle w:val="IndexLink"/>
                <w:rtl w:val="true"/>
              </w:rPr>
              <w:t>الاستنتاجات</w:t>
            </w:r>
            <w:r>
              <w:rPr>
                <w:rStyle w:val="IndexLink"/>
                <w:rtl w:val="true"/>
              </w:rPr>
              <w:t>:</w:t>
              <w:tab/>
            </w:r>
            <w:r>
              <w:rPr>
                <w:rStyle w:val="IndexLink"/>
              </w:rPr>
              <w:t>366</w:t>
            </w:r>
          </w:hyperlink>
        </w:p>
        <w:p>
          <w:pPr>
            <w:pStyle w:val="Contents3"/>
            <w:tabs>
              <w:tab w:val="clear" w:pos="8459"/>
              <w:tab w:val="right" w:pos="9026" w:leader="dot"/>
            </w:tabs>
            <w:rPr/>
          </w:pPr>
          <w:hyperlink w:anchor="__RefHeading___Toc11030579_2142443653">
            <w:r>
              <w:rPr>
                <w:webHidden/>
                <w:rStyle w:val="IndexLink"/>
                <w:rtl w:val="true"/>
              </w:rPr>
              <w:t>الشبهة الثامنة</w:t>
            </w:r>
            <w:r>
              <w:rPr>
                <w:rStyle w:val="IndexLink"/>
                <w:rtl w:val="true"/>
              </w:rPr>
              <w:t xml:space="preserve">: </w:t>
            </w:r>
            <w:r>
              <w:rPr>
                <w:rStyle w:val="IndexLink"/>
                <w:rtl w:val="true"/>
              </w:rPr>
              <w:t>عدم مبادرة الإمام للتصدي إلى الحكم</w:t>
            </w:r>
            <w:r>
              <w:rPr>
                <w:rStyle w:val="IndexLink"/>
                <w:rtl w:val="true"/>
              </w:rPr>
              <w:t>:</w:t>
              <w:tab/>
            </w:r>
            <w:r>
              <w:rPr>
                <w:rStyle w:val="IndexLink"/>
              </w:rPr>
              <w:t>368</w:t>
            </w:r>
          </w:hyperlink>
        </w:p>
        <w:p>
          <w:pPr>
            <w:pStyle w:val="Contents4"/>
            <w:tabs>
              <w:tab w:val="clear" w:pos="8176"/>
              <w:tab w:val="right" w:pos="9026" w:leader="dot"/>
            </w:tabs>
            <w:rPr/>
          </w:pPr>
          <w:hyperlink w:anchor="__RefHeading___Toc11030581_2142443653">
            <w:r>
              <w:rPr>
                <w:webHidden/>
                <w:rStyle w:val="IndexLink"/>
                <w:rtl w:val="true"/>
              </w:rPr>
              <w:t>اشارة</w:t>
            </w:r>
            <w:r>
              <w:rPr>
                <w:rStyle w:val="IndexLink"/>
                <w:rtl w:val="true"/>
              </w:rPr>
              <w:tab/>
            </w:r>
            <w:r>
              <w:rPr>
                <w:rStyle w:val="IndexLink"/>
              </w:rPr>
              <w:t>368</w:t>
            </w:r>
          </w:hyperlink>
        </w:p>
        <w:p>
          <w:pPr>
            <w:pStyle w:val="Contents4"/>
            <w:tabs>
              <w:tab w:val="clear" w:pos="8176"/>
              <w:tab w:val="right" w:pos="9026" w:leader="dot"/>
            </w:tabs>
            <w:rPr/>
          </w:pPr>
          <w:hyperlink w:anchor="__RefHeading___Toc11030583_2142443653">
            <w:r>
              <w:rPr>
                <w:webHidden/>
                <w:rStyle w:val="IndexLink"/>
                <w:rtl w:val="true"/>
              </w:rPr>
              <w:t xml:space="preserve">أ </w:t>
            </w:r>
            <w:r>
              <w:rPr>
                <w:rStyle w:val="IndexLink"/>
                <w:rtl w:val="true"/>
              </w:rPr>
              <w:t xml:space="preserve">- </w:t>
            </w:r>
            <w:r>
              <w:rPr>
                <w:rStyle w:val="IndexLink"/>
                <w:rtl w:val="true"/>
              </w:rPr>
              <w:t>الاعتصام في بيت السيدة فاطمة الزهراء</w:t>
            </w:r>
            <w:r>
              <w:rPr>
                <w:rStyle w:val="IndexLink"/>
                <w:rtl w:val="true"/>
              </w:rPr>
              <w:t>(</w:t>
            </w:r>
            <w:r>
              <w:rPr>
                <w:rStyle w:val="IndexLink"/>
                <w:rtl w:val="true"/>
              </w:rPr>
              <w:t>سلام الله علیها</w:t>
            </w:r>
            <w:r>
              <w:rPr>
                <w:rStyle w:val="IndexLink"/>
                <w:rtl w:val="true"/>
              </w:rPr>
              <w:t>):</w:t>
              <w:tab/>
            </w:r>
            <w:r>
              <w:rPr>
                <w:rStyle w:val="IndexLink"/>
              </w:rPr>
              <w:t>368</w:t>
            </w:r>
          </w:hyperlink>
        </w:p>
        <w:p>
          <w:pPr>
            <w:pStyle w:val="Contents4"/>
            <w:tabs>
              <w:tab w:val="clear" w:pos="8176"/>
              <w:tab w:val="right" w:pos="9026" w:leader="dot"/>
            </w:tabs>
            <w:rPr/>
          </w:pPr>
          <w:hyperlink w:anchor="__RefHeading___Toc11030585_2142443653">
            <w:r>
              <w:rPr>
                <w:webHidden/>
                <w:rStyle w:val="IndexLink"/>
                <w:rtl w:val="true"/>
              </w:rPr>
              <w:t xml:space="preserve">ب </w:t>
            </w:r>
            <w:r>
              <w:rPr>
                <w:rStyle w:val="IndexLink"/>
                <w:rtl w:val="true"/>
              </w:rPr>
              <w:t xml:space="preserve">- </w:t>
            </w:r>
            <w:r>
              <w:rPr>
                <w:rStyle w:val="IndexLink"/>
                <w:rtl w:val="true"/>
              </w:rPr>
              <w:t>كراهة البيعة</w:t>
            </w:r>
            <w:r>
              <w:rPr>
                <w:rStyle w:val="IndexLink"/>
                <w:rtl w:val="true"/>
              </w:rPr>
              <w:t>:</w:t>
              <w:tab/>
            </w:r>
            <w:r>
              <w:rPr>
                <w:rStyle w:val="IndexLink"/>
              </w:rPr>
              <w:t>369</w:t>
            </w:r>
          </w:hyperlink>
        </w:p>
        <w:p>
          <w:pPr>
            <w:pStyle w:val="Contents4"/>
            <w:tabs>
              <w:tab w:val="clear" w:pos="8176"/>
              <w:tab w:val="right" w:pos="9026" w:leader="dot"/>
            </w:tabs>
            <w:rPr/>
          </w:pPr>
          <w:hyperlink w:anchor="__RefHeading___Toc11030587_2142443653">
            <w:r>
              <w:rPr>
                <w:webHidden/>
                <w:rStyle w:val="IndexLink"/>
                <w:rtl w:val="true"/>
              </w:rPr>
              <w:t xml:space="preserve">ج </w:t>
            </w:r>
            <w:r>
              <w:rPr>
                <w:rStyle w:val="IndexLink"/>
                <w:rtl w:val="true"/>
              </w:rPr>
              <w:t xml:space="preserve">- </w:t>
            </w:r>
            <w:r>
              <w:rPr>
                <w:rStyle w:val="IndexLink"/>
                <w:rtl w:val="true"/>
              </w:rPr>
              <w:t>النشاط السري والعلني والمواجهة المسلحة</w:t>
            </w:r>
            <w:r>
              <w:rPr>
                <w:rStyle w:val="IndexLink"/>
                <w:rtl w:val="true"/>
              </w:rPr>
              <w:t>:</w:t>
              <w:tab/>
            </w:r>
            <w:r>
              <w:rPr>
                <w:rStyle w:val="IndexLink"/>
              </w:rPr>
              <w:t>370</w:t>
            </w:r>
          </w:hyperlink>
        </w:p>
        <w:p>
          <w:pPr>
            <w:pStyle w:val="Contents4"/>
            <w:tabs>
              <w:tab w:val="clear" w:pos="8176"/>
              <w:tab w:val="right" w:pos="9026" w:leader="dot"/>
            </w:tabs>
            <w:rPr/>
          </w:pPr>
          <w:hyperlink w:anchor="__RefHeading___Toc11030589_2142443653">
            <w:r>
              <w:rPr>
                <w:webHidden/>
                <w:rStyle w:val="IndexLink"/>
                <w:rtl w:val="true"/>
              </w:rPr>
              <w:t xml:space="preserve">د </w:t>
            </w:r>
            <w:r>
              <w:rPr>
                <w:rStyle w:val="IndexLink"/>
                <w:rtl w:val="true"/>
              </w:rPr>
              <w:t xml:space="preserve">- </w:t>
            </w:r>
            <w:r>
              <w:rPr>
                <w:rStyle w:val="IndexLink"/>
                <w:rtl w:val="true"/>
              </w:rPr>
              <w:t>نصوص الإمام</w:t>
            </w:r>
            <w:r>
              <w:rPr>
                <w:rStyle w:val="IndexLink"/>
                <w:rtl w:val="true"/>
              </w:rPr>
              <w:t>(</w:t>
            </w:r>
            <w:r>
              <w:rPr>
                <w:rStyle w:val="IndexLink"/>
                <w:rtl w:val="true"/>
              </w:rPr>
              <w:t>علیه السّلام</w:t>
            </w:r>
            <w:r>
              <w:rPr>
                <w:rStyle w:val="IndexLink"/>
                <w:rtl w:val="true"/>
              </w:rPr>
              <w:t>)</w:t>
            </w:r>
            <w:r>
              <w:rPr>
                <w:rStyle w:val="IndexLink"/>
                <w:rtl w:val="true"/>
              </w:rPr>
              <w:t xml:space="preserve">بشأن الإمامة </w:t>
            </w:r>
            <w:r>
              <w:rPr>
                <w:rStyle w:val="IndexLink"/>
                <w:rtl w:val="true"/>
              </w:rPr>
              <w:t>:</w:t>
              <w:tab/>
            </w:r>
            <w:r>
              <w:rPr>
                <w:rStyle w:val="IndexLink"/>
              </w:rPr>
              <w:t>373</w:t>
            </w:r>
          </w:hyperlink>
        </w:p>
        <w:p>
          <w:pPr>
            <w:pStyle w:val="Contents3"/>
            <w:tabs>
              <w:tab w:val="clear" w:pos="8459"/>
              <w:tab w:val="right" w:pos="9026" w:leader="dot"/>
            </w:tabs>
            <w:rPr/>
          </w:pPr>
          <w:hyperlink w:anchor="__RefHeading___Toc11030591_2142443653">
            <w:r>
              <w:rPr>
                <w:webHidden/>
                <w:rStyle w:val="IndexLink"/>
                <w:rtl w:val="true"/>
              </w:rPr>
              <w:t>الشبهة التاسعة</w:t>
            </w:r>
            <w:r>
              <w:rPr>
                <w:rStyle w:val="IndexLink"/>
                <w:rtl w:val="true"/>
              </w:rPr>
              <w:t xml:space="preserve">: </w:t>
            </w:r>
            <w:r>
              <w:rPr>
                <w:rStyle w:val="IndexLink"/>
                <w:rtl w:val="true"/>
              </w:rPr>
              <w:t>سكوت الإمام علي</w:t>
            </w:r>
            <w:r>
              <w:rPr>
                <w:rStyle w:val="IndexLink"/>
                <w:rtl w:val="true"/>
              </w:rPr>
              <w:t>(</w:t>
            </w:r>
            <w:r>
              <w:rPr>
                <w:rStyle w:val="IndexLink"/>
                <w:rtl w:val="true"/>
              </w:rPr>
              <w:t>علیه السّلام</w:t>
            </w:r>
            <w:r>
              <w:rPr>
                <w:rStyle w:val="IndexLink"/>
                <w:rtl w:val="true"/>
              </w:rPr>
              <w:t>):</w:t>
              <w:tab/>
            </w:r>
            <w:r>
              <w:rPr>
                <w:rStyle w:val="IndexLink"/>
              </w:rPr>
              <w:t>373</w:t>
            </w:r>
          </w:hyperlink>
        </w:p>
        <w:p>
          <w:pPr>
            <w:pStyle w:val="Contents4"/>
            <w:tabs>
              <w:tab w:val="clear" w:pos="8176"/>
              <w:tab w:val="right" w:pos="9026" w:leader="dot"/>
            </w:tabs>
            <w:rPr/>
          </w:pPr>
          <w:hyperlink w:anchor="__RefHeading___Toc11030593_2142443653">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11030595_2142443653">
            <w:r>
              <w:rPr>
                <w:webHidden/>
                <w:rStyle w:val="IndexLink"/>
                <w:rtl w:val="true"/>
              </w:rPr>
              <w:t xml:space="preserve">أ </w:t>
            </w:r>
            <w:r>
              <w:rPr>
                <w:rStyle w:val="IndexLink"/>
                <w:rtl w:val="true"/>
              </w:rPr>
              <w:t xml:space="preserve">- </w:t>
            </w:r>
            <w:r>
              <w:rPr>
                <w:rStyle w:val="IndexLink"/>
                <w:rtl w:val="true"/>
              </w:rPr>
              <w:t>غياب الأنصار</w:t>
            </w:r>
            <w:r>
              <w:rPr>
                <w:rStyle w:val="IndexLink"/>
                <w:rtl w:val="true"/>
              </w:rPr>
              <w:t>:</w:t>
              <w:tab/>
            </w:r>
            <w:r>
              <w:rPr>
                <w:rStyle w:val="IndexLink"/>
              </w:rPr>
              <w:t>374</w:t>
            </w:r>
          </w:hyperlink>
        </w:p>
        <w:p>
          <w:pPr>
            <w:pStyle w:val="Contents4"/>
            <w:tabs>
              <w:tab w:val="clear" w:pos="8176"/>
              <w:tab w:val="right" w:pos="9026" w:leader="dot"/>
            </w:tabs>
            <w:rPr/>
          </w:pPr>
          <w:hyperlink w:anchor="__RefHeading___Toc11030597_2142443653">
            <w:r>
              <w:rPr>
                <w:webHidden/>
                <w:rStyle w:val="IndexLink"/>
                <w:rtl w:val="true"/>
              </w:rPr>
              <w:t xml:space="preserve">ب </w:t>
            </w:r>
            <w:r>
              <w:rPr>
                <w:rStyle w:val="IndexLink"/>
                <w:rtl w:val="true"/>
              </w:rPr>
              <w:t xml:space="preserve">- </w:t>
            </w:r>
            <w:r>
              <w:rPr>
                <w:rStyle w:val="IndexLink"/>
                <w:rtl w:val="true"/>
              </w:rPr>
              <w:t>عدم حلول الوقت المناسب</w:t>
            </w:r>
            <w:r>
              <w:rPr>
                <w:rStyle w:val="IndexLink"/>
                <w:rtl w:val="true"/>
              </w:rPr>
              <w:t>:</w:t>
              <w:tab/>
            </w:r>
            <w:r>
              <w:rPr>
                <w:rStyle w:val="IndexLink"/>
              </w:rPr>
              <w:t>375</w:t>
            </w:r>
          </w:hyperlink>
        </w:p>
        <w:p>
          <w:pPr>
            <w:pStyle w:val="Contents4"/>
            <w:tabs>
              <w:tab w:val="clear" w:pos="8176"/>
              <w:tab w:val="right" w:pos="9026" w:leader="dot"/>
            </w:tabs>
            <w:rPr/>
          </w:pPr>
          <w:hyperlink w:anchor="__RefHeading___Toc11030599_2142443653">
            <w:r>
              <w:rPr>
                <w:webHidden/>
                <w:rStyle w:val="IndexLink"/>
                <w:rtl w:val="true"/>
              </w:rPr>
              <w:t xml:space="preserve">ج </w:t>
            </w:r>
            <w:r>
              <w:rPr>
                <w:rStyle w:val="IndexLink"/>
                <w:rtl w:val="true"/>
              </w:rPr>
              <w:t xml:space="preserve">- </w:t>
            </w:r>
            <w:r>
              <w:rPr>
                <w:rStyle w:val="IndexLink"/>
                <w:rtl w:val="true"/>
              </w:rPr>
              <w:t>الحفاظ على وحدة المسلمين</w:t>
            </w:r>
            <w:r>
              <w:rPr>
                <w:rStyle w:val="IndexLink"/>
                <w:rtl w:val="true"/>
              </w:rPr>
              <w:t>:</w:t>
              <w:tab/>
            </w:r>
            <w:r>
              <w:rPr>
                <w:rStyle w:val="IndexLink"/>
              </w:rPr>
              <w:t>376</w:t>
            </w:r>
          </w:hyperlink>
        </w:p>
        <w:p>
          <w:pPr>
            <w:pStyle w:val="Contents4"/>
            <w:tabs>
              <w:tab w:val="clear" w:pos="8176"/>
              <w:tab w:val="right" w:pos="9026" w:leader="dot"/>
            </w:tabs>
            <w:rPr/>
          </w:pPr>
          <w:hyperlink w:anchor="__RefHeading___Toc11030601_2142443653">
            <w:r>
              <w:rPr>
                <w:webHidden/>
                <w:rStyle w:val="IndexLink"/>
                <w:rtl w:val="true"/>
              </w:rPr>
              <w:t xml:space="preserve">د </w:t>
            </w:r>
            <w:r>
              <w:rPr>
                <w:rStyle w:val="IndexLink"/>
                <w:rtl w:val="true"/>
              </w:rPr>
              <w:t xml:space="preserve">- </w:t>
            </w:r>
            <w:r>
              <w:rPr>
                <w:rStyle w:val="IndexLink"/>
                <w:rtl w:val="true"/>
              </w:rPr>
              <w:t>تنازل الإمام عن حقه</w:t>
            </w:r>
            <w:r>
              <w:rPr>
                <w:rStyle w:val="IndexLink"/>
                <w:rtl w:val="true"/>
              </w:rPr>
              <w:t>:</w:t>
              <w:tab/>
            </w:r>
            <w:r>
              <w:rPr>
                <w:rStyle w:val="IndexLink"/>
              </w:rPr>
              <w:t>377</w:t>
            </w:r>
          </w:hyperlink>
        </w:p>
        <w:p>
          <w:pPr>
            <w:pStyle w:val="Contents3"/>
            <w:tabs>
              <w:tab w:val="clear" w:pos="8459"/>
              <w:tab w:val="right" w:pos="9026" w:leader="dot"/>
            </w:tabs>
            <w:rPr/>
          </w:pPr>
          <w:hyperlink w:anchor="__RefHeading___Toc11030603_2142443653">
            <w:r>
              <w:rPr>
                <w:webHidden/>
                <w:rStyle w:val="IndexLink"/>
                <w:rtl w:val="true"/>
              </w:rPr>
              <w:t>الشبهة العاشرة</w:t>
            </w:r>
            <w:r>
              <w:rPr>
                <w:rStyle w:val="IndexLink"/>
                <w:rtl w:val="true"/>
              </w:rPr>
              <w:t xml:space="preserve">: </w:t>
            </w:r>
            <w:r>
              <w:rPr>
                <w:rStyle w:val="IndexLink"/>
                <w:rtl w:val="true"/>
              </w:rPr>
              <w:t>قبول الإمام علي</w:t>
            </w:r>
            <w:r>
              <w:rPr>
                <w:rStyle w:val="IndexLink"/>
                <w:rtl w:val="true"/>
              </w:rPr>
              <w:t>(</w:t>
            </w:r>
            <w:r>
              <w:rPr>
                <w:rStyle w:val="IndexLink"/>
                <w:rtl w:val="true"/>
              </w:rPr>
              <w:t>علیه السّلام</w:t>
            </w:r>
            <w:r>
              <w:rPr>
                <w:rStyle w:val="IndexLink"/>
                <w:rtl w:val="true"/>
              </w:rPr>
              <w:t>)</w:t>
            </w:r>
            <w:r>
              <w:rPr>
                <w:rStyle w:val="IndexLink"/>
                <w:rtl w:val="true"/>
              </w:rPr>
              <w:t>ببيعة أبي بكر</w:t>
            </w:r>
            <w:r>
              <w:rPr>
                <w:rStyle w:val="IndexLink"/>
                <w:rtl w:val="true"/>
              </w:rPr>
              <w:t>:</w:t>
              <w:tab/>
            </w:r>
            <w:r>
              <w:rPr>
                <w:rStyle w:val="IndexLink"/>
              </w:rPr>
              <w:t>378</w:t>
            </w:r>
          </w:hyperlink>
        </w:p>
        <w:p>
          <w:pPr>
            <w:pStyle w:val="Contents4"/>
            <w:tabs>
              <w:tab w:val="clear" w:pos="8176"/>
              <w:tab w:val="right" w:pos="9026" w:leader="dot"/>
            </w:tabs>
            <w:rPr/>
          </w:pPr>
          <w:hyperlink w:anchor="__RefHeading___Toc11030605_2142443653">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11030607_2142443653">
            <w:r>
              <w:rPr>
                <w:webHidden/>
                <w:rStyle w:val="IndexLink"/>
                <w:rtl w:val="true"/>
              </w:rPr>
              <w:t xml:space="preserve">أ </w:t>
            </w:r>
            <w:r>
              <w:rPr>
                <w:rStyle w:val="IndexLink"/>
                <w:rtl w:val="true"/>
              </w:rPr>
              <w:t xml:space="preserve">- </w:t>
            </w:r>
            <w:r>
              <w:rPr>
                <w:rStyle w:val="IndexLink"/>
                <w:rtl w:val="true"/>
              </w:rPr>
              <w:t>الحيلولة دون الكفر والردة</w:t>
            </w:r>
            <w:r>
              <w:rPr>
                <w:rStyle w:val="IndexLink"/>
                <w:rtl w:val="true"/>
              </w:rPr>
              <w:t>:</w:t>
              <w:tab/>
            </w:r>
            <w:r>
              <w:rPr>
                <w:rStyle w:val="IndexLink"/>
              </w:rPr>
              <w:t>379</w:t>
            </w:r>
          </w:hyperlink>
        </w:p>
        <w:p>
          <w:pPr>
            <w:pStyle w:val="Contents4"/>
            <w:tabs>
              <w:tab w:val="clear" w:pos="8176"/>
              <w:tab w:val="right" w:pos="9026" w:leader="dot"/>
            </w:tabs>
            <w:rPr/>
          </w:pPr>
          <w:hyperlink w:anchor="__RefHeading___Toc11030609_2142443653">
            <w:r>
              <w:rPr>
                <w:webHidden/>
                <w:rStyle w:val="IndexLink"/>
                <w:rtl w:val="true"/>
              </w:rPr>
              <w:t xml:space="preserve">ب </w:t>
            </w:r>
            <w:r>
              <w:rPr>
                <w:rStyle w:val="IndexLink"/>
                <w:rtl w:val="true"/>
              </w:rPr>
              <w:t xml:space="preserve">- </w:t>
            </w:r>
            <w:r>
              <w:rPr>
                <w:rStyle w:val="IndexLink"/>
                <w:rtl w:val="true"/>
              </w:rPr>
              <w:t>الحفاظ على وحدة المسلمين</w:t>
            </w:r>
            <w:r>
              <w:rPr>
                <w:rStyle w:val="IndexLink"/>
                <w:rtl w:val="true"/>
              </w:rPr>
              <w:t>:</w:t>
              <w:tab/>
            </w:r>
            <w:r>
              <w:rPr>
                <w:rStyle w:val="IndexLink"/>
              </w:rPr>
              <w:t>381</w:t>
            </w:r>
          </w:hyperlink>
        </w:p>
        <w:p>
          <w:pPr>
            <w:pStyle w:val="Contents4"/>
            <w:tabs>
              <w:tab w:val="clear" w:pos="8176"/>
              <w:tab w:val="right" w:pos="9026" w:leader="dot"/>
            </w:tabs>
            <w:rPr/>
          </w:pPr>
          <w:hyperlink w:anchor="__RefHeading___Toc11030611_2142443653">
            <w:r>
              <w:rPr>
                <w:webHidden/>
                <w:rStyle w:val="IndexLink"/>
                <w:rtl w:val="true"/>
              </w:rPr>
              <w:t xml:space="preserve">ج </w:t>
            </w:r>
            <w:r>
              <w:rPr>
                <w:rStyle w:val="IndexLink"/>
                <w:rtl w:val="true"/>
              </w:rPr>
              <w:t xml:space="preserve">- </w:t>
            </w:r>
            <w:r>
              <w:rPr>
                <w:rStyle w:val="IndexLink"/>
                <w:rtl w:val="true"/>
              </w:rPr>
              <w:t>الحيلولة دون سفك الدماء</w:t>
            </w:r>
            <w:r>
              <w:rPr>
                <w:rStyle w:val="IndexLink"/>
                <w:rtl w:val="true"/>
              </w:rPr>
              <w:t>:</w:t>
              <w:tab/>
            </w:r>
            <w:r>
              <w:rPr>
                <w:rStyle w:val="IndexLink"/>
              </w:rPr>
              <w:t>382</w:t>
            </w:r>
          </w:hyperlink>
        </w:p>
        <w:p>
          <w:pPr>
            <w:pStyle w:val="Contents4"/>
            <w:tabs>
              <w:tab w:val="clear" w:pos="8176"/>
              <w:tab w:val="right" w:pos="9026" w:leader="dot"/>
            </w:tabs>
            <w:rPr/>
          </w:pPr>
          <w:hyperlink w:anchor="__RefHeading___Toc11030613_2142443653">
            <w:r>
              <w:rPr>
                <w:webHidden/>
                <w:rStyle w:val="IndexLink"/>
                <w:rtl w:val="true"/>
              </w:rPr>
              <w:t xml:space="preserve">د </w:t>
            </w:r>
            <w:r>
              <w:rPr>
                <w:rStyle w:val="IndexLink"/>
                <w:rtl w:val="true"/>
              </w:rPr>
              <w:t xml:space="preserve">- </w:t>
            </w:r>
            <w:r>
              <w:rPr>
                <w:rStyle w:val="IndexLink"/>
                <w:rtl w:val="true"/>
              </w:rPr>
              <w:t>عدم اعتبار الإجماع</w:t>
            </w:r>
            <w:r>
              <w:rPr>
                <w:rStyle w:val="IndexLink"/>
                <w:rtl w:val="true"/>
              </w:rPr>
              <w:t>:</w:t>
              <w:tab/>
            </w:r>
            <w:r>
              <w:rPr>
                <w:rStyle w:val="IndexLink"/>
              </w:rPr>
              <w:t>382</w:t>
            </w:r>
          </w:hyperlink>
        </w:p>
        <w:p>
          <w:pPr>
            <w:pStyle w:val="Contents3"/>
            <w:tabs>
              <w:tab w:val="clear" w:pos="8459"/>
              <w:tab w:val="right" w:pos="9026" w:leader="dot"/>
            </w:tabs>
            <w:rPr/>
          </w:pPr>
          <w:hyperlink w:anchor="__RefHeading___Toc11030615_2142443653">
            <w:r>
              <w:rPr>
                <w:webHidden/>
                <w:rStyle w:val="IndexLink"/>
                <w:rtl w:val="true"/>
              </w:rPr>
              <w:t>الشبهة الحادية عشرة</w:t>
            </w:r>
            <w:r>
              <w:rPr>
                <w:rStyle w:val="IndexLink"/>
                <w:rtl w:val="true"/>
              </w:rPr>
              <w:t xml:space="preserve">: </w:t>
            </w:r>
            <w:r>
              <w:rPr>
                <w:rStyle w:val="IndexLink"/>
                <w:rtl w:val="true"/>
              </w:rPr>
              <w:t>المشاركة في شورى تعيين الخليفة الثالث</w:t>
            </w:r>
            <w:r>
              <w:rPr>
                <w:rStyle w:val="IndexLink"/>
                <w:rtl w:val="true"/>
              </w:rPr>
              <w:t>:</w:t>
              <w:tab/>
            </w:r>
            <w:r>
              <w:rPr>
                <w:rStyle w:val="IndexLink"/>
              </w:rPr>
              <w:t>384</w:t>
            </w:r>
          </w:hyperlink>
        </w:p>
        <w:p>
          <w:pPr>
            <w:pStyle w:val="Contents4"/>
            <w:tabs>
              <w:tab w:val="clear" w:pos="8176"/>
              <w:tab w:val="right" w:pos="9026" w:leader="dot"/>
            </w:tabs>
            <w:rPr/>
          </w:pPr>
          <w:hyperlink w:anchor="__RefHeading___Toc11030617_2142443653">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1030619_2142443653">
            <w:r>
              <w:rPr>
                <w:webHidden/>
                <w:rStyle w:val="IndexLink"/>
                <w:rtl w:val="true"/>
              </w:rPr>
              <w:t xml:space="preserve">أ </w:t>
            </w:r>
            <w:r>
              <w:rPr>
                <w:rStyle w:val="IndexLink"/>
                <w:rtl w:val="true"/>
              </w:rPr>
              <w:t xml:space="preserve">- </w:t>
            </w:r>
            <w:r>
              <w:rPr>
                <w:rStyle w:val="IndexLink"/>
                <w:rtl w:val="true"/>
              </w:rPr>
              <w:t>دفع شبهة العلمانيين</w:t>
            </w:r>
            <w:r>
              <w:rPr>
                <w:rStyle w:val="IndexLink"/>
                <w:rtl w:val="true"/>
              </w:rPr>
              <w:t>:</w:t>
              <w:tab/>
            </w:r>
            <w:r>
              <w:rPr>
                <w:rStyle w:val="IndexLink"/>
              </w:rPr>
              <w:t>385</w:t>
            </w:r>
          </w:hyperlink>
        </w:p>
        <w:p>
          <w:pPr>
            <w:pStyle w:val="Contents4"/>
            <w:tabs>
              <w:tab w:val="clear" w:pos="8176"/>
              <w:tab w:val="right" w:pos="9026" w:leader="dot"/>
            </w:tabs>
            <w:rPr/>
          </w:pPr>
          <w:hyperlink w:anchor="__RefHeading___Toc11030621_2142443653">
            <w:r>
              <w:rPr>
                <w:webHidden/>
                <w:rStyle w:val="IndexLink"/>
                <w:rtl w:val="true"/>
              </w:rPr>
              <w:t xml:space="preserve">ب </w:t>
            </w:r>
            <w:r>
              <w:rPr>
                <w:rStyle w:val="IndexLink"/>
                <w:rtl w:val="true"/>
              </w:rPr>
              <w:t xml:space="preserve">- </w:t>
            </w:r>
            <w:r>
              <w:rPr>
                <w:rStyle w:val="IndexLink"/>
                <w:rtl w:val="true"/>
              </w:rPr>
              <w:t xml:space="preserve">إتمام الحجة </w:t>
            </w:r>
            <w:r>
              <w:rPr>
                <w:rStyle w:val="IndexLink"/>
                <w:rtl w:val="true"/>
              </w:rPr>
              <w:t>:</w:t>
              <w:tab/>
            </w:r>
            <w:r>
              <w:rPr>
                <w:rStyle w:val="IndexLink"/>
              </w:rPr>
              <w:t>386</w:t>
            </w:r>
          </w:hyperlink>
        </w:p>
        <w:p>
          <w:pPr>
            <w:pStyle w:val="Contents4"/>
            <w:tabs>
              <w:tab w:val="clear" w:pos="8176"/>
              <w:tab w:val="right" w:pos="9026" w:leader="dot"/>
            </w:tabs>
            <w:rPr/>
          </w:pPr>
          <w:hyperlink w:anchor="__RefHeading___Toc11030623_2142443653">
            <w:r>
              <w:rPr>
                <w:webHidden/>
                <w:rStyle w:val="IndexLink"/>
                <w:rtl w:val="true"/>
              </w:rPr>
              <w:t xml:space="preserve">ج </w:t>
            </w:r>
            <w:r>
              <w:rPr>
                <w:rStyle w:val="IndexLink"/>
                <w:rtl w:val="true"/>
              </w:rPr>
              <w:t xml:space="preserve">- </w:t>
            </w:r>
            <w:r>
              <w:rPr>
                <w:rStyle w:val="IndexLink"/>
                <w:rtl w:val="true"/>
              </w:rPr>
              <w:t>تجنّب الخلاف والحفاظ على وحدة المسلمين وتماسكهم</w:t>
            </w:r>
            <w:r>
              <w:rPr>
                <w:rStyle w:val="IndexLink"/>
                <w:rtl w:val="true"/>
              </w:rPr>
              <w:t>:</w:t>
              <w:tab/>
            </w:r>
            <w:r>
              <w:rPr>
                <w:rStyle w:val="IndexLink"/>
              </w:rPr>
              <w:t>387</w:t>
            </w:r>
          </w:hyperlink>
        </w:p>
        <w:p>
          <w:pPr>
            <w:pStyle w:val="Contents4"/>
            <w:tabs>
              <w:tab w:val="clear" w:pos="8176"/>
              <w:tab w:val="right" w:pos="9026" w:leader="dot"/>
            </w:tabs>
            <w:rPr/>
          </w:pPr>
          <w:hyperlink w:anchor="__RefHeading___Toc11030625_2142443653">
            <w:r>
              <w:rPr>
                <w:webHidden/>
                <w:rStyle w:val="IndexLink"/>
                <w:rtl w:val="true"/>
              </w:rPr>
              <w:t xml:space="preserve">د </w:t>
            </w:r>
            <w:r>
              <w:rPr>
                <w:rStyle w:val="IndexLink"/>
                <w:rtl w:val="true"/>
              </w:rPr>
              <w:t xml:space="preserve">- </w:t>
            </w:r>
            <w:r>
              <w:rPr>
                <w:rStyle w:val="IndexLink"/>
                <w:rtl w:val="true"/>
              </w:rPr>
              <w:t>نقض موقف الخليفة الثاني</w:t>
            </w:r>
            <w:r>
              <w:rPr>
                <w:rStyle w:val="IndexLink"/>
                <w:rtl w:val="true"/>
              </w:rPr>
              <w:t>:</w:t>
              <w:tab/>
            </w:r>
            <w:r>
              <w:rPr>
                <w:rStyle w:val="IndexLink"/>
              </w:rPr>
              <w:t>387</w:t>
            </w:r>
          </w:hyperlink>
        </w:p>
        <w:p>
          <w:pPr>
            <w:pStyle w:val="Contents4"/>
            <w:tabs>
              <w:tab w:val="clear" w:pos="8176"/>
              <w:tab w:val="right" w:pos="9026" w:leader="dot"/>
            </w:tabs>
            <w:rPr/>
          </w:pPr>
          <w:hyperlink w:anchor="__RefHeading___Toc11030627_2142443653">
            <w:r>
              <w:rPr>
                <w:webHidden/>
                <w:rStyle w:val="IndexLink"/>
                <w:rtl w:val="true"/>
              </w:rPr>
              <w:t xml:space="preserve">هـ </w:t>
            </w:r>
            <w:r>
              <w:rPr>
                <w:rStyle w:val="IndexLink"/>
                <w:rtl w:val="true"/>
              </w:rPr>
              <w:t xml:space="preserve">- </w:t>
            </w:r>
            <w:r>
              <w:rPr>
                <w:rStyle w:val="IndexLink"/>
                <w:rtl w:val="true"/>
              </w:rPr>
              <w:t>نفي تهمة الاستبداد بالرأي</w:t>
            </w:r>
            <w:r>
              <w:rPr>
                <w:rStyle w:val="IndexLink"/>
                <w:rtl w:val="true"/>
              </w:rPr>
              <w:t>:</w:t>
              <w:tab/>
            </w:r>
            <w:r>
              <w:rPr>
                <w:rStyle w:val="IndexLink"/>
              </w:rPr>
              <w:t>388</w:t>
            </w:r>
          </w:hyperlink>
        </w:p>
        <w:p>
          <w:pPr>
            <w:pStyle w:val="Contents4"/>
            <w:tabs>
              <w:tab w:val="clear" w:pos="8176"/>
              <w:tab w:val="right" w:pos="9026" w:leader="dot"/>
            </w:tabs>
            <w:rPr/>
          </w:pPr>
          <w:hyperlink w:anchor="__RefHeading___Toc11030629_2142443653">
            <w:r>
              <w:rPr>
                <w:webHidden/>
                <w:rStyle w:val="IndexLink"/>
                <w:rtl w:val="true"/>
              </w:rPr>
              <w:t xml:space="preserve">و </w:t>
            </w:r>
            <w:r>
              <w:rPr>
                <w:rStyle w:val="IndexLink"/>
                <w:rtl w:val="true"/>
              </w:rPr>
              <w:t xml:space="preserve">- </w:t>
            </w:r>
            <w:r>
              <w:rPr>
                <w:rStyle w:val="IndexLink"/>
                <w:rtl w:val="true"/>
              </w:rPr>
              <w:t>روايات وسلوك الإمام ناقض المشروعية الخلفاء</w:t>
            </w:r>
            <w:r>
              <w:rPr>
                <w:rStyle w:val="IndexLink"/>
                <w:rtl w:val="true"/>
              </w:rPr>
              <w:t>:</w:t>
              <w:tab/>
            </w:r>
            <w:r>
              <w:rPr>
                <w:rStyle w:val="IndexLink"/>
              </w:rPr>
              <w:t>389</w:t>
            </w:r>
          </w:hyperlink>
        </w:p>
        <w:p>
          <w:pPr>
            <w:pStyle w:val="Contents3"/>
            <w:tabs>
              <w:tab w:val="clear" w:pos="8459"/>
              <w:tab w:val="right" w:pos="9026" w:leader="dot"/>
            </w:tabs>
            <w:rPr/>
          </w:pPr>
          <w:hyperlink w:anchor="__RefHeading___Toc11030631_2142443653">
            <w:r>
              <w:rPr>
                <w:webHidden/>
                <w:rStyle w:val="IndexLink"/>
                <w:rtl w:val="true"/>
              </w:rPr>
              <w:t>الشبهة الثانية عشرة</w:t>
            </w:r>
            <w:r>
              <w:rPr>
                <w:rStyle w:val="IndexLink"/>
                <w:rtl w:val="true"/>
              </w:rPr>
              <w:t xml:space="preserve">: </w:t>
            </w:r>
            <w:r>
              <w:rPr>
                <w:rStyle w:val="IndexLink"/>
                <w:rtl w:val="true"/>
              </w:rPr>
              <w:t>رفض التصدي للخلافة بعد مقتل الخليفة الثالث</w:t>
            </w:r>
            <w:r>
              <w:rPr>
                <w:rStyle w:val="IndexLink"/>
                <w:rtl w:val="true"/>
              </w:rPr>
              <w:t>:</w:t>
              <w:tab/>
            </w:r>
            <w:r>
              <w:rPr>
                <w:rStyle w:val="IndexLink"/>
              </w:rPr>
              <w:t>390</w:t>
            </w:r>
          </w:hyperlink>
        </w:p>
        <w:p>
          <w:pPr>
            <w:pStyle w:val="Contents4"/>
            <w:tabs>
              <w:tab w:val="clear" w:pos="8176"/>
              <w:tab w:val="right" w:pos="9026" w:leader="dot"/>
            </w:tabs>
            <w:rPr/>
          </w:pPr>
          <w:hyperlink w:anchor="__RefHeading___Toc11030633_2142443653">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11030635_2142443653">
            <w:r>
              <w:rPr>
                <w:webHidden/>
                <w:rStyle w:val="IndexLink"/>
                <w:rtl w:val="true"/>
              </w:rPr>
              <w:t xml:space="preserve">أ </w:t>
            </w:r>
            <w:r>
              <w:rPr>
                <w:rStyle w:val="IndexLink"/>
                <w:rtl w:val="true"/>
              </w:rPr>
              <w:t xml:space="preserve">- </w:t>
            </w:r>
            <w:r>
              <w:rPr>
                <w:rStyle w:val="IndexLink"/>
                <w:rtl w:val="true"/>
              </w:rPr>
              <w:t>الاعتراض على سيرة الخلفاء السابقين</w:t>
            </w:r>
            <w:r>
              <w:rPr>
                <w:rStyle w:val="IndexLink"/>
                <w:rtl w:val="true"/>
              </w:rPr>
              <w:t>:</w:t>
              <w:tab/>
            </w:r>
            <w:r>
              <w:rPr>
                <w:rStyle w:val="IndexLink"/>
              </w:rPr>
              <w:t>392</w:t>
            </w:r>
          </w:hyperlink>
        </w:p>
        <w:p>
          <w:pPr>
            <w:pStyle w:val="Contents4"/>
            <w:tabs>
              <w:tab w:val="clear" w:pos="8176"/>
              <w:tab w:val="right" w:pos="9026" w:leader="dot"/>
            </w:tabs>
            <w:rPr/>
          </w:pPr>
          <w:hyperlink w:anchor="__RefHeading___Toc11030637_2142443653">
            <w:r>
              <w:rPr>
                <w:webHidden/>
                <w:rStyle w:val="IndexLink"/>
                <w:rtl w:val="true"/>
              </w:rPr>
              <w:t xml:space="preserve">ب </w:t>
            </w:r>
            <w:r>
              <w:rPr>
                <w:rStyle w:val="IndexLink"/>
                <w:rtl w:val="true"/>
              </w:rPr>
              <w:t xml:space="preserve">- </w:t>
            </w:r>
            <w:r>
              <w:rPr>
                <w:rStyle w:val="IndexLink"/>
                <w:rtl w:val="true"/>
              </w:rPr>
              <w:t>إتمام الحجة</w:t>
            </w:r>
            <w:r>
              <w:rPr>
                <w:rStyle w:val="IndexLink"/>
                <w:rtl w:val="true"/>
              </w:rPr>
              <w:t>:</w:t>
              <w:tab/>
            </w:r>
            <w:r>
              <w:rPr>
                <w:rStyle w:val="IndexLink"/>
              </w:rPr>
              <w:t>393</w:t>
            </w:r>
          </w:hyperlink>
        </w:p>
        <w:p>
          <w:pPr>
            <w:pStyle w:val="Contents4"/>
            <w:tabs>
              <w:tab w:val="clear" w:pos="8176"/>
              <w:tab w:val="right" w:pos="9026" w:leader="dot"/>
            </w:tabs>
            <w:rPr/>
          </w:pPr>
          <w:hyperlink w:anchor="__RefHeading___Toc11030639_2142443653">
            <w:r>
              <w:rPr>
                <w:webHidden/>
                <w:rStyle w:val="IndexLink"/>
                <w:rtl w:val="true"/>
              </w:rPr>
              <w:t xml:space="preserve">ج </w:t>
            </w:r>
            <w:r>
              <w:rPr>
                <w:rStyle w:val="IndexLink"/>
                <w:rtl w:val="true"/>
              </w:rPr>
              <w:t xml:space="preserve">- </w:t>
            </w:r>
            <w:r>
              <w:rPr>
                <w:rStyle w:val="IndexLink"/>
                <w:rtl w:val="true"/>
              </w:rPr>
              <w:t>التنبؤ بالفتن القادمة</w:t>
            </w:r>
            <w:r>
              <w:rPr>
                <w:rStyle w:val="IndexLink"/>
                <w:rtl w:val="true"/>
              </w:rPr>
              <w:t>:</w:t>
              <w:tab/>
            </w:r>
            <w:r>
              <w:rPr>
                <w:rStyle w:val="IndexLink"/>
              </w:rPr>
              <w:t>393</w:t>
            </w:r>
          </w:hyperlink>
        </w:p>
        <w:p>
          <w:pPr>
            <w:pStyle w:val="Contents4"/>
            <w:tabs>
              <w:tab w:val="clear" w:pos="8176"/>
              <w:tab w:val="right" w:pos="9026" w:leader="dot"/>
            </w:tabs>
            <w:rPr/>
          </w:pPr>
          <w:hyperlink w:anchor="__RefHeading___Toc11030641_2142443653">
            <w:r>
              <w:rPr>
                <w:webHidden/>
                <w:rStyle w:val="IndexLink"/>
                <w:rtl w:val="true"/>
              </w:rPr>
              <w:t xml:space="preserve">د </w:t>
            </w:r>
            <w:r>
              <w:rPr>
                <w:rStyle w:val="IndexLink"/>
                <w:rtl w:val="true"/>
              </w:rPr>
              <w:t xml:space="preserve">- </w:t>
            </w:r>
            <w:r>
              <w:rPr>
                <w:rStyle w:val="IndexLink"/>
                <w:rtl w:val="true"/>
              </w:rPr>
              <w:t>دفع شبهة التهالك على الحكم والسلطة</w:t>
            </w:r>
            <w:r>
              <w:rPr>
                <w:rStyle w:val="IndexLink"/>
                <w:rtl w:val="true"/>
              </w:rPr>
              <w:t>:</w:t>
              <w:tab/>
            </w:r>
            <w:r>
              <w:rPr>
                <w:rStyle w:val="IndexLink"/>
              </w:rPr>
              <w:t>395</w:t>
            </w:r>
          </w:hyperlink>
        </w:p>
        <w:p>
          <w:pPr>
            <w:pStyle w:val="Contents4"/>
            <w:tabs>
              <w:tab w:val="clear" w:pos="8176"/>
              <w:tab w:val="right" w:pos="9026" w:leader="dot"/>
            </w:tabs>
            <w:rPr/>
          </w:pPr>
          <w:hyperlink w:anchor="__RefHeading___Toc11030643_2142443653">
            <w:r>
              <w:rPr>
                <w:webHidden/>
                <w:rStyle w:val="IndexLink"/>
                <w:rtl w:val="true"/>
              </w:rPr>
              <w:t xml:space="preserve">هـ </w:t>
            </w:r>
            <w:r>
              <w:rPr>
                <w:rStyle w:val="IndexLink"/>
                <w:rtl w:val="true"/>
              </w:rPr>
              <w:t xml:space="preserve">- </w:t>
            </w:r>
            <w:r>
              <w:rPr>
                <w:rStyle w:val="IndexLink"/>
                <w:rtl w:val="true"/>
              </w:rPr>
              <w:t>الشكوى من الناس</w:t>
            </w:r>
            <w:r>
              <w:rPr>
                <w:rStyle w:val="IndexLink"/>
                <w:rtl w:val="true"/>
              </w:rPr>
              <w:t>:</w:t>
              <w:tab/>
            </w:r>
            <w:r>
              <w:rPr>
                <w:rStyle w:val="IndexLink"/>
              </w:rPr>
              <w:t>395</w:t>
            </w:r>
          </w:hyperlink>
        </w:p>
        <w:p>
          <w:pPr>
            <w:pStyle w:val="Contents4"/>
            <w:tabs>
              <w:tab w:val="clear" w:pos="8176"/>
              <w:tab w:val="right" w:pos="9026" w:leader="dot"/>
            </w:tabs>
            <w:rPr/>
          </w:pPr>
          <w:hyperlink w:anchor="__RefHeading___Toc11030645_2142443653">
            <w:r>
              <w:rPr>
                <w:webHidden/>
                <w:rStyle w:val="IndexLink"/>
                <w:rtl w:val="true"/>
              </w:rPr>
              <w:t xml:space="preserve">و </w:t>
            </w:r>
            <w:r>
              <w:rPr>
                <w:rStyle w:val="IndexLink"/>
                <w:rtl w:val="true"/>
              </w:rPr>
              <w:t xml:space="preserve">- </w:t>
            </w:r>
            <w:r>
              <w:rPr>
                <w:rStyle w:val="IndexLink"/>
                <w:rtl w:val="true"/>
              </w:rPr>
              <w:t>نفي صلاحية الناس والاستهزاء بهم</w:t>
            </w:r>
            <w:r>
              <w:rPr>
                <w:rStyle w:val="IndexLink"/>
                <w:rtl w:val="true"/>
              </w:rPr>
              <w:t>:</w:t>
              <w:tab/>
            </w:r>
            <w:r>
              <w:rPr>
                <w:rStyle w:val="IndexLink"/>
              </w:rPr>
              <w:t>396</w:t>
            </w:r>
          </w:hyperlink>
        </w:p>
        <w:p>
          <w:pPr>
            <w:pStyle w:val="Contents3"/>
            <w:tabs>
              <w:tab w:val="clear" w:pos="8459"/>
              <w:tab w:val="right" w:pos="9026" w:leader="dot"/>
            </w:tabs>
            <w:rPr/>
          </w:pPr>
          <w:hyperlink w:anchor="__RefHeading___Toc11030647_2142443653">
            <w:r>
              <w:rPr>
                <w:webHidden/>
                <w:rStyle w:val="IndexLink"/>
                <w:rtl w:val="true"/>
              </w:rPr>
              <w:t>الشبهة الثالثة عشرة</w:t>
            </w:r>
            <w:r>
              <w:rPr>
                <w:rStyle w:val="IndexLink"/>
                <w:rtl w:val="true"/>
              </w:rPr>
              <w:t xml:space="preserve">: </w:t>
            </w:r>
            <w:r>
              <w:rPr>
                <w:rStyle w:val="IndexLink"/>
                <w:rtl w:val="true"/>
              </w:rPr>
              <w:t>تعاون الإمام علي</w:t>
            </w:r>
            <w:r>
              <w:rPr>
                <w:rStyle w:val="IndexLink"/>
                <w:rtl w:val="true"/>
              </w:rPr>
              <w:t>(</w:t>
            </w:r>
            <w:r>
              <w:rPr>
                <w:rStyle w:val="IndexLink"/>
                <w:rtl w:val="true"/>
              </w:rPr>
              <w:t>علیه السّلام</w:t>
            </w:r>
            <w:r>
              <w:rPr>
                <w:rStyle w:val="IndexLink"/>
                <w:rtl w:val="true"/>
              </w:rPr>
              <w:t>)</w:t>
            </w:r>
            <w:r>
              <w:rPr>
                <w:rStyle w:val="IndexLink"/>
                <w:rtl w:val="true"/>
              </w:rPr>
              <w:t>مع الخلفاء</w:t>
            </w:r>
            <w:r>
              <w:rPr>
                <w:rStyle w:val="IndexLink"/>
                <w:rtl w:val="true"/>
              </w:rPr>
              <w:t>:</w:t>
              <w:tab/>
            </w:r>
            <w:r>
              <w:rPr>
                <w:rStyle w:val="IndexLink"/>
              </w:rPr>
              <w:t>396</w:t>
            </w:r>
          </w:hyperlink>
        </w:p>
        <w:p>
          <w:pPr>
            <w:pStyle w:val="Contents3"/>
            <w:tabs>
              <w:tab w:val="clear" w:pos="8459"/>
              <w:tab w:val="right" w:pos="9026" w:leader="dot"/>
            </w:tabs>
            <w:rPr/>
          </w:pPr>
          <w:hyperlink w:anchor="__RefHeading___Toc11030649_2142443653">
            <w:r>
              <w:rPr>
                <w:webHidden/>
                <w:rStyle w:val="IndexLink"/>
                <w:rtl w:val="true"/>
              </w:rPr>
              <w:t>الشبهة الرابعة عشرة</w:t>
            </w:r>
            <w:r>
              <w:rPr>
                <w:rStyle w:val="IndexLink"/>
                <w:rtl w:val="true"/>
              </w:rPr>
              <w:t xml:space="preserve">: </w:t>
            </w:r>
            <w:r>
              <w:rPr>
                <w:rStyle w:val="IndexLink"/>
                <w:rtl w:val="true"/>
              </w:rPr>
              <w:t>اقتداء الإمام علي</w:t>
            </w:r>
            <w:r>
              <w:rPr>
                <w:rStyle w:val="IndexLink"/>
                <w:rtl w:val="true"/>
              </w:rPr>
              <w:t>(</w:t>
            </w:r>
            <w:r>
              <w:rPr>
                <w:rStyle w:val="IndexLink"/>
                <w:rtl w:val="true"/>
              </w:rPr>
              <w:t>علیه السّلام</w:t>
            </w:r>
            <w:r>
              <w:rPr>
                <w:rStyle w:val="IndexLink"/>
                <w:rtl w:val="true"/>
              </w:rPr>
              <w:t>)</w:t>
            </w:r>
            <w:r>
              <w:rPr>
                <w:rStyle w:val="IndexLink"/>
                <w:rtl w:val="true"/>
              </w:rPr>
              <w:t>بصلاة الخلفاء</w:t>
            </w:r>
            <w:r>
              <w:rPr>
                <w:rStyle w:val="IndexLink"/>
                <w:rtl w:val="true"/>
              </w:rPr>
              <w:t>:</w:t>
              <w:tab/>
            </w:r>
            <w:r>
              <w:rPr>
                <w:rStyle w:val="IndexLink"/>
              </w:rPr>
              <w:t>400</w:t>
            </w:r>
          </w:hyperlink>
        </w:p>
        <w:p>
          <w:pPr>
            <w:pStyle w:val="Contents4"/>
            <w:tabs>
              <w:tab w:val="clear" w:pos="8176"/>
              <w:tab w:val="right" w:pos="9026" w:leader="dot"/>
            </w:tabs>
            <w:rPr/>
          </w:pPr>
          <w:hyperlink w:anchor="__RefHeading___Toc11030651_2142443653">
            <w:r>
              <w:rPr>
                <w:webHidden/>
                <w:rStyle w:val="IndexLink"/>
                <w:rtl w:val="true"/>
              </w:rPr>
              <w:t>اشارة</w:t>
            </w:r>
            <w:r>
              <w:rPr>
                <w:rStyle w:val="IndexLink"/>
                <w:rtl w:val="true"/>
              </w:rPr>
              <w:tab/>
            </w:r>
            <w:r>
              <w:rPr>
                <w:rStyle w:val="IndexLink"/>
              </w:rPr>
              <w:t>400</w:t>
            </w:r>
          </w:hyperlink>
        </w:p>
        <w:p>
          <w:pPr>
            <w:pStyle w:val="Contents4"/>
            <w:tabs>
              <w:tab w:val="clear" w:pos="8176"/>
              <w:tab w:val="right" w:pos="9026" w:leader="dot"/>
            </w:tabs>
            <w:rPr/>
          </w:pPr>
          <w:hyperlink w:anchor="__RefHeading___Toc11030653_2142443653">
            <w:r>
              <w:rPr>
                <w:webHidden/>
                <w:rStyle w:val="IndexLink"/>
                <w:rtl w:val="true"/>
              </w:rPr>
              <w:t xml:space="preserve">أ </w:t>
            </w:r>
            <w:r>
              <w:rPr>
                <w:rStyle w:val="IndexLink"/>
                <w:rtl w:val="true"/>
              </w:rPr>
              <w:t xml:space="preserve">- </w:t>
            </w:r>
            <w:r>
              <w:rPr>
                <w:rStyle w:val="IndexLink"/>
                <w:rtl w:val="true"/>
              </w:rPr>
              <w:t>نفي الاقتداء وإنكار حصوله</w:t>
            </w:r>
            <w:r>
              <w:rPr>
                <w:rStyle w:val="IndexLink"/>
                <w:rtl w:val="true"/>
              </w:rPr>
              <w:t>:</w:t>
              <w:tab/>
            </w:r>
            <w:r>
              <w:rPr>
                <w:rStyle w:val="IndexLink"/>
              </w:rPr>
              <w:t>401</w:t>
            </w:r>
          </w:hyperlink>
        </w:p>
        <w:p>
          <w:pPr>
            <w:pStyle w:val="Contents4"/>
            <w:tabs>
              <w:tab w:val="clear" w:pos="8176"/>
              <w:tab w:val="right" w:pos="9026" w:leader="dot"/>
            </w:tabs>
            <w:rPr/>
          </w:pPr>
          <w:hyperlink w:anchor="__RefHeading___Toc11030655_2142443653">
            <w:r>
              <w:rPr>
                <w:webHidden/>
                <w:rStyle w:val="IndexLink"/>
                <w:rtl w:val="true"/>
              </w:rPr>
              <w:t xml:space="preserve">ب </w:t>
            </w:r>
            <w:r>
              <w:rPr>
                <w:rStyle w:val="IndexLink"/>
                <w:rtl w:val="true"/>
              </w:rPr>
              <w:t xml:space="preserve">- </w:t>
            </w:r>
            <w:r>
              <w:rPr>
                <w:rStyle w:val="IndexLink"/>
                <w:rtl w:val="true"/>
              </w:rPr>
              <w:t xml:space="preserve">وقوع الخلاف بين المسلمين بسبب عدم حضور الإمام في الجماعة </w:t>
            </w:r>
            <w:r>
              <w:rPr>
                <w:rStyle w:val="IndexLink"/>
                <w:rtl w:val="true"/>
              </w:rPr>
              <w:t>:</w:t>
              <w:tab/>
            </w:r>
            <w:r>
              <w:rPr>
                <w:rStyle w:val="IndexLink"/>
              </w:rPr>
              <w:t>401</w:t>
            </w:r>
          </w:hyperlink>
        </w:p>
        <w:p>
          <w:pPr>
            <w:pStyle w:val="Contents4"/>
            <w:tabs>
              <w:tab w:val="clear" w:pos="8176"/>
              <w:tab w:val="right" w:pos="9026" w:leader="dot"/>
            </w:tabs>
            <w:rPr/>
          </w:pPr>
          <w:hyperlink w:anchor="__RefHeading___Toc11030657_2142443653">
            <w:r>
              <w:rPr>
                <w:webHidden/>
                <w:rStyle w:val="IndexLink"/>
                <w:rtl w:val="true"/>
              </w:rPr>
              <w:t xml:space="preserve">ج </w:t>
            </w:r>
            <w:r>
              <w:rPr>
                <w:rStyle w:val="IndexLink"/>
                <w:rtl w:val="true"/>
              </w:rPr>
              <w:t xml:space="preserve">- </w:t>
            </w:r>
            <w:r>
              <w:rPr>
                <w:rStyle w:val="IndexLink"/>
                <w:rtl w:val="true"/>
              </w:rPr>
              <w:t>اعتبار عدم الحضور تركاً للفرائض الدينية</w:t>
            </w:r>
            <w:r>
              <w:rPr>
                <w:rStyle w:val="IndexLink"/>
                <w:rtl w:val="true"/>
              </w:rPr>
              <w:t>:</w:t>
              <w:tab/>
            </w:r>
            <w:r>
              <w:rPr>
                <w:rStyle w:val="IndexLink"/>
              </w:rPr>
              <w:t>402</w:t>
            </w:r>
          </w:hyperlink>
        </w:p>
        <w:p>
          <w:pPr>
            <w:pStyle w:val="Contents4"/>
            <w:tabs>
              <w:tab w:val="clear" w:pos="8176"/>
              <w:tab w:val="right" w:pos="9026" w:leader="dot"/>
            </w:tabs>
            <w:rPr/>
          </w:pPr>
          <w:hyperlink w:anchor="__RefHeading___Toc11030659_2142443653">
            <w:r>
              <w:rPr>
                <w:webHidden/>
                <w:rStyle w:val="IndexLink"/>
                <w:rtl w:val="true"/>
              </w:rPr>
              <w:t xml:space="preserve">د </w:t>
            </w:r>
            <w:r>
              <w:rPr>
                <w:rStyle w:val="IndexLink"/>
                <w:rtl w:val="true"/>
              </w:rPr>
              <w:t xml:space="preserve">- </w:t>
            </w:r>
            <w:r>
              <w:rPr>
                <w:rStyle w:val="IndexLink"/>
                <w:rtl w:val="true"/>
              </w:rPr>
              <w:t>صحة الصلاة</w:t>
            </w:r>
            <w:r>
              <w:rPr>
                <w:rStyle w:val="IndexLink"/>
                <w:rtl w:val="true"/>
              </w:rPr>
              <w:t>:</w:t>
              <w:tab/>
            </w:r>
            <w:r>
              <w:rPr>
                <w:rStyle w:val="IndexLink"/>
              </w:rPr>
              <w:t>403</w:t>
            </w:r>
          </w:hyperlink>
        </w:p>
        <w:p>
          <w:pPr>
            <w:pStyle w:val="Contents3"/>
            <w:tabs>
              <w:tab w:val="clear" w:pos="8459"/>
              <w:tab w:val="right" w:pos="9026" w:leader="dot"/>
            </w:tabs>
            <w:rPr/>
          </w:pPr>
          <w:hyperlink w:anchor="__RefHeading___Toc11030661_2142443653">
            <w:r>
              <w:rPr>
                <w:webHidden/>
                <w:rStyle w:val="IndexLink"/>
                <w:rtl w:val="true"/>
              </w:rPr>
              <w:t>الشبهة الخامسة عشرة</w:t>
            </w:r>
            <w:r>
              <w:rPr>
                <w:rStyle w:val="IndexLink"/>
                <w:rtl w:val="true"/>
              </w:rPr>
              <w:t xml:space="preserve">: </w:t>
            </w:r>
            <w:r>
              <w:rPr>
                <w:rStyle w:val="IndexLink"/>
                <w:rtl w:val="true"/>
              </w:rPr>
              <w:t>العلاقة الأسرية مع الخليفة الثاني</w:t>
            </w:r>
            <w:r>
              <w:rPr>
                <w:rStyle w:val="IndexLink"/>
                <w:rtl w:val="true"/>
              </w:rPr>
              <w:t>:</w:t>
              <w:tab/>
            </w:r>
            <w:r>
              <w:rPr>
                <w:rStyle w:val="IndexLink"/>
              </w:rPr>
              <w:t>405</w:t>
            </w:r>
          </w:hyperlink>
        </w:p>
        <w:p>
          <w:pPr>
            <w:pStyle w:val="Contents4"/>
            <w:tabs>
              <w:tab w:val="clear" w:pos="8176"/>
              <w:tab w:val="right" w:pos="9026" w:leader="dot"/>
            </w:tabs>
            <w:rPr/>
          </w:pPr>
          <w:hyperlink w:anchor="__RefHeading___Toc11030663_2142443653">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1030665_2142443653">
            <w:r>
              <w:rPr>
                <w:webHidden/>
                <w:rStyle w:val="IndexLink"/>
                <w:rtl w:val="true"/>
              </w:rPr>
              <w:t xml:space="preserve">أ </w:t>
            </w:r>
            <w:r>
              <w:rPr>
                <w:rStyle w:val="IndexLink"/>
                <w:rtl w:val="true"/>
              </w:rPr>
              <w:t xml:space="preserve">- </w:t>
            </w:r>
            <w:r>
              <w:rPr>
                <w:rStyle w:val="IndexLink"/>
                <w:rtl w:val="true"/>
              </w:rPr>
              <w:t>التشكيك في سند الحديث</w:t>
            </w:r>
            <w:r>
              <w:rPr>
                <w:rStyle w:val="IndexLink"/>
                <w:rtl w:val="true"/>
              </w:rPr>
              <w:t>:</w:t>
              <w:tab/>
            </w:r>
            <w:r>
              <w:rPr>
                <w:rStyle w:val="IndexLink"/>
              </w:rPr>
              <w:t>406</w:t>
            </w:r>
          </w:hyperlink>
        </w:p>
        <w:p>
          <w:pPr>
            <w:pStyle w:val="Contents4"/>
            <w:tabs>
              <w:tab w:val="clear" w:pos="8176"/>
              <w:tab w:val="right" w:pos="9026" w:leader="dot"/>
            </w:tabs>
            <w:rPr/>
          </w:pPr>
          <w:hyperlink w:anchor="__RefHeading___Toc11030667_2142443653">
            <w:r>
              <w:rPr>
                <w:webHidden/>
                <w:rStyle w:val="IndexLink"/>
                <w:rtl w:val="true"/>
              </w:rPr>
              <w:t xml:space="preserve">ب </w:t>
            </w:r>
            <w:r>
              <w:rPr>
                <w:rStyle w:val="IndexLink"/>
                <w:rtl w:val="true"/>
              </w:rPr>
              <w:t xml:space="preserve">- </w:t>
            </w:r>
            <w:r>
              <w:rPr>
                <w:rStyle w:val="IndexLink"/>
                <w:rtl w:val="true"/>
              </w:rPr>
              <w:t>عدم الدلالة على المدعى</w:t>
            </w:r>
            <w:r>
              <w:rPr>
                <w:rStyle w:val="IndexLink"/>
                <w:rtl w:val="true"/>
              </w:rPr>
              <w:t>:</w:t>
              <w:tab/>
            </w:r>
            <w:r>
              <w:rPr>
                <w:rStyle w:val="IndexLink"/>
              </w:rPr>
              <w:t>408</w:t>
            </w:r>
          </w:hyperlink>
        </w:p>
        <w:p>
          <w:pPr>
            <w:pStyle w:val="Contents4"/>
            <w:tabs>
              <w:tab w:val="clear" w:pos="8176"/>
              <w:tab w:val="right" w:pos="9026" w:leader="dot"/>
            </w:tabs>
            <w:rPr/>
          </w:pPr>
          <w:hyperlink w:anchor="__RefHeading___Toc11030669_2142443653">
            <w:r>
              <w:rPr>
                <w:webHidden/>
                <w:rStyle w:val="IndexLink"/>
                <w:rtl w:val="true"/>
              </w:rPr>
              <w:t xml:space="preserve">ج </w:t>
            </w:r>
            <w:r>
              <w:rPr>
                <w:rStyle w:val="IndexLink"/>
                <w:rtl w:val="true"/>
              </w:rPr>
              <w:t xml:space="preserve">- </w:t>
            </w:r>
            <w:r>
              <w:rPr>
                <w:rStyle w:val="IndexLink"/>
                <w:rtl w:val="true"/>
              </w:rPr>
              <w:t>تصريح الإمام علي</w:t>
            </w:r>
            <w:r>
              <w:rPr>
                <w:rStyle w:val="IndexLink"/>
                <w:rtl w:val="true"/>
              </w:rPr>
              <w:t>(</w:t>
            </w:r>
            <w:r>
              <w:rPr>
                <w:rStyle w:val="IndexLink"/>
                <w:rtl w:val="true"/>
              </w:rPr>
              <w:t>علیه السّلام</w:t>
            </w:r>
            <w:r>
              <w:rPr>
                <w:rStyle w:val="IndexLink"/>
                <w:rtl w:val="true"/>
              </w:rPr>
              <w:t>)</w:t>
            </w:r>
            <w:r>
              <w:rPr>
                <w:rStyle w:val="IndexLink"/>
                <w:rtl w:val="true"/>
              </w:rPr>
              <w:t>بغصب الخلفاء حقه</w:t>
            </w:r>
            <w:r>
              <w:rPr>
                <w:rStyle w:val="IndexLink"/>
                <w:rtl w:val="true"/>
              </w:rPr>
              <w:t>:</w:t>
              <w:tab/>
            </w:r>
            <w:r>
              <w:rPr>
                <w:rStyle w:val="IndexLink"/>
              </w:rPr>
              <w:t>408</w:t>
            </w:r>
          </w:hyperlink>
        </w:p>
        <w:p>
          <w:pPr>
            <w:pStyle w:val="Contents4"/>
            <w:tabs>
              <w:tab w:val="clear" w:pos="8176"/>
              <w:tab w:val="right" w:pos="9026" w:leader="dot"/>
            </w:tabs>
            <w:rPr/>
          </w:pPr>
          <w:hyperlink w:anchor="__RefHeading___Toc11030671_2142443653">
            <w:r>
              <w:rPr>
                <w:webHidden/>
                <w:rStyle w:val="IndexLink"/>
                <w:rtl w:val="true"/>
              </w:rPr>
              <w:t xml:space="preserve">د </w:t>
            </w:r>
            <w:r>
              <w:rPr>
                <w:rStyle w:val="IndexLink"/>
                <w:rtl w:val="true"/>
              </w:rPr>
              <w:t xml:space="preserve">- </w:t>
            </w:r>
            <w:r>
              <w:rPr>
                <w:rStyle w:val="IndexLink"/>
                <w:rtl w:val="true"/>
              </w:rPr>
              <w:t>مراعاة المصلحة</w:t>
            </w:r>
            <w:r>
              <w:rPr>
                <w:rStyle w:val="IndexLink"/>
                <w:rtl w:val="true"/>
              </w:rPr>
              <w:t>:</w:t>
              <w:tab/>
            </w:r>
            <w:r>
              <w:rPr>
                <w:rStyle w:val="IndexLink"/>
              </w:rPr>
              <w:t>409</w:t>
            </w:r>
          </w:hyperlink>
        </w:p>
        <w:p>
          <w:pPr>
            <w:pStyle w:val="Contents4"/>
            <w:tabs>
              <w:tab w:val="clear" w:pos="8176"/>
              <w:tab w:val="right" w:pos="9026" w:leader="dot"/>
            </w:tabs>
            <w:rPr/>
          </w:pPr>
          <w:hyperlink w:anchor="__RefHeading___Toc11030673_2142443653">
            <w:r>
              <w:rPr>
                <w:webHidden/>
                <w:rStyle w:val="IndexLink"/>
                <w:rtl w:val="true"/>
              </w:rPr>
              <w:t xml:space="preserve">هـ </w:t>
            </w:r>
            <w:r>
              <w:rPr>
                <w:rStyle w:val="IndexLink"/>
                <w:rtl w:val="true"/>
              </w:rPr>
              <w:t xml:space="preserve">- </w:t>
            </w:r>
            <w:r>
              <w:rPr>
                <w:rStyle w:val="IndexLink"/>
                <w:rtl w:val="true"/>
              </w:rPr>
              <w:t>التهديد والإكراه</w:t>
            </w:r>
            <w:r>
              <w:rPr>
                <w:rStyle w:val="IndexLink"/>
                <w:rtl w:val="true"/>
              </w:rPr>
              <w:t>:</w:t>
              <w:tab/>
            </w:r>
            <w:r>
              <w:rPr>
                <w:rStyle w:val="IndexLink"/>
              </w:rPr>
              <w:t>411</w:t>
            </w:r>
          </w:hyperlink>
        </w:p>
        <w:p>
          <w:pPr>
            <w:pStyle w:val="Contents4"/>
            <w:tabs>
              <w:tab w:val="clear" w:pos="8176"/>
              <w:tab w:val="right" w:pos="9026" w:leader="dot"/>
            </w:tabs>
            <w:rPr/>
          </w:pPr>
          <w:hyperlink w:anchor="__RefHeading___Toc11030675_2142443653">
            <w:r>
              <w:rPr>
                <w:webHidden/>
                <w:rStyle w:val="IndexLink"/>
                <w:rtl w:val="true"/>
              </w:rPr>
              <w:t xml:space="preserve">و </w:t>
            </w:r>
            <w:r>
              <w:rPr>
                <w:rStyle w:val="IndexLink"/>
                <w:rtl w:val="true"/>
              </w:rPr>
              <w:t xml:space="preserve">- </w:t>
            </w:r>
            <w:r>
              <w:rPr>
                <w:rStyle w:val="IndexLink"/>
                <w:rtl w:val="true"/>
              </w:rPr>
              <w:t>جواب نقضي</w:t>
            </w:r>
            <w:r>
              <w:rPr>
                <w:rStyle w:val="IndexLink"/>
                <w:rtl w:val="true"/>
              </w:rPr>
              <w:t>:</w:t>
              <w:tab/>
            </w:r>
            <w:r>
              <w:rPr>
                <w:rStyle w:val="IndexLink"/>
              </w:rPr>
              <w:t>412</w:t>
            </w:r>
          </w:hyperlink>
        </w:p>
        <w:p>
          <w:pPr>
            <w:pStyle w:val="Contents3"/>
            <w:tabs>
              <w:tab w:val="clear" w:pos="8459"/>
              <w:tab w:val="right" w:pos="9026" w:leader="dot"/>
            </w:tabs>
            <w:rPr/>
          </w:pPr>
          <w:hyperlink w:anchor="__RefHeading___Toc11030677_2142443653">
            <w:r>
              <w:rPr>
                <w:webHidden/>
                <w:rStyle w:val="IndexLink"/>
                <w:rtl w:val="true"/>
              </w:rPr>
              <w:t>الشبهة السادسة عشرة</w:t>
            </w:r>
            <w:r>
              <w:rPr>
                <w:rStyle w:val="IndexLink"/>
                <w:rtl w:val="true"/>
              </w:rPr>
              <w:t xml:space="preserve">: </w:t>
            </w:r>
            <w:r>
              <w:rPr>
                <w:rStyle w:val="IndexLink"/>
                <w:rtl w:val="true"/>
              </w:rPr>
              <w:t>تسمية الإمام علي</w:t>
            </w:r>
            <w:r>
              <w:rPr>
                <w:rStyle w:val="IndexLink"/>
                <w:rtl w:val="true"/>
              </w:rPr>
              <w:t>(</w:t>
            </w:r>
            <w:r>
              <w:rPr>
                <w:rStyle w:val="IndexLink"/>
                <w:rtl w:val="true"/>
              </w:rPr>
              <w:t>علیه السّلام</w:t>
            </w:r>
            <w:r>
              <w:rPr>
                <w:rStyle w:val="IndexLink"/>
                <w:rtl w:val="true"/>
              </w:rPr>
              <w:t>)</w:t>
            </w:r>
            <w:r>
              <w:rPr>
                <w:rStyle w:val="IndexLink"/>
                <w:rtl w:val="true"/>
              </w:rPr>
              <w:t>ثلاثة من أبنائه بأسماء الخلفاء</w:t>
            </w:r>
            <w:r>
              <w:rPr>
                <w:rStyle w:val="IndexLink"/>
                <w:rtl w:val="true"/>
              </w:rPr>
              <w:t>:</w:t>
              <w:tab/>
            </w:r>
            <w:r>
              <w:rPr>
                <w:rStyle w:val="IndexLink"/>
              </w:rPr>
              <w:t>413</w:t>
            </w:r>
          </w:hyperlink>
        </w:p>
        <w:p>
          <w:pPr>
            <w:pStyle w:val="Contents4"/>
            <w:tabs>
              <w:tab w:val="clear" w:pos="8176"/>
              <w:tab w:val="right" w:pos="9026" w:leader="dot"/>
            </w:tabs>
            <w:rPr/>
          </w:pPr>
          <w:hyperlink w:anchor="__RefHeading___Toc11030679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11030681_2142443653">
            <w:r>
              <w:rPr>
                <w:webHidden/>
                <w:rStyle w:val="IndexLink"/>
                <w:rtl w:val="true"/>
              </w:rPr>
              <w:t xml:space="preserve">أ </w:t>
            </w:r>
            <w:r>
              <w:rPr>
                <w:rStyle w:val="IndexLink"/>
                <w:rtl w:val="true"/>
              </w:rPr>
              <w:t xml:space="preserve">- </w:t>
            </w:r>
            <w:r>
              <w:rPr>
                <w:rStyle w:val="IndexLink"/>
                <w:rtl w:val="true"/>
              </w:rPr>
              <w:t>سطحية هذا الدليل وعدم دلالته على المدعى</w:t>
            </w:r>
            <w:r>
              <w:rPr>
                <w:rStyle w:val="IndexLink"/>
                <w:rtl w:val="true"/>
              </w:rPr>
              <w:t>:</w:t>
              <w:tab/>
            </w:r>
            <w:r>
              <w:rPr>
                <w:rStyle w:val="IndexLink"/>
              </w:rPr>
              <w:t>414</w:t>
            </w:r>
          </w:hyperlink>
        </w:p>
        <w:p>
          <w:pPr>
            <w:pStyle w:val="Contents4"/>
            <w:tabs>
              <w:tab w:val="clear" w:pos="8176"/>
              <w:tab w:val="right" w:pos="9026" w:leader="dot"/>
            </w:tabs>
            <w:rPr/>
          </w:pPr>
          <w:hyperlink w:anchor="__RefHeading___Toc11030683_2142443653">
            <w:r>
              <w:rPr>
                <w:webHidden/>
                <w:rStyle w:val="IndexLink"/>
                <w:rtl w:val="true"/>
              </w:rPr>
              <w:t xml:space="preserve">ب </w:t>
            </w:r>
            <w:r>
              <w:rPr>
                <w:rStyle w:val="IndexLink"/>
                <w:rtl w:val="true"/>
              </w:rPr>
              <w:t xml:space="preserve">- </w:t>
            </w:r>
            <w:r>
              <w:rPr>
                <w:rStyle w:val="IndexLink"/>
                <w:rtl w:val="true"/>
              </w:rPr>
              <w:t>شيوع التسمية بأسماء المخالفين</w:t>
            </w:r>
            <w:r>
              <w:rPr>
                <w:rStyle w:val="IndexLink"/>
                <w:rtl w:val="true"/>
              </w:rPr>
              <w:t>:</w:t>
              <w:tab/>
            </w:r>
            <w:r>
              <w:rPr>
                <w:rStyle w:val="IndexLink"/>
              </w:rPr>
              <w:t>414</w:t>
            </w:r>
          </w:hyperlink>
        </w:p>
        <w:p>
          <w:pPr>
            <w:pStyle w:val="Contents4"/>
            <w:tabs>
              <w:tab w:val="clear" w:pos="8176"/>
              <w:tab w:val="right" w:pos="9026" w:leader="dot"/>
            </w:tabs>
            <w:rPr/>
          </w:pPr>
          <w:hyperlink w:anchor="__RefHeading___Toc11030685_2142443653">
            <w:r>
              <w:rPr>
                <w:webHidden/>
                <w:rStyle w:val="IndexLink"/>
                <w:rtl w:val="true"/>
              </w:rPr>
              <w:t xml:space="preserve">ج </w:t>
            </w:r>
            <w:r>
              <w:rPr>
                <w:rStyle w:val="IndexLink"/>
                <w:rtl w:val="true"/>
              </w:rPr>
              <w:t xml:space="preserve">- </w:t>
            </w:r>
            <w:r>
              <w:rPr>
                <w:rStyle w:val="IndexLink"/>
                <w:rtl w:val="true"/>
              </w:rPr>
              <w:t>فرض الأسماء بالإكراه</w:t>
            </w:r>
            <w:r>
              <w:rPr>
                <w:rStyle w:val="IndexLink"/>
                <w:rtl w:val="true"/>
              </w:rPr>
              <w:t>:</w:t>
              <w:tab/>
            </w:r>
            <w:r>
              <w:rPr>
                <w:rStyle w:val="IndexLink"/>
              </w:rPr>
              <w:t>417</w:t>
            </w:r>
          </w:hyperlink>
        </w:p>
        <w:p>
          <w:pPr>
            <w:pStyle w:val="Contents4"/>
            <w:tabs>
              <w:tab w:val="clear" w:pos="8176"/>
              <w:tab w:val="right" w:pos="9026" w:leader="dot"/>
            </w:tabs>
            <w:rPr/>
          </w:pPr>
          <w:hyperlink w:anchor="__RefHeading___Toc11030687_2142443653">
            <w:r>
              <w:rPr>
                <w:webHidden/>
                <w:rStyle w:val="IndexLink"/>
                <w:rtl w:val="true"/>
              </w:rPr>
              <w:t xml:space="preserve">د </w:t>
            </w:r>
            <w:r>
              <w:rPr>
                <w:rStyle w:val="IndexLink"/>
                <w:rtl w:val="true"/>
              </w:rPr>
              <w:t xml:space="preserve">- </w:t>
            </w:r>
            <w:r>
              <w:rPr>
                <w:rStyle w:val="IndexLink"/>
                <w:rtl w:val="true"/>
              </w:rPr>
              <w:t>عثمان اسم صاحب الأمام</w:t>
            </w:r>
            <w:r>
              <w:rPr>
                <w:rStyle w:val="IndexLink"/>
                <w:rtl w:val="true"/>
              </w:rPr>
              <w:t>(</w:t>
            </w:r>
            <w:r>
              <w:rPr>
                <w:rStyle w:val="IndexLink"/>
                <w:rtl w:val="true"/>
              </w:rPr>
              <w:t>علیه السّلام</w:t>
            </w:r>
            <w:r>
              <w:rPr>
                <w:rStyle w:val="IndexLink"/>
                <w:rtl w:val="true"/>
              </w:rPr>
              <w:t>):</w:t>
              <w:tab/>
            </w:r>
            <w:r>
              <w:rPr>
                <w:rStyle w:val="IndexLink"/>
              </w:rPr>
              <w:t>418</w:t>
            </w:r>
          </w:hyperlink>
        </w:p>
        <w:p>
          <w:pPr>
            <w:pStyle w:val="Contents4"/>
            <w:tabs>
              <w:tab w:val="clear" w:pos="8176"/>
              <w:tab w:val="right" w:pos="9026" w:leader="dot"/>
            </w:tabs>
            <w:rPr/>
          </w:pPr>
          <w:hyperlink w:anchor="__RefHeading___Toc11030689_2142443653">
            <w:r>
              <w:rPr>
                <w:webHidden/>
                <w:rStyle w:val="IndexLink"/>
                <w:rtl w:val="true"/>
              </w:rPr>
              <w:t xml:space="preserve">هـ </w:t>
            </w:r>
            <w:r>
              <w:rPr>
                <w:rStyle w:val="IndexLink"/>
                <w:rtl w:val="true"/>
              </w:rPr>
              <w:t xml:space="preserve">- </w:t>
            </w:r>
            <w:r>
              <w:rPr>
                <w:rStyle w:val="IndexLink"/>
                <w:rtl w:val="true"/>
              </w:rPr>
              <w:t>اللجوء إلى التورية</w:t>
            </w:r>
            <w:r>
              <w:rPr>
                <w:rStyle w:val="IndexLink"/>
                <w:rtl w:val="true"/>
              </w:rPr>
              <w:t>:</w:t>
              <w:tab/>
            </w:r>
            <w:r>
              <w:rPr>
                <w:rStyle w:val="IndexLink"/>
              </w:rPr>
              <w:t>418</w:t>
            </w:r>
          </w:hyperlink>
        </w:p>
        <w:p>
          <w:pPr>
            <w:pStyle w:val="Contents3"/>
            <w:tabs>
              <w:tab w:val="clear" w:pos="8459"/>
              <w:tab w:val="right" w:pos="9026" w:leader="dot"/>
            </w:tabs>
            <w:rPr/>
          </w:pPr>
          <w:hyperlink w:anchor="__RefHeading___Toc11030691_2142443653">
            <w:r>
              <w:rPr>
                <w:webHidden/>
                <w:rStyle w:val="IndexLink"/>
                <w:rtl w:val="true"/>
              </w:rPr>
              <w:t>الشبهة السابعة عشرة</w:t>
            </w:r>
            <w:r>
              <w:rPr>
                <w:rStyle w:val="IndexLink"/>
                <w:rtl w:val="true"/>
              </w:rPr>
              <w:t xml:space="preserve">: </w:t>
            </w:r>
            <w:r>
              <w:rPr>
                <w:rStyle w:val="IndexLink"/>
                <w:rtl w:val="true"/>
              </w:rPr>
              <w:t>الثناء على الخلفاء</w:t>
            </w:r>
            <w:r>
              <w:rPr>
                <w:rStyle w:val="IndexLink"/>
                <w:rtl w:val="true"/>
              </w:rPr>
              <w:t>:</w:t>
              <w:tab/>
            </w:r>
            <w:r>
              <w:rPr>
                <w:rStyle w:val="IndexLink"/>
              </w:rPr>
              <w:t>420</w:t>
            </w:r>
          </w:hyperlink>
        </w:p>
        <w:p>
          <w:pPr>
            <w:pStyle w:val="Contents4"/>
            <w:tabs>
              <w:tab w:val="clear" w:pos="8176"/>
              <w:tab w:val="right" w:pos="9026" w:leader="dot"/>
            </w:tabs>
            <w:rPr/>
          </w:pPr>
          <w:hyperlink w:anchor="__RefHeading___Toc11030693_2142443653">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1030695_2142443653">
            <w:r>
              <w:rPr>
                <w:webHidden/>
                <w:rStyle w:val="IndexLink"/>
                <w:rtl w:val="true"/>
              </w:rPr>
              <w:t xml:space="preserve">أ </w:t>
            </w:r>
            <w:r>
              <w:rPr>
                <w:rStyle w:val="IndexLink"/>
                <w:rtl w:val="true"/>
              </w:rPr>
              <w:t xml:space="preserve">- </w:t>
            </w:r>
            <w:r>
              <w:rPr>
                <w:rStyle w:val="IndexLink"/>
                <w:rtl w:val="true"/>
              </w:rPr>
              <w:t>المشكلة السندية في روايات أهل السنة</w:t>
            </w:r>
            <w:r>
              <w:rPr>
                <w:rStyle w:val="IndexLink"/>
                <w:rtl w:val="true"/>
              </w:rPr>
              <w:t>:</w:t>
              <w:tab/>
            </w:r>
            <w:r>
              <w:rPr>
                <w:rStyle w:val="IndexLink"/>
              </w:rPr>
              <w:t>421</w:t>
            </w:r>
          </w:hyperlink>
        </w:p>
        <w:p>
          <w:pPr>
            <w:pStyle w:val="Contents4"/>
            <w:tabs>
              <w:tab w:val="clear" w:pos="8176"/>
              <w:tab w:val="right" w:pos="9026" w:leader="dot"/>
            </w:tabs>
            <w:rPr/>
          </w:pPr>
          <w:hyperlink w:anchor="__RefHeading___Toc11030697_2142443653">
            <w:r>
              <w:rPr>
                <w:webHidden/>
                <w:rStyle w:val="IndexLink"/>
                <w:rtl w:val="true"/>
              </w:rPr>
              <w:t xml:space="preserve">ب </w:t>
            </w:r>
            <w:r>
              <w:rPr>
                <w:rStyle w:val="IndexLink"/>
                <w:rtl w:val="true"/>
              </w:rPr>
              <w:t xml:space="preserve">- </w:t>
            </w:r>
            <w:r>
              <w:rPr>
                <w:rStyle w:val="IndexLink"/>
                <w:rtl w:val="true"/>
              </w:rPr>
              <w:t>عدم ذكر روايات الأفضلية في المصادر الشيعية</w:t>
            </w:r>
            <w:r>
              <w:rPr>
                <w:rStyle w:val="IndexLink"/>
                <w:rtl w:val="true"/>
              </w:rPr>
              <w:t>:</w:t>
              <w:tab/>
            </w:r>
            <w:r>
              <w:rPr>
                <w:rStyle w:val="IndexLink"/>
              </w:rPr>
              <w:t>423</w:t>
            </w:r>
          </w:hyperlink>
        </w:p>
        <w:p>
          <w:pPr>
            <w:pStyle w:val="Contents4"/>
            <w:tabs>
              <w:tab w:val="clear" w:pos="8176"/>
              <w:tab w:val="right" w:pos="9026" w:leader="dot"/>
            </w:tabs>
            <w:rPr/>
          </w:pPr>
          <w:hyperlink w:anchor="__RefHeading___Toc11030699_2142443653">
            <w:r>
              <w:rPr>
                <w:webHidden/>
                <w:rStyle w:val="IndexLink"/>
                <w:rtl w:val="true"/>
              </w:rPr>
              <w:t xml:space="preserve">ج </w:t>
            </w:r>
            <w:r>
              <w:rPr>
                <w:rStyle w:val="IndexLink"/>
                <w:rtl w:val="true"/>
              </w:rPr>
              <w:t xml:space="preserve">- </w:t>
            </w:r>
            <w:r>
              <w:rPr>
                <w:rStyle w:val="IndexLink"/>
                <w:rtl w:val="true"/>
              </w:rPr>
              <w:t>تعارض هذه الرواية مع روايات أخرى في مصادر أهل السنة</w:t>
            </w:r>
            <w:r>
              <w:rPr>
                <w:rStyle w:val="IndexLink"/>
                <w:rtl w:val="true"/>
              </w:rPr>
              <w:t>:</w:t>
              <w:tab/>
            </w:r>
            <w:r>
              <w:rPr>
                <w:rStyle w:val="IndexLink"/>
              </w:rPr>
              <w:t>423</w:t>
            </w:r>
          </w:hyperlink>
        </w:p>
        <w:p>
          <w:pPr>
            <w:pStyle w:val="Contents4"/>
            <w:tabs>
              <w:tab w:val="clear" w:pos="8176"/>
              <w:tab w:val="right" w:pos="9026" w:leader="dot"/>
            </w:tabs>
            <w:rPr/>
          </w:pPr>
          <w:hyperlink w:anchor="__RefHeading___Toc11030701_2142443653">
            <w:r>
              <w:rPr>
                <w:webHidden/>
                <w:rStyle w:val="IndexLink"/>
                <w:rtl w:val="true"/>
              </w:rPr>
              <w:t xml:space="preserve">مناقشة وتحليل رواية نهج البلاغة </w:t>
            </w:r>
            <w:r>
              <w:rPr>
                <w:rStyle w:val="IndexLink"/>
                <w:rtl w:val="true"/>
              </w:rPr>
              <w:t>(</w:t>
            </w:r>
            <w:r>
              <w:rPr>
                <w:rStyle w:val="IndexLink"/>
                <w:rtl w:val="true"/>
              </w:rPr>
              <w:t>لله بلاد فلان</w:t>
            </w:r>
            <w:r>
              <w:rPr>
                <w:rStyle w:val="IndexLink"/>
                <w:rtl w:val="true"/>
              </w:rPr>
              <w:t>):</w:t>
              <w:tab/>
            </w:r>
            <w:r>
              <w:rPr>
                <w:rStyle w:val="IndexLink"/>
              </w:rPr>
              <w:t>425</w:t>
            </w:r>
          </w:hyperlink>
        </w:p>
        <w:p>
          <w:pPr>
            <w:pStyle w:val="Contents4"/>
            <w:tabs>
              <w:tab w:val="clear" w:pos="8176"/>
              <w:tab w:val="right" w:pos="9026" w:leader="dot"/>
            </w:tabs>
            <w:rPr/>
          </w:pPr>
          <w:hyperlink w:anchor="__RefHeading___Toc11030703_2142443653">
            <w:r>
              <w:rPr>
                <w:webHidden/>
                <w:rStyle w:val="IndexLink"/>
                <w:rtl w:val="true"/>
              </w:rPr>
              <w:t xml:space="preserve">تحليل رواية إبراهيم بن محمد الثقفي </w:t>
            </w:r>
            <w:r>
              <w:rPr>
                <w:rStyle w:val="IndexLink"/>
                <w:rtl w:val="true"/>
              </w:rPr>
              <w:t>(</w:t>
            </w:r>
            <w:r>
              <w:rPr>
                <w:rStyle w:val="IndexLink"/>
                <w:rtl w:val="true"/>
              </w:rPr>
              <w:t>فتولى أبو بكر</w:t>
            </w:r>
            <w:r>
              <w:rPr>
                <w:rStyle w:val="IndexLink"/>
                <w:rtl w:val="true"/>
              </w:rPr>
              <w:t>):</w:t>
              <w:tab/>
            </w:r>
            <w:r>
              <w:rPr>
                <w:rStyle w:val="IndexLink"/>
              </w:rPr>
              <w:t>432</w:t>
            </w:r>
          </w:hyperlink>
        </w:p>
        <w:p>
          <w:pPr>
            <w:pStyle w:val="Contents3"/>
            <w:tabs>
              <w:tab w:val="clear" w:pos="8459"/>
              <w:tab w:val="right" w:pos="9026" w:leader="dot"/>
            </w:tabs>
            <w:rPr/>
          </w:pPr>
          <w:hyperlink w:anchor="__RefHeading___Toc11030705_2142443653">
            <w:r>
              <w:rPr>
                <w:webHidden/>
                <w:rStyle w:val="IndexLink"/>
                <w:rtl w:val="true"/>
              </w:rPr>
              <w:t>الشبهة الثامنة عشرة</w:t>
            </w:r>
            <w:r>
              <w:rPr>
                <w:rStyle w:val="IndexLink"/>
                <w:rtl w:val="true"/>
              </w:rPr>
              <w:t xml:space="preserve">: </w:t>
            </w:r>
            <w:r>
              <w:rPr>
                <w:rStyle w:val="IndexLink"/>
                <w:rtl w:val="true"/>
              </w:rPr>
              <w:t>تعارض نصوص الخلافة</w:t>
            </w:r>
            <w:r>
              <w:rPr>
                <w:rStyle w:val="IndexLink"/>
                <w:rtl w:val="true"/>
              </w:rPr>
              <w:t>:</w:t>
              <w:tab/>
            </w:r>
            <w:r>
              <w:rPr>
                <w:rStyle w:val="IndexLink"/>
              </w:rPr>
              <w:t>437</w:t>
            </w:r>
          </w:hyperlink>
        </w:p>
        <w:p>
          <w:pPr>
            <w:pStyle w:val="Contents4"/>
            <w:tabs>
              <w:tab w:val="clear" w:pos="8176"/>
              <w:tab w:val="right" w:pos="9026" w:leader="dot"/>
            </w:tabs>
            <w:rPr/>
          </w:pPr>
          <w:hyperlink w:anchor="__RefHeading___Toc11030707_2142443653">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1030709_2142443653">
            <w:r>
              <w:rPr>
                <w:webHidden/>
                <w:rStyle w:val="IndexLink"/>
                <w:rtl w:val="true"/>
              </w:rPr>
              <w:t xml:space="preserve">أ </w:t>
            </w:r>
            <w:r>
              <w:rPr>
                <w:rStyle w:val="IndexLink"/>
                <w:rtl w:val="true"/>
              </w:rPr>
              <w:t xml:space="preserve">- </w:t>
            </w:r>
            <w:r>
              <w:rPr>
                <w:rStyle w:val="IndexLink"/>
                <w:rtl w:val="true"/>
              </w:rPr>
              <w:t>عدم وجود روايات خلافة أبي بكر في المصادر الشيعية</w:t>
            </w:r>
            <w:r>
              <w:rPr>
                <w:rStyle w:val="IndexLink"/>
                <w:rtl w:val="true"/>
              </w:rPr>
              <w:t>:</w:t>
              <w:tab/>
            </w:r>
            <w:r>
              <w:rPr>
                <w:rStyle w:val="IndexLink"/>
              </w:rPr>
              <w:t>438</w:t>
            </w:r>
          </w:hyperlink>
        </w:p>
        <w:p>
          <w:pPr>
            <w:pStyle w:val="Contents4"/>
            <w:tabs>
              <w:tab w:val="clear" w:pos="8176"/>
              <w:tab w:val="right" w:pos="9026" w:leader="dot"/>
            </w:tabs>
            <w:rPr/>
          </w:pPr>
          <w:hyperlink w:anchor="__RefHeading___Toc11030711_2142443653">
            <w:r>
              <w:rPr>
                <w:webHidden/>
                <w:rStyle w:val="IndexLink"/>
                <w:rtl w:val="true"/>
              </w:rPr>
              <w:t xml:space="preserve">ب </w:t>
            </w:r>
            <w:r>
              <w:rPr>
                <w:rStyle w:val="IndexLink"/>
                <w:rtl w:val="true"/>
              </w:rPr>
              <w:t xml:space="preserve">- </w:t>
            </w:r>
            <w:r>
              <w:rPr>
                <w:rStyle w:val="IndexLink"/>
                <w:rtl w:val="true"/>
              </w:rPr>
              <w:t>ضعف النصوص الوارد في مصادر أهل السنة على خلافة أبي بكر</w:t>
            </w:r>
            <w:r>
              <w:rPr>
                <w:rStyle w:val="IndexLink"/>
                <w:rtl w:val="true"/>
              </w:rPr>
              <w:t>:</w:t>
              <w:tab/>
            </w:r>
            <w:r>
              <w:rPr>
                <w:rStyle w:val="IndexLink"/>
              </w:rPr>
              <w:t>438</w:t>
            </w:r>
          </w:hyperlink>
        </w:p>
        <w:p>
          <w:pPr>
            <w:pStyle w:val="Contents4"/>
            <w:tabs>
              <w:tab w:val="clear" w:pos="8176"/>
              <w:tab w:val="right" w:pos="9026" w:leader="dot"/>
            </w:tabs>
            <w:rPr/>
          </w:pPr>
          <w:hyperlink w:anchor="__RefHeading___Toc11030713_2142443653">
            <w:r>
              <w:rPr>
                <w:webHidden/>
                <w:rStyle w:val="IndexLink"/>
                <w:rtl w:val="true"/>
              </w:rPr>
              <w:t xml:space="preserve">ج </w:t>
            </w:r>
            <w:r>
              <w:rPr>
                <w:rStyle w:val="IndexLink"/>
                <w:rtl w:val="true"/>
              </w:rPr>
              <w:t xml:space="preserve">- </w:t>
            </w:r>
            <w:r>
              <w:rPr>
                <w:rStyle w:val="IndexLink"/>
                <w:rtl w:val="true"/>
              </w:rPr>
              <w:t>اعتراف أهل السنة بعدم النص</w:t>
            </w:r>
            <w:r>
              <w:rPr>
                <w:rStyle w:val="IndexLink"/>
                <w:rtl w:val="true"/>
              </w:rPr>
              <w:t>:</w:t>
              <w:tab/>
            </w:r>
            <w:r>
              <w:rPr>
                <w:rStyle w:val="IndexLink"/>
              </w:rPr>
              <w:t>440</w:t>
            </w:r>
          </w:hyperlink>
        </w:p>
        <w:p>
          <w:pPr>
            <w:pStyle w:val="Contents4"/>
            <w:tabs>
              <w:tab w:val="clear" w:pos="8176"/>
              <w:tab w:val="right" w:pos="9026" w:leader="dot"/>
            </w:tabs>
            <w:rPr/>
          </w:pPr>
          <w:hyperlink w:anchor="__RefHeading___Toc11030715_2142443653">
            <w:r>
              <w:rPr>
                <w:webHidden/>
                <w:rStyle w:val="IndexLink"/>
                <w:rtl w:val="true"/>
              </w:rPr>
              <w:t xml:space="preserve">د </w:t>
            </w:r>
            <w:r>
              <w:rPr>
                <w:rStyle w:val="IndexLink"/>
                <w:rtl w:val="true"/>
              </w:rPr>
              <w:t xml:space="preserve">- </w:t>
            </w:r>
            <w:r>
              <w:rPr>
                <w:rStyle w:val="IndexLink"/>
                <w:rtl w:val="true"/>
              </w:rPr>
              <w:t>عدم تمسك أبي بكر وعمر بالنص</w:t>
            </w:r>
            <w:r>
              <w:rPr>
                <w:rStyle w:val="IndexLink"/>
                <w:rtl w:val="true"/>
              </w:rPr>
              <w:t>:</w:t>
              <w:tab/>
            </w:r>
            <w:r>
              <w:rPr>
                <w:rStyle w:val="IndexLink"/>
              </w:rPr>
              <w:t>441</w:t>
            </w:r>
          </w:hyperlink>
        </w:p>
        <w:p>
          <w:pPr>
            <w:pStyle w:val="Contents4"/>
            <w:tabs>
              <w:tab w:val="clear" w:pos="8176"/>
              <w:tab w:val="right" w:pos="9026" w:leader="dot"/>
            </w:tabs>
            <w:rPr/>
          </w:pPr>
          <w:hyperlink w:anchor="__RefHeading___Toc11030717_2142443653">
            <w:r>
              <w:rPr>
                <w:webHidden/>
                <w:rStyle w:val="IndexLink"/>
                <w:rtl w:val="true"/>
              </w:rPr>
              <w:t xml:space="preserve">هـ </w:t>
            </w:r>
            <w:r>
              <w:rPr>
                <w:rStyle w:val="IndexLink"/>
                <w:rtl w:val="true"/>
              </w:rPr>
              <w:t xml:space="preserve">- </w:t>
            </w:r>
            <w:r>
              <w:rPr>
                <w:rStyle w:val="IndexLink"/>
                <w:rtl w:val="true"/>
              </w:rPr>
              <w:t>إقرار الخليفة الأول</w:t>
            </w:r>
            <w:r>
              <w:rPr>
                <w:rStyle w:val="IndexLink"/>
                <w:rtl w:val="true"/>
              </w:rPr>
              <w:t>:</w:t>
              <w:tab/>
            </w:r>
            <w:r>
              <w:rPr>
                <w:rStyle w:val="IndexLink"/>
              </w:rPr>
              <w:t>442</w:t>
            </w:r>
          </w:hyperlink>
        </w:p>
        <w:p>
          <w:pPr>
            <w:pStyle w:val="Contents4"/>
            <w:tabs>
              <w:tab w:val="clear" w:pos="8176"/>
              <w:tab w:val="right" w:pos="9026" w:leader="dot"/>
            </w:tabs>
            <w:rPr/>
          </w:pPr>
          <w:hyperlink w:anchor="__RefHeading___Toc11030719_2142443653">
            <w:r>
              <w:rPr>
                <w:webHidden/>
                <w:rStyle w:val="IndexLink"/>
                <w:rtl w:val="true"/>
              </w:rPr>
              <w:t xml:space="preserve">و </w:t>
            </w:r>
            <w:r>
              <w:rPr>
                <w:rStyle w:val="IndexLink"/>
                <w:rtl w:val="true"/>
              </w:rPr>
              <w:t xml:space="preserve">- </w:t>
            </w:r>
            <w:r>
              <w:rPr>
                <w:rStyle w:val="IndexLink"/>
                <w:rtl w:val="true"/>
              </w:rPr>
              <w:t>إقرار الخليفة الثاني وغيره بالنص على الإمام علي</w:t>
            </w:r>
            <w:r>
              <w:rPr>
                <w:rStyle w:val="IndexLink"/>
                <w:rtl w:val="true"/>
              </w:rPr>
              <w:t>(</w:t>
            </w:r>
            <w:r>
              <w:rPr>
                <w:rStyle w:val="IndexLink"/>
                <w:rtl w:val="true"/>
              </w:rPr>
              <w:t>علیه السّلام</w:t>
            </w:r>
            <w:r>
              <w:rPr>
                <w:rStyle w:val="IndexLink"/>
                <w:rtl w:val="true"/>
              </w:rPr>
              <w:t>):</w:t>
              <w:tab/>
            </w:r>
            <w:r>
              <w:rPr>
                <w:rStyle w:val="IndexLink"/>
              </w:rPr>
              <w:t>443</w:t>
            </w:r>
          </w:hyperlink>
        </w:p>
        <w:p>
          <w:pPr>
            <w:pStyle w:val="Contents2"/>
            <w:tabs>
              <w:tab w:val="clear" w:pos="8743"/>
              <w:tab w:val="right" w:pos="9026" w:leader="dot"/>
            </w:tabs>
            <w:rPr/>
          </w:pPr>
          <w:hyperlink w:anchor="__RefHeading___Toc11030721_2142443653">
            <w:r>
              <w:rPr>
                <w:webHidden/>
                <w:rStyle w:val="IndexLink"/>
                <w:rtl w:val="true"/>
              </w:rPr>
              <w:t>الفضيل الخامس</w:t>
            </w:r>
            <w:r>
              <w:rPr>
                <w:rStyle w:val="IndexLink"/>
                <w:rtl w:val="true"/>
              </w:rPr>
              <w:tab/>
            </w:r>
            <w:r>
              <w:rPr>
                <w:rStyle w:val="IndexLink"/>
              </w:rPr>
              <w:t>451</w:t>
            </w:r>
          </w:hyperlink>
        </w:p>
        <w:p>
          <w:pPr>
            <w:pStyle w:val="Contents3"/>
            <w:tabs>
              <w:tab w:val="clear" w:pos="8459"/>
              <w:tab w:val="right" w:pos="9026" w:leader="dot"/>
            </w:tabs>
            <w:rPr/>
          </w:pPr>
          <w:hyperlink w:anchor="__RefHeading___Toc11030723_2142443653">
            <w:r>
              <w:rPr>
                <w:webHidden/>
                <w:rStyle w:val="IndexLink"/>
                <w:rtl w:val="true"/>
              </w:rPr>
              <w:t>الشبهة في دلالة النصوص على إمامة علي</w:t>
            </w:r>
            <w:r>
              <w:rPr>
                <w:rStyle w:val="IndexLink"/>
                <w:rtl w:val="true"/>
              </w:rPr>
              <w:t>(</w:t>
            </w:r>
            <w:r>
              <w:rPr>
                <w:rStyle w:val="IndexLink"/>
                <w:rtl w:val="true"/>
              </w:rPr>
              <w:t>علیه السّلام</w:t>
            </w:r>
            <w:r>
              <w:rPr>
                <w:rStyle w:val="IndexLink"/>
                <w:rtl w:val="true"/>
              </w:rPr>
              <w:t xml:space="preserve">)( </w:t>
            </w:r>
            <w:r>
              <w:rPr>
                <w:rStyle w:val="IndexLink"/>
                <w:rtl w:val="true"/>
              </w:rPr>
              <w:t>تأويلات المخالفين</w:t>
            </w:r>
            <w:r>
              <w:rPr>
                <w:rStyle w:val="IndexLink"/>
                <w:rtl w:val="true"/>
              </w:rPr>
              <w:t>)</w:t>
              <w:tab/>
            </w:r>
            <w:r>
              <w:rPr>
                <w:rStyle w:val="IndexLink"/>
              </w:rPr>
              <w:t>451</w:t>
            </w:r>
          </w:hyperlink>
        </w:p>
        <w:p>
          <w:pPr>
            <w:pStyle w:val="Contents3"/>
            <w:tabs>
              <w:tab w:val="clear" w:pos="8459"/>
              <w:tab w:val="right" w:pos="9026" w:leader="dot"/>
            </w:tabs>
            <w:rPr/>
          </w:pPr>
          <w:hyperlink w:anchor="__RefHeading___Toc11030725_2142443653">
            <w:r>
              <w:rPr>
                <w:webHidden/>
                <w:rStyle w:val="IndexLink"/>
                <w:rtl w:val="true"/>
              </w:rPr>
              <w:t>التأويل الأول</w:t>
            </w:r>
            <w:r>
              <w:rPr>
                <w:rStyle w:val="IndexLink"/>
                <w:rtl w:val="true"/>
              </w:rPr>
              <w:t xml:space="preserve">: </w:t>
            </w:r>
            <w:r>
              <w:rPr>
                <w:rStyle w:val="IndexLink"/>
                <w:rtl w:val="true"/>
              </w:rPr>
              <w:t>بيان الأولوية والأحقية</w:t>
            </w:r>
            <w:r>
              <w:rPr>
                <w:rStyle w:val="IndexLink"/>
                <w:rtl w:val="true"/>
              </w:rPr>
              <w:t>:</w:t>
              <w:tab/>
            </w:r>
            <w:r>
              <w:rPr>
                <w:rStyle w:val="IndexLink"/>
              </w:rPr>
              <w:t>453</w:t>
            </w:r>
          </w:hyperlink>
        </w:p>
        <w:p>
          <w:pPr>
            <w:pStyle w:val="Contents4"/>
            <w:tabs>
              <w:tab w:val="clear" w:pos="8176"/>
              <w:tab w:val="right" w:pos="9026" w:leader="dot"/>
            </w:tabs>
            <w:rPr/>
          </w:pPr>
          <w:hyperlink w:anchor="__RefHeading___Toc11030727_2142443653">
            <w:r>
              <w:rPr>
                <w:webHidden/>
                <w:rStyle w:val="IndexLink"/>
                <w:rtl w:val="true"/>
              </w:rPr>
              <w:t>اشارة</w:t>
            </w:r>
            <w:r>
              <w:rPr>
                <w:rStyle w:val="IndexLink"/>
                <w:rtl w:val="true"/>
              </w:rPr>
              <w:tab/>
            </w:r>
            <w:r>
              <w:rPr>
                <w:rStyle w:val="IndexLink"/>
              </w:rPr>
              <w:t>453</w:t>
            </w:r>
          </w:hyperlink>
        </w:p>
        <w:p>
          <w:pPr>
            <w:pStyle w:val="Contents4"/>
            <w:tabs>
              <w:tab w:val="clear" w:pos="8176"/>
              <w:tab w:val="right" w:pos="9026" w:leader="dot"/>
            </w:tabs>
            <w:rPr/>
          </w:pPr>
          <w:hyperlink w:anchor="__RefHeading___Toc11030729_2142443653">
            <w:r>
              <w:rPr>
                <w:webHidden/>
                <w:rStyle w:val="IndexLink"/>
                <w:rtl w:val="true"/>
              </w:rPr>
              <w:t xml:space="preserve">أ </w:t>
            </w:r>
            <w:r>
              <w:rPr>
                <w:rStyle w:val="IndexLink"/>
                <w:rtl w:val="true"/>
              </w:rPr>
              <w:t xml:space="preserve">- </w:t>
            </w:r>
            <w:r>
              <w:rPr>
                <w:rStyle w:val="IndexLink"/>
                <w:rtl w:val="true"/>
              </w:rPr>
              <w:t>الاجتهاد في مقابل النص</w:t>
            </w:r>
            <w:r>
              <w:rPr>
                <w:rStyle w:val="IndexLink"/>
                <w:rtl w:val="true"/>
              </w:rPr>
              <w:t>:</w:t>
              <w:tab/>
            </w:r>
            <w:r>
              <w:rPr>
                <w:rStyle w:val="IndexLink"/>
              </w:rPr>
              <w:t>455</w:t>
            </w:r>
          </w:hyperlink>
        </w:p>
        <w:p>
          <w:pPr>
            <w:pStyle w:val="Contents4"/>
            <w:tabs>
              <w:tab w:val="clear" w:pos="8176"/>
              <w:tab w:val="right" w:pos="9026" w:leader="dot"/>
            </w:tabs>
            <w:rPr/>
          </w:pPr>
          <w:hyperlink w:anchor="__RefHeading___Toc11030731_2142443653">
            <w:r>
              <w:rPr>
                <w:webHidden/>
                <w:rStyle w:val="IndexLink"/>
                <w:rtl w:val="true"/>
              </w:rPr>
              <w:t xml:space="preserve">ب </w:t>
            </w:r>
            <w:r>
              <w:rPr>
                <w:rStyle w:val="IndexLink"/>
                <w:rtl w:val="true"/>
              </w:rPr>
              <w:t xml:space="preserve">- </w:t>
            </w:r>
            <w:r>
              <w:rPr>
                <w:rStyle w:val="IndexLink"/>
                <w:rtl w:val="true"/>
              </w:rPr>
              <w:t>تعارض التأويلات مع سيرة الإمام علي</w:t>
            </w:r>
            <w:r>
              <w:rPr>
                <w:rStyle w:val="IndexLink"/>
                <w:rtl w:val="true"/>
              </w:rPr>
              <w:t>(</w:t>
            </w:r>
            <w:r>
              <w:rPr>
                <w:rStyle w:val="IndexLink"/>
                <w:rtl w:val="true"/>
              </w:rPr>
              <w:t>علیه السّلام</w:t>
            </w:r>
            <w:r>
              <w:rPr>
                <w:rStyle w:val="IndexLink"/>
                <w:rtl w:val="true"/>
              </w:rPr>
              <w:t>):</w:t>
              <w:tab/>
            </w:r>
            <w:r>
              <w:rPr>
                <w:rStyle w:val="IndexLink"/>
              </w:rPr>
              <w:t>457</w:t>
            </w:r>
          </w:hyperlink>
        </w:p>
        <w:p>
          <w:pPr>
            <w:pStyle w:val="Contents4"/>
            <w:tabs>
              <w:tab w:val="clear" w:pos="8176"/>
              <w:tab w:val="right" w:pos="9026" w:leader="dot"/>
            </w:tabs>
            <w:rPr/>
          </w:pPr>
          <w:hyperlink w:anchor="__RefHeading___Toc11030733_2142443653">
            <w:r>
              <w:rPr>
                <w:webHidden/>
                <w:rStyle w:val="IndexLink"/>
                <w:rtl w:val="true"/>
              </w:rPr>
              <w:t xml:space="preserve">ج </w:t>
            </w:r>
            <w:r>
              <w:rPr>
                <w:rStyle w:val="IndexLink"/>
                <w:rtl w:val="true"/>
              </w:rPr>
              <w:t xml:space="preserve">- </w:t>
            </w:r>
            <w:r>
              <w:rPr>
                <w:rStyle w:val="IndexLink"/>
                <w:rtl w:val="true"/>
              </w:rPr>
              <w:t>تعارض التأويلات مع مواقف بعض الصحابة وسائر الأئمة</w:t>
            </w:r>
            <w:r>
              <w:rPr>
                <w:rStyle w:val="IndexLink"/>
                <w:rtl w:val="true"/>
              </w:rPr>
              <w:t>:</w:t>
              <w:tab/>
            </w:r>
            <w:r>
              <w:rPr>
                <w:rStyle w:val="IndexLink"/>
              </w:rPr>
              <w:t>460</w:t>
            </w:r>
          </w:hyperlink>
        </w:p>
        <w:p>
          <w:pPr>
            <w:pStyle w:val="Contents4"/>
            <w:tabs>
              <w:tab w:val="clear" w:pos="8176"/>
              <w:tab w:val="right" w:pos="9026" w:leader="dot"/>
            </w:tabs>
            <w:rPr/>
          </w:pPr>
          <w:hyperlink w:anchor="__RefHeading___Toc11030735_2142443653">
            <w:r>
              <w:rPr>
                <w:webHidden/>
                <w:rStyle w:val="IndexLink"/>
                <w:rtl w:val="true"/>
              </w:rPr>
              <w:t xml:space="preserve">د </w:t>
            </w:r>
            <w:r>
              <w:rPr>
                <w:rStyle w:val="IndexLink"/>
                <w:rtl w:val="true"/>
              </w:rPr>
              <w:t xml:space="preserve">- </w:t>
            </w:r>
            <w:r>
              <w:rPr>
                <w:rStyle w:val="IndexLink"/>
                <w:rtl w:val="true"/>
              </w:rPr>
              <w:t>حيرة المتأولين ما بين الإمام علي</w:t>
            </w:r>
            <w:r>
              <w:rPr>
                <w:rStyle w:val="IndexLink"/>
                <w:rtl w:val="true"/>
              </w:rPr>
              <w:t>(</w:t>
            </w:r>
            <w:r>
              <w:rPr>
                <w:rStyle w:val="IndexLink"/>
                <w:rtl w:val="true"/>
              </w:rPr>
              <w:t>علیه السّلام</w:t>
            </w:r>
            <w:r>
              <w:rPr>
                <w:rStyle w:val="IndexLink"/>
                <w:rtl w:val="true"/>
              </w:rPr>
              <w:t>)</w:t>
            </w:r>
            <w:r>
              <w:rPr>
                <w:rStyle w:val="IndexLink"/>
                <w:rtl w:val="true"/>
              </w:rPr>
              <w:t>وبعض الصحابة</w:t>
            </w:r>
            <w:r>
              <w:rPr>
                <w:rStyle w:val="IndexLink"/>
                <w:rtl w:val="true"/>
              </w:rPr>
              <w:t>:</w:t>
              <w:tab/>
            </w:r>
            <w:r>
              <w:rPr>
                <w:rStyle w:val="IndexLink"/>
              </w:rPr>
              <w:t>461</w:t>
            </w:r>
          </w:hyperlink>
        </w:p>
        <w:p>
          <w:pPr>
            <w:pStyle w:val="Contents4"/>
            <w:tabs>
              <w:tab w:val="clear" w:pos="8176"/>
              <w:tab w:val="right" w:pos="9026" w:leader="dot"/>
            </w:tabs>
            <w:rPr/>
          </w:pPr>
          <w:hyperlink w:anchor="__RefHeading___Toc11030737_2142443653">
            <w:r>
              <w:rPr>
                <w:webHidden/>
                <w:rStyle w:val="IndexLink"/>
                <w:rtl w:val="true"/>
              </w:rPr>
              <w:t xml:space="preserve">هـ </w:t>
            </w:r>
            <w:r>
              <w:rPr>
                <w:rStyle w:val="IndexLink"/>
                <w:rtl w:val="true"/>
              </w:rPr>
              <w:t xml:space="preserve">- </w:t>
            </w:r>
            <w:r>
              <w:rPr>
                <w:rStyle w:val="IndexLink"/>
                <w:rtl w:val="true"/>
              </w:rPr>
              <w:t>وجوب اتباع الحق دون الأشخاص</w:t>
            </w:r>
            <w:r>
              <w:rPr>
                <w:rStyle w:val="IndexLink"/>
                <w:rtl w:val="true"/>
              </w:rPr>
              <w:t>:</w:t>
              <w:tab/>
            </w:r>
            <w:r>
              <w:rPr>
                <w:rStyle w:val="IndexLink"/>
              </w:rPr>
              <w:t>463</w:t>
            </w:r>
          </w:hyperlink>
        </w:p>
        <w:p>
          <w:pPr>
            <w:pStyle w:val="Contents4"/>
            <w:tabs>
              <w:tab w:val="clear" w:pos="8176"/>
              <w:tab w:val="right" w:pos="9026" w:leader="dot"/>
            </w:tabs>
            <w:rPr/>
          </w:pPr>
          <w:hyperlink w:anchor="__RefHeading___Toc11030739_2142443653">
            <w:r>
              <w:rPr>
                <w:webHidden/>
                <w:rStyle w:val="IndexLink"/>
                <w:rtl w:val="true"/>
              </w:rPr>
              <w:t xml:space="preserve">و </w:t>
            </w:r>
            <w:r>
              <w:rPr>
                <w:rStyle w:val="IndexLink"/>
                <w:rtl w:val="true"/>
              </w:rPr>
              <w:t xml:space="preserve">- </w:t>
            </w:r>
            <w:r>
              <w:rPr>
                <w:rStyle w:val="IndexLink"/>
                <w:rtl w:val="true"/>
              </w:rPr>
              <w:t>عدم دلالة شيء على نفى ما عداه</w:t>
            </w:r>
            <w:r>
              <w:rPr>
                <w:rStyle w:val="IndexLink"/>
                <w:rtl w:val="true"/>
              </w:rPr>
              <w:t>:</w:t>
              <w:tab/>
            </w:r>
            <w:r>
              <w:rPr>
                <w:rStyle w:val="IndexLink"/>
              </w:rPr>
              <w:t>464</w:t>
            </w:r>
          </w:hyperlink>
        </w:p>
        <w:p>
          <w:pPr>
            <w:pStyle w:val="Contents3"/>
            <w:tabs>
              <w:tab w:val="clear" w:pos="8459"/>
              <w:tab w:val="right" w:pos="9026" w:leader="dot"/>
            </w:tabs>
            <w:rPr/>
          </w:pPr>
          <w:hyperlink w:anchor="__RefHeading___Toc11030741_2142443653">
            <w:r>
              <w:rPr>
                <w:webHidden/>
                <w:rStyle w:val="IndexLink"/>
                <w:rtl w:val="true"/>
              </w:rPr>
              <w:t>التأويل الثاني</w:t>
            </w:r>
            <w:r>
              <w:rPr>
                <w:rStyle w:val="IndexLink"/>
                <w:rtl w:val="true"/>
              </w:rPr>
              <w:t xml:space="preserve">: </w:t>
            </w:r>
            <w:r>
              <w:rPr>
                <w:rStyle w:val="IndexLink"/>
                <w:rtl w:val="true"/>
              </w:rPr>
              <w:t>الحمل على الترشيح</w:t>
            </w:r>
            <w:r>
              <w:rPr>
                <w:rStyle w:val="IndexLink"/>
                <w:rtl w:val="true"/>
              </w:rPr>
              <w:t>:</w:t>
              <w:tab/>
            </w:r>
            <w:r>
              <w:rPr>
                <w:rStyle w:val="IndexLink"/>
              </w:rPr>
              <w:t>465</w:t>
            </w:r>
          </w:hyperlink>
        </w:p>
        <w:p>
          <w:pPr>
            <w:pStyle w:val="Contents4"/>
            <w:tabs>
              <w:tab w:val="clear" w:pos="8176"/>
              <w:tab w:val="right" w:pos="9026" w:leader="dot"/>
            </w:tabs>
            <w:rPr/>
          </w:pPr>
          <w:hyperlink w:anchor="__RefHeading___Toc11030743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1030745_2142443653">
            <w:r>
              <w:rPr>
                <w:webHidden/>
                <w:rStyle w:val="IndexLink"/>
                <w:rtl w:val="true"/>
              </w:rPr>
              <w:t xml:space="preserve">أ </w:t>
            </w:r>
            <w:r>
              <w:rPr>
                <w:rStyle w:val="IndexLink"/>
                <w:rtl w:val="true"/>
              </w:rPr>
              <w:t xml:space="preserve">- </w:t>
            </w:r>
            <w:r>
              <w:rPr>
                <w:rStyle w:val="IndexLink"/>
                <w:rtl w:val="true"/>
              </w:rPr>
              <w:t>الأصالة التأسيسية والاحترازية في عملية التقنين</w:t>
            </w:r>
            <w:r>
              <w:rPr>
                <w:rStyle w:val="IndexLink"/>
                <w:rtl w:val="true"/>
              </w:rPr>
              <w:t>:</w:t>
              <w:tab/>
            </w:r>
            <w:r>
              <w:rPr>
                <w:rStyle w:val="IndexLink"/>
              </w:rPr>
              <w:t>467</w:t>
            </w:r>
          </w:hyperlink>
        </w:p>
        <w:p>
          <w:pPr>
            <w:pStyle w:val="Contents4"/>
            <w:tabs>
              <w:tab w:val="clear" w:pos="8176"/>
              <w:tab w:val="right" w:pos="9026" w:leader="dot"/>
            </w:tabs>
            <w:rPr/>
          </w:pPr>
          <w:hyperlink w:anchor="__RefHeading___Toc11030747_2142443653">
            <w:r>
              <w:rPr>
                <w:webHidden/>
                <w:rStyle w:val="IndexLink"/>
                <w:rtl w:val="true"/>
              </w:rPr>
              <w:t xml:space="preserve">ب </w:t>
            </w:r>
            <w:r>
              <w:rPr>
                <w:rStyle w:val="IndexLink"/>
                <w:rtl w:val="true"/>
              </w:rPr>
              <w:t xml:space="preserve">- </w:t>
            </w:r>
            <w:r>
              <w:rPr>
                <w:rStyle w:val="IndexLink"/>
                <w:rtl w:val="true"/>
              </w:rPr>
              <w:t>ظهور الروايات في الجعل والإنشاء بل نصها</w:t>
            </w:r>
            <w:r>
              <w:rPr>
                <w:rStyle w:val="IndexLink"/>
                <w:rtl w:val="true"/>
              </w:rPr>
              <w:t>:</w:t>
              <w:tab/>
            </w:r>
            <w:r>
              <w:rPr>
                <w:rStyle w:val="IndexLink"/>
              </w:rPr>
              <w:t>468</w:t>
            </w:r>
          </w:hyperlink>
        </w:p>
        <w:p>
          <w:pPr>
            <w:pStyle w:val="Contents4"/>
            <w:tabs>
              <w:tab w:val="clear" w:pos="8176"/>
              <w:tab w:val="right" w:pos="9026" w:leader="dot"/>
            </w:tabs>
            <w:rPr/>
          </w:pPr>
          <w:hyperlink w:anchor="__RefHeading___Toc11030749_2142443653">
            <w:r>
              <w:rPr>
                <w:webHidden/>
                <w:rStyle w:val="IndexLink"/>
                <w:rtl w:val="true"/>
              </w:rPr>
              <w:t xml:space="preserve">ج </w:t>
            </w:r>
            <w:r>
              <w:rPr>
                <w:rStyle w:val="IndexLink"/>
                <w:rtl w:val="true"/>
              </w:rPr>
              <w:t xml:space="preserve">- </w:t>
            </w:r>
            <w:r>
              <w:rPr>
                <w:rStyle w:val="IndexLink"/>
                <w:rtl w:val="true"/>
              </w:rPr>
              <w:t>التعارض مع سيرة الإمام</w:t>
            </w:r>
            <w:r>
              <w:rPr>
                <w:rStyle w:val="IndexLink"/>
                <w:rtl w:val="true"/>
              </w:rPr>
              <w:t>(</w:t>
            </w:r>
            <w:r>
              <w:rPr>
                <w:rStyle w:val="IndexLink"/>
                <w:rtl w:val="true"/>
              </w:rPr>
              <w:t>علیه السّلام</w:t>
            </w:r>
            <w:r>
              <w:rPr>
                <w:rStyle w:val="IndexLink"/>
                <w:rtl w:val="true"/>
              </w:rPr>
              <w:t>):</w:t>
              <w:tab/>
            </w:r>
            <w:r>
              <w:rPr>
                <w:rStyle w:val="IndexLink"/>
              </w:rPr>
              <w:t>468</w:t>
            </w:r>
          </w:hyperlink>
        </w:p>
        <w:p>
          <w:pPr>
            <w:pStyle w:val="Contents4"/>
            <w:tabs>
              <w:tab w:val="clear" w:pos="8176"/>
              <w:tab w:val="right" w:pos="9026" w:leader="dot"/>
            </w:tabs>
            <w:rPr/>
          </w:pPr>
          <w:hyperlink w:anchor="__RefHeading___Toc11030751_2142443653">
            <w:r>
              <w:rPr>
                <w:webHidden/>
                <w:rStyle w:val="IndexLink"/>
                <w:rtl w:val="true"/>
              </w:rPr>
              <w:t xml:space="preserve">د </w:t>
            </w:r>
            <w:r>
              <w:rPr>
                <w:rStyle w:val="IndexLink"/>
                <w:rtl w:val="true"/>
              </w:rPr>
              <w:t xml:space="preserve">- </w:t>
            </w:r>
            <w:r>
              <w:rPr>
                <w:rStyle w:val="IndexLink"/>
                <w:rtl w:val="true"/>
              </w:rPr>
              <w:t>التفسير العلماني للإمامة</w:t>
            </w:r>
            <w:r>
              <w:rPr>
                <w:rStyle w:val="IndexLink"/>
                <w:rtl w:val="true"/>
              </w:rPr>
              <w:t>:</w:t>
              <w:tab/>
            </w:r>
            <w:r>
              <w:rPr>
                <w:rStyle w:val="IndexLink"/>
              </w:rPr>
              <w:t>468</w:t>
            </w:r>
          </w:hyperlink>
        </w:p>
        <w:p>
          <w:pPr>
            <w:pStyle w:val="Contents3"/>
            <w:tabs>
              <w:tab w:val="clear" w:pos="8459"/>
              <w:tab w:val="right" w:pos="9026" w:leader="dot"/>
            </w:tabs>
            <w:rPr/>
          </w:pPr>
          <w:hyperlink w:anchor="__RefHeading___Toc11030753_2142443653">
            <w:r>
              <w:rPr>
                <w:webHidden/>
                <w:rStyle w:val="IndexLink"/>
                <w:rtl w:val="true"/>
              </w:rPr>
              <w:t>التبرير الثالث</w:t>
            </w:r>
            <w:r>
              <w:rPr>
                <w:rStyle w:val="IndexLink"/>
                <w:rtl w:val="true"/>
              </w:rPr>
              <w:t xml:space="preserve">: </w:t>
            </w:r>
            <w:r>
              <w:rPr>
                <w:rStyle w:val="IndexLink"/>
                <w:rtl w:val="true"/>
              </w:rPr>
              <w:t>اختصاص الإمامة بالهداية والمرجعية العلمية والدينية</w:t>
            </w:r>
            <w:r>
              <w:rPr>
                <w:rStyle w:val="IndexLink"/>
                <w:rtl w:val="true"/>
              </w:rPr>
              <w:t>:</w:t>
              <w:tab/>
            </w:r>
            <w:r>
              <w:rPr>
                <w:rStyle w:val="IndexLink"/>
              </w:rPr>
              <w:t>469</w:t>
            </w:r>
          </w:hyperlink>
        </w:p>
        <w:p>
          <w:pPr>
            <w:pStyle w:val="Contents4"/>
            <w:tabs>
              <w:tab w:val="clear" w:pos="8176"/>
              <w:tab w:val="right" w:pos="9026" w:leader="dot"/>
            </w:tabs>
            <w:rPr/>
          </w:pPr>
          <w:hyperlink w:anchor="__RefHeading___Toc11030755_2142443653">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1030757_2142443653">
            <w:r>
              <w:rPr>
                <w:webHidden/>
                <w:rStyle w:val="IndexLink"/>
                <w:rtl w:val="true"/>
              </w:rPr>
              <w:t xml:space="preserve">أ </w:t>
            </w:r>
            <w:r>
              <w:rPr>
                <w:rStyle w:val="IndexLink"/>
                <w:rtl w:val="true"/>
              </w:rPr>
              <w:t xml:space="preserve">- </w:t>
            </w:r>
            <w:r>
              <w:rPr>
                <w:rStyle w:val="IndexLink"/>
                <w:rtl w:val="true"/>
              </w:rPr>
              <w:t>الفصل بين الإمامة والخلافة</w:t>
            </w:r>
            <w:r>
              <w:rPr>
                <w:rStyle w:val="IndexLink"/>
                <w:rtl w:val="true"/>
              </w:rPr>
              <w:t>:</w:t>
              <w:tab/>
            </w:r>
            <w:r>
              <w:rPr>
                <w:rStyle w:val="IndexLink"/>
              </w:rPr>
              <w:t>469</w:t>
            </w:r>
          </w:hyperlink>
        </w:p>
        <w:p>
          <w:pPr>
            <w:pStyle w:val="Contents4"/>
            <w:tabs>
              <w:tab w:val="clear" w:pos="8176"/>
              <w:tab w:val="right" w:pos="9026" w:leader="dot"/>
            </w:tabs>
            <w:rPr/>
          </w:pPr>
          <w:hyperlink w:anchor="__RefHeading___Toc11030759_2142443653">
            <w:r>
              <w:rPr>
                <w:webHidden/>
                <w:rStyle w:val="IndexLink"/>
                <w:rtl w:val="true"/>
              </w:rPr>
              <w:t xml:space="preserve">ب </w:t>
            </w:r>
            <w:r>
              <w:rPr>
                <w:rStyle w:val="IndexLink"/>
                <w:rtl w:val="true"/>
              </w:rPr>
              <w:t xml:space="preserve">- </w:t>
            </w:r>
            <w:r>
              <w:rPr>
                <w:rStyle w:val="IndexLink"/>
                <w:rtl w:val="true"/>
              </w:rPr>
              <w:t xml:space="preserve">الفصل بين الإمامة والحكومة </w:t>
            </w:r>
            <w:r>
              <w:rPr>
                <w:rStyle w:val="IndexLink"/>
                <w:rtl w:val="true"/>
              </w:rPr>
              <w:t>(</w:t>
            </w:r>
            <w:r>
              <w:rPr>
                <w:rStyle w:val="IndexLink"/>
                <w:rtl w:val="true"/>
              </w:rPr>
              <w:t>العلمانية</w:t>
            </w:r>
            <w:r>
              <w:rPr>
                <w:rStyle w:val="IndexLink"/>
                <w:rtl w:val="true"/>
              </w:rPr>
              <w:t>):</w:t>
              <w:tab/>
            </w:r>
            <w:r>
              <w:rPr>
                <w:rStyle w:val="IndexLink"/>
              </w:rPr>
              <w:t>471</w:t>
            </w:r>
          </w:hyperlink>
        </w:p>
        <w:p>
          <w:pPr>
            <w:pStyle w:val="Contents4"/>
            <w:tabs>
              <w:tab w:val="clear" w:pos="8176"/>
              <w:tab w:val="right" w:pos="9026" w:leader="dot"/>
            </w:tabs>
            <w:rPr/>
          </w:pPr>
          <w:hyperlink w:anchor="__RefHeading___Toc11030761_2142443653">
            <w:r>
              <w:rPr>
                <w:webHidden/>
                <w:rStyle w:val="IndexLink"/>
                <w:rtl w:val="true"/>
              </w:rPr>
              <w:t xml:space="preserve">ج </w:t>
            </w:r>
            <w:r>
              <w:rPr>
                <w:rStyle w:val="IndexLink"/>
                <w:rtl w:val="true"/>
              </w:rPr>
              <w:t xml:space="preserve">- </w:t>
            </w:r>
            <w:r>
              <w:rPr>
                <w:rStyle w:val="IndexLink"/>
                <w:rtl w:val="true"/>
              </w:rPr>
              <w:t xml:space="preserve">الفصل بين النصوص النبوية الدنيوية وبين النصوص النبوية الدينية </w:t>
            </w:r>
            <w:r>
              <w:rPr>
                <w:rStyle w:val="IndexLink"/>
                <w:rtl w:val="true"/>
              </w:rPr>
              <w:t>(</w:t>
            </w:r>
            <w:r>
              <w:rPr>
                <w:rStyle w:val="IndexLink"/>
                <w:rtl w:val="true"/>
              </w:rPr>
              <w:t>القراءة العلمانية للصحابة</w:t>
            </w:r>
            <w:r>
              <w:rPr>
                <w:rStyle w:val="IndexLink"/>
                <w:rtl w:val="true"/>
              </w:rPr>
              <w:t>):</w:t>
              <w:tab/>
            </w:r>
            <w:r>
              <w:rPr>
                <w:rStyle w:val="IndexLink"/>
              </w:rPr>
              <w:t>472</w:t>
            </w:r>
          </w:hyperlink>
        </w:p>
        <w:p>
          <w:pPr>
            <w:pStyle w:val="Contents4"/>
            <w:tabs>
              <w:tab w:val="clear" w:pos="8176"/>
              <w:tab w:val="right" w:pos="9026" w:leader="dot"/>
            </w:tabs>
            <w:rPr/>
          </w:pPr>
          <w:hyperlink w:anchor="__RefHeading___Toc11030763_2142443653">
            <w:r>
              <w:rPr>
                <w:webHidden/>
                <w:rStyle w:val="IndexLink"/>
                <w:rtl w:val="true"/>
              </w:rPr>
              <w:t>مناقشة وتحليل</w:t>
            </w:r>
            <w:r>
              <w:rPr>
                <w:rStyle w:val="IndexLink"/>
                <w:rtl w:val="true"/>
              </w:rPr>
              <w:t>:</w:t>
              <w:tab/>
            </w:r>
            <w:r>
              <w:rPr>
                <w:rStyle w:val="IndexLink"/>
              </w:rPr>
              <w:t>474</w:t>
            </w:r>
          </w:hyperlink>
        </w:p>
        <w:p>
          <w:pPr>
            <w:pStyle w:val="Contents3"/>
            <w:tabs>
              <w:tab w:val="clear" w:pos="8459"/>
              <w:tab w:val="right" w:pos="9026" w:leader="dot"/>
            </w:tabs>
            <w:rPr/>
          </w:pPr>
          <w:hyperlink w:anchor="__RefHeading___Toc11030765_2142443653">
            <w:r>
              <w:rPr>
                <w:webHidden/>
                <w:rStyle w:val="IndexLink"/>
                <w:rtl w:val="true"/>
              </w:rPr>
              <w:t>رعاية المصلحة</w:t>
            </w:r>
            <w:r>
              <w:rPr>
                <w:rStyle w:val="IndexLink"/>
                <w:rtl w:val="true"/>
              </w:rPr>
              <w:t>:</w:t>
              <w:tab/>
            </w:r>
            <w:r>
              <w:rPr>
                <w:rStyle w:val="IndexLink"/>
              </w:rPr>
              <w:t>486</w:t>
            </w:r>
          </w:hyperlink>
        </w:p>
        <w:p>
          <w:pPr>
            <w:pStyle w:val="Contents3"/>
            <w:tabs>
              <w:tab w:val="clear" w:pos="8459"/>
              <w:tab w:val="right" w:pos="9026" w:leader="dot"/>
            </w:tabs>
            <w:rPr/>
          </w:pPr>
          <w:hyperlink w:anchor="__RefHeading___Toc11030767_2142443653">
            <w:r>
              <w:rPr>
                <w:webHidden/>
                <w:rStyle w:val="IndexLink"/>
                <w:rtl w:val="true"/>
              </w:rPr>
              <w:t>التبرير الرابع</w:t>
            </w:r>
            <w:r>
              <w:rPr>
                <w:rStyle w:val="IndexLink"/>
                <w:rtl w:val="true"/>
              </w:rPr>
              <w:t xml:space="preserve">: </w:t>
            </w:r>
            <w:r>
              <w:rPr>
                <w:rStyle w:val="IndexLink"/>
                <w:rtl w:val="true"/>
              </w:rPr>
              <w:t>استصغار سن الإمام علي</w:t>
            </w:r>
            <w:r>
              <w:rPr>
                <w:rStyle w:val="IndexLink"/>
                <w:rtl w:val="true"/>
              </w:rPr>
              <w:t>(</w:t>
            </w:r>
            <w:r>
              <w:rPr>
                <w:rStyle w:val="IndexLink"/>
                <w:rtl w:val="true"/>
              </w:rPr>
              <w:t>علیه السّلام</w:t>
            </w:r>
            <w:r>
              <w:rPr>
                <w:rStyle w:val="IndexLink"/>
                <w:rtl w:val="true"/>
              </w:rPr>
              <w:t>):</w:t>
              <w:tab/>
            </w:r>
            <w:r>
              <w:rPr>
                <w:rStyle w:val="IndexLink"/>
              </w:rPr>
              <w:t>486</w:t>
            </w:r>
          </w:hyperlink>
        </w:p>
        <w:p>
          <w:pPr>
            <w:pStyle w:val="Contents3"/>
            <w:tabs>
              <w:tab w:val="clear" w:pos="8459"/>
              <w:tab w:val="right" w:pos="9026" w:leader="dot"/>
            </w:tabs>
            <w:rPr/>
          </w:pPr>
          <w:hyperlink w:anchor="__RefHeading___Toc11030769_2142443653">
            <w:r>
              <w:rPr>
                <w:webHidden/>
                <w:rStyle w:val="IndexLink"/>
                <w:rtl w:val="true"/>
              </w:rPr>
              <w:t>مناقشة وتحليل</w:t>
            </w:r>
            <w:r>
              <w:rPr>
                <w:rStyle w:val="IndexLink"/>
                <w:rtl w:val="true"/>
              </w:rPr>
              <w:t>:</w:t>
              <w:tab/>
            </w:r>
            <w:r>
              <w:rPr>
                <w:rStyle w:val="IndexLink"/>
              </w:rPr>
              <w:t>487</w:t>
            </w:r>
          </w:hyperlink>
        </w:p>
        <w:p>
          <w:pPr>
            <w:pStyle w:val="Contents3"/>
            <w:tabs>
              <w:tab w:val="clear" w:pos="8459"/>
              <w:tab w:val="right" w:pos="9026" w:leader="dot"/>
            </w:tabs>
            <w:rPr/>
          </w:pPr>
          <w:hyperlink w:anchor="__RefHeading___Toc11030771_2142443653">
            <w:r>
              <w:rPr>
                <w:webHidden/>
                <w:rStyle w:val="IndexLink"/>
                <w:rtl w:val="true"/>
              </w:rPr>
              <w:t>مناقشة وتحليل</w:t>
            </w:r>
            <w:r>
              <w:rPr>
                <w:rStyle w:val="IndexLink"/>
                <w:rtl w:val="true"/>
              </w:rPr>
              <w:t>:</w:t>
              <w:tab/>
            </w:r>
            <w:r>
              <w:rPr>
                <w:rStyle w:val="IndexLink"/>
              </w:rPr>
              <w:t>496</w:t>
            </w:r>
          </w:hyperlink>
        </w:p>
        <w:p>
          <w:pPr>
            <w:pStyle w:val="Contents3"/>
            <w:tabs>
              <w:tab w:val="clear" w:pos="8459"/>
              <w:tab w:val="right" w:pos="9026" w:leader="dot"/>
            </w:tabs>
            <w:rPr/>
          </w:pPr>
          <w:hyperlink w:anchor="__RefHeading___Toc11030773_2142443653">
            <w:r>
              <w:rPr>
                <w:webHidden/>
                <w:rStyle w:val="IndexLink"/>
                <w:rtl w:val="true"/>
              </w:rPr>
              <w:t>التبرير السادس</w:t>
            </w:r>
            <w:r>
              <w:rPr>
                <w:rStyle w:val="IndexLink"/>
                <w:rtl w:val="true"/>
              </w:rPr>
              <w:t xml:space="preserve">: </w:t>
            </w:r>
            <w:r>
              <w:rPr>
                <w:rStyle w:val="IndexLink"/>
                <w:rtl w:val="true"/>
              </w:rPr>
              <w:t>مخالفة العرب له</w:t>
            </w:r>
            <w:r>
              <w:rPr>
                <w:rStyle w:val="IndexLink"/>
                <w:rtl w:val="true"/>
              </w:rPr>
              <w:t>:</w:t>
              <w:tab/>
            </w:r>
            <w:r>
              <w:rPr>
                <w:rStyle w:val="IndexLink"/>
              </w:rPr>
              <w:t>502</w:t>
            </w:r>
          </w:hyperlink>
        </w:p>
        <w:p>
          <w:pPr>
            <w:pStyle w:val="Contents3"/>
            <w:tabs>
              <w:tab w:val="clear" w:pos="8459"/>
              <w:tab w:val="right" w:pos="9026" w:leader="dot"/>
            </w:tabs>
            <w:rPr/>
          </w:pPr>
          <w:hyperlink w:anchor="__RefHeading___Toc11030775_2142443653">
            <w:r>
              <w:rPr>
                <w:webHidden/>
                <w:rStyle w:val="IndexLink"/>
                <w:rtl w:val="true"/>
              </w:rPr>
              <w:t>مناقشة وتحليل</w:t>
            </w:r>
            <w:r>
              <w:rPr>
                <w:rStyle w:val="IndexLink"/>
                <w:rtl w:val="true"/>
              </w:rPr>
              <w:t>:</w:t>
              <w:tab/>
            </w:r>
            <w:r>
              <w:rPr>
                <w:rStyle w:val="IndexLink"/>
              </w:rPr>
              <w:t>502</w:t>
            </w:r>
          </w:hyperlink>
        </w:p>
        <w:p>
          <w:pPr>
            <w:pStyle w:val="Contents3"/>
            <w:tabs>
              <w:tab w:val="clear" w:pos="8459"/>
              <w:tab w:val="right" w:pos="9026" w:leader="dot"/>
            </w:tabs>
            <w:rPr/>
          </w:pPr>
          <w:hyperlink w:anchor="__RefHeading___Toc11030777_2142443653">
            <w:r>
              <w:rPr>
                <w:webHidden/>
                <w:rStyle w:val="IndexLink"/>
                <w:rtl w:val="true"/>
              </w:rPr>
              <w:t>التبرير السابع</w:t>
            </w:r>
            <w:r>
              <w:rPr>
                <w:rStyle w:val="IndexLink"/>
                <w:rtl w:val="true"/>
              </w:rPr>
              <w:t xml:space="preserve">: </w:t>
            </w:r>
            <w:r>
              <w:rPr>
                <w:rStyle w:val="IndexLink"/>
                <w:rtl w:val="true"/>
              </w:rPr>
              <w:t>إيثار قبيلته من بني عبد المطلب</w:t>
            </w:r>
            <w:r>
              <w:rPr>
                <w:rStyle w:val="IndexLink"/>
                <w:rtl w:val="true"/>
              </w:rPr>
              <w:t>:</w:t>
              <w:tab/>
            </w:r>
            <w:r>
              <w:rPr>
                <w:rStyle w:val="IndexLink"/>
              </w:rPr>
              <w:t>507</w:t>
            </w:r>
          </w:hyperlink>
        </w:p>
        <w:p>
          <w:pPr>
            <w:pStyle w:val="Contents3"/>
            <w:tabs>
              <w:tab w:val="clear" w:pos="8459"/>
              <w:tab w:val="right" w:pos="9026" w:leader="dot"/>
            </w:tabs>
            <w:rPr/>
          </w:pPr>
          <w:hyperlink w:anchor="__RefHeading___Toc11030779_2142443653">
            <w:r>
              <w:rPr>
                <w:webHidden/>
                <w:rStyle w:val="IndexLink"/>
                <w:rtl w:val="true"/>
              </w:rPr>
              <w:t>مناقشة وتحليل</w:t>
            </w:r>
            <w:r>
              <w:rPr>
                <w:rStyle w:val="IndexLink"/>
                <w:rtl w:val="true"/>
              </w:rPr>
              <w:t>:</w:t>
              <w:tab/>
            </w:r>
            <w:r>
              <w:rPr>
                <w:rStyle w:val="IndexLink"/>
              </w:rPr>
              <w:t>507</w:t>
            </w:r>
          </w:hyperlink>
        </w:p>
        <w:p>
          <w:pPr>
            <w:pStyle w:val="Contents3"/>
            <w:tabs>
              <w:tab w:val="clear" w:pos="8459"/>
              <w:tab w:val="right" w:pos="9026" w:leader="dot"/>
            </w:tabs>
            <w:rPr/>
          </w:pPr>
          <w:hyperlink w:anchor="__RefHeading___Toc11030781_2142443653">
            <w:r>
              <w:rPr>
                <w:webHidden/>
                <w:rStyle w:val="IndexLink"/>
                <w:rtl w:val="true"/>
              </w:rPr>
              <w:t>التبرير الثامن</w:t>
            </w:r>
            <w:r>
              <w:rPr>
                <w:rStyle w:val="IndexLink"/>
                <w:rtl w:val="true"/>
              </w:rPr>
              <w:t xml:space="preserve">: </w:t>
            </w:r>
            <w:r>
              <w:rPr>
                <w:rStyle w:val="IndexLink"/>
                <w:rtl w:val="true"/>
              </w:rPr>
              <w:t xml:space="preserve">كراهة الجمع بين النبوة والإمامة في بيت واحد </w:t>
            </w:r>
            <w:r>
              <w:rPr>
                <w:rStyle w:val="IndexLink"/>
                <w:rtl w:val="true"/>
              </w:rPr>
              <w:t>:</w:t>
              <w:tab/>
            </w:r>
            <w:r>
              <w:rPr>
                <w:rStyle w:val="IndexLink"/>
              </w:rPr>
              <w:t>510</w:t>
            </w:r>
          </w:hyperlink>
        </w:p>
        <w:p>
          <w:pPr>
            <w:pStyle w:val="Contents3"/>
            <w:tabs>
              <w:tab w:val="clear" w:pos="8459"/>
              <w:tab w:val="right" w:pos="9026" w:leader="dot"/>
            </w:tabs>
            <w:rPr/>
          </w:pPr>
          <w:hyperlink w:anchor="__RefHeading___Toc11030783_2142443653">
            <w:r>
              <w:rPr>
                <w:webHidden/>
                <w:rStyle w:val="IndexLink"/>
                <w:rtl w:val="true"/>
              </w:rPr>
              <w:t>التبرير التاسع</w:t>
            </w:r>
            <w:r>
              <w:rPr>
                <w:rStyle w:val="IndexLink"/>
                <w:rtl w:val="true"/>
              </w:rPr>
              <w:t xml:space="preserve">: </w:t>
            </w:r>
            <w:r>
              <w:rPr>
                <w:rStyle w:val="IndexLink"/>
                <w:rtl w:val="true"/>
              </w:rPr>
              <w:t xml:space="preserve">أصل الترتب </w:t>
            </w:r>
            <w:r>
              <w:rPr>
                <w:rStyle w:val="IndexLink"/>
                <w:rtl w:val="true"/>
              </w:rPr>
              <w:t>(</w:t>
            </w:r>
            <w:r>
              <w:rPr>
                <w:rStyle w:val="IndexLink"/>
                <w:rtl w:val="true"/>
              </w:rPr>
              <w:t>مرحلتان مع أولوية الخلافة</w:t>
            </w:r>
            <w:r>
              <w:rPr>
                <w:rStyle w:val="IndexLink"/>
                <w:rtl w:val="true"/>
              </w:rPr>
              <w:t>):</w:t>
              <w:tab/>
            </w:r>
            <w:r>
              <w:rPr>
                <w:rStyle w:val="IndexLink"/>
              </w:rPr>
              <w:t>511</w:t>
            </w:r>
          </w:hyperlink>
        </w:p>
        <w:p>
          <w:pPr>
            <w:pStyle w:val="Contents3"/>
            <w:tabs>
              <w:tab w:val="clear" w:pos="8459"/>
              <w:tab w:val="right" w:pos="9026" w:leader="dot"/>
            </w:tabs>
            <w:rPr/>
          </w:pPr>
          <w:hyperlink w:anchor="__RefHeading___Toc11030785_2142443653">
            <w:r>
              <w:rPr>
                <w:webHidden/>
                <w:rStyle w:val="IndexLink"/>
                <w:rtl w:val="true"/>
              </w:rPr>
              <w:t>مناقشة وتحليل</w:t>
            </w:r>
            <w:r>
              <w:rPr>
                <w:rStyle w:val="IndexLink"/>
                <w:rtl w:val="true"/>
              </w:rPr>
              <w:t>:</w:t>
              <w:tab/>
            </w:r>
            <w:r>
              <w:rPr>
                <w:rStyle w:val="IndexLink"/>
              </w:rPr>
              <w:t>514</w:t>
            </w:r>
          </w:hyperlink>
        </w:p>
        <w:p>
          <w:pPr>
            <w:pStyle w:val="Contents3"/>
            <w:tabs>
              <w:tab w:val="clear" w:pos="8459"/>
              <w:tab w:val="right" w:pos="9026" w:leader="dot"/>
            </w:tabs>
            <w:rPr/>
          </w:pPr>
          <w:hyperlink w:anchor="__RefHeading___Toc11030787_2142443653">
            <w:r>
              <w:rPr>
                <w:webHidden/>
                <w:rStyle w:val="IndexLink"/>
                <w:rtl w:val="true"/>
              </w:rPr>
              <w:t xml:space="preserve">التبرير العاشر </w:t>
            </w:r>
            <w:r>
              <w:rPr>
                <w:rStyle w:val="IndexLink"/>
                <w:rtl w:val="true"/>
              </w:rPr>
              <w:t xml:space="preserve">: </w:t>
            </w:r>
            <w:r>
              <w:rPr>
                <w:rStyle w:val="IndexLink"/>
                <w:rtl w:val="true"/>
              </w:rPr>
              <w:t>أصل الضرورة والحكم الثانوي</w:t>
            </w:r>
            <w:r>
              <w:rPr>
                <w:rStyle w:val="IndexLink"/>
                <w:rtl w:val="true"/>
              </w:rPr>
              <w:t>:</w:t>
              <w:tab/>
            </w:r>
            <w:r>
              <w:rPr>
                <w:rStyle w:val="IndexLink"/>
              </w:rPr>
              <w:t>516</w:t>
            </w:r>
          </w:hyperlink>
        </w:p>
        <w:p>
          <w:pPr>
            <w:pStyle w:val="Contents4"/>
            <w:tabs>
              <w:tab w:val="clear" w:pos="8176"/>
              <w:tab w:val="right" w:pos="9026" w:leader="dot"/>
            </w:tabs>
            <w:rPr/>
          </w:pPr>
          <w:hyperlink w:anchor="__RefHeading___Toc11030789_2142443653">
            <w:r>
              <w:rPr>
                <w:webHidden/>
                <w:rStyle w:val="IndexLink"/>
                <w:rtl w:val="true"/>
              </w:rPr>
              <w:t>اشارة</w:t>
            </w:r>
            <w:r>
              <w:rPr>
                <w:rStyle w:val="IndexLink"/>
                <w:rtl w:val="true"/>
              </w:rPr>
              <w:tab/>
            </w:r>
            <w:r>
              <w:rPr>
                <w:rStyle w:val="IndexLink"/>
              </w:rPr>
              <w:t>516</w:t>
            </w:r>
          </w:hyperlink>
        </w:p>
        <w:p>
          <w:pPr>
            <w:pStyle w:val="Contents4"/>
            <w:tabs>
              <w:tab w:val="clear" w:pos="8176"/>
              <w:tab w:val="right" w:pos="9026" w:leader="dot"/>
            </w:tabs>
            <w:rPr/>
          </w:pPr>
          <w:hyperlink w:anchor="__RefHeading___Toc11030791_2142443653">
            <w:r>
              <w:rPr>
                <w:webHidden/>
                <w:rStyle w:val="IndexLink"/>
                <w:rtl w:val="true"/>
              </w:rPr>
              <w:t xml:space="preserve">أدلة هذه الرؤية </w:t>
            </w:r>
            <w:r>
              <w:rPr>
                <w:rStyle w:val="IndexLink"/>
                <w:rtl w:val="true"/>
              </w:rPr>
              <w:t>(</w:t>
            </w:r>
            <w:r>
              <w:rPr>
                <w:rStyle w:val="IndexLink"/>
                <w:rtl w:val="true"/>
              </w:rPr>
              <w:t>البيعة المنتجة للشرعية</w:t>
            </w:r>
            <w:r>
              <w:rPr>
                <w:rStyle w:val="IndexLink"/>
                <w:rtl w:val="true"/>
              </w:rPr>
              <w:t>):</w:t>
              <w:tab/>
            </w:r>
            <w:r>
              <w:rPr>
                <w:rStyle w:val="IndexLink"/>
              </w:rPr>
              <w:t>517</w:t>
            </w:r>
          </w:hyperlink>
        </w:p>
        <w:p>
          <w:pPr>
            <w:pStyle w:val="Contents3"/>
            <w:tabs>
              <w:tab w:val="clear" w:pos="8459"/>
              <w:tab w:val="right" w:pos="9026" w:leader="dot"/>
            </w:tabs>
            <w:rPr/>
          </w:pPr>
          <w:hyperlink w:anchor="__RefHeading___Toc11030793_2142443653">
            <w:r>
              <w:rPr>
                <w:webHidden/>
                <w:rStyle w:val="IndexLink"/>
                <w:rtl w:val="true"/>
              </w:rPr>
              <w:t>مناقشة وتحليل</w:t>
            </w:r>
            <w:r>
              <w:rPr>
                <w:rStyle w:val="IndexLink"/>
                <w:rtl w:val="true"/>
              </w:rPr>
              <w:t>:</w:t>
              <w:tab/>
            </w:r>
            <w:r>
              <w:rPr>
                <w:rStyle w:val="IndexLink"/>
              </w:rPr>
              <w:t>519</w:t>
            </w:r>
          </w:hyperlink>
        </w:p>
        <w:p>
          <w:pPr>
            <w:pStyle w:val="Contents3"/>
            <w:tabs>
              <w:tab w:val="clear" w:pos="8459"/>
              <w:tab w:val="right" w:pos="9026" w:leader="dot"/>
            </w:tabs>
            <w:rPr/>
          </w:pPr>
          <w:hyperlink w:anchor="__RefHeading___Toc11030795_2142443653">
            <w:r>
              <w:rPr>
                <w:webHidden/>
                <w:rStyle w:val="IndexLink"/>
                <w:rtl w:val="true"/>
              </w:rPr>
              <w:t>التبرير الحادي عشر</w:t>
            </w:r>
            <w:r>
              <w:rPr>
                <w:rStyle w:val="IndexLink"/>
                <w:rtl w:val="true"/>
              </w:rPr>
              <w:t xml:space="preserve">: </w:t>
            </w:r>
            <w:r>
              <w:rPr>
                <w:rStyle w:val="IndexLink"/>
                <w:rtl w:val="true"/>
              </w:rPr>
              <w:t>إمامة الإمام علي</w:t>
            </w:r>
            <w:r>
              <w:rPr>
                <w:rStyle w:val="IndexLink"/>
                <w:rtl w:val="true"/>
              </w:rPr>
              <w:t>(</w:t>
            </w:r>
            <w:r>
              <w:rPr>
                <w:rStyle w:val="IndexLink"/>
                <w:rtl w:val="true"/>
              </w:rPr>
              <w:t>علیه السّلام</w:t>
            </w:r>
            <w:r>
              <w:rPr>
                <w:rStyle w:val="IndexLink"/>
                <w:rtl w:val="true"/>
              </w:rPr>
              <w:t>)</w:t>
            </w:r>
            <w:r>
              <w:rPr>
                <w:rStyle w:val="IndexLink"/>
                <w:rtl w:val="true"/>
              </w:rPr>
              <w:t>رهن بسعيه إليها</w:t>
            </w:r>
            <w:r>
              <w:rPr>
                <w:rStyle w:val="IndexLink"/>
                <w:rtl w:val="true"/>
              </w:rPr>
              <w:t>:</w:t>
              <w:tab/>
            </w:r>
            <w:r>
              <w:rPr>
                <w:rStyle w:val="IndexLink"/>
              </w:rPr>
              <w:t>532</w:t>
            </w:r>
          </w:hyperlink>
        </w:p>
        <w:p>
          <w:pPr>
            <w:pStyle w:val="Contents3"/>
            <w:tabs>
              <w:tab w:val="clear" w:pos="8459"/>
              <w:tab w:val="right" w:pos="9026" w:leader="dot"/>
            </w:tabs>
            <w:rPr/>
          </w:pPr>
          <w:hyperlink w:anchor="__RefHeading___Toc11030797_2142443653">
            <w:r>
              <w:rPr>
                <w:webHidden/>
                <w:rStyle w:val="IndexLink"/>
                <w:rtl w:val="true"/>
              </w:rPr>
              <w:t>مناقشة وتحليل</w:t>
            </w:r>
            <w:r>
              <w:rPr>
                <w:rStyle w:val="IndexLink"/>
                <w:rtl w:val="true"/>
              </w:rPr>
              <w:t>:</w:t>
              <w:tab/>
            </w:r>
            <w:r>
              <w:rPr>
                <w:rStyle w:val="IndexLink"/>
              </w:rPr>
              <w:t>533</w:t>
            </w:r>
          </w:hyperlink>
        </w:p>
        <w:p>
          <w:pPr>
            <w:pStyle w:val="Contents3"/>
            <w:tabs>
              <w:tab w:val="clear" w:pos="8459"/>
              <w:tab w:val="right" w:pos="9026" w:leader="dot"/>
            </w:tabs>
            <w:rPr/>
          </w:pPr>
          <w:hyperlink w:anchor="__RefHeading___Toc11030799_2142443653">
            <w:r>
              <w:rPr>
                <w:webHidden/>
                <w:rStyle w:val="IndexLink"/>
                <w:rtl w:val="true"/>
              </w:rPr>
              <w:t>التبرير الثاني عشر</w:t>
            </w:r>
            <w:r>
              <w:rPr>
                <w:rStyle w:val="IndexLink"/>
                <w:rtl w:val="true"/>
              </w:rPr>
              <w:t xml:space="preserve">: </w:t>
            </w:r>
            <w:r>
              <w:rPr>
                <w:rStyle w:val="IndexLink"/>
                <w:rtl w:val="true"/>
              </w:rPr>
              <w:t xml:space="preserve">إمامة الإمام رهن ببيعة الأمة </w:t>
            </w:r>
            <w:r>
              <w:rPr>
                <w:rStyle w:val="IndexLink"/>
                <w:rtl w:val="true"/>
              </w:rPr>
              <w:t>(</w:t>
            </w:r>
            <w:r>
              <w:rPr>
                <w:rStyle w:val="IndexLink"/>
                <w:rtl w:val="true"/>
              </w:rPr>
              <w:t>الشرعية السياسية</w:t>
            </w:r>
            <w:r>
              <w:rPr>
                <w:rStyle w:val="IndexLink"/>
                <w:rtl w:val="true"/>
              </w:rPr>
              <w:t>):</w:t>
              <w:tab/>
            </w:r>
            <w:r>
              <w:rPr>
                <w:rStyle w:val="IndexLink"/>
              </w:rPr>
              <w:t>534</w:t>
            </w:r>
          </w:hyperlink>
        </w:p>
        <w:p>
          <w:pPr>
            <w:pStyle w:val="Contents3"/>
            <w:tabs>
              <w:tab w:val="clear" w:pos="8459"/>
              <w:tab w:val="right" w:pos="9026" w:leader="dot"/>
            </w:tabs>
            <w:rPr/>
          </w:pPr>
          <w:hyperlink w:anchor="__RefHeading___Toc11030801_2142443653">
            <w:r>
              <w:rPr>
                <w:webHidden/>
                <w:rStyle w:val="IndexLink"/>
                <w:rtl w:val="true"/>
              </w:rPr>
              <w:t xml:space="preserve">التبرير الثالث عشر </w:t>
            </w:r>
            <w:r>
              <w:rPr>
                <w:rStyle w:val="IndexLink"/>
                <w:rtl w:val="true"/>
              </w:rPr>
              <w:t xml:space="preserve">: </w:t>
            </w:r>
            <w:r>
              <w:rPr>
                <w:rStyle w:val="IndexLink"/>
                <w:rtl w:val="true"/>
              </w:rPr>
              <w:t>ادعاء نسخ إمامة الإمام علي</w:t>
            </w:r>
            <w:r>
              <w:rPr>
                <w:rStyle w:val="IndexLink"/>
                <w:rtl w:val="true"/>
              </w:rPr>
              <w:t>(</w:t>
            </w:r>
            <w:r>
              <w:rPr>
                <w:rStyle w:val="IndexLink"/>
                <w:rtl w:val="true"/>
              </w:rPr>
              <w:t>علیه السّلام</w:t>
            </w:r>
            <w:r>
              <w:rPr>
                <w:rStyle w:val="IndexLink"/>
                <w:rtl w:val="true"/>
              </w:rPr>
              <w:t>):</w:t>
              <w:tab/>
            </w:r>
            <w:r>
              <w:rPr>
                <w:rStyle w:val="IndexLink"/>
              </w:rPr>
              <w:t>538</w:t>
            </w:r>
          </w:hyperlink>
        </w:p>
        <w:p>
          <w:pPr>
            <w:pStyle w:val="Contents3"/>
            <w:tabs>
              <w:tab w:val="clear" w:pos="8459"/>
              <w:tab w:val="right" w:pos="9026" w:leader="dot"/>
            </w:tabs>
            <w:rPr/>
          </w:pPr>
          <w:hyperlink w:anchor="__RefHeading___Toc11030803_2142443653">
            <w:r>
              <w:rPr>
                <w:webHidden/>
                <w:rStyle w:val="IndexLink"/>
                <w:rtl w:val="true"/>
              </w:rPr>
              <w:t>مناقشة وتحليل</w:t>
            </w:r>
            <w:r>
              <w:rPr>
                <w:rStyle w:val="IndexLink"/>
                <w:rtl w:val="true"/>
              </w:rPr>
              <w:t>:</w:t>
              <w:tab/>
            </w:r>
            <w:r>
              <w:rPr>
                <w:rStyle w:val="IndexLink"/>
              </w:rPr>
              <w:t>540</w:t>
            </w:r>
          </w:hyperlink>
        </w:p>
        <w:p>
          <w:pPr>
            <w:pStyle w:val="Contents3"/>
            <w:tabs>
              <w:tab w:val="clear" w:pos="8459"/>
              <w:tab w:val="right" w:pos="9026" w:leader="dot"/>
            </w:tabs>
            <w:rPr/>
          </w:pPr>
          <w:hyperlink w:anchor="__RefHeading___Toc11030805_2142443653">
            <w:r>
              <w:rPr>
                <w:webHidden/>
                <w:rStyle w:val="IndexLink"/>
                <w:rtl w:val="true"/>
              </w:rPr>
              <w:t>التبرير الرابع عشر</w:t>
            </w:r>
            <w:r>
              <w:rPr>
                <w:rStyle w:val="IndexLink"/>
                <w:rtl w:val="true"/>
              </w:rPr>
              <w:t xml:space="preserve">: </w:t>
            </w:r>
            <w:r>
              <w:rPr>
                <w:rStyle w:val="IndexLink"/>
                <w:rtl w:val="true"/>
              </w:rPr>
              <w:t>تعارض النصوص</w:t>
            </w:r>
            <w:r>
              <w:rPr>
                <w:rStyle w:val="IndexLink"/>
                <w:rtl w:val="true"/>
              </w:rPr>
              <w:t>:</w:t>
              <w:tab/>
            </w:r>
            <w:r>
              <w:rPr>
                <w:rStyle w:val="IndexLink"/>
              </w:rPr>
              <w:t>550</w:t>
            </w:r>
          </w:hyperlink>
        </w:p>
        <w:p>
          <w:pPr>
            <w:pStyle w:val="Contents3"/>
            <w:tabs>
              <w:tab w:val="clear" w:pos="8459"/>
              <w:tab w:val="right" w:pos="9026" w:leader="dot"/>
            </w:tabs>
            <w:rPr/>
          </w:pPr>
          <w:hyperlink w:anchor="__RefHeading___Toc11030807_2142443653">
            <w:r>
              <w:rPr>
                <w:webHidden/>
                <w:rStyle w:val="IndexLink"/>
                <w:rtl w:val="true"/>
              </w:rPr>
              <w:t>التبرير الخامس عشر</w:t>
            </w:r>
            <w:r>
              <w:rPr>
                <w:rStyle w:val="IndexLink"/>
                <w:rtl w:val="true"/>
              </w:rPr>
              <w:t xml:space="preserve">: </w:t>
            </w:r>
            <w:r>
              <w:rPr>
                <w:rStyle w:val="IndexLink"/>
                <w:rtl w:val="true"/>
              </w:rPr>
              <w:t>إثبات مطلق الخلافة دون الخلافة المباشرة</w:t>
            </w:r>
            <w:r>
              <w:rPr>
                <w:rStyle w:val="IndexLink"/>
                <w:rtl w:val="true"/>
              </w:rPr>
              <w:t>:</w:t>
              <w:tab/>
            </w:r>
            <w:r>
              <w:rPr>
                <w:rStyle w:val="IndexLink"/>
              </w:rPr>
              <w:t>551</w:t>
            </w:r>
          </w:hyperlink>
        </w:p>
        <w:p>
          <w:pPr>
            <w:pStyle w:val="Contents3"/>
            <w:tabs>
              <w:tab w:val="clear" w:pos="8459"/>
              <w:tab w:val="right" w:pos="9026" w:leader="dot"/>
            </w:tabs>
            <w:rPr/>
          </w:pPr>
          <w:hyperlink w:anchor="__RefHeading___Toc11030809_2142443653">
            <w:r>
              <w:rPr>
                <w:webHidden/>
                <w:rStyle w:val="IndexLink"/>
                <w:rtl w:val="true"/>
              </w:rPr>
              <w:t>التبرير السادس عشر</w:t>
            </w:r>
            <w:r>
              <w:rPr>
                <w:rStyle w:val="IndexLink"/>
                <w:rtl w:val="true"/>
              </w:rPr>
              <w:t xml:space="preserve">: </w:t>
            </w:r>
            <w:r>
              <w:rPr>
                <w:rStyle w:val="IndexLink"/>
                <w:rtl w:val="true"/>
              </w:rPr>
              <w:t>اختصاص الإمامة بالولاية المعنوية</w:t>
            </w:r>
            <w:r>
              <w:rPr>
                <w:rStyle w:val="IndexLink"/>
                <w:rtl w:val="true"/>
              </w:rPr>
              <w:t>:</w:t>
              <w:tab/>
            </w:r>
            <w:r>
              <w:rPr>
                <w:rStyle w:val="IndexLink"/>
              </w:rPr>
              <w:t>560</w:t>
            </w:r>
          </w:hyperlink>
        </w:p>
        <w:p>
          <w:pPr>
            <w:pStyle w:val="Contents3"/>
            <w:tabs>
              <w:tab w:val="clear" w:pos="8459"/>
              <w:tab w:val="right" w:pos="9026" w:leader="dot"/>
            </w:tabs>
            <w:rPr/>
          </w:pPr>
          <w:hyperlink w:anchor="__RefHeading___Toc11030811_2142443653">
            <w:r>
              <w:rPr>
                <w:webHidden/>
                <w:rStyle w:val="IndexLink"/>
                <w:rtl w:val="true"/>
              </w:rPr>
              <w:t>مناقشة وتحليل</w:t>
            </w:r>
            <w:r>
              <w:rPr>
                <w:rStyle w:val="IndexLink"/>
                <w:rtl w:val="true"/>
              </w:rPr>
              <w:t>:</w:t>
              <w:tab/>
            </w:r>
            <w:r>
              <w:rPr>
                <w:rStyle w:val="IndexLink"/>
              </w:rPr>
              <w:t>562</w:t>
            </w:r>
          </w:hyperlink>
        </w:p>
        <w:p>
          <w:pPr>
            <w:pStyle w:val="Contents2"/>
            <w:tabs>
              <w:tab w:val="clear" w:pos="8743"/>
              <w:tab w:val="right" w:pos="9026" w:leader="dot"/>
            </w:tabs>
            <w:rPr/>
          </w:pPr>
          <w:hyperlink w:anchor="__RefHeading___Toc11030813_2142443653">
            <w:r>
              <w:rPr>
                <w:webHidden/>
                <w:rStyle w:val="IndexLink"/>
                <w:rtl w:val="true"/>
              </w:rPr>
              <w:t>الفضل السادين</w:t>
            </w:r>
            <w:r>
              <w:rPr>
                <w:rStyle w:val="IndexLink"/>
                <w:rtl w:val="true"/>
              </w:rPr>
              <w:tab/>
            </w:r>
            <w:r>
              <w:rPr>
                <w:rStyle w:val="IndexLink"/>
              </w:rPr>
              <w:t>563</w:t>
            </w:r>
          </w:hyperlink>
        </w:p>
        <w:p>
          <w:pPr>
            <w:pStyle w:val="Contents3"/>
            <w:tabs>
              <w:tab w:val="clear" w:pos="8459"/>
              <w:tab w:val="right" w:pos="9026" w:leader="dot"/>
            </w:tabs>
            <w:rPr/>
          </w:pPr>
          <w:hyperlink w:anchor="__RefHeading___Toc11030815_2142443653">
            <w:r>
              <w:rPr>
                <w:webHidden/>
                <w:rStyle w:val="IndexLink"/>
                <w:rtl w:val="true"/>
              </w:rPr>
              <w:t>شبهات حول صفات الإمام</w:t>
            </w:r>
            <w:r>
              <w:rPr>
                <w:rStyle w:val="IndexLink"/>
                <w:rtl w:val="true"/>
              </w:rPr>
              <w:t>(</w:t>
            </w:r>
            <w:r>
              <w:rPr>
                <w:rStyle w:val="IndexLink"/>
                <w:rtl w:val="true"/>
              </w:rPr>
              <w:t>علیه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11030817_2142443653">
            <w:r>
              <w:rPr>
                <w:webHidden/>
                <w:rStyle w:val="IndexLink"/>
                <w:rtl w:val="true"/>
              </w:rPr>
              <w:t xml:space="preserve">الشبهة الأولى </w:t>
            </w:r>
            <w:r>
              <w:rPr>
                <w:rStyle w:val="IndexLink"/>
                <w:rtl w:val="true"/>
              </w:rPr>
              <w:t xml:space="preserve">: </w:t>
            </w:r>
            <w:r>
              <w:rPr>
                <w:rStyle w:val="IndexLink"/>
                <w:rtl w:val="true"/>
              </w:rPr>
              <w:t>إنكار علم الأئمة للغيب</w:t>
            </w:r>
            <w:r>
              <w:rPr>
                <w:rStyle w:val="IndexLink"/>
                <w:rtl w:val="true"/>
              </w:rPr>
              <w:t>:</w:t>
              <w:tab/>
            </w:r>
            <w:r>
              <w:rPr>
                <w:rStyle w:val="IndexLink"/>
              </w:rPr>
              <w:t>565</w:t>
            </w:r>
          </w:hyperlink>
        </w:p>
        <w:p>
          <w:pPr>
            <w:pStyle w:val="Contents4"/>
            <w:tabs>
              <w:tab w:val="clear" w:pos="8176"/>
              <w:tab w:val="right" w:pos="9026" w:leader="dot"/>
            </w:tabs>
            <w:rPr/>
          </w:pPr>
          <w:hyperlink w:anchor="__RefHeading___Toc11030819_2142443653">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11030821_2142443653">
            <w:r>
              <w:rPr>
                <w:webHidden/>
                <w:rStyle w:val="IndexLink"/>
                <w:rtl w:val="true"/>
              </w:rPr>
              <w:t xml:space="preserve">أ </w:t>
            </w:r>
            <w:r>
              <w:rPr>
                <w:rStyle w:val="IndexLink"/>
                <w:rtl w:val="true"/>
              </w:rPr>
              <w:t xml:space="preserve">- </w:t>
            </w:r>
            <w:r>
              <w:rPr>
                <w:rStyle w:val="IndexLink"/>
                <w:rtl w:val="true"/>
              </w:rPr>
              <w:t>القراءة المختلفة لحقيقة الإمامة</w:t>
            </w:r>
            <w:r>
              <w:rPr>
                <w:rStyle w:val="IndexLink"/>
                <w:rtl w:val="true"/>
              </w:rPr>
              <w:t>:</w:t>
              <w:tab/>
            </w:r>
            <w:r>
              <w:rPr>
                <w:rStyle w:val="IndexLink"/>
              </w:rPr>
              <w:t>566</w:t>
            </w:r>
          </w:hyperlink>
        </w:p>
        <w:p>
          <w:pPr>
            <w:pStyle w:val="Contents4"/>
            <w:tabs>
              <w:tab w:val="clear" w:pos="8176"/>
              <w:tab w:val="right" w:pos="9026" w:leader="dot"/>
            </w:tabs>
            <w:rPr/>
          </w:pPr>
          <w:hyperlink w:anchor="__RefHeading___Toc11030823_2142443653">
            <w:r>
              <w:rPr>
                <w:webHidden/>
                <w:rStyle w:val="IndexLink"/>
                <w:rtl w:val="true"/>
              </w:rPr>
              <w:t xml:space="preserve">ب </w:t>
            </w:r>
            <w:r>
              <w:rPr>
                <w:rStyle w:val="IndexLink"/>
                <w:rtl w:val="true"/>
              </w:rPr>
              <w:t xml:space="preserve">- </w:t>
            </w:r>
            <w:r>
              <w:rPr>
                <w:rStyle w:val="IndexLink"/>
                <w:rtl w:val="true"/>
              </w:rPr>
              <w:t>اعتبار علم الغيب في حقل الدين</w:t>
            </w:r>
            <w:r>
              <w:rPr>
                <w:rStyle w:val="IndexLink"/>
                <w:rtl w:val="true"/>
              </w:rPr>
              <w:t>:</w:t>
              <w:tab/>
            </w:r>
            <w:r>
              <w:rPr>
                <w:rStyle w:val="IndexLink"/>
              </w:rPr>
              <w:t>567</w:t>
            </w:r>
          </w:hyperlink>
        </w:p>
        <w:p>
          <w:pPr>
            <w:pStyle w:val="Contents4"/>
            <w:tabs>
              <w:tab w:val="clear" w:pos="8176"/>
              <w:tab w:val="right" w:pos="9026" w:leader="dot"/>
            </w:tabs>
            <w:rPr/>
          </w:pPr>
          <w:hyperlink w:anchor="__RefHeading___Toc11030825_2142443653">
            <w:r>
              <w:rPr>
                <w:webHidden/>
                <w:rStyle w:val="IndexLink"/>
                <w:rtl w:val="true"/>
              </w:rPr>
              <w:t xml:space="preserve">ج </w:t>
            </w:r>
            <w:r>
              <w:rPr>
                <w:rStyle w:val="IndexLink"/>
                <w:rtl w:val="true"/>
              </w:rPr>
              <w:t xml:space="preserve">. - </w:t>
            </w:r>
            <w:r>
              <w:rPr>
                <w:rStyle w:val="IndexLink"/>
                <w:rtl w:val="true"/>
              </w:rPr>
              <w:t>فلسفة الإمامة الملازمة لعلم الغيب</w:t>
            </w:r>
            <w:r>
              <w:rPr>
                <w:rStyle w:val="IndexLink"/>
                <w:rtl w:val="true"/>
              </w:rPr>
              <w:t>:</w:t>
              <w:tab/>
            </w:r>
            <w:r>
              <w:rPr>
                <w:rStyle w:val="IndexLink"/>
              </w:rPr>
              <w:t>568</w:t>
            </w:r>
          </w:hyperlink>
        </w:p>
        <w:p>
          <w:pPr>
            <w:pStyle w:val="Contents4"/>
            <w:tabs>
              <w:tab w:val="clear" w:pos="8176"/>
              <w:tab w:val="right" w:pos="9026" w:leader="dot"/>
            </w:tabs>
            <w:rPr/>
          </w:pPr>
          <w:hyperlink w:anchor="__RefHeading___Toc11030827_2142443653">
            <w:r>
              <w:rPr>
                <w:webHidden/>
                <w:rStyle w:val="IndexLink"/>
                <w:rtl w:val="true"/>
              </w:rPr>
              <w:t xml:space="preserve">د </w:t>
            </w:r>
            <w:r>
              <w:rPr>
                <w:rStyle w:val="IndexLink"/>
                <w:rtl w:val="true"/>
              </w:rPr>
              <w:t xml:space="preserve">- </w:t>
            </w:r>
            <w:r>
              <w:rPr>
                <w:rStyle w:val="IndexLink"/>
                <w:rtl w:val="true"/>
              </w:rPr>
              <w:t>علم الغيب ثمرة الولاية الباطنية للإمام</w:t>
            </w:r>
            <w:r>
              <w:rPr>
                <w:rStyle w:val="IndexLink"/>
                <w:rtl w:val="true"/>
              </w:rPr>
              <w:t>:</w:t>
              <w:tab/>
            </w:r>
            <w:r>
              <w:rPr>
                <w:rStyle w:val="IndexLink"/>
              </w:rPr>
              <w:t>569</w:t>
            </w:r>
          </w:hyperlink>
        </w:p>
        <w:p>
          <w:pPr>
            <w:pStyle w:val="Contents4"/>
            <w:tabs>
              <w:tab w:val="clear" w:pos="8176"/>
              <w:tab w:val="right" w:pos="9026" w:leader="dot"/>
            </w:tabs>
            <w:rPr/>
          </w:pPr>
          <w:hyperlink w:anchor="__RefHeading___Toc11030829_2142443653">
            <w:r>
              <w:rPr>
                <w:webHidden/>
                <w:rStyle w:val="IndexLink"/>
                <w:rtl w:val="true"/>
              </w:rPr>
              <w:t xml:space="preserve">هـ </w:t>
            </w:r>
            <w:r>
              <w:rPr>
                <w:rStyle w:val="IndexLink"/>
                <w:rtl w:val="true"/>
              </w:rPr>
              <w:t xml:space="preserve">- </w:t>
            </w:r>
            <w:r>
              <w:rPr>
                <w:rStyle w:val="IndexLink"/>
                <w:rtl w:val="true"/>
              </w:rPr>
              <w:t>علم الغيب من لوازم العصمة والحجة الإلهية</w:t>
            </w:r>
            <w:r>
              <w:rPr>
                <w:rStyle w:val="IndexLink"/>
                <w:rtl w:val="true"/>
              </w:rPr>
              <w:t>:</w:t>
              <w:tab/>
            </w:r>
            <w:r>
              <w:rPr>
                <w:rStyle w:val="IndexLink"/>
              </w:rPr>
              <w:t>571</w:t>
            </w:r>
          </w:hyperlink>
        </w:p>
        <w:p>
          <w:pPr>
            <w:pStyle w:val="Contents4"/>
            <w:tabs>
              <w:tab w:val="clear" w:pos="8176"/>
              <w:tab w:val="right" w:pos="9026" w:leader="dot"/>
            </w:tabs>
            <w:rPr/>
          </w:pPr>
          <w:hyperlink w:anchor="__RefHeading___Toc11030831_2142443653">
            <w:r>
              <w:rPr>
                <w:webHidden/>
                <w:rStyle w:val="IndexLink"/>
                <w:rtl w:val="true"/>
              </w:rPr>
              <w:t xml:space="preserve">و </w:t>
            </w:r>
            <w:r>
              <w:rPr>
                <w:rStyle w:val="IndexLink"/>
                <w:rtl w:val="true"/>
              </w:rPr>
              <w:t xml:space="preserve">- </w:t>
            </w:r>
            <w:r>
              <w:rPr>
                <w:rStyle w:val="IndexLink"/>
                <w:rtl w:val="true"/>
              </w:rPr>
              <w:t>الروايات الدالة على علم الأئمة للغيب</w:t>
            </w:r>
            <w:r>
              <w:rPr>
                <w:rStyle w:val="IndexLink"/>
                <w:rtl w:val="true"/>
              </w:rPr>
              <w:t>:</w:t>
              <w:tab/>
            </w:r>
            <w:r>
              <w:rPr>
                <w:rStyle w:val="IndexLink"/>
              </w:rPr>
              <w:t>571</w:t>
            </w:r>
          </w:hyperlink>
        </w:p>
        <w:p>
          <w:pPr>
            <w:pStyle w:val="Contents3"/>
            <w:tabs>
              <w:tab w:val="clear" w:pos="8459"/>
              <w:tab w:val="right" w:pos="9026" w:leader="dot"/>
            </w:tabs>
            <w:rPr/>
          </w:pPr>
          <w:hyperlink w:anchor="__RefHeading___Toc11030833_2142443653">
            <w:r>
              <w:rPr>
                <w:webHidden/>
                <w:rStyle w:val="IndexLink"/>
                <w:rtl w:val="true"/>
              </w:rPr>
              <w:t>الشبهة الثانية</w:t>
            </w:r>
            <w:r>
              <w:rPr>
                <w:rStyle w:val="IndexLink"/>
                <w:rtl w:val="true"/>
              </w:rPr>
              <w:t xml:space="preserve">: </w:t>
            </w:r>
            <w:r>
              <w:rPr>
                <w:rStyle w:val="IndexLink"/>
                <w:rtl w:val="true"/>
              </w:rPr>
              <w:t>إن علم الأئمة بالغيب من اختلاقات المتكلمين</w:t>
            </w:r>
            <w:r>
              <w:rPr>
                <w:rStyle w:val="IndexLink"/>
                <w:rtl w:val="true"/>
              </w:rPr>
              <w:t>:</w:t>
              <w:tab/>
            </w:r>
            <w:r>
              <w:rPr>
                <w:rStyle w:val="IndexLink"/>
              </w:rPr>
              <w:t>573</w:t>
            </w:r>
          </w:hyperlink>
        </w:p>
        <w:p>
          <w:pPr>
            <w:pStyle w:val="Contents3"/>
            <w:tabs>
              <w:tab w:val="clear" w:pos="8459"/>
              <w:tab w:val="right" w:pos="9026" w:leader="dot"/>
            </w:tabs>
            <w:rPr/>
          </w:pPr>
          <w:hyperlink w:anchor="__RefHeading___Toc11030835_2142443653">
            <w:r>
              <w:rPr>
                <w:webHidden/>
                <w:rStyle w:val="IndexLink"/>
                <w:rtl w:val="true"/>
              </w:rPr>
              <w:t>الشبهة الثالثة</w:t>
            </w:r>
            <w:r>
              <w:rPr>
                <w:rStyle w:val="IndexLink"/>
                <w:rtl w:val="true"/>
              </w:rPr>
              <w:t xml:space="preserve">: </w:t>
            </w:r>
            <w:r>
              <w:rPr>
                <w:rStyle w:val="IndexLink"/>
                <w:rtl w:val="true"/>
              </w:rPr>
              <w:t>نفي علم الغيب في بعض الروايات</w:t>
            </w:r>
            <w:r>
              <w:rPr>
                <w:rStyle w:val="IndexLink"/>
                <w:rtl w:val="true"/>
              </w:rPr>
              <w:tab/>
            </w:r>
            <w:r>
              <w:rPr>
                <w:rStyle w:val="IndexLink"/>
              </w:rPr>
              <w:t>574</w:t>
            </w:r>
          </w:hyperlink>
        </w:p>
        <w:p>
          <w:pPr>
            <w:pStyle w:val="Contents4"/>
            <w:tabs>
              <w:tab w:val="clear" w:pos="8176"/>
              <w:tab w:val="right" w:pos="9026" w:leader="dot"/>
            </w:tabs>
            <w:rPr/>
          </w:pPr>
          <w:hyperlink w:anchor="__RefHeading___Toc11030837_2142443653">
            <w:r>
              <w:rPr>
                <w:webHidden/>
                <w:rStyle w:val="IndexLink"/>
                <w:rtl w:val="true"/>
              </w:rPr>
              <w:t>اشارة</w:t>
            </w:r>
            <w:r>
              <w:rPr>
                <w:rStyle w:val="IndexLink"/>
                <w:rtl w:val="true"/>
              </w:rPr>
              <w:tab/>
            </w:r>
            <w:r>
              <w:rPr>
                <w:rStyle w:val="IndexLink"/>
              </w:rPr>
              <w:t>574</w:t>
            </w:r>
          </w:hyperlink>
        </w:p>
        <w:p>
          <w:pPr>
            <w:pStyle w:val="Contents4"/>
            <w:tabs>
              <w:tab w:val="clear" w:pos="8176"/>
              <w:tab w:val="right" w:pos="9026" w:leader="dot"/>
            </w:tabs>
            <w:rPr/>
          </w:pPr>
          <w:hyperlink w:anchor="__RefHeading___Toc11030839_2142443653">
            <w:r>
              <w:rPr>
                <w:webHidden/>
                <w:rStyle w:val="IndexLink"/>
                <w:rtl w:val="true"/>
              </w:rPr>
              <w:t xml:space="preserve">أ </w:t>
            </w:r>
            <w:r>
              <w:rPr>
                <w:rStyle w:val="IndexLink"/>
                <w:rtl w:val="true"/>
              </w:rPr>
              <w:t xml:space="preserve">- </w:t>
            </w:r>
            <w:r>
              <w:rPr>
                <w:rStyle w:val="IndexLink"/>
                <w:rtl w:val="true"/>
              </w:rPr>
              <w:t>رعاية القدرة الاستيعابية للمخاطب المقصر</w:t>
            </w:r>
            <w:r>
              <w:rPr>
                <w:rStyle w:val="IndexLink"/>
                <w:rtl w:val="true"/>
              </w:rPr>
              <w:t>:</w:t>
              <w:tab/>
            </w:r>
            <w:r>
              <w:rPr>
                <w:rStyle w:val="IndexLink"/>
              </w:rPr>
              <w:t>574</w:t>
            </w:r>
          </w:hyperlink>
        </w:p>
        <w:p>
          <w:pPr>
            <w:pStyle w:val="Contents4"/>
            <w:tabs>
              <w:tab w:val="clear" w:pos="8176"/>
              <w:tab w:val="right" w:pos="9026" w:leader="dot"/>
            </w:tabs>
            <w:rPr/>
          </w:pPr>
          <w:hyperlink w:anchor="__RefHeading___Toc11030841_2142443653">
            <w:r>
              <w:rPr>
                <w:webHidden/>
                <w:rStyle w:val="IndexLink"/>
                <w:rtl w:val="true"/>
              </w:rPr>
              <w:t xml:space="preserve">ب </w:t>
            </w:r>
            <w:r>
              <w:rPr>
                <w:rStyle w:val="IndexLink"/>
                <w:rtl w:val="true"/>
              </w:rPr>
              <w:t xml:space="preserve">- </w:t>
            </w:r>
            <w:r>
              <w:rPr>
                <w:rStyle w:val="IndexLink"/>
                <w:rtl w:val="true"/>
              </w:rPr>
              <w:t>رعاية القدرة الاستيعابية للمخاطب الغالي</w:t>
            </w:r>
            <w:r>
              <w:rPr>
                <w:rStyle w:val="IndexLink"/>
                <w:rtl w:val="true"/>
              </w:rPr>
              <w:t>:</w:t>
              <w:tab/>
            </w:r>
            <w:r>
              <w:rPr>
                <w:rStyle w:val="IndexLink"/>
              </w:rPr>
              <w:t>575</w:t>
            </w:r>
          </w:hyperlink>
        </w:p>
        <w:p>
          <w:pPr>
            <w:pStyle w:val="Contents4"/>
            <w:tabs>
              <w:tab w:val="clear" w:pos="8176"/>
              <w:tab w:val="right" w:pos="9026" w:leader="dot"/>
            </w:tabs>
            <w:rPr/>
          </w:pPr>
          <w:hyperlink w:anchor="__RefHeading___Toc11030843_2142443653">
            <w:r>
              <w:rPr>
                <w:webHidden/>
                <w:rStyle w:val="IndexLink"/>
                <w:rtl w:val="true"/>
              </w:rPr>
              <w:t xml:space="preserve">ج </w:t>
            </w:r>
            <w:r>
              <w:rPr>
                <w:rStyle w:val="IndexLink"/>
                <w:rtl w:val="true"/>
              </w:rPr>
              <w:t xml:space="preserve">- </w:t>
            </w:r>
            <w:r>
              <w:rPr>
                <w:rStyle w:val="IndexLink"/>
                <w:rtl w:val="true"/>
              </w:rPr>
              <w:t>نفي العلم الاستقلالي دون التبعي</w:t>
            </w:r>
            <w:r>
              <w:rPr>
                <w:rStyle w:val="IndexLink"/>
                <w:rtl w:val="true"/>
              </w:rPr>
              <w:t>:</w:t>
              <w:tab/>
            </w:r>
            <w:r>
              <w:rPr>
                <w:rStyle w:val="IndexLink"/>
              </w:rPr>
              <w:t>577</w:t>
            </w:r>
          </w:hyperlink>
        </w:p>
        <w:p>
          <w:pPr>
            <w:pStyle w:val="Contents4"/>
            <w:tabs>
              <w:tab w:val="clear" w:pos="8176"/>
              <w:tab w:val="right" w:pos="9026" w:leader="dot"/>
            </w:tabs>
            <w:rPr/>
          </w:pPr>
          <w:hyperlink w:anchor="__RefHeading___Toc11030845_2142443653">
            <w:r>
              <w:rPr>
                <w:webHidden/>
                <w:rStyle w:val="IndexLink"/>
                <w:rtl w:val="true"/>
              </w:rPr>
              <w:t xml:space="preserve">د </w:t>
            </w:r>
            <w:r>
              <w:rPr>
                <w:rStyle w:val="IndexLink"/>
                <w:rtl w:val="true"/>
              </w:rPr>
              <w:t xml:space="preserve">- </w:t>
            </w:r>
            <w:r>
              <w:rPr>
                <w:rStyle w:val="IndexLink"/>
                <w:rtl w:val="true"/>
              </w:rPr>
              <w:t>نفي العلم الفعلي دون مطلق العلم</w:t>
            </w:r>
            <w:r>
              <w:rPr>
                <w:rStyle w:val="IndexLink"/>
                <w:rtl w:val="true"/>
              </w:rPr>
              <w:t>:</w:t>
              <w:tab/>
            </w:r>
            <w:r>
              <w:rPr>
                <w:rStyle w:val="IndexLink"/>
              </w:rPr>
              <w:t>579</w:t>
            </w:r>
          </w:hyperlink>
        </w:p>
        <w:p>
          <w:pPr>
            <w:pStyle w:val="Contents3"/>
            <w:tabs>
              <w:tab w:val="clear" w:pos="8459"/>
              <w:tab w:val="right" w:pos="9026" w:leader="dot"/>
            </w:tabs>
            <w:rPr/>
          </w:pPr>
          <w:hyperlink w:anchor="__RefHeading___Toc11030847_2142443653">
            <w:r>
              <w:rPr>
                <w:webHidden/>
                <w:rStyle w:val="IndexLink"/>
                <w:rtl w:val="true"/>
              </w:rPr>
              <w:t>الشبهة الرابعة</w:t>
            </w:r>
            <w:r>
              <w:rPr>
                <w:rStyle w:val="IndexLink"/>
                <w:rtl w:val="true"/>
              </w:rPr>
              <w:t xml:space="preserve">: </w:t>
            </w:r>
            <w:r>
              <w:rPr>
                <w:rStyle w:val="IndexLink"/>
                <w:rtl w:val="true"/>
              </w:rPr>
              <w:t>عدم اعتبار علم الغيب في الإمام والإمامة</w:t>
            </w:r>
            <w:r>
              <w:rPr>
                <w:rStyle w:val="IndexLink"/>
                <w:rtl w:val="true"/>
              </w:rPr>
              <w:t>:</w:t>
              <w:tab/>
            </w:r>
            <w:r>
              <w:rPr>
                <w:rStyle w:val="IndexLink"/>
              </w:rPr>
              <w:t>579</w:t>
            </w:r>
          </w:hyperlink>
        </w:p>
        <w:p>
          <w:pPr>
            <w:pStyle w:val="Contents4"/>
            <w:tabs>
              <w:tab w:val="clear" w:pos="8176"/>
              <w:tab w:val="right" w:pos="9026" w:leader="dot"/>
            </w:tabs>
            <w:rPr/>
          </w:pPr>
          <w:hyperlink w:anchor="__RefHeading___Toc11030849_2142443653">
            <w:r>
              <w:rPr>
                <w:webHidden/>
                <w:rStyle w:val="IndexLink"/>
                <w:rtl w:val="true"/>
              </w:rPr>
              <w:t>اشارة</w:t>
            </w:r>
            <w:r>
              <w:rPr>
                <w:rStyle w:val="IndexLink"/>
                <w:rtl w:val="true"/>
              </w:rPr>
              <w:tab/>
            </w:r>
            <w:r>
              <w:rPr>
                <w:rStyle w:val="IndexLink"/>
              </w:rPr>
              <w:t>579</w:t>
            </w:r>
          </w:hyperlink>
        </w:p>
        <w:p>
          <w:pPr>
            <w:pStyle w:val="Contents4"/>
            <w:tabs>
              <w:tab w:val="clear" w:pos="8176"/>
              <w:tab w:val="right" w:pos="9026" w:leader="dot"/>
            </w:tabs>
            <w:rPr/>
          </w:pPr>
          <w:hyperlink w:anchor="__RefHeading___Toc11030851_2142443653">
            <w:r>
              <w:rPr>
                <w:webHidden/>
                <w:rStyle w:val="IndexLink"/>
                <w:rtl w:val="true"/>
              </w:rPr>
              <w:t xml:space="preserve">أ </w:t>
            </w:r>
            <w:r>
              <w:rPr>
                <w:rStyle w:val="IndexLink"/>
                <w:rtl w:val="true"/>
              </w:rPr>
              <w:t xml:space="preserve">- </w:t>
            </w:r>
            <w:r>
              <w:rPr>
                <w:rStyle w:val="IndexLink"/>
                <w:rtl w:val="true"/>
              </w:rPr>
              <w:t>التنزل بمقام الإمامة إلى مستوى الحاكم والفرد العادي</w:t>
            </w:r>
            <w:r>
              <w:rPr>
                <w:rStyle w:val="IndexLink"/>
                <w:rtl w:val="true"/>
              </w:rPr>
              <w:t>:</w:t>
              <w:tab/>
            </w:r>
            <w:r>
              <w:rPr>
                <w:rStyle w:val="IndexLink"/>
              </w:rPr>
              <w:t>580</w:t>
            </w:r>
          </w:hyperlink>
        </w:p>
        <w:p>
          <w:pPr>
            <w:pStyle w:val="Contents4"/>
            <w:tabs>
              <w:tab w:val="clear" w:pos="8176"/>
              <w:tab w:val="right" w:pos="9026" w:leader="dot"/>
            </w:tabs>
            <w:rPr/>
          </w:pPr>
          <w:hyperlink w:anchor="__RefHeading___Toc11030853_2142443653">
            <w:r>
              <w:rPr>
                <w:webHidden/>
                <w:rStyle w:val="IndexLink"/>
                <w:rtl w:val="true"/>
              </w:rPr>
              <w:t xml:space="preserve">ب </w:t>
            </w:r>
            <w:r>
              <w:rPr>
                <w:rStyle w:val="IndexLink"/>
                <w:rtl w:val="true"/>
              </w:rPr>
              <w:t xml:space="preserve">- </w:t>
            </w:r>
            <w:r>
              <w:rPr>
                <w:rStyle w:val="IndexLink"/>
                <w:rtl w:val="true"/>
              </w:rPr>
              <w:t>مخالفة الروايات</w:t>
            </w:r>
            <w:r>
              <w:rPr>
                <w:rStyle w:val="IndexLink"/>
                <w:rtl w:val="true"/>
              </w:rPr>
              <w:t>:</w:t>
              <w:tab/>
            </w:r>
            <w:r>
              <w:rPr>
                <w:rStyle w:val="IndexLink"/>
              </w:rPr>
              <w:t>581</w:t>
            </w:r>
          </w:hyperlink>
        </w:p>
        <w:p>
          <w:pPr>
            <w:pStyle w:val="Contents3"/>
            <w:tabs>
              <w:tab w:val="clear" w:pos="8459"/>
              <w:tab w:val="right" w:pos="9026" w:leader="dot"/>
            </w:tabs>
            <w:rPr/>
          </w:pPr>
          <w:hyperlink w:anchor="__RefHeading___Toc11030855_2142443653">
            <w:r>
              <w:rPr>
                <w:webHidden/>
                <w:rStyle w:val="IndexLink"/>
                <w:rtl w:val="true"/>
              </w:rPr>
              <w:t>الشبهة الخامسة</w:t>
            </w:r>
            <w:r>
              <w:rPr>
                <w:rStyle w:val="IndexLink"/>
                <w:rtl w:val="true"/>
              </w:rPr>
              <w:t xml:space="preserve">: </w:t>
            </w:r>
            <w:r>
              <w:rPr>
                <w:rStyle w:val="IndexLink"/>
                <w:rtl w:val="true"/>
              </w:rPr>
              <w:t>عدم انسجام علم الغيب مع بعض أفعال الأئمة الأطهار</w:t>
            </w:r>
            <w:r>
              <w:rPr>
                <w:rStyle w:val="IndexLink"/>
                <w:rtl w:val="true"/>
              </w:rPr>
              <w:t>(</w:t>
            </w:r>
            <w:r>
              <w:rPr>
                <w:rStyle w:val="IndexLink"/>
                <w:rtl w:val="true"/>
              </w:rPr>
              <w:t>علیهم السّلام</w:t>
            </w:r>
            <w:r>
              <w:rPr>
                <w:rStyle w:val="IndexLink"/>
                <w:rtl w:val="true"/>
              </w:rPr>
              <w:t>):</w:t>
              <w:tab/>
            </w:r>
            <w:r>
              <w:rPr>
                <w:rStyle w:val="IndexLink"/>
              </w:rPr>
              <w:t>585</w:t>
            </w:r>
          </w:hyperlink>
        </w:p>
        <w:p>
          <w:pPr>
            <w:pStyle w:val="Contents4"/>
            <w:tabs>
              <w:tab w:val="clear" w:pos="8176"/>
              <w:tab w:val="right" w:pos="9026" w:leader="dot"/>
            </w:tabs>
            <w:rPr/>
          </w:pPr>
          <w:hyperlink w:anchor="__RefHeading___Toc11030857_2142443653">
            <w:r>
              <w:rPr>
                <w:webHidden/>
                <w:rStyle w:val="IndexLink"/>
                <w:rtl w:val="true"/>
              </w:rPr>
              <w:t>اشارة</w:t>
            </w:r>
            <w:r>
              <w:rPr>
                <w:rStyle w:val="IndexLink"/>
                <w:rtl w:val="true"/>
              </w:rPr>
              <w:tab/>
            </w:r>
            <w:r>
              <w:rPr>
                <w:rStyle w:val="IndexLink"/>
              </w:rPr>
              <w:t>585</w:t>
            </w:r>
          </w:hyperlink>
        </w:p>
        <w:p>
          <w:pPr>
            <w:pStyle w:val="Contents4"/>
            <w:tabs>
              <w:tab w:val="clear" w:pos="8176"/>
              <w:tab w:val="right" w:pos="9026" w:leader="dot"/>
            </w:tabs>
            <w:rPr/>
          </w:pPr>
          <w:hyperlink w:anchor="__RefHeading___Toc11030859_2142443653">
            <w:r>
              <w:rPr>
                <w:webHidden/>
                <w:rStyle w:val="IndexLink"/>
                <w:rtl w:val="true"/>
              </w:rPr>
              <w:t xml:space="preserve">أ </w:t>
            </w:r>
            <w:r>
              <w:rPr>
                <w:rStyle w:val="IndexLink"/>
                <w:rtl w:val="true"/>
              </w:rPr>
              <w:t xml:space="preserve">- </w:t>
            </w:r>
            <w:r>
              <w:rPr>
                <w:rStyle w:val="IndexLink"/>
                <w:rtl w:val="true"/>
              </w:rPr>
              <w:t>الآراء المختلفة بشأن علم الإمام بالغيب</w:t>
            </w:r>
            <w:r>
              <w:rPr>
                <w:rStyle w:val="IndexLink"/>
                <w:rtl w:val="true"/>
              </w:rPr>
              <w:t>:</w:t>
              <w:tab/>
            </w:r>
            <w:r>
              <w:rPr>
                <w:rStyle w:val="IndexLink"/>
              </w:rPr>
              <w:t>586</w:t>
            </w:r>
          </w:hyperlink>
        </w:p>
        <w:p>
          <w:pPr>
            <w:pStyle w:val="Contents4"/>
            <w:tabs>
              <w:tab w:val="clear" w:pos="8176"/>
              <w:tab w:val="right" w:pos="9026" w:leader="dot"/>
            </w:tabs>
            <w:rPr/>
          </w:pPr>
          <w:hyperlink w:anchor="__RefHeading___Toc11030861_2142443653">
            <w:r>
              <w:rPr>
                <w:webHidden/>
                <w:rStyle w:val="IndexLink"/>
                <w:rtl w:val="true"/>
              </w:rPr>
              <w:t xml:space="preserve">ب </w:t>
            </w:r>
            <w:r>
              <w:rPr>
                <w:rStyle w:val="IndexLink"/>
                <w:rtl w:val="true"/>
              </w:rPr>
              <w:t xml:space="preserve">- </w:t>
            </w:r>
            <w:r>
              <w:rPr>
                <w:rStyle w:val="IndexLink"/>
                <w:rtl w:val="true"/>
              </w:rPr>
              <w:t>محاذير العمل بعلم الغيب</w:t>
            </w:r>
            <w:r>
              <w:rPr>
                <w:rStyle w:val="IndexLink"/>
                <w:rtl w:val="true"/>
              </w:rPr>
              <w:t>:</w:t>
              <w:tab/>
            </w:r>
            <w:r>
              <w:rPr>
                <w:rStyle w:val="IndexLink"/>
              </w:rPr>
              <w:t>587</w:t>
            </w:r>
          </w:hyperlink>
        </w:p>
        <w:p>
          <w:pPr>
            <w:pStyle w:val="Contents4"/>
            <w:tabs>
              <w:tab w:val="clear" w:pos="8176"/>
              <w:tab w:val="right" w:pos="9026" w:leader="dot"/>
            </w:tabs>
            <w:rPr/>
          </w:pPr>
          <w:hyperlink w:anchor="__RefHeading___Toc11030863_2142443653">
            <w:r>
              <w:rPr>
                <w:webHidden/>
                <w:rStyle w:val="IndexLink"/>
                <w:rtl w:val="true"/>
              </w:rPr>
              <w:t>شبهة علم الإمام الحسين</w:t>
            </w:r>
            <w:r>
              <w:rPr>
                <w:rStyle w:val="IndexLink"/>
                <w:rtl w:val="true"/>
              </w:rPr>
              <w:t>(</w:t>
            </w:r>
            <w:r>
              <w:rPr>
                <w:rStyle w:val="IndexLink"/>
                <w:rtl w:val="true"/>
              </w:rPr>
              <w:t>علیه السّلام</w:t>
            </w:r>
            <w:r>
              <w:rPr>
                <w:rStyle w:val="IndexLink"/>
                <w:rtl w:val="true"/>
              </w:rPr>
              <w:t>)</w:t>
            </w:r>
            <w:r>
              <w:rPr>
                <w:rStyle w:val="IndexLink"/>
                <w:rtl w:val="true"/>
              </w:rPr>
              <w:t>بالغيب</w:t>
            </w:r>
            <w:r>
              <w:rPr>
                <w:rStyle w:val="IndexLink"/>
                <w:rtl w:val="true"/>
              </w:rPr>
              <w:t>:</w:t>
              <w:tab/>
            </w:r>
            <w:r>
              <w:rPr>
                <w:rStyle w:val="IndexLink"/>
              </w:rPr>
              <w:t>590</w:t>
            </w:r>
          </w:hyperlink>
        </w:p>
        <w:p>
          <w:pPr>
            <w:pStyle w:val="Contents4"/>
            <w:tabs>
              <w:tab w:val="clear" w:pos="8176"/>
              <w:tab w:val="right" w:pos="9026" w:leader="dot"/>
            </w:tabs>
            <w:rPr/>
          </w:pPr>
          <w:hyperlink w:anchor="__RefHeading___Toc11030865_2142443653">
            <w:r>
              <w:rPr>
                <w:webHidden/>
                <w:rStyle w:val="IndexLink"/>
                <w:rtl w:val="true"/>
              </w:rPr>
              <w:t>تناول الأئمة</w:t>
            </w:r>
            <w:r>
              <w:rPr>
                <w:rStyle w:val="IndexLink"/>
                <w:rtl w:val="true"/>
              </w:rPr>
              <w:t>(</w:t>
            </w:r>
            <w:r>
              <w:rPr>
                <w:rStyle w:val="IndexLink"/>
                <w:rtl w:val="true"/>
              </w:rPr>
              <w:t>علیهم السّلام</w:t>
            </w:r>
            <w:r>
              <w:rPr>
                <w:rStyle w:val="IndexLink"/>
                <w:rtl w:val="true"/>
              </w:rPr>
              <w:t>)</w:t>
            </w:r>
            <w:r>
              <w:rPr>
                <w:rStyle w:val="IndexLink"/>
                <w:rtl w:val="true"/>
              </w:rPr>
              <w:t>للسم</w:t>
            </w:r>
            <w:r>
              <w:rPr>
                <w:rStyle w:val="IndexLink"/>
                <w:rtl w:val="true"/>
              </w:rPr>
              <w:t>:</w:t>
              <w:tab/>
            </w:r>
            <w:r>
              <w:rPr>
                <w:rStyle w:val="IndexLink"/>
              </w:rPr>
              <w:t>591</w:t>
            </w:r>
          </w:hyperlink>
        </w:p>
        <w:p>
          <w:pPr>
            <w:pStyle w:val="Contents4"/>
            <w:tabs>
              <w:tab w:val="clear" w:pos="8176"/>
              <w:tab w:val="right" w:pos="9026" w:leader="dot"/>
            </w:tabs>
            <w:rPr/>
          </w:pPr>
          <w:hyperlink w:anchor="__RefHeading___Toc11030867_2142443653">
            <w:r>
              <w:rPr>
                <w:webHidden/>
                <w:rStyle w:val="IndexLink"/>
                <w:rtl w:val="true"/>
              </w:rPr>
              <w:t>حمل الاعتراف والأعمال المخالفة لعلم الغيب على العلم الظاهري</w:t>
            </w:r>
            <w:r>
              <w:rPr>
                <w:rStyle w:val="IndexLink"/>
                <w:rtl w:val="true"/>
              </w:rPr>
              <w:t>:</w:t>
              <w:tab/>
            </w:r>
            <w:r>
              <w:rPr>
                <w:rStyle w:val="IndexLink"/>
              </w:rPr>
              <w:t>592</w:t>
            </w:r>
          </w:hyperlink>
        </w:p>
        <w:p>
          <w:pPr>
            <w:pStyle w:val="Contents3"/>
            <w:tabs>
              <w:tab w:val="clear" w:pos="8459"/>
              <w:tab w:val="right" w:pos="9026" w:leader="dot"/>
            </w:tabs>
            <w:rPr/>
          </w:pPr>
          <w:hyperlink w:anchor="__RefHeading___Toc11030869_2142443653">
            <w:r>
              <w:rPr>
                <w:webHidden/>
                <w:rStyle w:val="IndexLink"/>
                <w:rtl w:val="true"/>
              </w:rPr>
              <w:t>الشبهة السادسة</w:t>
            </w:r>
            <w:r>
              <w:rPr>
                <w:rStyle w:val="IndexLink"/>
                <w:rtl w:val="true"/>
              </w:rPr>
              <w:t xml:space="preserve">: </w:t>
            </w:r>
            <w:r>
              <w:rPr>
                <w:rStyle w:val="IndexLink"/>
                <w:rtl w:val="true"/>
              </w:rPr>
              <w:t>عدم توظيف الأئمة</w:t>
            </w:r>
            <w:r>
              <w:rPr>
                <w:rStyle w:val="IndexLink"/>
                <w:rtl w:val="true"/>
              </w:rPr>
              <w:t>(</w:t>
            </w:r>
            <w:r>
              <w:rPr>
                <w:rStyle w:val="IndexLink"/>
                <w:rtl w:val="true"/>
              </w:rPr>
              <w:t>علیهم السّلام</w:t>
            </w:r>
            <w:r>
              <w:rPr>
                <w:rStyle w:val="IndexLink"/>
                <w:rtl w:val="true"/>
              </w:rPr>
              <w:t>)</w:t>
            </w:r>
            <w:r>
              <w:rPr>
                <w:rStyle w:val="IndexLink"/>
                <w:rtl w:val="true"/>
              </w:rPr>
              <w:t>لصفاتهم الخارقة في التعريف بأنفسهم</w:t>
            </w:r>
            <w:r>
              <w:rPr>
                <w:rStyle w:val="IndexLink"/>
                <w:rtl w:val="true"/>
              </w:rPr>
              <w:tab/>
            </w:r>
            <w:r>
              <w:rPr>
                <w:rStyle w:val="IndexLink"/>
              </w:rPr>
              <w:t>594</w:t>
            </w:r>
          </w:hyperlink>
        </w:p>
        <w:p>
          <w:pPr>
            <w:pStyle w:val="Contents3"/>
            <w:tabs>
              <w:tab w:val="clear" w:pos="8459"/>
              <w:tab w:val="right" w:pos="9026" w:leader="dot"/>
            </w:tabs>
            <w:rPr/>
          </w:pPr>
          <w:hyperlink w:anchor="__RefHeading___Toc11030871_2142443653">
            <w:r>
              <w:rPr>
                <w:webHidden/>
                <w:rStyle w:val="IndexLink"/>
                <w:rtl w:val="true"/>
              </w:rPr>
              <w:t xml:space="preserve">الشبهة السابعة </w:t>
            </w:r>
            <w:r>
              <w:rPr>
                <w:rStyle w:val="IndexLink"/>
                <w:rtl w:val="true"/>
              </w:rPr>
              <w:t xml:space="preserve">: </w:t>
            </w:r>
            <w:r>
              <w:rPr>
                <w:rStyle w:val="IndexLink"/>
                <w:rtl w:val="true"/>
              </w:rPr>
              <w:t>إنكار عصمة الأئمة</w:t>
            </w:r>
            <w:r>
              <w:rPr>
                <w:rStyle w:val="IndexLink"/>
                <w:rtl w:val="true"/>
              </w:rPr>
              <w:t>(</w:t>
            </w:r>
            <w:r>
              <w:rPr>
                <w:rStyle w:val="IndexLink"/>
                <w:rtl w:val="true"/>
              </w:rPr>
              <w:t>علیهم السّلام</w:t>
            </w:r>
            <w:r>
              <w:rPr>
                <w:rStyle w:val="IndexLink"/>
                <w:rtl w:val="true"/>
              </w:rPr>
              <w:t>):</w:t>
              <w:tab/>
            </w:r>
            <w:r>
              <w:rPr>
                <w:rStyle w:val="IndexLink"/>
              </w:rPr>
              <w:t>595</w:t>
            </w:r>
          </w:hyperlink>
        </w:p>
        <w:p>
          <w:pPr>
            <w:pStyle w:val="Contents3"/>
            <w:tabs>
              <w:tab w:val="clear" w:pos="8459"/>
              <w:tab w:val="right" w:pos="9026" w:leader="dot"/>
            </w:tabs>
            <w:rPr/>
          </w:pPr>
          <w:hyperlink w:anchor="__RefHeading___Toc11030873_2142443653">
            <w:r>
              <w:rPr>
                <w:webHidden/>
                <w:rStyle w:val="IndexLink"/>
                <w:rtl w:val="true"/>
              </w:rPr>
              <w:t>الشبهة الثامنة</w:t>
            </w:r>
            <w:r>
              <w:rPr>
                <w:rStyle w:val="IndexLink"/>
                <w:rtl w:val="true"/>
              </w:rPr>
              <w:t xml:space="preserve">: </w:t>
            </w:r>
            <w:r>
              <w:rPr>
                <w:rStyle w:val="IndexLink"/>
                <w:rtl w:val="true"/>
              </w:rPr>
              <w:t>تعارض عصمة الأئمة مع الأدعية والروايات</w:t>
            </w:r>
            <w:r>
              <w:rPr>
                <w:rStyle w:val="IndexLink"/>
                <w:rtl w:val="true"/>
              </w:rPr>
              <w:t>:</w:t>
              <w:tab/>
            </w:r>
            <w:r>
              <w:rPr>
                <w:rStyle w:val="IndexLink"/>
              </w:rPr>
              <w:t>597</w:t>
            </w:r>
          </w:hyperlink>
        </w:p>
        <w:p>
          <w:pPr>
            <w:pStyle w:val="Contents4"/>
            <w:tabs>
              <w:tab w:val="clear" w:pos="8176"/>
              <w:tab w:val="right" w:pos="9026" w:leader="dot"/>
            </w:tabs>
            <w:rPr/>
          </w:pPr>
          <w:hyperlink w:anchor="__RefHeading___Toc11030875_2142443653">
            <w:r>
              <w:rPr>
                <w:webHidden/>
                <w:rStyle w:val="IndexLink"/>
                <w:rtl w:val="true"/>
              </w:rPr>
              <w:t>اشارة</w:t>
            </w:r>
            <w:r>
              <w:rPr>
                <w:rStyle w:val="IndexLink"/>
                <w:rtl w:val="true"/>
              </w:rPr>
              <w:tab/>
            </w:r>
            <w:r>
              <w:rPr>
                <w:rStyle w:val="IndexLink"/>
              </w:rPr>
              <w:t>597</w:t>
            </w:r>
          </w:hyperlink>
        </w:p>
        <w:p>
          <w:pPr>
            <w:pStyle w:val="Contents4"/>
            <w:tabs>
              <w:tab w:val="clear" w:pos="8176"/>
              <w:tab w:val="right" w:pos="9026" w:leader="dot"/>
            </w:tabs>
            <w:rPr/>
          </w:pPr>
          <w:hyperlink w:anchor="__RefHeading___Toc11030877_2142443653">
            <w:r>
              <w:rPr>
                <w:webHidden/>
                <w:rStyle w:val="IndexLink"/>
                <w:rtl w:val="true"/>
              </w:rPr>
              <w:t xml:space="preserve">أ </w:t>
            </w:r>
            <w:r>
              <w:rPr>
                <w:rStyle w:val="IndexLink"/>
                <w:rtl w:val="true"/>
              </w:rPr>
              <w:t xml:space="preserve">- </w:t>
            </w:r>
            <w:r>
              <w:rPr>
                <w:rStyle w:val="IndexLink"/>
                <w:rtl w:val="true"/>
              </w:rPr>
              <w:t>مخالفتها للآيات والروايات النبوية</w:t>
            </w:r>
            <w:r>
              <w:rPr>
                <w:rStyle w:val="IndexLink"/>
                <w:rtl w:val="true"/>
              </w:rPr>
              <w:t>:</w:t>
              <w:tab/>
            </w:r>
            <w:r>
              <w:rPr>
                <w:rStyle w:val="IndexLink"/>
              </w:rPr>
              <w:t>598</w:t>
            </w:r>
          </w:hyperlink>
        </w:p>
        <w:p>
          <w:pPr>
            <w:pStyle w:val="Contents4"/>
            <w:tabs>
              <w:tab w:val="clear" w:pos="8176"/>
              <w:tab w:val="right" w:pos="9026" w:leader="dot"/>
            </w:tabs>
            <w:rPr/>
          </w:pPr>
          <w:hyperlink w:anchor="__RefHeading___Toc11030879_2142443653">
            <w:r>
              <w:rPr>
                <w:webHidden/>
                <w:rStyle w:val="IndexLink"/>
                <w:rtl w:val="true"/>
              </w:rPr>
              <w:t xml:space="preserve">ب </w:t>
            </w:r>
            <w:r>
              <w:rPr>
                <w:rStyle w:val="IndexLink"/>
                <w:rtl w:val="true"/>
              </w:rPr>
              <w:t xml:space="preserve">- </w:t>
            </w:r>
            <w:r>
              <w:rPr>
                <w:rStyle w:val="IndexLink"/>
                <w:rtl w:val="true"/>
              </w:rPr>
              <w:t>كلام الإمام يُشير إلى أصل عام ولا يختص بشخصه</w:t>
            </w:r>
            <w:r>
              <w:rPr>
                <w:rStyle w:val="IndexLink"/>
                <w:rtl w:val="true"/>
              </w:rPr>
              <w:t>:</w:t>
              <w:tab/>
            </w:r>
            <w:r>
              <w:rPr>
                <w:rStyle w:val="IndexLink"/>
              </w:rPr>
              <w:t>599</w:t>
            </w:r>
          </w:hyperlink>
        </w:p>
        <w:p>
          <w:pPr>
            <w:pStyle w:val="Contents4"/>
            <w:tabs>
              <w:tab w:val="clear" w:pos="8176"/>
              <w:tab w:val="right" w:pos="9026" w:leader="dot"/>
            </w:tabs>
            <w:rPr/>
          </w:pPr>
          <w:hyperlink w:anchor="__RefHeading___Toc11030881_2142443653">
            <w:r>
              <w:rPr>
                <w:webHidden/>
                <w:rStyle w:val="IndexLink"/>
                <w:rtl w:val="true"/>
              </w:rPr>
              <w:t xml:space="preserve">ج </w:t>
            </w:r>
            <w:r>
              <w:rPr>
                <w:rStyle w:val="IndexLink"/>
                <w:rtl w:val="true"/>
              </w:rPr>
              <w:t xml:space="preserve">- </w:t>
            </w:r>
            <w:r>
              <w:rPr>
                <w:rStyle w:val="IndexLink"/>
                <w:rtl w:val="true"/>
              </w:rPr>
              <w:t>تعليق إمكان صدور الخطأ على عدم تدخل العناية الإلهية</w:t>
            </w:r>
            <w:r>
              <w:rPr>
                <w:rStyle w:val="IndexLink"/>
                <w:rtl w:val="true"/>
              </w:rPr>
              <w:t>:</w:t>
              <w:tab/>
            </w:r>
            <w:r>
              <w:rPr>
                <w:rStyle w:val="IndexLink"/>
              </w:rPr>
              <w:t>600</w:t>
            </w:r>
          </w:hyperlink>
        </w:p>
        <w:p>
          <w:pPr>
            <w:pStyle w:val="Contents4"/>
            <w:tabs>
              <w:tab w:val="clear" w:pos="8176"/>
              <w:tab w:val="right" w:pos="9026" w:leader="dot"/>
            </w:tabs>
            <w:rPr/>
          </w:pPr>
          <w:hyperlink w:anchor="__RefHeading___Toc11030883_2142443653">
            <w:r>
              <w:rPr>
                <w:webHidden/>
                <w:rStyle w:val="IndexLink"/>
                <w:rtl w:val="true"/>
              </w:rPr>
              <w:t xml:space="preserve">د </w:t>
            </w:r>
            <w:r>
              <w:rPr>
                <w:rStyle w:val="IndexLink"/>
                <w:rtl w:val="true"/>
              </w:rPr>
              <w:t xml:space="preserve">- </w:t>
            </w:r>
            <w:r>
              <w:rPr>
                <w:rStyle w:val="IndexLink"/>
                <w:rtl w:val="true"/>
              </w:rPr>
              <w:t>نصوص الإمام الدالة على عصمته</w:t>
            </w:r>
            <w:r>
              <w:rPr>
                <w:rStyle w:val="IndexLink"/>
                <w:rtl w:val="true"/>
              </w:rPr>
              <w:t>:</w:t>
              <w:tab/>
            </w:r>
            <w:r>
              <w:rPr>
                <w:rStyle w:val="IndexLink"/>
              </w:rPr>
              <w:t>601</w:t>
            </w:r>
          </w:hyperlink>
        </w:p>
        <w:p>
          <w:pPr>
            <w:pStyle w:val="Contents4"/>
            <w:tabs>
              <w:tab w:val="clear" w:pos="8176"/>
              <w:tab w:val="right" w:pos="9026" w:leader="dot"/>
            </w:tabs>
            <w:rPr/>
          </w:pPr>
          <w:hyperlink w:anchor="__RefHeading___Toc11030885_2142443653">
            <w:r>
              <w:rPr>
                <w:webHidden/>
                <w:rStyle w:val="IndexLink"/>
                <w:rtl w:val="true"/>
              </w:rPr>
              <w:t>تقرير آخر للشبهة</w:t>
            </w:r>
            <w:r>
              <w:rPr>
                <w:rStyle w:val="IndexLink"/>
                <w:rtl w:val="true"/>
              </w:rPr>
              <w:t xml:space="preserve">: </w:t>
            </w:r>
            <w:r>
              <w:rPr>
                <w:rStyle w:val="IndexLink"/>
                <w:rtl w:val="true"/>
              </w:rPr>
              <w:t>اعتراف الأئمة في أدعيتهم بأنهم مذنبون</w:t>
            </w:r>
            <w:r>
              <w:rPr>
                <w:rStyle w:val="IndexLink"/>
                <w:rtl w:val="true"/>
              </w:rPr>
              <w:t>:</w:t>
              <w:tab/>
            </w:r>
            <w:r>
              <w:rPr>
                <w:rStyle w:val="IndexLink"/>
              </w:rPr>
              <w:t>602</w:t>
            </w:r>
          </w:hyperlink>
        </w:p>
        <w:p>
          <w:pPr>
            <w:pStyle w:val="Contents5"/>
            <w:tabs>
              <w:tab w:val="clear" w:pos="7892"/>
              <w:tab w:val="right" w:pos="9026" w:leader="dot"/>
            </w:tabs>
            <w:rPr/>
          </w:pPr>
          <w:hyperlink w:anchor="__RefHeading___Toc11030887_2142443653">
            <w:r>
              <w:rPr>
                <w:webHidden/>
                <w:rStyle w:val="IndexLink"/>
                <w:rtl w:val="true"/>
              </w:rPr>
              <w:t>اشارة</w:t>
            </w:r>
            <w:r>
              <w:rPr>
                <w:rStyle w:val="IndexLink"/>
                <w:rtl w:val="true"/>
              </w:rPr>
              <w:tab/>
            </w:r>
            <w:r>
              <w:rPr>
                <w:rStyle w:val="IndexLink"/>
              </w:rPr>
              <w:t>602</w:t>
            </w:r>
          </w:hyperlink>
        </w:p>
        <w:p>
          <w:pPr>
            <w:pStyle w:val="Contents5"/>
            <w:tabs>
              <w:tab w:val="clear" w:pos="7892"/>
              <w:tab w:val="right" w:pos="9026" w:leader="dot"/>
            </w:tabs>
            <w:rPr/>
          </w:pPr>
          <w:hyperlink w:anchor="__RefHeading___Toc11030889_2142443653">
            <w:r>
              <w:rPr>
                <w:webHidden/>
                <w:rStyle w:val="IndexLink"/>
                <w:rtl w:val="true"/>
              </w:rPr>
              <w:t xml:space="preserve">أ </w:t>
            </w:r>
            <w:r>
              <w:rPr>
                <w:rStyle w:val="IndexLink"/>
                <w:rtl w:val="true"/>
              </w:rPr>
              <w:t xml:space="preserve">- </w:t>
            </w:r>
            <w:r>
              <w:rPr>
                <w:rStyle w:val="IndexLink"/>
                <w:rtl w:val="true"/>
              </w:rPr>
              <w:t>التفسير العرفاني</w:t>
            </w:r>
            <w:r>
              <w:rPr>
                <w:rStyle w:val="IndexLink"/>
                <w:rtl w:val="true"/>
              </w:rPr>
              <w:t>:</w:t>
              <w:tab/>
            </w:r>
            <w:r>
              <w:rPr>
                <w:rStyle w:val="IndexLink"/>
              </w:rPr>
              <w:t>603</w:t>
            </w:r>
          </w:hyperlink>
        </w:p>
        <w:p>
          <w:pPr>
            <w:pStyle w:val="Contents5"/>
            <w:tabs>
              <w:tab w:val="clear" w:pos="7892"/>
              <w:tab w:val="right" w:pos="9026" w:leader="dot"/>
            </w:tabs>
            <w:rPr/>
          </w:pPr>
          <w:hyperlink w:anchor="__RefHeading___Toc11030891_2142443653">
            <w:r>
              <w:rPr>
                <w:webHidden/>
                <w:rStyle w:val="IndexLink"/>
                <w:rtl w:val="true"/>
              </w:rPr>
              <w:t xml:space="preserve">ب </w:t>
            </w:r>
            <w:r>
              <w:rPr>
                <w:rStyle w:val="IndexLink"/>
                <w:rtl w:val="true"/>
              </w:rPr>
              <w:t xml:space="preserve">- </w:t>
            </w:r>
            <w:r>
              <w:rPr>
                <w:rStyle w:val="IndexLink"/>
                <w:rtl w:val="true"/>
              </w:rPr>
              <w:t>التفسير العلمي والتربوي</w:t>
            </w:r>
            <w:r>
              <w:rPr>
                <w:rStyle w:val="IndexLink"/>
                <w:rtl w:val="true"/>
              </w:rPr>
              <w:t>:</w:t>
              <w:tab/>
            </w:r>
            <w:r>
              <w:rPr>
                <w:rStyle w:val="IndexLink"/>
              </w:rPr>
              <w:t>604</w:t>
            </w:r>
          </w:hyperlink>
        </w:p>
        <w:p>
          <w:pPr>
            <w:pStyle w:val="Contents5"/>
            <w:tabs>
              <w:tab w:val="clear" w:pos="7892"/>
              <w:tab w:val="right" w:pos="9026" w:leader="dot"/>
            </w:tabs>
            <w:rPr/>
          </w:pPr>
          <w:hyperlink w:anchor="__RefHeading___Toc11030893_2142443653">
            <w:r>
              <w:rPr>
                <w:webHidden/>
                <w:rStyle w:val="IndexLink"/>
                <w:rtl w:val="true"/>
              </w:rPr>
              <w:t xml:space="preserve">ج </w:t>
            </w:r>
            <w:r>
              <w:rPr>
                <w:rStyle w:val="IndexLink"/>
                <w:rtl w:val="true"/>
              </w:rPr>
              <w:t xml:space="preserve">- </w:t>
            </w:r>
            <w:r>
              <w:rPr>
                <w:rStyle w:val="IndexLink"/>
                <w:rtl w:val="true"/>
              </w:rPr>
              <w:t>الحمل على الاستغفار الدفعي</w:t>
            </w:r>
            <w:r>
              <w:rPr>
                <w:rStyle w:val="IndexLink"/>
                <w:rtl w:val="true"/>
              </w:rPr>
              <w:t>:</w:t>
              <w:tab/>
            </w:r>
            <w:r>
              <w:rPr>
                <w:rStyle w:val="IndexLink"/>
              </w:rPr>
              <w:t>605</w:t>
            </w:r>
          </w:hyperlink>
        </w:p>
        <w:p>
          <w:pPr>
            <w:pStyle w:val="Contents5"/>
            <w:tabs>
              <w:tab w:val="clear" w:pos="7892"/>
              <w:tab w:val="right" w:pos="9026" w:leader="dot"/>
            </w:tabs>
            <w:rPr/>
          </w:pPr>
          <w:hyperlink w:anchor="__RefHeading___Toc11030895_2142443653">
            <w:r>
              <w:rPr>
                <w:webHidden/>
                <w:rStyle w:val="IndexLink"/>
                <w:rtl w:val="true"/>
              </w:rPr>
              <w:t xml:space="preserve">د </w:t>
            </w:r>
            <w:r>
              <w:rPr>
                <w:rStyle w:val="IndexLink"/>
                <w:rtl w:val="true"/>
              </w:rPr>
              <w:t xml:space="preserve">- </w:t>
            </w:r>
            <w:r>
              <w:rPr>
                <w:rStyle w:val="IndexLink"/>
                <w:rtl w:val="true"/>
              </w:rPr>
              <w:t>طلب الاستغفار لذنوب الأمة</w:t>
            </w:r>
            <w:r>
              <w:rPr>
                <w:rStyle w:val="IndexLink"/>
                <w:rtl w:val="true"/>
              </w:rPr>
              <w:t>:</w:t>
              <w:tab/>
            </w:r>
            <w:r>
              <w:rPr>
                <w:rStyle w:val="IndexLink"/>
              </w:rPr>
              <w:t>605</w:t>
            </w:r>
          </w:hyperlink>
        </w:p>
        <w:p>
          <w:pPr>
            <w:pStyle w:val="Contents5"/>
            <w:tabs>
              <w:tab w:val="clear" w:pos="7892"/>
              <w:tab w:val="right" w:pos="9026" w:leader="dot"/>
            </w:tabs>
            <w:rPr/>
          </w:pPr>
          <w:hyperlink w:anchor="__RefHeading___Toc11030897_2142443653">
            <w:r>
              <w:rPr>
                <w:webHidden/>
                <w:rStyle w:val="IndexLink"/>
                <w:rtl w:val="true"/>
              </w:rPr>
              <w:t xml:space="preserve">هـ </w:t>
            </w:r>
            <w:r>
              <w:rPr>
                <w:rStyle w:val="IndexLink"/>
                <w:rtl w:val="true"/>
              </w:rPr>
              <w:t xml:space="preserve">- </w:t>
            </w:r>
            <w:r>
              <w:rPr>
                <w:rStyle w:val="IndexLink"/>
                <w:rtl w:val="true"/>
              </w:rPr>
              <w:t>عدم إمكان حمل الأدعية على الظاهر</w:t>
            </w:r>
            <w:r>
              <w:rPr>
                <w:rStyle w:val="IndexLink"/>
                <w:rtl w:val="true"/>
              </w:rPr>
              <w:t>:</w:t>
              <w:tab/>
            </w:r>
            <w:r>
              <w:rPr>
                <w:rStyle w:val="IndexLink"/>
              </w:rPr>
              <w:t>607</w:t>
            </w:r>
          </w:hyperlink>
        </w:p>
        <w:p>
          <w:pPr>
            <w:pStyle w:val="Contents5"/>
            <w:tabs>
              <w:tab w:val="clear" w:pos="7892"/>
              <w:tab w:val="right" w:pos="9026" w:leader="dot"/>
            </w:tabs>
            <w:rPr/>
          </w:pPr>
          <w:hyperlink w:anchor="__RefHeading___Toc11030899_2142443653">
            <w:r>
              <w:rPr>
                <w:webHidden/>
                <w:rStyle w:val="IndexLink"/>
                <w:rtl w:val="true"/>
              </w:rPr>
              <w:t xml:space="preserve">و </w:t>
            </w:r>
            <w:r>
              <w:rPr>
                <w:rStyle w:val="IndexLink"/>
                <w:rtl w:val="true"/>
              </w:rPr>
              <w:t xml:space="preserve">- </w:t>
            </w:r>
            <w:r>
              <w:rPr>
                <w:rStyle w:val="IndexLink"/>
                <w:rtl w:val="true"/>
              </w:rPr>
              <w:t>النقض بأدعية النبي الأكرم</w:t>
            </w:r>
            <w:r>
              <w:rPr>
                <w:rStyle w:val="IndexLink"/>
                <w:rtl w:val="true"/>
              </w:rPr>
              <w:t>(</w:t>
            </w:r>
            <w:r>
              <w:rPr>
                <w:rStyle w:val="IndexLink"/>
                <w:rtl w:val="true"/>
              </w:rPr>
              <w:t>صلی الله علیه و آله و سلم</w:t>
            </w:r>
            <w:r>
              <w:rPr>
                <w:rStyle w:val="IndexLink"/>
                <w:rtl w:val="true"/>
              </w:rPr>
              <w:t>):</w:t>
              <w:tab/>
            </w:r>
            <w:r>
              <w:rPr>
                <w:rStyle w:val="IndexLink"/>
              </w:rPr>
              <w:t>608</w:t>
            </w:r>
          </w:hyperlink>
        </w:p>
        <w:p>
          <w:pPr>
            <w:pStyle w:val="Contents3"/>
            <w:tabs>
              <w:tab w:val="clear" w:pos="8459"/>
              <w:tab w:val="right" w:pos="9026" w:leader="dot"/>
            </w:tabs>
            <w:rPr/>
          </w:pPr>
          <w:hyperlink w:anchor="__RefHeading___Toc11030901_2142443653">
            <w:r>
              <w:rPr>
                <w:webHidden/>
                <w:rStyle w:val="IndexLink"/>
                <w:rtl w:val="true"/>
              </w:rPr>
              <w:t>الشبهة التاسعة</w:t>
            </w:r>
            <w:r>
              <w:rPr>
                <w:rStyle w:val="IndexLink"/>
                <w:rtl w:val="true"/>
              </w:rPr>
              <w:t xml:space="preserve">: </w:t>
            </w:r>
            <w:r>
              <w:rPr>
                <w:rStyle w:val="IndexLink"/>
                <w:rtl w:val="true"/>
              </w:rPr>
              <w:t>إنكار اتصاف الأئمة</w:t>
            </w:r>
            <w:r>
              <w:rPr>
                <w:rStyle w:val="IndexLink"/>
                <w:rtl w:val="true"/>
              </w:rPr>
              <w:t>(</w:t>
            </w:r>
            <w:r>
              <w:rPr>
                <w:rStyle w:val="IndexLink"/>
                <w:rtl w:val="true"/>
              </w:rPr>
              <w:t>علیهم السّلام</w:t>
            </w:r>
            <w:r>
              <w:rPr>
                <w:rStyle w:val="IndexLink"/>
                <w:rtl w:val="true"/>
              </w:rPr>
              <w:t>)</w:t>
            </w:r>
            <w:r>
              <w:rPr>
                <w:rStyle w:val="IndexLink"/>
                <w:rtl w:val="true"/>
              </w:rPr>
              <w:t>بكونهم حججالله تعالى</w:t>
            </w:r>
            <w:r>
              <w:rPr>
                <w:rStyle w:val="IndexLink"/>
                <w:rtl w:val="true"/>
              </w:rPr>
              <w:t>:</w:t>
              <w:tab/>
            </w:r>
            <w:r>
              <w:rPr>
                <w:rStyle w:val="IndexLink"/>
              </w:rPr>
              <w:t>609</w:t>
            </w:r>
          </w:hyperlink>
        </w:p>
        <w:p>
          <w:pPr>
            <w:pStyle w:val="Contents3"/>
            <w:tabs>
              <w:tab w:val="clear" w:pos="8459"/>
              <w:tab w:val="right" w:pos="9026" w:leader="dot"/>
            </w:tabs>
            <w:rPr/>
          </w:pPr>
          <w:hyperlink w:anchor="__RefHeading___Toc11030903_2142443653">
            <w:r>
              <w:rPr>
                <w:webHidden/>
                <w:rStyle w:val="IndexLink"/>
                <w:rtl w:val="true"/>
              </w:rPr>
              <w:t>الشبهة العاشرة اختصاص الحجية بالأمور العبادية والفردية</w:t>
            </w:r>
            <w:r>
              <w:rPr>
                <w:rStyle w:val="IndexLink"/>
                <w:rtl w:val="true"/>
              </w:rPr>
              <w:t>:</w:t>
              <w:tab/>
            </w:r>
            <w:r>
              <w:rPr>
                <w:rStyle w:val="IndexLink"/>
              </w:rPr>
              <w:t>609</w:t>
            </w:r>
          </w:hyperlink>
        </w:p>
        <w:p>
          <w:pPr>
            <w:pStyle w:val="Contents3"/>
            <w:tabs>
              <w:tab w:val="clear" w:pos="8459"/>
              <w:tab w:val="right" w:pos="9026" w:leader="dot"/>
            </w:tabs>
            <w:rPr/>
          </w:pPr>
          <w:hyperlink w:anchor="__RefHeading___Toc11030905_2142443653">
            <w:r>
              <w:rPr>
                <w:webHidden/>
                <w:rStyle w:val="IndexLink"/>
                <w:rtl w:val="true"/>
              </w:rPr>
              <w:t>الشبهة الحادية عشرة</w:t>
            </w:r>
            <w:r>
              <w:rPr>
                <w:rStyle w:val="IndexLink"/>
                <w:rtl w:val="true"/>
              </w:rPr>
              <w:t xml:space="preserve">: </w:t>
            </w:r>
            <w:r>
              <w:rPr>
                <w:rStyle w:val="IndexLink"/>
                <w:rtl w:val="true"/>
              </w:rPr>
              <w:t>نسبة بقاء وحفظ الأرض والسماوات إلى الأئمة</w:t>
            </w:r>
            <w:r>
              <w:rPr>
                <w:rStyle w:val="IndexLink"/>
                <w:rtl w:val="true"/>
              </w:rPr>
              <w:t>(</w:t>
            </w:r>
            <w:r>
              <w:rPr>
                <w:rStyle w:val="IndexLink"/>
                <w:rtl w:val="true"/>
              </w:rPr>
              <w:t>علیهم السّلام</w:t>
            </w:r>
            <w:r>
              <w:rPr>
                <w:rStyle w:val="IndexLink"/>
                <w:rtl w:val="true"/>
              </w:rPr>
              <w:t>):</w:t>
              <w:tab/>
            </w:r>
            <w:r>
              <w:rPr>
                <w:rStyle w:val="IndexLink"/>
              </w:rPr>
              <w:t>611</w:t>
            </w:r>
          </w:hyperlink>
        </w:p>
        <w:p>
          <w:pPr>
            <w:pStyle w:val="Contents4"/>
            <w:tabs>
              <w:tab w:val="clear" w:pos="8176"/>
              <w:tab w:val="right" w:pos="9026" w:leader="dot"/>
            </w:tabs>
            <w:rPr/>
          </w:pPr>
          <w:hyperlink w:anchor="__RefHeading___Toc11030907_2142443653">
            <w:r>
              <w:rPr>
                <w:webHidden/>
                <w:rStyle w:val="IndexLink"/>
                <w:rtl w:val="true"/>
              </w:rPr>
              <w:t>اشارة</w:t>
            </w:r>
            <w:r>
              <w:rPr>
                <w:rStyle w:val="IndexLink"/>
                <w:rtl w:val="true"/>
              </w:rPr>
              <w:tab/>
            </w:r>
            <w:r>
              <w:rPr>
                <w:rStyle w:val="IndexLink"/>
              </w:rPr>
              <w:t>611</w:t>
            </w:r>
          </w:hyperlink>
        </w:p>
        <w:p>
          <w:pPr>
            <w:pStyle w:val="Contents4"/>
            <w:tabs>
              <w:tab w:val="clear" w:pos="8176"/>
              <w:tab w:val="right" w:pos="9026" w:leader="dot"/>
            </w:tabs>
            <w:rPr/>
          </w:pPr>
          <w:hyperlink w:anchor="__RefHeading___Toc11030909_2142443653">
            <w:r>
              <w:rPr>
                <w:webHidden/>
                <w:rStyle w:val="IndexLink"/>
                <w:rtl w:val="true"/>
              </w:rPr>
              <w:t>الإجابة عن شبهة من تولى حفظ العالم قبل الأئمة</w:t>
            </w:r>
            <w:r>
              <w:rPr>
                <w:rStyle w:val="IndexLink"/>
                <w:rtl w:val="true"/>
              </w:rPr>
              <w:t>(</w:t>
            </w:r>
            <w:r>
              <w:rPr>
                <w:rStyle w:val="IndexLink"/>
                <w:rtl w:val="true"/>
              </w:rPr>
              <w:t>علیهم السّلام</w:t>
            </w:r>
            <w:r>
              <w:rPr>
                <w:rStyle w:val="IndexLink"/>
                <w:rtl w:val="true"/>
              </w:rPr>
              <w:t>):</w:t>
              <w:tab/>
            </w:r>
            <w:r>
              <w:rPr>
                <w:rStyle w:val="IndexLink"/>
              </w:rPr>
              <w:t>618</w:t>
            </w:r>
          </w:hyperlink>
        </w:p>
        <w:p>
          <w:pPr>
            <w:pStyle w:val="Contents3"/>
            <w:tabs>
              <w:tab w:val="clear" w:pos="8459"/>
              <w:tab w:val="right" w:pos="9026" w:leader="dot"/>
            </w:tabs>
            <w:rPr/>
          </w:pPr>
          <w:hyperlink w:anchor="__RefHeading___Toc11030911_2142443653">
            <w:r>
              <w:rPr>
                <w:webHidden/>
                <w:rStyle w:val="IndexLink"/>
                <w:rtl w:val="true"/>
              </w:rPr>
              <w:t xml:space="preserve">الشبهة الثانية عشرة </w:t>
            </w:r>
            <w:r>
              <w:rPr>
                <w:rStyle w:val="IndexLink"/>
                <w:rtl w:val="true"/>
              </w:rPr>
              <w:t xml:space="preserve">: </w:t>
            </w:r>
            <w:r>
              <w:rPr>
                <w:rStyle w:val="IndexLink"/>
                <w:rtl w:val="true"/>
              </w:rPr>
              <w:t>إنكار الولاية التكوينية للأئمة</w:t>
            </w:r>
            <w:r>
              <w:rPr>
                <w:rStyle w:val="IndexLink"/>
                <w:rtl w:val="true"/>
              </w:rPr>
              <w:t>(</w:t>
            </w:r>
            <w:r>
              <w:rPr>
                <w:rStyle w:val="IndexLink"/>
                <w:rtl w:val="true"/>
              </w:rPr>
              <w:t>علیهم السّلام</w:t>
            </w:r>
            <w:r>
              <w:rPr>
                <w:rStyle w:val="IndexLink"/>
                <w:rtl w:val="true"/>
              </w:rPr>
              <w:t>):</w:t>
              <w:tab/>
            </w:r>
            <w:r>
              <w:rPr>
                <w:rStyle w:val="IndexLink"/>
              </w:rPr>
              <w:t>619</w:t>
            </w:r>
          </w:hyperlink>
        </w:p>
        <w:p>
          <w:pPr>
            <w:pStyle w:val="Contents4"/>
            <w:tabs>
              <w:tab w:val="clear" w:pos="8176"/>
              <w:tab w:val="right" w:pos="9026" w:leader="dot"/>
            </w:tabs>
            <w:rPr/>
          </w:pPr>
          <w:hyperlink w:anchor="__RefHeading___Toc11030913_2142443653">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11030915_2142443653">
            <w:r>
              <w:rPr>
                <w:webHidden/>
                <w:rStyle w:val="IndexLink"/>
                <w:rtl w:val="true"/>
              </w:rPr>
              <w:t xml:space="preserve">أ </w:t>
            </w:r>
            <w:r>
              <w:rPr>
                <w:rStyle w:val="IndexLink"/>
                <w:rtl w:val="true"/>
              </w:rPr>
              <w:t xml:space="preserve">- </w:t>
            </w:r>
            <w:r>
              <w:rPr>
                <w:rStyle w:val="IndexLink"/>
                <w:rtl w:val="true"/>
              </w:rPr>
              <w:t>الولاية التكوينية ثمرة القرب الإلهي</w:t>
            </w:r>
            <w:r>
              <w:rPr>
                <w:rStyle w:val="IndexLink"/>
                <w:rtl w:val="true"/>
              </w:rPr>
              <w:t>:</w:t>
              <w:tab/>
            </w:r>
            <w:r>
              <w:rPr>
                <w:rStyle w:val="IndexLink"/>
              </w:rPr>
              <w:t>620</w:t>
            </w:r>
          </w:hyperlink>
        </w:p>
        <w:p>
          <w:pPr>
            <w:pStyle w:val="Contents4"/>
            <w:tabs>
              <w:tab w:val="clear" w:pos="8176"/>
              <w:tab w:val="right" w:pos="9026" w:leader="dot"/>
            </w:tabs>
            <w:rPr/>
          </w:pPr>
          <w:hyperlink w:anchor="__RefHeading___Toc11030917_2142443653">
            <w:r>
              <w:rPr>
                <w:webHidden/>
                <w:rStyle w:val="IndexLink"/>
                <w:rtl w:val="true"/>
              </w:rPr>
              <w:t xml:space="preserve">ب </w:t>
            </w:r>
            <w:r>
              <w:rPr>
                <w:rStyle w:val="IndexLink"/>
                <w:rtl w:val="true"/>
              </w:rPr>
              <w:t xml:space="preserve">- </w:t>
            </w:r>
            <w:r>
              <w:rPr>
                <w:rStyle w:val="IndexLink"/>
                <w:rtl w:val="true"/>
              </w:rPr>
              <w:t>التجارب العادية والعرفانية</w:t>
            </w:r>
            <w:r>
              <w:rPr>
                <w:rStyle w:val="IndexLink"/>
                <w:rtl w:val="true"/>
              </w:rPr>
              <w:t>:</w:t>
              <w:tab/>
            </w:r>
            <w:r>
              <w:rPr>
                <w:rStyle w:val="IndexLink"/>
              </w:rPr>
              <w:t>621</w:t>
            </w:r>
          </w:hyperlink>
        </w:p>
        <w:p>
          <w:pPr>
            <w:pStyle w:val="Contents4"/>
            <w:tabs>
              <w:tab w:val="clear" w:pos="8176"/>
              <w:tab w:val="right" w:pos="9026" w:leader="dot"/>
            </w:tabs>
            <w:rPr/>
          </w:pPr>
          <w:hyperlink w:anchor="__RefHeading___Toc11030919_2142443653">
            <w:r>
              <w:rPr>
                <w:webHidden/>
                <w:rStyle w:val="IndexLink"/>
                <w:rtl w:val="true"/>
              </w:rPr>
              <w:t xml:space="preserve">ج </w:t>
            </w:r>
            <w:r>
              <w:rPr>
                <w:rStyle w:val="IndexLink"/>
                <w:rtl w:val="true"/>
              </w:rPr>
              <w:t xml:space="preserve">- </w:t>
            </w:r>
            <w:r>
              <w:rPr>
                <w:rStyle w:val="IndexLink"/>
                <w:rtl w:val="true"/>
              </w:rPr>
              <w:t>اعتراف الأشاعرة</w:t>
            </w:r>
            <w:r>
              <w:rPr>
                <w:rStyle w:val="IndexLink"/>
                <w:rtl w:val="true"/>
              </w:rPr>
              <w:t>:</w:t>
              <w:tab/>
            </w:r>
            <w:r>
              <w:rPr>
                <w:rStyle w:val="IndexLink"/>
              </w:rPr>
              <w:t>622</w:t>
            </w:r>
          </w:hyperlink>
        </w:p>
        <w:p>
          <w:pPr>
            <w:pStyle w:val="Contents4"/>
            <w:tabs>
              <w:tab w:val="clear" w:pos="8176"/>
              <w:tab w:val="right" w:pos="9026" w:leader="dot"/>
            </w:tabs>
            <w:rPr/>
          </w:pPr>
          <w:hyperlink w:anchor="__RefHeading___Toc11030921_2142443653">
            <w:r>
              <w:rPr>
                <w:webHidden/>
                <w:rStyle w:val="IndexLink"/>
                <w:rtl w:val="true"/>
              </w:rPr>
              <w:t xml:space="preserve">د </w:t>
            </w:r>
            <w:r>
              <w:rPr>
                <w:rStyle w:val="IndexLink"/>
                <w:rtl w:val="true"/>
              </w:rPr>
              <w:t xml:space="preserve">- </w:t>
            </w:r>
            <w:r>
              <w:rPr>
                <w:rStyle w:val="IndexLink"/>
                <w:rtl w:val="true"/>
              </w:rPr>
              <w:t>القرآن والولاية التكوينية لغير الأنبياء</w:t>
            </w:r>
            <w:r>
              <w:rPr>
                <w:rStyle w:val="IndexLink"/>
                <w:rtl w:val="true"/>
              </w:rPr>
              <w:t>:</w:t>
              <w:tab/>
            </w:r>
            <w:r>
              <w:rPr>
                <w:rStyle w:val="IndexLink"/>
              </w:rPr>
              <w:t>622</w:t>
            </w:r>
          </w:hyperlink>
        </w:p>
        <w:p>
          <w:pPr>
            <w:pStyle w:val="Contents3"/>
            <w:tabs>
              <w:tab w:val="clear" w:pos="8459"/>
              <w:tab w:val="right" w:pos="9026" w:leader="dot"/>
            </w:tabs>
            <w:rPr/>
          </w:pPr>
          <w:hyperlink w:anchor="__RefHeading___Toc11030923_2142443653">
            <w:r>
              <w:rPr>
                <w:webHidden/>
                <w:rStyle w:val="IndexLink"/>
                <w:rtl w:val="true"/>
              </w:rPr>
              <w:t>المصادر</w:t>
            </w:r>
            <w:r>
              <w:rPr>
                <w:rStyle w:val="IndexLink"/>
                <w:rtl w:val="true"/>
              </w:rPr>
              <w:tab/>
            </w:r>
            <w:r>
              <w:rPr>
                <w:rStyle w:val="IndexLink"/>
              </w:rPr>
              <w:t>627</w:t>
            </w:r>
          </w:hyperlink>
        </w:p>
        <w:p>
          <w:pPr>
            <w:pStyle w:val="Contents3"/>
            <w:tabs>
              <w:tab w:val="clear" w:pos="8459"/>
              <w:tab w:val="right" w:pos="9026" w:leader="dot"/>
            </w:tabs>
            <w:rPr/>
          </w:pPr>
          <w:hyperlink w:anchor="__RefHeading___Toc11030925_2142443653">
            <w:r>
              <w:rPr>
                <w:webHidden/>
                <w:rStyle w:val="IndexLink"/>
                <w:rtl w:val="true"/>
              </w:rPr>
              <w:t>المحتويات</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8_146768"/>
      <w:bookmarkStart w:id="1" w:name="pg15658_146768"/>
      <w:bookmarkEnd w:id="1"/>
    </w:p>
    <w:p>
      <w:pPr>
        <w:pStyle w:val="Heading2"/>
        <w:numPr>
          <w:ilvl w:val="1"/>
          <w:numId w:val="1"/>
        </w:numPr>
        <w:rPr/>
      </w:pPr>
      <w:bookmarkStart w:id="2" w:name="pg15658_146768"/>
      <w:bookmarkStart w:id="3" w:name="__RefHeading___Toc11030211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يعنى بالاستراتيجية الدينية والمعرفية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حسن مطر الهاشمي</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302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العتبة العباسية المقدسة</w:t>
      </w:r>
    </w:p>
    <w:p>
      <w:pPr>
        <w:pStyle w:val="BookText"/>
        <w:rPr/>
      </w:pP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ascii="Amiri" w:hAnsi="Amiri" w:eastAsia="Amiri" w:cs="Amiri"/>
          <w:color w:val="111111"/>
          <w:sz w:val="28"/>
          <w:sz w:val="28"/>
          <w:szCs w:val="28"/>
          <w:rtl w:val="true"/>
          <w:lang w:bidi="ar-SA"/>
        </w:rPr>
        <w:t>يعنى بالاستراتيجية الدينية والمعرفية</w:t>
      </w:r>
    </w:p>
    <w:p>
      <w:pPr>
        <w:pStyle w:val="BookText"/>
        <w:rPr/>
      </w:pPr>
      <w:r>
        <w:rPr>
          <w:rFonts w:ascii="Amiri" w:hAnsi="Amiri" w:eastAsia="Amiri" w:cs="Amiri"/>
          <w:color w:val="111111"/>
          <w:sz w:val="28"/>
          <w:sz w:val="28"/>
          <w:szCs w:val="28"/>
          <w:rtl w:val="true"/>
          <w:lang w:bidi="ar-SA"/>
        </w:rPr>
        <w:t xml:space="preserve">أجوبة الشبهات الكلامية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الامامة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محمدحسن قدردان قراملكي</w:t>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علي حسن مطر الهاشمي</w:t>
      </w:r>
    </w:p>
    <w:p>
      <w:pPr>
        <w:pStyle w:val="BookText"/>
        <w:rPr/>
      </w:pPr>
      <w:r>
        <w:rPr>
          <w:rFonts w:ascii="Amiri" w:hAnsi="Amiri" w:eastAsia="Amiri" w:cs="Amiri"/>
          <w:color w:val="111111"/>
          <w:sz w:val="28"/>
          <w:sz w:val="28"/>
          <w:szCs w:val="28"/>
          <w:rtl w:val="true"/>
          <w:lang w:bidi="ar-SA"/>
        </w:rPr>
        <w:t xml:space="preserve">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شكر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 والتوزيع</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م </w:t>
      </w:r>
      <w:bookmarkStart w:id="7" w:name="pg15658_146772"/>
    </w:p>
    <w:p>
      <w:pPr>
        <w:pStyle w:val="Heading2"/>
        <w:numPr>
          <w:ilvl w:val="1"/>
          <w:numId w:val="1"/>
        </w:numPr>
        <w:rPr/>
      </w:pPr>
      <w:bookmarkStart w:id="8" w:name="__RefHeading___Toc11030215_2142443653"/>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 xml:space="preserve">هذا الكتاب هو الكتاب الرابع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الإجابات عن الشبهات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الكتاب الأول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والكتاب الثاني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وفقنا الله إلى طباعتهما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الكتاب الثالث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 الكلامية والتاريخية حول شخصية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قيد التأليف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يلوح من عنوان هذا ، الكتاب فإنه يتناول الشبهات المتعلقة بأصل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ستين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بالنقد والمناقشة، وأما الشبهات المتعلقة بمذهب التشيع وعقائده فسوف نبحثها في كتاب آخر إن شاء الله تعالى</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نسعى في هذا الكتاب إلى تحليل الشبهات المطروحة حول الإمامة وتقييمها من خلال الاتجاه الكلامي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الفلسفي</w:t>
      </w:r>
      <w:r>
        <w:rPr>
          <w:rFonts w:eastAsia="Amiri" w:cs="Amiri" w:ascii="Amiri" w:hAnsi="Amiri"/>
          <w:color w:val="111111"/>
          <w:sz w:val="28"/>
          <w:szCs w:val="28"/>
          <w:rtl w:val="true"/>
          <w:lang w:bidi="ar-SA"/>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w:t>
      </w:r>
    </w:p>
    <w:p>
      <w:pPr>
        <w:pStyle w:val="BookText"/>
        <w:rPr/>
      </w:pPr>
      <w:r>
        <w:rPr>
          <w:rFonts w:ascii="Amiri" w:hAnsi="Amiri" w:eastAsia="Amiri" w:cs="Amiri"/>
          <w:color w:val="111111"/>
          <w:sz w:val="28"/>
          <w:sz w:val="28"/>
          <w:szCs w:val="28"/>
          <w:rtl w:val="true"/>
          <w:lang w:bidi="ar-SA"/>
        </w:rPr>
        <w:t>الاتجاه الرئيس في هذه الدراسة هو اتجاه كلامي، ولربما دعت الضرورة احياناً إلى الإفادة من المسلك العرفاني والفلسفي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أن الإجابة عن الشبهات تتحدد طبقاً لأهمية الشبهة، فقد تستغرق الإجابة عن بعض الشبهات ما يزيد على عشر صفحات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القارئ الكريم سيطلع من خلال الإجابة عن الشبهات على بعض الموارد التي تحمل إجابات وإثارات جديدة هي حصيلة تفكير المؤلف حول الموضوع والأمور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تخفى ضرورة هذا البحث على القارئ الكريم؛ فإن الإمامة ركن</w:t>
      </w:r>
    </w:p>
    <w:p>
      <w:pPr>
        <w:pStyle w:val="BookText"/>
        <w:rPr/>
      </w:pPr>
      <w:r>
        <w:rPr>
          <w:rFonts w:ascii="IRNazanin" w:hAnsi="IRNazanin" w:eastAsia="IRNazanin"/>
          <w:color w:val="111111"/>
          <w:sz w:val="28"/>
          <w:sz w:val="28"/>
          <w:szCs w:val="28"/>
          <w:rtl w:val="true"/>
          <w:lang w:bidi="fa-IR"/>
        </w:rPr>
        <w:t>رئيس في مذهب التشيع، وقد تعرضت للشبهات من قبل الخصوم منذ بدايتها برحيل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وتجاهل أصل خلافة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حادثة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شهدنا في الآونة الأخيرة اجترار تلك الشبهات وإعادة صياغتها على بعض مواقع التواصل الاجتماعي وفي مؤلفات عدد من المستنيرين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الهدف من هذا التحقيق هو البيان العقلاني لمسألة الإمامة، ودفع الشبهات الناظرة إليها من قبل الإخوة من أهل السنة وبعض الطبقات الخاصة من المستنيرين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يعثر القارئ للمرة الأولى في هذا الكتاب على روايات ومسائل في سياق تعزيز أصل الإمامة، من قبيل النصوص الصريحة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،واعتراف بعض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رأسهم الخليفة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تنصيب الإمام، والخدشة في توجيهها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من إخوتنا من أهل السنة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ينظروا إلى المسائل المذكورة في هذا الكتاب بشكل حيادي ومن دون تبني الأحكام المسبقة، ومن دون إدخال الحب والبغض في صياغة أحكامهم؛ إذ ليس هناك ما هو أغلى من </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غايتي في هذا الكتاب هي البحث العلمي والأكاديمي، ولذلك أنشد من الناقدين إجابات علمية ومستدلة، وأرجو منهم إرسال انتقاداتهم على بريدي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hadrdang@yahoo.com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ورجائي أن لا يُسيء هذا الكتاب لإخوتنا من أهل السنة، وإذا حصل شيء من ذلك فإني أتقدم إليهم بالاعتذار مسبقاً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الختام أتقدم بالشكر الجزيل للمفكرين والإخوة الفضلاء سماحة الدكتور السيد يحيى اليثربي، والدكتور عبد الحسين خسرو بناه، وحجة الإسلام والمسلمين محمد صفر جبرائیلی، على ما قدموه لى من الملاحظات الدقيقة والقيمة التي أسهمت في إثراء مضمون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أن يوفقنا لما يحب ويرضى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حسن قدر دان قراملكي</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58_146776"/>
      <w:bookmarkStart w:id="11" w:name="pg15658_146776"/>
      <w:bookmarkEnd w:id="11"/>
    </w:p>
    <w:p>
      <w:pPr>
        <w:pStyle w:val="Heading2"/>
        <w:numPr>
          <w:ilvl w:val="1"/>
          <w:numId w:val="1"/>
        </w:numPr>
        <w:rPr/>
      </w:pPr>
      <w:bookmarkStart w:id="12" w:name="pg15658_146776"/>
      <w:bookmarkStart w:id="13" w:name="__RefHeading___Toc11030217_2142443653"/>
      <w:bookmarkStart w:id="14" w:name="_Toc4"/>
      <w:bookmarkEnd w:id="12"/>
      <w:bookmarkEnd w:id="13"/>
      <w:r>
        <w:rPr>
          <w:rtl w:val="true"/>
        </w:rPr>
        <w:t>الفصل الأول</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1030219_2142443653"/>
      <w:bookmarkStart w:id="16" w:name="_Toc5"/>
      <w:bookmarkEnd w:id="15"/>
      <w:r>
        <w:rPr>
          <w:rtl w:val="true"/>
        </w:rPr>
        <w:t>أمور عامة</w:t>
      </w:r>
      <w:bookmarkEnd w:id="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58_146778"/>
      <w:bookmarkStart w:id="18" w:name="pg15658_146778"/>
      <w:bookmarkEnd w:id="18"/>
    </w:p>
    <w:p>
      <w:pPr>
        <w:pStyle w:val="Heading3"/>
        <w:numPr>
          <w:ilvl w:val="2"/>
          <w:numId w:val="1"/>
        </w:numPr>
        <w:rPr/>
      </w:pPr>
      <w:bookmarkStart w:id="19" w:name="pg15658_146778"/>
      <w:bookmarkStart w:id="20" w:name="__RefHeading___Toc11030221_2142443653"/>
      <w:bookmarkStart w:id="21" w:name="_Toc6"/>
      <w:bookmarkEnd w:id="19"/>
      <w:bookmarkEnd w:id="20"/>
      <w:r>
        <w:rPr>
          <w:rtl w:val="true"/>
        </w:rPr>
        <w:t xml:space="preserve">أولاً </w:t>
      </w:r>
      <w:r>
        <w:rPr>
          <w:rtl w:val="true"/>
        </w:rPr>
        <w:t xml:space="preserve">: </w:t>
      </w:r>
      <w:r>
        <w:rPr>
          <w:rtl w:val="true"/>
        </w:rPr>
        <w:t>ماهية الإمامة</w:t>
      </w:r>
      <w:r>
        <w:rPr>
          <w:rtl w:val="true"/>
        </w:rPr>
        <w:t>:</w:t>
      </w:r>
      <w:bookmarkEnd w:id="21"/>
    </w:p>
    <w:p>
      <w:pPr>
        <w:pStyle w:val="Heading4"/>
        <w:numPr>
          <w:ilvl w:val="3"/>
          <w:numId w:val="1"/>
        </w:numPr>
        <w:rPr/>
      </w:pPr>
      <w:bookmarkStart w:id="22" w:name="__RefHeading___Toc11030223_2142443653"/>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تمثل مسألة الإمامة واحدة من المسائل الجوهرية في الإسلام، والتي انقسمت الأمة الإسلامية حولها منذ صدر الإسلام إلى يومنا هذا بين مؤيد ومخالف، ولربما بلغت الهوة بين المختلفين بشأنها إلى حد تكفير بعضهما، وزهقت بسبب ذلك كثير من النفوس</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حاجة ماسة إلى تحليل الإمامة من مختلف الزوايا وبشكل دقيق قبل تحديد موضوع البحث والإجابة عن شبهات المخالفين</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1030225_2142443653"/>
      <w:bookmarkStart w:id="25" w:name="_Toc8"/>
      <w:bookmarkEnd w:id="24"/>
      <w:r>
        <w:rPr>
          <w:rtl w:val="true"/>
        </w:rPr>
        <w:t xml:space="preserve">أ </w:t>
      </w:r>
      <w:r>
        <w:rPr>
          <w:rtl w:val="true"/>
        </w:rPr>
        <w:t xml:space="preserve">- </w:t>
      </w:r>
      <w:r>
        <w:rPr>
          <w:rtl w:val="true"/>
        </w:rPr>
        <w:t>الإمامة من وجهة نظر أهل السنة</w:t>
      </w:r>
      <w:r>
        <w:rPr>
          <w:rtl w:val="true"/>
        </w:rPr>
        <w:t>:</w:t>
      </w:r>
      <w:bookmarkEnd w:id="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يعمد أهل السنة إلى الحط من منزلة الإمامة وجعلها على مستوى الحكومة السياسية والاجتماعية، والقول بأنها ليست من الشؤون الإلهية، وإنما هي عندهم من الأمور الخاصة بالأمة، بعدها أمراً دنيوياً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يعدّون الإمامة مسألة فقهية وفرعية تتعلق بأفعال المكلفين، ومن هنا يكون تعيين الخليفة والإمام من قبل الناس أنفسهم، وذلك عن طريق ممارسة مختلف الآليات،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أو شورى أهل الحل والعقد، وبذلك يتساوى الحاكم مع </w:t>
      </w:r>
    </w:p>
    <w:p>
      <w:pPr>
        <w:pStyle w:val="BookText"/>
        <w:rPr/>
      </w:pPr>
      <w:r>
        <w:rPr>
          <w:rFonts w:ascii="Amiri" w:hAnsi="Amiri" w:eastAsia="Amiri" w:cs="Amiri"/>
          <w:color w:val="111111"/>
          <w:sz w:val="28"/>
          <w:sz w:val="28"/>
          <w:szCs w:val="28"/>
          <w:rtl w:val="true"/>
          <w:lang w:bidi="ar-SA"/>
        </w:rPr>
        <w:t>غيره من الناس الاعتياديين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ينكر أهل السنة ما عليه الشيعة من كون الإمامة منصباً إلهياً، وأنها تدخل في أصول العقائد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آراء بعض أهل السنة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الإمامة لا تشبه بالنبوة، وهي بالإمارة أشبه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موضوعة لخلافة النبوة في حراسة الدين وسياسة الدنيا، وعقدها لمن يقوم بها واجب بالإجماع</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الحرمين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رئاسة تامة وزعامة عامة تتعلق بالخاصة والعامة من مهمات الدين والدنيا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أبو حامد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النظر في الإمامة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المهمات، وليس أيضاً من فن المعقولات، بل من الفقهيات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الكلام في الإمامة ليس من أصول الديانات ولا من الأمور اللابديات بحيث لا يسع المكلف الإعراض عنها، بل لعمري إن المعرض عنها لأرجى من الواغل فيها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عضد الدين الإيجي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رئاسة عامة في أمور الدين والدنيا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إشكال هذا التعريف في مناقضته للنبوة، ويأتي بتعريف آخر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خلافة الرسول في إقامة الدين بحيث يجب اتباعه على كافة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واللافت للانتباه أنه في هذا التعريف يفسر الخلافة بأنها من شؤون الدين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يبدو أن حذف كلمة الدنيا إما كان بسبب النسيان، أو لأنه أراد من الدين المعنى الجامع الذي يشمل الدنيا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كان فإن كلمة الدنيا كانت مرادة له في مسألة الإمامة أيضاً، والدليل على ذلك ما يذكره من صفات الإمام بالمعنى العام للكلمة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رأي ليقوم بأمور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ليقوى على الذب عن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عدلاً لئلا يجور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ليصلح للتصرفات</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أضاف في شرحه للمواقف على تعريف الإيجي قيد حوزة الأمة والدنيا؛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خلافة الرسول في إقامة الدين وحفظ حوزة الملة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رئاسة عامة في أمر الدين والدنيا، خلافة عن النبي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الخلافة حمل الكافة على مقتضى النظر الشرعى في مصالحهم الأخروية والدنيوية الراجعة إليها</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26" w:name="pg15658_146781"/>
    </w:p>
    <w:p>
      <w:pPr>
        <w:pStyle w:val="BookText"/>
        <w:rPr/>
      </w:pPr>
      <w:bookmarkEnd w:id="26"/>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رئاسة عامة لأمر الدين والدنيا خلافة عن النبي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11030227_2142443653"/>
      <w:bookmarkStart w:id="28" w:name="_Toc9"/>
      <w:bookmarkEnd w:id="27"/>
      <w:r>
        <w:rPr>
          <w:rtl w:val="true"/>
        </w:rPr>
        <w:t xml:space="preserve">ب </w:t>
      </w:r>
      <w:r>
        <w:rPr>
          <w:rtl w:val="true"/>
        </w:rPr>
        <w:t xml:space="preserve">- </w:t>
      </w:r>
      <w:r>
        <w:rPr>
          <w:rtl w:val="true"/>
        </w:rPr>
        <w:t>الإمامة من وجهة نظر الإمامية</w:t>
      </w:r>
      <w:r>
        <w:rPr>
          <w:rtl w:val="true"/>
        </w:rPr>
        <w:t>:</w:t>
      </w:r>
      <w:bookmarkEnd w:id="28"/>
    </w:p>
    <w:p>
      <w:pPr>
        <w:pStyle w:val="BookText"/>
        <w:rPr/>
      </w:pPr>
      <w:r>
        <w:rPr>
          <w:rFonts w:ascii="Amiri" w:hAnsi="Amiri" w:eastAsia="Amiri" w:cs="Amiri"/>
          <w:color w:val="111111"/>
          <w:sz w:val="28"/>
          <w:sz w:val="28"/>
          <w:szCs w:val="28"/>
          <w:rtl w:val="true"/>
          <w:lang w:bidi="ar-SA"/>
        </w:rPr>
        <w:t xml:space="preserve">خلافاً لرؤية أهل السنة بشأن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تقتصر على عدها مسألة دنيوية تقف عند حدودها السياسية والاجتماعية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الإمامية إلى عدها مسألة تتخطى الحالة الدنيوية، وعدّها أمراً إلهياً وصادراً عن وحي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نستعرض قبل كل شيء مجموعة من تعريفات علماء الشيعة في هذا الشأن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بتفسير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الغدير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معنى الإمامة؛ لإن الإمامة إنما هي مشتقة من الائتمام بالإنسان والائتمام هو الاتباع والاقتداء والعمل بعمله والقول بقوله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 وجوب إطاعة الإمام وسائر فضائله متفرعة عن وجوب إطاعة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يستثن من ذلك غير النبوة والوحي،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أن يُعتقد أنه يلزم من طاعة الإمام ما يلزمنا من طاعة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كل فضل آتاه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نبيه فقد آتاه الله الإمام، إلا النبوة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الإمام هو الإنسان الذي له رئاسة </w:t>
      </w:r>
    </w:p>
    <w:p>
      <w:pPr>
        <w:pStyle w:val="BookText"/>
        <w:rPr/>
      </w:pPr>
      <w:r>
        <w:rPr>
          <w:rFonts w:ascii="Amiri" w:hAnsi="Amiri" w:eastAsia="Amiri" w:cs="Amiri"/>
          <w:color w:val="111111"/>
          <w:sz w:val="28"/>
          <w:sz w:val="28"/>
          <w:szCs w:val="28"/>
          <w:rtl w:val="true"/>
          <w:lang w:bidi="ar-SA"/>
        </w:rPr>
        <w:t>عامة فى أمور الدين والدنيا نيابة عن النبي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رئاسة عامة في الدين بالإصالة لا بالنيابة عمّن هو في دار التكليف</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هو الذي يتولى الرئاسة العامة في الدين والدنيا جميعاً</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 هو الإنسان الذي له الرئاسة العامة في الدين والدنيا بالإصالة في دار التكليف</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الإمامة رئاسة عامة لشخص من الناس في أمور الدين والدنيا بالأصالة</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هو الإنسان الذي له الرئاسة العامة في أمور الدين والدنيا بالأصالة في دار التكليف</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الحمصي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أوائل القرن الهجري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رئاسة عامة في أمور الدين بالأصالة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بعد ذلك إلى سبب عدم ذكره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الإمامة،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أمور الدين عامل ويشمل أمور الدنيا من قبيل رفع </w:t>
      </w:r>
    </w:p>
    <w:p>
      <w:pPr>
        <w:pStyle w:val="BookText"/>
        <w:rPr/>
      </w:pPr>
      <w:r>
        <w:rPr>
          <w:rFonts w:ascii="Amiri" w:hAnsi="Amiri" w:eastAsia="Amiri" w:cs="Amiri"/>
          <w:color w:val="111111"/>
          <w:sz w:val="28"/>
          <w:sz w:val="28"/>
          <w:szCs w:val="28"/>
          <w:rtl w:val="true"/>
          <w:lang w:bidi="ar-SA"/>
        </w:rPr>
        <w:t>الفوارق الطبقية لمختلف سطوح المجتمع،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 والخطاطين، وإن كان العمل على الأمور المهنية والجزئية من قبيل تحديد من هو الأفضل وتحديد الأجور ليس من صلاحيات الإمام وشؤونه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فهي رئاسة عامة في الدين والدنيا لشخص إنساني، خلافة عن النبي</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اللاهيجى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رئاسة عامة للمسلمين في أمور الدنيا والدين على سبيل الخلافة والنيابة عن النبي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جميع هذه التعاريف صادرة عن المتكلمين، ومن هنا كانت الصبغة العامة فيها تؤكد على الرئاسة والحكومة كما هو سائد بين أهل السنة، بيد أن العرفاء والفلاسفة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في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قوام الإمامة في الولاية الباطنية للإمام، وهذا ما سوف نتعرض له في الصفحات القادمة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النظرة الأولى على تعاريف الإمامة عند أهل السنة والإمامية يظهر أن كلا المذهبين الكلاميين يقدّم تعريفاً واحداً ومشتركاً عن الإمامة؛ لأن كلا الفريقين يعرف الإمامة بكونها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رئاسة عامة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الذي يبدو من الوهلة الأولى</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إعادة النظر في التعاريف والشروط والصفات التي يجب </w:t>
      </w:r>
    </w:p>
    <w:p>
      <w:pPr>
        <w:pStyle w:val="BookText"/>
        <w:rPr/>
      </w:pPr>
      <w:r>
        <w:rPr>
          <w:rFonts w:ascii="Amiri" w:hAnsi="Amiri" w:eastAsia="Amiri" w:cs="Amiri"/>
          <w:color w:val="111111"/>
          <w:sz w:val="28"/>
          <w:sz w:val="28"/>
          <w:szCs w:val="28"/>
          <w:rtl w:val="true"/>
          <w:lang w:bidi="ar-SA"/>
        </w:rPr>
        <w:t>توفرها في شخص الإمام، يمكن بيان اختلاف كلا المذهبين الكلاميين في مسألة الإمامة على النحو الآتي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تعيين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التنصيب أو الانتخاب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أشرنا إلى اشتراك كلا المدرستين في تعريف الإمامة وتفسيرها بأنها رئاسة عامة في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يجب الالتفات إلى ذلك يجب الالتفات إلى وجود اختلاف بينهما في بيان منشأ حكومة الإمام والحاكم ومشروعيته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الإمامية إلى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اقتضاء الأدلة التي سيأتي الحديث عنها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الإمامة منصب إلهي مقدس، وأن الإمام يجب أن يتصف ببعض الصفات الفذة،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والعلم الكامل، ولا يمكن التعرف على مثل هذا الشخص وتنصيبه إلا من خلال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الإلهية، أصل التنصيب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المقلب الآخر ذهب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تفسيرهم السطحي للإمامة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بأنها رئاسة دينية ودنيوية، والتمتع بمستوى من العلم لا يتجاوز الاجتهاد، مع نفى العصمة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بيان مختلف آليات تعيين الإمام،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والإجماع من قبل أهل الحل والعقد، ونص الخليفة السابق، وحتى القهر والغلبة</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وتشترك جميع هذه الآليات في فصل </w:t>
      </w:r>
    </w:p>
    <w:p>
      <w:pPr>
        <w:pStyle w:val="BookText"/>
        <w:rPr/>
      </w:pPr>
      <w:r>
        <w:rPr>
          <w:rFonts w:ascii="IRNazanin" w:hAnsi="IRNazanin" w:eastAsia="IRNazanin"/>
          <w:color w:val="111111"/>
          <w:sz w:val="28"/>
          <w:sz w:val="28"/>
          <w:szCs w:val="28"/>
          <w:rtl w:val="true"/>
          <w:lang w:bidi="fa-IR"/>
        </w:rPr>
        <w:t>مشروعية تعيين الإمام عن الوحى وعن التدخل الإلهى فى هذا التعيين ويؤكد أكثرهم على عدم وجود نص من الله ومن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منصب الخلافة والإمامة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حدّ تعبير أهل السنة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ومشروعيتها من المسائل الفقهية، وأنها من فروع الدين، وقد تم تفويض أمر تعيين الخليفة والإمام وإضفاء المشروعية عليه لاختيار الناس</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لنا اصطياد بعض الاختلافات الفرعية الأخرى بين ما يذهب إليه الإمامية وأهل السنة في مسألة الإمامة، ويمكن لنا إجمال هذه الاختلافات على النحو الآتى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أو عدم اعتبار إذن المستخلف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الرغم من تعريف أهل السنة الإمامة بأنها خلافة منصب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ادعاءهم هذا ليس كاملاً، وذلك لأنهم لا يشترطون إذن النبي لإضفاء الشرعية على تصرف خليفته، وهذا يعني أن الخلافة تتحقق عندهم من دون إذن المستخلف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الإمامية فيشترطون أن يكون الاستخلاف بإذن من النبي، وفي هذا السياق يأتي اختيار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في تسمية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من الأئمة لمنصب الإمامة والخلافة في نصوص متضافرة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الفقهي أو الكلامي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من خلال تقليلهم من قيمة الإمامة، وإنزالها إلى مجرد إدارة الحكم والدولة، قاموا بتفسيرها على أنها مجرد مسألة فقهية فرعية، وأن على المكلفين واجب تعيين حاكم على </w:t>
      </w:r>
    </w:p>
    <w:p>
      <w:pPr>
        <w:pStyle w:val="BookText"/>
        <w:rPr/>
      </w:pPr>
      <w:r>
        <w:rPr>
          <w:rFonts w:ascii="IRNazanin" w:hAnsi="IRNazanin" w:eastAsia="IRNazanin"/>
          <w:color w:val="111111"/>
          <w:sz w:val="28"/>
          <w:sz w:val="28"/>
          <w:szCs w:val="28"/>
          <w:rtl w:val="true"/>
          <w:lang w:bidi="fa-IR"/>
        </w:rPr>
        <w:t>أنفسهم</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الإمامية فيعدون الإمامة والإمام تالي تلو النبوة والنبي، ويرون أنّ الإمامة من المسائل الأصولية والجوهرية في علم الكلام والبحث الديني، وعليه لا بد من بحثها في علم الكلام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بطبيعة الحال لا يعني إلغاء بحث الإمامة على المستوى الفقهي، وإنما المراد من ذلك أن المكانة الأولى للإمامة تقع في علم الكلام، كما سوف نشير في الصفحات القادمة إلى إمكان طرح الإمامة في علم العرفان والحكمة المتعالية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الأدنى والأعلى من اتصاف الإمام بصفة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بين موارد الاختلاف بين الشيعة وأهل السنة في تعريف الإمامة و تفسيرها لحاظ واعتبار الصفات الخاصة للإمام، فحيث يعمد أهل السنة إلى تقييم الإمام من خلال النظرة السطحية التي تضعه دون مستواه الحقيقي ودون شأنه ومنزلته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الإمام بوصفه حاكماً دينياً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يمنحونه الحد الأدنى مما يجب أن يتصف به الإمام من الصفات، وإن من بين أهم تلك الصفات وأكثرها مثاراً للتحديات عبارة عن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العلوم الدينية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والتقوى</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واضح أن الاكتفاء بصفة العلم إلى حد أقصاه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ذو مراتب مشككة بين القوة والضعف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أمرين،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صفة الأعلمية في مقام الإمامة، ولازم ذلك إمكان تقديم المفضول على الفاضل في الإمامة 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الاجتهاد ونتيجة ذلك إمكان وقوع الإمام في الخطأ في تفسير الدين وتعاليمه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المشهور من أهل السنة إلى اعتبار صفة العدالة والتقوى في بداية الإمامة والخلافة، ولكنهم ناقشوا في استمرار اعتبارها، فذهب بعضهم إلى الاعتقاد بأن الحاكم والخليفة لا يفقد شرعيته بسبب الفسق وصدور ما ينافي العدالة عنه أثناء فترة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الباقلاني</w:t>
      </w:r>
      <w:r>
        <w:rPr>
          <w:rStyle w:val="FootnoteAnchor"/>
          <w:rtl w:val="true"/>
        </w:rPr>
        <w:footnoteReference w:id="34"/>
      </w:r>
      <w:r>
        <w:rPr>
          <w:rFonts w:ascii="IRNazanin" w:hAnsi="IRNazanin" w:eastAsia="IRNazanin"/>
          <w:color w:val="111111"/>
          <w:sz w:val="28"/>
          <w:sz w:val="28"/>
          <w:szCs w:val="28"/>
          <w:rtl w:val="true"/>
          <w:lang w:bidi="fa-IR"/>
        </w:rPr>
        <w:t>والتفتازانى</w:t>
      </w:r>
      <w:r>
        <w:rPr>
          <w:rStyle w:val="FootnoteAnchor"/>
          <w:rtl w:val="true"/>
        </w:rPr>
        <w:footnoteReference w:id="35"/>
      </w:r>
      <w:r>
        <w:rPr>
          <w:rFonts w:ascii="Amiri" w:hAnsi="Amiri" w:eastAsia="Amiri" w:cs="Amiri"/>
          <w:color w:val="111111"/>
          <w:sz w:val="28"/>
          <w:sz w:val="28"/>
          <w:szCs w:val="28"/>
          <w:rtl w:val="true"/>
          <w:lang w:bidi="ar-SA"/>
        </w:rPr>
        <w:t>والنسفي</w:t>
      </w:r>
      <w:r>
        <w:rPr>
          <w:rStyle w:val="FootnoteAnchor"/>
          <w:rtl w:val="true"/>
        </w:rPr>
        <w:footnoteReference w:id="36"/>
      </w:r>
      <w:r>
        <w:rPr>
          <w:rFonts w:ascii="Amiri" w:hAnsi="Amiri" w:eastAsia="Amiri" w:cs="Amiri"/>
          <w:color w:val="111111"/>
          <w:sz w:val="28"/>
          <w:sz w:val="28"/>
          <w:szCs w:val="28"/>
          <w:rtl w:val="true"/>
          <w:lang w:bidi="ar-SA"/>
        </w:rPr>
        <w:t>، إذ قالوا بأن الإمام لا يُعزل من منصبه باغتصابه لأموال الناس، وقتل النفس المحترمة، وعدم تطبيق الحدود، وقد جاء في نص بعض عباراتهم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ينعزل بالفسق والفجور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غاية ما يجب على الأمة في مثل هذه الحالة تقديم النصح له وتخويفه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المقلب الآخر يذهب الإمامية إلى اعتبار الإمام هو المفسر الحقيقي </w:t>
      </w:r>
    </w:p>
    <w:p>
      <w:pPr>
        <w:pStyle w:val="BookText"/>
        <w:rPr/>
      </w:pPr>
      <w:r>
        <w:rPr>
          <w:rFonts w:ascii="IRNazanin" w:hAnsi="IRNazanin" w:eastAsia="IRNazanin"/>
          <w:color w:val="111111"/>
          <w:sz w:val="28"/>
          <w:sz w:val="28"/>
          <w:szCs w:val="28"/>
          <w:rtl w:val="true"/>
          <w:lang w:bidi="fa-IR"/>
        </w:rPr>
        <w:t>والضامن للدين، ولذلك فإنهم يستبدلون صفة الاجتهاد له بالعلم اللدني والإلهام، وبدلاً من العدالة يصفونه بالعصمة، ولم يتمتع بهذه الصفات من بين الصحابة غير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كان الإمام عند أهل السنة مجرد حاكم، وأقصى ما يمكن له أن يبلغه هو أن يكون هو حاكماً دينياً، ولازم إنكار صفة العلم اللدني والإلهامي والعصمة عدم الحجية والمرجعية العلمية والدينية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وجهة نظر الإمامية فحيث يتصف الإمام بصفة العلم الإلهامي والعصمة يكون هو الخليفة الحقيقي للنبي، ويكون مثله في الحجية والمرجعية العلمية والدينية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الحجية الإلهية والمرجعية العلمية والدينية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أوضحنا في الكتاب السابق أن لازم الاتصاف بالعلم الغيبي والإلهام و عصمة الأئمة، هو حجية أقوال الأئمة وأفعالهم، ولازم ذلك حق إطاعتهم من قبل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نبحث في وجوب إطاعة الإمام وحجية قوله وفعله</w:t>
      </w:r>
    </w:p>
    <w:p>
      <w:pPr>
        <w:pStyle w:val="BookText"/>
        <w:rPr/>
      </w:pPr>
      <w:r>
        <w:rPr>
          <w:rFonts w:ascii="Amiri" w:hAnsi="Amiri" w:eastAsia="Amiri" w:cs="Amiri"/>
          <w:color w:val="111111"/>
          <w:sz w:val="28"/>
          <w:sz w:val="28"/>
          <w:szCs w:val="28"/>
          <w:rtl w:val="true"/>
          <w:lang w:bidi="ar-SA"/>
        </w:rPr>
        <w:t xml:space="preserve">بالتفصيل في الفصل المخصص للإجابة عن الشبهات المتعلقة بالإمامة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واسطة الفيض والقطب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أن الفرق 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الفروق 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الإمامية وأهل السنة يكمن في نوع الرؤية التي يحملها كل منهما تجاه شخص الإمام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فالإمامية لا يرون في الإمام مجرد خليفة ظاهري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w:t>
      </w:r>
    </w:p>
    <w:p>
      <w:pPr>
        <w:pStyle w:val="BookText"/>
        <w:rPr/>
      </w:pPr>
      <w:r>
        <w:rPr>
          <w:rFonts w:ascii="Amiri" w:hAnsi="Amiri" w:eastAsia="Amiri" w:cs="Amiri"/>
          <w:color w:val="111111"/>
          <w:sz w:val="28"/>
          <w:sz w:val="28"/>
          <w:szCs w:val="28"/>
          <w:rtl w:val="true"/>
          <w:lang w:bidi="ar-SA"/>
        </w:rPr>
        <w:t>خليفته الحقيقي، وأن كلاً من الخليفة والمستخلف عنه يجب أن يشتملا على شروط ومواصفات خاصة حتى تكون لديهما صلاحية التصدّي لمقام النبوة والإمامة وإن إحدى تلك الصفات تعود إلى مقام الإمام ومنزلته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كما كان النبي يتمتع بصفات روحية ومعنوية وكمالية خاصة، وكان خير أهل زمانه، حتى صار أهلاً ليكون محلاً لرعاية الله ولطفه واختياره لموقع النبوة، يجب أن يكون شخص الإمام كذلك أيضاً، فلابد من أن يكون متصفاً بجميع الصفات الكمالية التي يجب توفرها في الإنسان الكامل قبل أن يتولى مهام الإمامة؛ ليكون أهلاً لتولي منصب الإمامة وتسميته لهذا الموقع من قبل الله عز وجل، وبحسب المصطلح العرفاني يجب على الإمام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بالدرجة الأولى؛ كي يصلح لتولي منصب الإمامة في ضوء الولاية، كما أنّ الولاية تعد جوهر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الاتجاه نحو الإمام والإمامة هو اتجاه 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 إلى أصل النبوة وماهيتها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الفلاسفة والعرفاء في تعريفهم للنبي أنه يتمتع بنفس قدسية متكاملة، يرتبط في ضوء تهذيبها بالعالم الغيبي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للحصول على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الإمامية أن الإمام هو مثل النبي في وجوب أن يتمتع بهذه الصفات؛ فيجب أن يتحلى بنفس متكاملة ومهذبة كي يتمكن من خلالها أن يتصل بعالم الغيب، ولربما أمكنه بواسطتها أن يتصرّف في عالم الممكنات، وهو ما يُعبّر عنه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 التكوينية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ما هنالك أن الإمام يختلف عن النبي في استلام الوحي فقط والإتيان بشريعة جديدة، حيث ختم الله ذلك بالنبي الله ذلك بالنبي الأكرم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العرفاء إلى إعطاء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أبعد من مجرد الاتصال بالغيب؛ إذ يرون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الفيض والحجة الإلهية في العالم، </w:t>
      </w:r>
    </w:p>
    <w:p>
      <w:pPr>
        <w:pStyle w:val="BookText"/>
        <w:rPr/>
      </w:pPr>
      <w:r>
        <w:rPr>
          <w:rFonts w:ascii="Amiri" w:hAnsi="Amiri" w:eastAsia="Amiri" w:cs="Amiri"/>
          <w:color w:val="111111"/>
          <w:sz w:val="28"/>
          <w:sz w:val="28"/>
          <w:szCs w:val="28"/>
          <w:rtl w:val="true"/>
          <w:lang w:bidi="ar-SA"/>
        </w:rPr>
        <w:t>ولذلك لا يخلو العالم من وجوده أبداً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هنا أن العرفاء قد اقتبسوا هذه النقطة الدقيقة والعرفانية من روايات الشيعة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وقاموا بتطبيقها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وأخطأ بعضهم في تطبيقها على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محصل الكلام أن الإمامية يرون أن الإمام هو الولي المطلق والإنسان الكامل المرتبط بعالم الغيب، وهو واسطة الفيض الإلهى وحجة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السنة فيجعلونه في مستوى الإنسان الاعتيادي، ولكنه عندهم يتصف بالعلم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مستوى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وهناك منهم من أنكر اشتراط العدالة في صلاحيته للاستمرار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الإمامة عقلي أم نقلي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الموارد التي اختلف فيها الشيعة والسنة حول الإمامة والطريق إليها ووجوبها، هو البحث عما إذا كانت الإمامة واجبة بحكم العقل من دون الرجوع إلى الشرع، أم أنها تجب بحكم الشرع والنقل، وأن العقل لا مسرح له </w:t>
      </w:r>
    </w:p>
    <w:p>
      <w:pPr>
        <w:pStyle w:val="BookText"/>
        <w:rPr/>
      </w:pPr>
      <w:r>
        <w:rPr>
          <w:rFonts w:ascii="Amiri" w:hAnsi="Amiri" w:eastAsia="Amiri" w:cs="Amiri"/>
          <w:color w:val="111111"/>
          <w:sz w:val="28"/>
          <w:sz w:val="28"/>
          <w:szCs w:val="28"/>
          <w:rtl w:val="true"/>
          <w:lang w:bidi="ar-SA"/>
        </w:rPr>
        <w:t>في هذا المجال أصلاً؟</w:t>
      </w:r>
    </w:p>
    <w:p>
      <w:pPr>
        <w:pStyle w:val="BookText"/>
        <w:rPr/>
      </w:pPr>
      <w:r>
        <w:rPr>
          <w:rFonts w:ascii="Amiri" w:hAnsi="Amiri" w:eastAsia="Amiri" w:cs="Amiri"/>
          <w:color w:val="111111"/>
          <w:sz w:val="28"/>
          <w:sz w:val="28"/>
          <w:szCs w:val="28"/>
          <w:rtl w:val="true"/>
          <w:lang w:bidi="ar-SA"/>
        </w:rPr>
        <w:t>فبعد أن اتفق كلا الفريقين على أصل وجوب الإمامة، اختلفا في الطريق إليها، وما إذا كان هذا الطريق عقلياً أو نقلياً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ذهب أكثر الأشاعرة وبعض المعتزلة إلى وجوب الإمامة بالأدلة السمعية، ومما ورد في ذلك في بعض نصوصهم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أوجبوها سمعاً فهم جمهور أصحابنا وأكثر المعتزلة</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ذهب الإمامية وبعض المعتزلة إلى وجوبها بالأدلة العقلية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ذهب الأشاعرة والمعتزلة إلى عدم وجوب تنصيب الإمام من قبل الله، وإنما اعتبروا ذلك من شؤون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بالوجوب الفقهي</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الإمامية إلى وجوب ذلك من قبل الله بالنظر إلى ما يجب أن يتوفر في الإمام من الصفات التي لا سبيل إلى العلم بها إلا من قبل الله سبحانه وتعالى انطلاقاً من حكمته ولطفه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وبطبيعة الحال فإن هذا الوجوب إنما هو وجوب كلامى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إنّه يستفاد من صفات الله،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وجوباً فقهيا؛ حتى يكون واجباً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bookmarkStart w:id="29" w:name="pg15658_146792"/>
    </w:p>
    <w:p>
      <w:pPr>
        <w:pStyle w:val="Heading4"/>
        <w:numPr>
          <w:ilvl w:val="3"/>
          <w:numId w:val="1"/>
        </w:numPr>
        <w:rPr/>
      </w:pPr>
      <w:bookmarkStart w:id="30" w:name="__RefHeading___Toc11030229_2142443653"/>
      <w:bookmarkStart w:id="31" w:name="_Toc10"/>
      <w:bookmarkEnd w:id="29"/>
      <w:bookmarkEnd w:id="30"/>
      <w:r>
        <w:rPr>
          <w:rtl w:val="true"/>
        </w:rPr>
        <w:t xml:space="preserve">ج </w:t>
      </w:r>
      <w:r>
        <w:rPr>
          <w:rtl w:val="true"/>
        </w:rPr>
        <w:t xml:space="preserve">- </w:t>
      </w:r>
      <w:r>
        <w:rPr>
          <w:rtl w:val="true"/>
        </w:rPr>
        <w:t>مراتب وشؤون الإمام والإمامة</w:t>
      </w:r>
      <w:r>
        <w:rPr>
          <w:rtl w:val="true"/>
        </w:rPr>
        <w:t>:</w:t>
      </w:r>
      <w:bookmarkEnd w:id="31"/>
    </w:p>
    <w:p>
      <w:pPr>
        <w:pStyle w:val="BookText"/>
        <w:rPr/>
      </w:pPr>
      <w:r>
        <w:rPr>
          <w:rFonts w:ascii="IRNazanin" w:hAnsi="IRNazanin" w:eastAsia="IRNazanin"/>
          <w:color w:val="111111"/>
          <w:sz w:val="28"/>
          <w:sz w:val="28"/>
          <w:szCs w:val="28"/>
          <w:rtl w:val="true"/>
          <w:lang w:bidi="fa-IR"/>
        </w:rPr>
        <w:t>اتضح مما سبق أن أهل السنة والإمامية يختلفون في رؤيتهما إلى الإمامة ومراتبها، فقد اقتصر أهل السنة في رؤيتهم إلى الإمام على اعتباره مجرد حاکم ديني، ولا ترقى مرتبته عندهم إلى ما فوق الزعامة والسلطة السياسية، وحيث لا يرون العصمة وعلم الغيب شرطاً في الإمامة، لا يكون تفسير الإمام للتعاليم الدينية حجة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الإمامية فيذهبون إلى ما هو أعمق من ذلك بكثير، ولذلك فقد أثبتوا له مختلف المراتب انطلاقاً</w:t>
      </w:r>
    </w:p>
    <w:p>
      <w:pPr>
        <w:pStyle w:val="BookText"/>
        <w:rPr/>
      </w:pPr>
      <w:r>
        <w:rPr>
          <w:rFonts w:ascii="Amiri" w:hAnsi="Amiri" w:eastAsia="Amiri" w:cs="Amiri"/>
          <w:color w:val="111111"/>
          <w:sz w:val="28"/>
          <w:sz w:val="28"/>
          <w:szCs w:val="28"/>
          <w:rtl w:val="true"/>
          <w:lang w:bidi="ar-SA"/>
        </w:rPr>
        <w:t>من هذه الرؤية، وفيما يأتى نشير إلى عناوين هذه المراتب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والحاكم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أكثر الأمور شهرة عند المتكلمين في شأن الإمام ومنزلته، هو شأن الحكم وزعامة الأمة في الأمور الدنيوية والسياسية، وهو ما ذكره كلا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w:t>
      </w:r>
    </w:p>
    <w:p>
      <w:pPr>
        <w:pStyle w:val="BookText"/>
        <w:rPr/>
      </w:pP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القرون الأخيرة ذهب بعض المستنيرين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إنكار هذا الشأن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العلمانيون من أهل السنة، من أمثال علي عبد الرزاق إلى القول بأن النبوة والإمامة منفصلتان عن المساحة الدنيوية وشؤون الحكم، وإن النبي بما هو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وبتبعه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يتولى غير بيان التعاليم الدينية وهداية الناس إلى الله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بهذه الفكرة بعض المستنيرين المعاصرين من الشيعة على ما سيأتي في الفصول القادمة التي نتعرض فيها إلى أصل الشبهة ونقدها بالتفصيل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ذكره أن هذا المنصب إنما هو أحد مناصب وشؤون الإمام وخليفة النبي، ولا يمثل جميع شؤونه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محل النزاع بين أهل السنة </w:t>
      </w:r>
    </w:p>
    <w:p>
      <w:pPr>
        <w:pStyle w:val="BookText"/>
        <w:rPr/>
      </w:pPr>
      <w:r>
        <w:rPr>
          <w:rFonts w:ascii="Amiri" w:hAnsi="Amiri" w:eastAsia="Amiri" w:cs="Amiri"/>
          <w:color w:val="111111"/>
          <w:sz w:val="28"/>
          <w:sz w:val="28"/>
          <w:szCs w:val="28"/>
          <w:rtl w:val="true"/>
          <w:lang w:bidi="ar-SA"/>
        </w:rPr>
        <w:t>والشيعة لا ينحصر بهذا الأمر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الأستاذ الشهيد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حصر النزاع بين الشيعة والسنة بذلك كان من أخطاء بعض علماء الشيعة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المرجعية الدينية والعلمية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المناصب الهامة والسماوية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المنصب الذي يخوله بيان التعاليم الدينية، وبسبب ارتباطه بالوحي كانت تعاليم النبي وتفسيره للتعاليم الدينية حجة على المسلمين، فكان عليهم لذلك إطاعة هذه التعاليم، والالتزام بها على المستوى القلبي والعملي، وهو ما يُعبّر عنه اصطلاحاً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العلمية والدينية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ويذهب الشيعة إلى الاعتقاد بأن النبي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فرض منصبه هذا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ولمّا كانوا يتصفون بالعصمة ويرتبطون بعالم الغيب من طريق الإلهام دون الوحي، فيكون تفسيرهم للتعاليم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إلهية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السنة فحيث ينكرون اشتراط العصمة والارتباط بعالم الغيب في الإمامة من جهة، ولأنهم ذهبوا إلى عدم عصمة الخلفاء الراشدين بسبب ما صدر عنهم من الأخطاء العلمية من جهة أخرى، لا يستطيعون وصف الإمام والحاكم بوصف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والعلمية الدينية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الولاية العامة أما الشأن الثالث من شؤون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الشأن المتمثل بمقام خلافة الله على 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الإشارة إلى أن النبي من خلال تهذيبه لنفسه يبلغ مقام القرب الإلهي حتى يغدو مظهراً وتجلياً لصفات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أكثر الإمامية يتحلى </w:t>
      </w:r>
      <w:bookmarkStart w:id="32" w:name="pg15658_146794"/>
    </w:p>
    <w:p>
      <w:pPr>
        <w:pStyle w:val="BookText"/>
        <w:rPr/>
      </w:pPr>
      <w:bookmarkEnd w:id="32"/>
      <w:r>
        <w:rPr>
          <w:rFonts w:ascii="IRNazanin" w:hAnsi="IRNazanin" w:eastAsia="IRNazanin"/>
          <w:color w:val="111111"/>
          <w:sz w:val="28"/>
          <w:sz w:val="28"/>
          <w:szCs w:val="28"/>
          <w:rtl w:val="true"/>
          <w:lang w:bidi="fa-IR"/>
        </w:rPr>
        <w:t>الأئمة من هذه الناحية بأعلى درجات الكمال، وكانوا بذلك أفضل من جميع الأنبياء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الأئمة بسبب امتلاكهم لهذه الولاية العامة على عالم الوجود مشرفين على قلوب الناس</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يذهب أكثر الإمامية إلى إثبات جميع هذه الشؤون الثلاثة المتقدمة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يذهبون إلى الاعتقاد بأن الإمامة لا تتحقق إلا بعد توفر</w:t>
      </w:r>
    </w:p>
    <w:p>
      <w:pPr>
        <w:pStyle w:val="BookText"/>
        <w:rPr/>
      </w:pPr>
      <w:r>
        <w:rPr>
          <w:rFonts w:ascii="IRNazanin" w:hAnsi="IRNazanin" w:eastAsia="IRNazanin"/>
          <w:color w:val="111111"/>
          <w:sz w:val="28"/>
          <w:sz w:val="28"/>
          <w:szCs w:val="28"/>
          <w:rtl w:val="true"/>
          <w:lang w:bidi="fa-IR"/>
        </w:rPr>
        <w:t>هذه الشروط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عندما يتم الحديث عن الإمام والإمامة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انصراف الذهن إلى شأن واحد من هذه الشؤون فقط، كشأن الحكم مثلاً، والقول بأن الإمام يعني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يجب القول إن الإمام يعني المرجع العلمي والديني والمبيّن للإسلام وحجة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الحالة يجب المصير إلى المرشحين الذين تتوفّر فيهم جميع هذه الصفات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يذهب الشيعة إلى التأكيد على أن هذه الصفات قد انحصرتبعد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3" w:name="__RefHeading___Toc11030231_2142443653"/>
      <w:bookmarkStart w:id="34" w:name="_Toc11"/>
      <w:bookmarkEnd w:id="33"/>
      <w:r>
        <w:rPr>
          <w:rtl w:val="true"/>
        </w:rPr>
        <w:t xml:space="preserve">ثانياً </w:t>
      </w:r>
      <w:r>
        <w:rPr>
          <w:rtl w:val="true"/>
        </w:rPr>
        <w:t xml:space="preserve">: </w:t>
      </w:r>
      <w:r>
        <w:rPr>
          <w:rtl w:val="true"/>
        </w:rPr>
        <w:t>فلسفة الإمامة</w:t>
      </w:r>
      <w:r>
        <w:rPr>
          <w:rtl w:val="true"/>
        </w:rPr>
        <w:t>:</w:t>
      </w:r>
      <w:bookmarkEnd w:id="34"/>
    </w:p>
    <w:p>
      <w:pPr>
        <w:pStyle w:val="Heading4"/>
        <w:numPr>
          <w:ilvl w:val="3"/>
          <w:numId w:val="1"/>
        </w:numPr>
        <w:rPr/>
      </w:pPr>
      <w:bookmarkStart w:id="35" w:name="__RefHeading___Toc11030233_2142443653"/>
      <w:bookmarkStart w:id="36" w:name="_Toc12"/>
      <w:bookmarkEnd w:id="35"/>
      <w:r>
        <w:rPr>
          <w:rtl w:val="true"/>
        </w:rPr>
        <w:t>اشارة</w:t>
      </w:r>
      <w:bookmarkEnd w:id="3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الإسلام دين كامل وخاتم للأديان، جاء به إلى الناس خاتم الأنبياء الإلهيين يدعي هذا الدين الكمال والشمولية في جميع مناحي الحياة الدنيوية والأخروية على مر العصور بوصفه ديناً 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مهمة تفسير هذا الدين مدة حياته مستنداً إلى وحي السماء، فعمد </w:t>
      </w:r>
      <w:bookmarkStart w:id="37" w:name="pg15658_146795"/>
    </w:p>
    <w:p>
      <w:pPr>
        <w:pStyle w:val="BookText"/>
        <w:rPr/>
      </w:pPr>
      <w:bookmarkEnd w:id="37"/>
      <w:r>
        <w:rPr>
          <w:rFonts w:ascii="IRNazanin" w:hAnsi="IRNazanin" w:eastAsia="IRNazanin"/>
          <w:color w:val="111111"/>
          <w:sz w:val="28"/>
          <w:sz w:val="28"/>
          <w:szCs w:val="28"/>
          <w:rtl w:val="true"/>
          <w:lang w:bidi="fa-IR"/>
        </w:rPr>
        <w:t>المنطلق إلى وضع الأحكام وبيان التشريع والإجابة عن الشبهات والوقوف بوجه التحريفات والمحرفين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الدنيا برزت هناك خشية من أن تذهب الجهود المضنية التي بذلها رسول الله على مدى ما يربو على العقدين من الزمن أدراج الرياح، وأن يحل التفسير بالرأي وما يقوم به أصحاب الأهواء والبدع محل التعاليم السماوية الخالصة والأصيلة عبر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الخشية تعبّر عن احتمال عقلائي يقول إن الدين الذي يدعى الشمولية والخلود لا يمكن أن يترك نهباً لكل من هب ودب، من دون أن يُرصد له شخص على مستوى رسول الله في الصفات التي تؤهله لحراسة الدين والمحافظة عليه من هنا كان لا بد من وجود إمام معصوم على الدوام؛ ليذب عنه ويدفع عنه الآفات باستمرار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قام الإسلام بحل هذه المشكلة من خلال التأصيل لمفهوم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شخص يختلف عن النبي في الاتصال بالله من خلال الوحي الرسالي، ولكنه يتصل بعوالم الغيب من خلال الإلهام، وإلى ذلك فإنه يتصف بالعصمة ويتمتع بالعلم اللدني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بالالتفات إلى ما تقدّم يمكن بيان الأدلة على ضرورة الإمامة بعد النبوة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1030235_2142443653"/>
      <w:bookmarkStart w:id="39" w:name="_Toc13"/>
      <w:bookmarkEnd w:id="38"/>
      <w:r>
        <w:rPr>
          <w:rtl w:val="true"/>
        </w:rPr>
        <w:t xml:space="preserve">أ </w:t>
      </w:r>
      <w:r>
        <w:rPr>
          <w:rtl w:val="true"/>
        </w:rPr>
        <w:t xml:space="preserve">- </w:t>
      </w:r>
      <w:r>
        <w:rPr>
          <w:rtl w:val="true"/>
        </w:rPr>
        <w:t>هداية البشر</w:t>
      </w:r>
      <w:r>
        <w:rPr>
          <w:rtl w:val="true"/>
        </w:rPr>
        <w:t>:</w:t>
      </w:r>
      <w:bookmarkEnd w:id="3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بالالتفات إلى ما كان يتمتع به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مقام الولاية </w:t>
      </w:r>
      <w:bookmarkStart w:id="40" w:name="pg15658_146796"/>
    </w:p>
    <w:p>
      <w:pPr>
        <w:pStyle w:val="BookText"/>
        <w:rPr/>
      </w:pPr>
      <w:bookmarkEnd w:id="40"/>
      <w:r>
        <w:rPr>
          <w:rFonts w:ascii="IRNazanin" w:hAnsi="IRNazanin" w:eastAsia="IRNazanin"/>
          <w:color w:val="111111"/>
          <w:sz w:val="28"/>
          <w:sz w:val="28"/>
          <w:szCs w:val="28"/>
          <w:rtl w:val="true"/>
          <w:lang w:bidi="fa-IR"/>
        </w:rPr>
        <w:t>والإمامة عند الشيعة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هداية الناس ومواصلة الرسلة وتبليغ الإسلام تقع على عاتقهم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حضور شخص مثل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الإنسان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هناك من حاجة إلى تجديد النبوة، وفى الحقيقة فإن مقام الولاية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يفوق مقام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عن فلسفة عدم بعث الأنبياء أو تفسير الخاتمية بعقم الطبيعة عن أن تلد الإنسان الكامل الذي يُشبه رسول الله إنما ينشأ عن الغفلة والجهل بالمنازل والمقامات المعنوية التي كان يتمتع بها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41" w:name="__RefHeading___Toc11030237_2142443653"/>
      <w:bookmarkStart w:id="42" w:name="_Toc14"/>
      <w:bookmarkEnd w:id="41"/>
      <w:r>
        <w:rPr>
          <w:rtl w:val="true"/>
        </w:rPr>
        <w:t xml:space="preserve">ب </w:t>
      </w:r>
      <w:r>
        <w:rPr>
          <w:rtl w:val="true"/>
        </w:rPr>
        <w:t xml:space="preserve">- </w:t>
      </w:r>
      <w:r>
        <w:rPr>
          <w:rtl w:val="true"/>
        </w:rPr>
        <w:t>المرجعية الدينية</w:t>
      </w:r>
      <w:r>
        <w:rPr>
          <w:rtl w:val="true"/>
        </w:rPr>
        <w:t>:</w:t>
      </w:r>
      <w:bookmarkEnd w:id="42"/>
    </w:p>
    <w:p>
      <w:pPr>
        <w:pStyle w:val="BookText"/>
        <w:rPr/>
      </w:pPr>
      <w:r>
        <w:rPr>
          <w:rFonts w:ascii="IRNazanin" w:hAnsi="IRNazanin" w:eastAsia="IRNazanin"/>
          <w:color w:val="111111"/>
          <w:sz w:val="28"/>
          <w:sz w:val="28"/>
          <w:szCs w:val="28"/>
          <w:rtl w:val="true"/>
          <w:lang w:bidi="fa-IR"/>
        </w:rPr>
        <w:t>تقدم أن ذكرنا أن من بين مهام النبوة تبليغ الوحي السماوي إلى الناس وبيانه وتفسيره إلى المخاطبين بشكل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وجود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احتمال الخطأ في التفسير صفراً، وأمّا بعد رحيل رسول الله فيرتفع احتمال ظهور القراءات المختلفة والخاطئة عن الدين، وبعد انتشار التفاسير والبدع والتحريفات ورسوخها في آخر الكتب السماوية، سوف تتعرض أصالة الدين الإسلامي الحنيف إلى التشويه والتشكيك وسقوطها عن الاعتبار، من هنا وجب تعيين مرجع علمي معتبر ومعصوم من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مقام الإمامة ومنزلتها في الإسلام تعمل على تلبية هذه الحاجة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توهم شخص أنه مع وجود القرآن وسنة الرسول لا تكون هناك </w:t>
      </w:r>
      <w:bookmarkStart w:id="43" w:name="pg15658_146797"/>
    </w:p>
    <w:p>
      <w:pPr>
        <w:pStyle w:val="BookText"/>
        <w:rPr/>
      </w:pPr>
      <w:bookmarkEnd w:id="43"/>
      <w:r>
        <w:rPr>
          <w:rFonts w:ascii="Amiri" w:hAnsi="Amiri" w:eastAsia="Amiri" w:cs="Amiri"/>
          <w:color w:val="111111"/>
          <w:sz w:val="28"/>
          <w:sz w:val="28"/>
          <w:szCs w:val="28"/>
          <w:rtl w:val="true"/>
          <w:lang w:bidi="ar-SA"/>
        </w:rPr>
        <w:t>حاجة إلى الإمامة، كما صرح بذلك بعض الصحابة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هذا التوهّم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المتقدمة والآتية كفيلة بالإجابة عن ذلك، فضلاً عن أن بعض الروايات المروية عن رسول الله قد تم تحريفها من قبل الوضاعين الذين رصد التاريخ حوالي سبعمئة وضاع ومختلق للأحاديث منهم</w:t>
      </w:r>
      <w:r>
        <w:rPr>
          <w:rStyle w:val="FootnoteAnchor"/>
          <w:rtl w:val="true"/>
        </w:rPr>
        <w:footnoteReference w:id="46"/>
      </w:r>
      <w:r>
        <w:rPr>
          <w:rFonts w:ascii="Amiri" w:hAnsi="Amiri" w:eastAsia="Amiri" w:cs="Amiri"/>
          <w:color w:val="111111"/>
          <w:sz w:val="28"/>
          <w:sz w:val="28"/>
          <w:szCs w:val="28"/>
          <w:rtl w:val="true"/>
          <w:lang w:bidi="ar-SA"/>
        </w:rPr>
        <w:t>، وهو أمر يؤكد على استحالة الاعتماد والتعويل على هذه الاحاديث إلا بعد تمحيصها وبيانها وفرز غنها من سمينها وإثبات اعتبارها وحجيّتها، وتشخيص ذلك إنما هو من شأن مقام العصمة والإمامة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1030239_2142443653"/>
      <w:bookmarkStart w:id="45" w:name="_Toc15"/>
      <w:bookmarkEnd w:id="44"/>
      <w:r>
        <w:rPr>
          <w:rtl w:val="true"/>
        </w:rPr>
        <w:t xml:space="preserve">ج </w:t>
      </w:r>
      <w:r>
        <w:rPr>
          <w:rtl w:val="true"/>
        </w:rPr>
        <w:t xml:space="preserve">- </w:t>
      </w:r>
      <w:r>
        <w:rPr>
          <w:rtl w:val="true"/>
        </w:rPr>
        <w:t xml:space="preserve">عدم البلوغ العقلي الكامل للمخاطبين </w:t>
      </w:r>
      <w:r>
        <w:rPr>
          <w:rtl w:val="true"/>
        </w:rPr>
        <w:t>:</w:t>
      </w:r>
      <w:bookmarkEnd w:id="45"/>
    </w:p>
    <w:p>
      <w:pPr>
        <w:pStyle w:val="BookText"/>
        <w:rPr/>
      </w:pPr>
      <w:r>
        <w:rPr>
          <w:rFonts w:ascii="IRNazanin" w:hAnsi="IRNazanin" w:eastAsia="IRNazanin"/>
          <w:color w:val="111111"/>
          <w:sz w:val="28"/>
          <w:sz w:val="28"/>
          <w:szCs w:val="28"/>
          <w:rtl w:val="true"/>
          <w:lang w:bidi="fa-IR"/>
        </w:rPr>
        <w:t>صلى الله إن من بين فلسفات خاتمية النبوة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التكامل والبلوغ العقلي لدى المسلمين في صدر الإسلام، وفي ضوء هذا البلوغ نجح المسلمون في حفظ الكتاب السماوي ونقله إلى الأجيال اللاحقة من دون أن يطاله الدس والتحريف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الجدير بالانتباه في الوقت نفسه أن سكان شبه الجزيرة العربية لم يكونوا على درجة عالية في العلوم النظرية من قبيل الفلسفة والتفسير والكلام، ولذلك لم يكونوا قادرين على فهم الآيات المتشابهة وسبر غورها والغوص في أعماقها؛ من هنا مست الحاجة إلى إمام ومرجع ومفسر معصوم للقرآن الكريم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انتشار مختلف الفرق المذهبية يمثل خير شاهد على تفشي القراءات المختلفة والغنّة للقرآن الكريم والتي أدّت إلى تشتت كلمة المسلمين بسبب </w:t>
      </w:r>
    </w:p>
    <w:p>
      <w:pPr>
        <w:pStyle w:val="BookText"/>
        <w:rPr/>
      </w:pPr>
      <w:r>
        <w:rPr>
          <w:rFonts w:ascii="Amiri" w:hAnsi="Amiri" w:eastAsia="Amiri" w:cs="Amiri"/>
          <w:color w:val="111111"/>
          <w:sz w:val="28"/>
          <w:sz w:val="28"/>
          <w:szCs w:val="28"/>
          <w:rtl w:val="true"/>
          <w:lang w:bidi="ar-SA"/>
        </w:rPr>
        <w:t>تمسك بعضهم بظواهر الآيات وعدم أخذ بواطنها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يمكن لنا الإشارة إلى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تذهب إلى الاعتقاد بأن الله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الأكثرية الغالبة من أهل السنة تؤمن برؤية الله القيامة</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الشيعة من منطلق ارتباطهم الوثيق بالإمام المعصوم بالعين يوم فهم بعيدون كل البعد عن مثل هذه الأقوال المجافية للعقل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هو أنّ الدائرة المعرفية والتفسيرية بحاجة مستمرة إلى</w:t>
      </w:r>
    </w:p>
    <w:p>
      <w:pPr>
        <w:pStyle w:val="BookText"/>
        <w:rPr/>
      </w:pPr>
      <w:r>
        <w:rPr>
          <w:rFonts w:ascii="Amiri" w:hAnsi="Amiri" w:eastAsia="Amiri" w:cs="Amiri"/>
          <w:color w:val="111111"/>
          <w:sz w:val="28"/>
          <w:sz w:val="28"/>
          <w:szCs w:val="28"/>
          <w:rtl w:val="true"/>
          <w:lang w:bidi="ar-SA"/>
        </w:rPr>
        <w:t>وجود المرجع والإمام المعصوم، وأنّ الآخرين حيث يفتقرون إلى الإمام المعصوم فهم في معرض الوقوع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تمكن الأئمة 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التأسيس للمباني والأصول في المعرفة الدينية ومن خلال تربية المفسرين والمتكلمين البارزين من أمثال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خفض مستوى الحاجة إلى الإمام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قاموا بنقل هذه المباني والأصول إلى المجتمع،للحيلولة دون تعرّض الدين لأنواع الآفات والبدع أو الحد من تأثيرها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عدم بلوغ المجتمع في صدر الإسلام بشكل كامل، وتكامله التدريجي في ضوء هداية الإمام المعصوم، يشكل واحداً من الأدلة على ضرورة وجود الإمام المعصوم بعد ختم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نضيف مزيداً من التوضيحات بهذا الشأن في الفصل المخصص للإجابة عن شبهة التنافي بين الإمامة وأصل الخاتمية</w:t>
      </w:r>
      <w:r>
        <w:rPr>
          <w:rFonts w:eastAsia="Amiri" w:cs="Amiri" w:ascii="Amiri" w:hAnsi="Amiri"/>
          <w:color w:val="111111"/>
          <w:sz w:val="28"/>
          <w:szCs w:val="28"/>
          <w:rtl w:val="true"/>
          <w:lang w:bidi="ar-SA"/>
        </w:rPr>
        <w:t xml:space="preserve">. </w:t>
      </w:r>
      <w:bookmarkStart w:id="46" w:name="pg15658_146799"/>
    </w:p>
    <w:p>
      <w:pPr>
        <w:pStyle w:val="Heading4"/>
        <w:numPr>
          <w:ilvl w:val="3"/>
          <w:numId w:val="1"/>
        </w:numPr>
        <w:rPr/>
      </w:pPr>
      <w:bookmarkStart w:id="47" w:name="__RefHeading___Toc11030241_2142443653"/>
      <w:bookmarkStart w:id="48" w:name="_Toc16"/>
      <w:bookmarkEnd w:id="46"/>
      <w:bookmarkEnd w:id="47"/>
      <w:r>
        <w:rPr>
          <w:rtl w:val="true"/>
        </w:rPr>
        <w:t xml:space="preserve">د </w:t>
      </w:r>
      <w:r>
        <w:rPr>
          <w:rtl w:val="true"/>
        </w:rPr>
        <w:t xml:space="preserve">- </w:t>
      </w:r>
      <w:r>
        <w:rPr>
          <w:rtl w:val="true"/>
        </w:rPr>
        <w:t>تشريع الأحكام الفرعية</w:t>
      </w:r>
      <w:r>
        <w:rPr>
          <w:rtl w:val="true"/>
        </w:rPr>
        <w:t>:</w:t>
      </w:r>
      <w:bookmarkEnd w:id="48"/>
    </w:p>
    <w:p>
      <w:pPr>
        <w:pStyle w:val="BookText"/>
        <w:rPr/>
      </w:pPr>
      <w:r>
        <w:rPr>
          <w:rFonts w:ascii="IRNazanin" w:hAnsi="IRNazanin" w:eastAsia="IRNazanin"/>
          <w:color w:val="111111"/>
          <w:sz w:val="28"/>
          <w:sz w:val="28"/>
          <w:szCs w:val="28"/>
          <w:rtl w:val="true"/>
          <w:lang w:bidi="fa-IR"/>
        </w:rPr>
        <w:t>لقد تعرض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فترة نبوته القصيرة نسبياً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كثير من العقبات والضغوط، من قبيل قلة أعداد المؤمنين طوال الفترة المكية من البعثة، والتي استغرقت ثلاثة عشر عاماً، وما رافق</w:t>
      </w:r>
    </w:p>
    <w:p>
      <w:pPr>
        <w:pStyle w:val="BookText"/>
        <w:rPr/>
      </w:pPr>
      <w:r>
        <w:rPr>
          <w:rFonts w:ascii="Amiri" w:hAnsi="Amiri" w:eastAsia="Amiri" w:cs="Amiri"/>
          <w:color w:val="111111"/>
          <w:sz w:val="28"/>
          <w:sz w:val="28"/>
          <w:szCs w:val="28"/>
          <w:rtl w:val="true"/>
          <w:lang w:bidi="ar-SA"/>
        </w:rPr>
        <w:t>هجرته وإقامته في المدينة المنوّرة من الحروب المفروضة عليه من قبل المشركين وبعض القبائل اليهودية، وهو أمر لم يترك له مجالاً إلى بيان جميع أحكام الإسلام الجزئية والفرعية، أو أن الذي ييّنه منها لم يُضبط أو ينقل عنه بشكل واضح ودقيق، يضاف إلى ذلك ما يستجد من الأسئلة والتحديات عبر العصور والأزمنة اللاحقة، مما لا يمكن الحصول على الإجابة عنه أو تقديم الحلول له من خلال العودة إلى القرآن والسنة النبوية، ولا يمكن توجيه هذا الخلل القانوني والتشريعي بالنسبة إلى الدين الذي يدعي الخاتمية والخلود والشمولية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عالج الإسلام هذا الخلل من خلال التأصيل لمفهوم الإمامة، وبالالتفات إلى المقام العلمي والإلهي للإمام، يقدم الإسلام الإجابة الشافية عن جميع المعضلات القانونية والتشريعية المستحدثة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والمسألة المثيرة للنقاش تكمن في إسناد تشريع الأحكام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حيث توجد هناك رؤيتان بين الإمامية في هذا الشأن</w:t>
      </w:r>
      <w:r>
        <w:rPr>
          <w:rStyle w:val="FootnoteAnchor"/>
          <w:rtl w:val="true"/>
        </w:rPr>
        <w:footnoteReference w:id="50"/>
      </w:r>
      <w:r>
        <w:rPr>
          <w:rFonts w:ascii="Amiri" w:hAnsi="Amiri" w:eastAsia="Amiri" w:cs="Amiri"/>
          <w:color w:val="111111"/>
          <w:sz w:val="28"/>
          <w:sz w:val="28"/>
          <w:szCs w:val="28"/>
          <w:rtl w:val="true"/>
          <w:lang w:bidi="ar-SA"/>
        </w:rPr>
        <w:t>، وسيأتي تفصيل ذلك في الفصل الخاص ببيان النسبة بين الإمام والخاتمية</w:t>
      </w:r>
      <w:r>
        <w:rPr>
          <w:rFonts w:eastAsia="Amiri" w:cs="Amiri" w:ascii="Amiri" w:hAnsi="Amiri"/>
          <w:color w:val="111111"/>
          <w:sz w:val="28"/>
          <w:szCs w:val="28"/>
          <w:rtl w:val="true"/>
          <w:lang w:bidi="ar-SA"/>
        </w:rPr>
        <w:t xml:space="preserve">. </w:t>
      </w:r>
      <w:bookmarkStart w:id="49" w:name="pg15658_146800"/>
    </w:p>
    <w:p>
      <w:pPr>
        <w:pStyle w:val="Heading4"/>
        <w:numPr>
          <w:ilvl w:val="3"/>
          <w:numId w:val="1"/>
        </w:numPr>
        <w:rPr/>
      </w:pPr>
      <w:bookmarkStart w:id="50" w:name="__RefHeading___Toc11030243_2142443653"/>
      <w:bookmarkStart w:id="51" w:name="_Toc17"/>
      <w:bookmarkEnd w:id="49"/>
      <w:bookmarkEnd w:id="50"/>
      <w:r>
        <w:rPr>
          <w:rtl w:val="true"/>
        </w:rPr>
        <w:t>هـ</w:t>
      </w:r>
      <w:r>
        <w:rPr>
          <w:rtl w:val="true"/>
        </w:rPr>
        <w:t xml:space="preserve">- </w:t>
      </w:r>
      <w:r>
        <w:rPr>
          <w:rtl w:val="true"/>
        </w:rPr>
        <w:t>إقامة الحكومة الدينية</w:t>
      </w:r>
      <w:r>
        <w:rPr>
          <w:rtl w:val="true"/>
        </w:rPr>
        <w:t>:</w:t>
      </w:r>
      <w:bookmarkEnd w:id="51"/>
    </w:p>
    <w:p>
      <w:pPr>
        <w:pStyle w:val="BookText"/>
        <w:rPr/>
      </w:pPr>
      <w:r>
        <w:rPr>
          <w:rFonts w:ascii="Amiri" w:hAnsi="Amiri" w:eastAsia="Amiri" w:cs="Amiri"/>
          <w:color w:val="111111"/>
          <w:sz w:val="28"/>
          <w:sz w:val="28"/>
          <w:szCs w:val="28"/>
          <w:rtl w:val="true"/>
          <w:lang w:bidi="ar-SA"/>
        </w:rPr>
        <w:t>إن الدين الذي يدعى الخلود والشمولية والخاتمية في مختلف المجالات الفردية والاجتماعية والسياسية، لا يسعه عدم الاهتمام بمسألة الحكم والسلطة؛ لما تلعبه الدولة من دور في توجيه مسار المجتمع وهدايته، فضلاً عن إعداد المفكرين وعلماء الدين، وتحديد توجهاتهم وتطلعاتهم الفكرية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سيكون للإسلام اهتمام خاص بمسألة الحكم و شخص الحاكم بوصفه المكمّل لحياة الإسلام وصيانة الدين من آفات الانحراف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القول بضرورة اهتمام الدين بمسألة الحكم والدولة، سيجرنا البحث التالي إلى تعيين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الإسلام يجمع بين الدين والدولة، بحيث لا يوجد للنظرية العلمانية القائلة بالفصل بين الدين والسياسة أي موقع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الشخصية التي تتمتع بالمرجعية العلمية والدينية وتتحلى بمقام الولاية المعنوية، سوف يتولى إدارة الحكم والدولة أيضاً؛ إذ مع وجود المرجع الديني والعلمي المطلق مع ما يتصف به من الولاية المطلقة، لا يصل الدور إلى فرد آخر؛ إذ يلزم من تقديم الآخر عليه تقديماً للمفضول على الفاضل، والمرجوح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من توزيع السلطات والفصل بينها بتخويل فرد لتولي إدارة الأمة وقيادتها على المستوى السياسي والاجتماعي بعيداً عن التدخل في الشؤون الدينية، يحتمل فيه أن عدم عصمة مثل هذا الزعيم السياسي والاجتماعي قد يحمله على العدوان على حوزة اختصاص المرجع العلمي والديني، فيعمد إلى عزله وتنصيب شخص على وفق هواه، وفي هذه الحالة يلزم من ذلك نقض الغرض، فلا يتمكن الدين الخاتم والخالد من تحقيق أهدافه وغاياته</w:t>
      </w:r>
      <w:r>
        <w:rPr>
          <w:rFonts w:eastAsia="Amiri" w:cs="Amiri" w:ascii="Amiri" w:hAnsi="Amiri"/>
          <w:color w:val="111111"/>
          <w:sz w:val="28"/>
          <w:szCs w:val="28"/>
          <w:rtl w:val="true"/>
          <w:lang w:bidi="ar-SA"/>
        </w:rPr>
        <w:t xml:space="preserve">. </w:t>
      </w:r>
      <w:bookmarkStart w:id="52" w:name="pg15658_146801"/>
    </w:p>
    <w:p>
      <w:pPr>
        <w:pStyle w:val="BookText"/>
        <w:rPr/>
      </w:pPr>
      <w:bookmarkEnd w:id="52"/>
      <w:r>
        <w:rPr>
          <w:rFonts w:ascii="IRNazanin" w:hAnsi="IRNazanin" w:eastAsia="IRNazanin"/>
          <w:color w:val="111111"/>
          <w:sz w:val="28"/>
          <w:sz w:val="28"/>
          <w:szCs w:val="28"/>
          <w:rtl w:val="true"/>
          <w:lang w:bidi="fa-IR"/>
        </w:rPr>
        <w:t>ومن خلال إطلالة عابرة على تاريخ صدر الإسلام يثبت صدق ما ذكرناه آنفاً، فعلى الرغم من حضور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 خليفة النبي الأكرم في جميع الشؤون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المرجعية العلمية والدينية، والولاية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يتسن له ممارسة حقه في الحكم طوال ربع قرن من الزمن لحكم الخلفاء الثلاثة، وهو أمر فرض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عزلة عن المجتمع، استغلها الإمام بكتابة تفسير جامع للقرآن، إلى جانب حفر الآبار واستثمار التربة واستصلاحها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ظرف هذه الفترة تعرّض الإسلام لأنواع الانحراف والزيغ</w:t>
      </w:r>
    </w:p>
    <w:p>
      <w:pPr>
        <w:pStyle w:val="BookText"/>
        <w:rPr/>
      </w:pPr>
      <w:r>
        <w:rPr>
          <w:rFonts w:ascii="Amiri" w:hAnsi="Amiri" w:eastAsia="Amiri" w:cs="Amiri"/>
          <w:color w:val="111111"/>
          <w:sz w:val="28"/>
          <w:sz w:val="28"/>
          <w:szCs w:val="28"/>
          <w:rtl w:val="true"/>
          <w:lang w:bidi="ar-SA"/>
        </w:rPr>
        <w:t xml:space="preserve">عن جادة الصواب، وقد مهدت هذه الانحرافات لظهور نظرية فصل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السياسة والحكم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سنشير إلى جوانب من ذلك في تضاعيف هذا الكتاب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من بين أسباب الإمامة وضروراتها، قيام دولة دينية خالصة ليتم في ضوئها تطوير الدين والمحافظة على صفائه ونقائه في مختلف الأبعاد الفردية والاجتماعية</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11030245_2142443653"/>
      <w:bookmarkStart w:id="54" w:name="_Toc18"/>
      <w:bookmarkEnd w:id="53"/>
      <w:r>
        <w:rPr>
          <w:rtl w:val="true"/>
        </w:rPr>
        <w:t xml:space="preserve">و </w:t>
      </w:r>
      <w:r>
        <w:rPr>
          <w:rtl w:val="true"/>
        </w:rPr>
        <w:t xml:space="preserve">- </w:t>
      </w:r>
      <w:r>
        <w:rPr>
          <w:rtl w:val="true"/>
        </w:rPr>
        <w:t>الأئمة وسائط الفيض الإلهي</w:t>
      </w:r>
      <w:r>
        <w:rPr>
          <w:rtl w:val="true"/>
        </w:rPr>
        <w:t>:</w:t>
      </w:r>
      <w:bookmarkEnd w:id="54"/>
    </w:p>
    <w:p>
      <w:pPr>
        <w:pStyle w:val="BookText"/>
        <w:rPr/>
      </w:pPr>
      <w:r>
        <w:rPr>
          <w:rFonts w:ascii="Amiri" w:hAnsi="Amiri" w:eastAsia="Amiri" w:cs="Amiri"/>
          <w:color w:val="111111"/>
          <w:sz w:val="28"/>
          <w:sz w:val="28"/>
          <w:szCs w:val="28"/>
          <w:rtl w:val="true"/>
          <w:lang w:bidi="ar-SA"/>
        </w:rPr>
        <w:t>كما يمكن لنا أن نرسم صورة أخرى لفلسفة الإمامة من زاوية العرفان والحكمة المتعالية، وهي صورة يمكن الحصول عليها من خلال التأمل في مضمون بعض الروايات الشريفة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ثبت في الفلسفة أن لكل وجود مادي وجوداً مثالياً وبرزخياً، ويكون له وجود عقلي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فإن الوجود المادي لكل شيء مسبوق بوجود له في عالم المثال، وقبله في عالم التجرّد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بقيد البساطة طبعاً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توفّر الظروف المادية اللازمة ينزل الوجود من عالمه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وتطلق الفلسفة على الوجود الأول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مخلوق الله مباشرة، ليتم بعد ذلك خلق سائر الموجدات التالية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قراءة هذا الموضوع في الفلسفة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تحليل هذا الرأي وإثباته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وسائط الفيض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زاوية الروايات، لا يترك مجالاً لإنكار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نستعرض بعض هذه الروايات، ونترك بعضها الآخر إلى الفصل الذي نتعرض فيه لنقد الشبهة بشأن أفضلية الأئمة المعصومين على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في الروايات التأكيد على أن المخلوق الإلهى الأول هو الوجود النوراني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الوجود النوراني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المعصومون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امتزجت وتحققت الأنوار النورية لأئمة الشيعة والسيدة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الوجود النوراني للنبي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استمرار الفيض الإلهي ينتقل إلى الآخرين عبر الوجود النوراني لهذه الأنوار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جاء التعبير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الروايات من خلال وصف نفسه بالنبي الأول الذي كان مخلوقاً قبل نفخ الروح في جسد سيدنا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الروح والجسد</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بين يدي الله عز وجل قبل أن يخلق آدم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أنت منى وأنا منك أنت كروحي من جسدي،أنت  مني كالضوء من الضوء</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مع كل نبي سراً، ومعي جهراً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صحيحة من طرق أهل السنة،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بن أبي طالب نوراً بين يدي الله تعالى قبل أن يخلق آدم بأربعة آلاف عام، فلما خلق آدم، قُسّم ذلك النور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فجزء أنا، وجزء علي</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 عن سؤال جابر بن عبد الله الأنصاري حول ولادة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خلق علياً من نوري، وخلقني من نوره، وكلانا من نور واحد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كثير من الروايات الشبيهة بهذه الروايات والمروية بأجمعها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 الفريقين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وأهل بيته بأنهم أفضل من الملائكة، وبيّن سبب ذلك في الأسبقية الوجودية، المستلزمة لأسبقيتهم في المعرفة الربوبية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عزّ وجلّ خلقاً أفضل مني، ولا أكرم عليه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نحن ما خلق آدم ولا حواء، ولا الجنة ولا سماء ولا أرض، فكيف لا نكون أفضل من الملائكة وقد سبقناهم إلى معرفة ربنا وتسبيحه وتهليله وتقديسه؟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أول ما خلق الله عزّ وجلّ أرواحنا؛ فانطلقنا بتوحيده وتحميده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مقامه بوصفه وصياً لخاتم الأنبياء، وإلى ولايته وإمامته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تفوق مقام النبوة على ما سيأتي بيانه في الفصول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مبيناً أنه سابق على النبي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وصياً وآدم بين الماء والطين</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أن النبي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كانا متحدين في النور الأول، وكانا موجودين حيث لا موجود قبلهما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الله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وكانا متحدين في الأصلاب، حتى افترقا في صلب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صلب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إِذْ لَا كَانَ؛ فَخَلَقَ الْكَانَ وَالْمَكَانَ، وَخَلَقَ نُورَ الْأَنْوَارِ الَّذِي نُوِّرَتْ مِنْهُ الْأَنْوَارُ، وَأَجْرَى فِيهِ مِنْ نُورِهِ الَّذِي نُورَتْ مِنْهُ الْأَنْوَارُ، وَهُوَ النُّورُ الَّذِي خَلَقَ مِنْهُ مُحَمَّداً وَعَلِيّاً ، فَلَمْ يَزَالا نُورَيْنِ أَوَّلَيْنِ إِذْ لَا شَيْءَ كُوِّنَ قَبْلَهُما ، فَلَمْ يَزَالَا يَجْرِيَانِ طَاهِرَيْنِ مُطَهَّرَيْنِ فِي الْأَصْلَابِ الطَّاهِرَةِ، حَتَّى افْتَرَقَا فِي أَطْهَرِ طَاهِرِينَ، فِي عَبْدِ اللَّهِ وَأَبِي طَالِبٍ</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وصف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الأئمة بأنه الوجود الأول والآخر في الخلق الإلهي، قائلاً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صفوة الله، ونحن خيرة الله، ونحن مستودع مواريث الأنبياء، ونحن أمناء الله، ونحن وجه الله، ونحن آية الهدى، ونحن العروة الوثقى، وبنا فتح الله وبنا ختم الله، ونحن الأولون ونحن الآخرون، ونحن أخيار الدهر ونواميس العصر، ونحن سادة العباد وساسة البلاد، ونحن النهج القويم والصراط المستقيم، ونحن علة الوجود وحجة المعبود</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الأحاديث النبوية المروية في كتب الفريقين أن النبي آدم بعد خلقه رأى خمسة أنوار في العرش الإلهي تشبهه؛ فسأل الله عنها،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لولاهم 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صفوتي من خلقي، أنجيهم، وبهم أهلكهم، فإذا كان لك إلي حاجة فبهؤلاء توسل</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التأكيد في كتب الفريقين على أن أهل البيت ليسوا واسطة الفيض الإلهي فحسب، بل هم وسطاء في بقاء وحفظ أصل وجود عالم الإمكان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عالم الوجود للسبب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واسطة الفيض حدوثاً وبقاءاً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أبداً من وجود الإمام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يؤيده ويؤكد عليه العرفان والعرفاء، ويعبّرون عنه بقطب العالم ومقام الولاية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تم التأكيد على ذلك في كتب الفرقين، ومن ذلك ما 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اللهِ بِحُجَّةِ، إِمَّا ظَاهِراً مَشْهُوراً ،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لَا تَبْقَى بِغَيْرِ إِمَامٍ إِلَّا أَنْ يَسْخَطَ الله تَعَالَى عَلَى أَهْلِ الْأَرْضِ أَوْ عَلَى الْعِبَادِ؛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تَبْقَى إِذا لَسَاخَتْ</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في حديث طويل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أمان أهل الأرض كما أن النجوم أمان أهل السماء، ونحن الذين بنا يُمسك الله السماء أن تقع على الأرض إلا بإذنه، وبنا يمسك بأهلها، وبنا ينزل الغيث وينشر الرحمة، ويخرج بركات الأرض، ولولا ما في الأرض منا لساخت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الله فيها ظاهر مشهور أو غائب مستور</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وردت فقرات الزيارة الجامعة بهذا المضمون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إلا وفيها إمام</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 تأييد هذه المسألة من قبل الفلاسفة المسلمين أيضاً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بيان خلاصة الكلام عبر المسألتين الآتيتين</w:t>
      </w:r>
      <w:r>
        <w:rPr>
          <w:rFonts w:eastAsia="Amiri" w:cs="Amiri" w:ascii="Amiri" w:hAnsi="Amiri"/>
          <w:color w:val="111111"/>
          <w:sz w:val="28"/>
          <w:szCs w:val="28"/>
          <w:rtl w:val="true"/>
          <w:lang w:bidi="ar-SA"/>
        </w:rPr>
        <w:t xml:space="preserve">: </w:t>
      </w:r>
      <w:bookmarkStart w:id="55" w:name="pg15658_146807"/>
    </w:p>
    <w:p>
      <w:pPr>
        <w:pStyle w:val="BookText"/>
        <w:rPr/>
      </w:pPr>
      <w:bookmarkEnd w:id="55"/>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الأئمة في العالم لم يكن أمراً حادثاً وجديداً، بل كان وجودهم الشريف والنوراني متحداً بنور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خلق عالم المادة وقبل أي وجود، على شكل وجودات شريفة متسامية وحاضرة في مقام القرب الإلهى، وإنما تجلّت ظهوراتهم في العالم المادي ضمن الجسد الإنساني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وجودهم لازماً ذاتياً لأصل خلق العالم الممكن، وكما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الذاتي لا يُعلل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يتصف وجود الأئمة بالشرف والمنزلة الوجودية، فإن أصل وجود عالم الإمكان متقوم بوجودهم، وإن وجودهم عنصر حدوث وبقاء سائر الوجودات الأخرى، ومع عدم وجودهم يتحول العالم إلى 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وجودهم ضرورياً ولازماً للحفاظ على وجود أصل الممكنات</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1030247_2142443653"/>
      <w:bookmarkStart w:id="57" w:name="_Toc19"/>
      <w:bookmarkEnd w:id="56"/>
      <w:r>
        <w:rPr>
          <w:rtl w:val="true"/>
        </w:rPr>
        <w:t>ثالثاً</w:t>
      </w:r>
      <w:r>
        <w:rPr>
          <w:rtl w:val="true"/>
        </w:rPr>
        <w:t xml:space="preserve">: </w:t>
      </w:r>
      <w:r>
        <w:rPr>
          <w:rtl w:val="true"/>
        </w:rPr>
        <w:t xml:space="preserve">وجوب معرفة الإمام </w:t>
      </w:r>
      <w:r>
        <w:rPr>
          <w:rtl w:val="true"/>
        </w:rPr>
        <w:t>:</w:t>
      </w:r>
      <w:bookmarkEnd w:id="5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بالالتفات إلى الخصائص الفريدة والفذّة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مرّ بيان بعضها في بحث فلسفة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والمرجعية الدينية، وتشريع الأحكام الفردية، والواسطة في الفيض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على كل فرد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وحتى غير المسلم أيضاً بالنظر إلى الدور الرابع الذي يمثله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يتعرف على مقام الإمامة ولو بشكل عام وإجمالي، ثم يصير بعد ذلك إلى التعرف على مصاديق الأئمة؛ وذلك لأن المعرفة الصحيحة والخالصة لتعاليم الدين العقائدية والعملية والأخلاقية، إنما يأتي من خلال المنبع الصافي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وإلا فإن معرفة كل فرد وعمله إذا لم يكن من غير قناة الأئمة سيكون عرضة للشوائب وأنواع الانحرافات، وهذا يتنافى مع الهدف من بعث الأنبياء وإنزال </w:t>
      </w:r>
    </w:p>
    <w:p>
      <w:pPr>
        <w:pStyle w:val="BookText"/>
        <w:rPr/>
      </w:pPr>
      <w:r>
        <w:rPr>
          <w:rFonts w:ascii="Amiri" w:hAnsi="Amiri" w:eastAsia="Amiri" w:cs="Amiri"/>
          <w:color w:val="111111"/>
          <w:sz w:val="28"/>
          <w:sz w:val="28"/>
          <w:szCs w:val="28"/>
          <w:rtl w:val="true"/>
          <w:lang w:bidi="ar-SA"/>
        </w:rPr>
        <w:t>الكتب والأديان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ورد في الروايات والأحاديث النبوية والولائية التأكيد على معرفة الإمام بمختلف الصيغ واعتبرت الجاهل بمقام الإمام والإمامة بحكم من يموت على الجاهلية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 لهذه الروايات فإنّ الذي يموت من دون أن يعرف إمام زمانه كأنه مات في الجاهلية وإنه في الواقع سيموت على غير الإيمان بالله واليوم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الإمام؟ هل المراد من الإمام نوع الحاكم، حتى إذا استولى على الحكم بالاحتيال والقهر والغلبة ؟ إذا كان الأمر كذلك فما هی العلاقة بين معرفة هذا الإمام وترتيب آثار الكفر والجاهلية على الجاهل 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التمعن في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 الإمامة </w:t>
      </w:r>
      <w:bookmarkStart w:id="58" w:name="pg15658_146809"/>
    </w:p>
    <w:p>
      <w:pPr>
        <w:pStyle w:val="BookText"/>
        <w:rPr/>
      </w:pPr>
      <w:bookmarkEnd w:id="58"/>
      <w:r>
        <w:rPr>
          <w:rFonts w:ascii="IRNazanin" w:hAnsi="IRNazanin" w:eastAsia="IRNazanin"/>
          <w:color w:val="111111"/>
          <w:sz w:val="28"/>
          <w:sz w:val="28"/>
          <w:szCs w:val="28"/>
          <w:rtl w:val="true"/>
          <w:lang w:bidi="fa-IR"/>
        </w:rPr>
        <w:t>والإمام، وخاصة بالنظر إلى الأحاديث المروية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بوصفهم الأئمة المنتجبين، وحجج الله، ووسطاء الفيض السلام الإلهي، وعلة بقاء أصل الوجود، ندرك أن المراد من ضرورة معرفة الإمام هو الإمام الحقيقى والكامل المتجسّد في الأئمة الأطهار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الادعاء يثبت من لزوم التناسب والسنخية بين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الجاهلية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 وجود كثير من الروايات التي تطبق هذه الروايات على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الذي يجهلهم ولا يعرفهم ويموت على ذلك، يموت ميتة جاهلية</w:t>
      </w:r>
      <w:r>
        <w:rPr>
          <w:rFonts w:eastAsia="IRNazanin" w:cs="IRNazanin"/>
          <w:color w:val="111111"/>
          <w:sz w:val="28"/>
          <w:szCs w:val="28"/>
          <w:rtl w:val="true"/>
          <w:lang w:bidi="fa-IR"/>
        </w:rPr>
        <w:t>.</w:t>
      </w:r>
    </w:p>
    <w:p>
      <w:pPr>
        <w:pStyle w:val="Heading3"/>
        <w:numPr>
          <w:ilvl w:val="2"/>
          <w:numId w:val="1"/>
        </w:numPr>
        <w:rPr/>
      </w:pPr>
      <w:bookmarkStart w:id="59" w:name="__RefHeading___Toc11030249_2142443653"/>
      <w:bookmarkStart w:id="60" w:name="_Toc20"/>
      <w:bookmarkEnd w:id="59"/>
      <w:r>
        <w:rPr>
          <w:rtl w:val="true"/>
        </w:rPr>
        <w:t>رابعاً</w:t>
      </w:r>
      <w:r>
        <w:rPr>
          <w:rtl w:val="true"/>
        </w:rPr>
        <w:t xml:space="preserve">: </w:t>
      </w:r>
      <w:r>
        <w:rPr>
          <w:rtl w:val="true"/>
        </w:rPr>
        <w:t>إثبات نظرية الشيعة في تنصيب الإمام</w:t>
      </w:r>
      <w:r>
        <w:rPr>
          <w:rtl w:val="true"/>
        </w:rPr>
        <w:t>:</w:t>
      </w:r>
      <w:bookmarkEnd w:id="60"/>
    </w:p>
    <w:p>
      <w:pPr>
        <w:pStyle w:val="Heading4"/>
        <w:numPr>
          <w:ilvl w:val="3"/>
          <w:numId w:val="1"/>
        </w:numPr>
        <w:rPr/>
      </w:pPr>
      <w:bookmarkStart w:id="61" w:name="__RefHeading___Toc11030251_2142443653"/>
      <w:bookmarkStart w:id="62" w:name="_Toc21"/>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إنّ إمامة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وعلى رأسهم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صبا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يمكن إثباتها من ثلاثة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والسنة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الآيات والروايات المثبتة لإمامة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فسوف يأتي تفصيل الكلام حولها في فصل شبهات حول أصل تنصيب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سنكتفي هنا بالإشارات العابرة تحت العناوين الآتية</w:t>
      </w:r>
      <w:r>
        <w:rPr>
          <w:rFonts w:eastAsia="IRNazanin" w:cs="IRNazanin"/>
          <w:color w:val="111111"/>
          <w:sz w:val="28"/>
          <w:szCs w:val="28"/>
          <w:rtl w:val="true"/>
          <w:lang w:bidi="fa-IR"/>
        </w:rPr>
        <w:t>:</w:t>
      </w:r>
    </w:p>
    <w:p>
      <w:pPr>
        <w:pStyle w:val="Heading4"/>
        <w:numPr>
          <w:ilvl w:val="3"/>
          <w:numId w:val="1"/>
        </w:numPr>
        <w:rPr/>
      </w:pPr>
      <w:bookmarkStart w:id="63" w:name="__RefHeading___Toc11030253_2142443653"/>
      <w:bookmarkStart w:id="64" w:name="_Toc22"/>
      <w:bookmarkEnd w:id="63"/>
      <w:r>
        <w:rPr>
          <w:rtl w:val="true"/>
        </w:rPr>
        <w:t>أولاً</w:t>
      </w:r>
      <w:r>
        <w:rPr>
          <w:rtl w:val="true"/>
        </w:rPr>
        <w:t xml:space="preserve">: </w:t>
      </w:r>
      <w:r>
        <w:rPr>
          <w:rtl w:val="true"/>
        </w:rPr>
        <w:t>الاتجاه النقلي</w:t>
      </w:r>
      <w:r>
        <w:rPr>
          <w:rtl w:val="true"/>
        </w:rPr>
        <w:t>:</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تقدمت الإشارة إلى وجود كثير من الآيات والروايات المتعددة والمتواترة أحياناً في دلالتها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أمر يثبت النظرية القائلة بكون الإمامة بالتنصيب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وعلاوة على هذه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w:t>
      </w:r>
      <w:bookmarkStart w:id="65" w:name="pg15658_146810"/>
    </w:p>
    <w:p>
      <w:pPr>
        <w:pStyle w:val="BookText"/>
        <w:rPr/>
      </w:pPr>
      <w:bookmarkEnd w:id="65"/>
      <w:r>
        <w:rPr>
          <w:rFonts w:ascii="IRNazanin" w:hAnsi="IRNazanin" w:eastAsia="IRNazanin"/>
          <w:color w:val="111111"/>
          <w:sz w:val="28"/>
          <w:sz w:val="28"/>
          <w:szCs w:val="28"/>
          <w:rtl w:val="true"/>
          <w:lang w:bidi="fa-IR"/>
        </w:rPr>
        <w:t xml:space="preserve">ستأتي في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تصريح في بعض النصوص الواردة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بكون أصل الحكم بعده يكون بتنصيب من قبل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في قصة إسلام قبيلة بني عامر ، حيث اشترطوا على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لهم الأمر بعد رحيله؛ فرفض النبي هذا الشرط منهم، معللاً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إلى الله يضعه حيث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رصد التاريخ حالات أخرى مشابهة لهذه الحادثة؛ حيث اشترطت قبيلةكندة</w:t>
      </w:r>
      <w:r>
        <w:rPr>
          <w:rStyle w:val="FootnoteAnchor"/>
          <w:rtl w:val="true"/>
        </w:rPr>
        <w:footnoteReference w:id="71"/>
      </w:r>
      <w:r>
        <w:rPr>
          <w:rFonts w:ascii="Amiri" w:hAnsi="Amiri" w:eastAsia="Amiri" w:cs="Amiri"/>
          <w:color w:val="111111"/>
          <w:sz w:val="28"/>
          <w:sz w:val="28"/>
          <w:szCs w:val="28"/>
          <w:rtl w:val="true"/>
          <w:lang w:bidi="ar-SA"/>
        </w:rPr>
        <w:t>، واشترط عامر بن الطفيل، وأربد بن قيس</w:t>
      </w:r>
      <w:r>
        <w:rPr>
          <w:rStyle w:val="FootnoteAnchor"/>
          <w:rtl w:val="true"/>
        </w:rPr>
        <w:footnoteReference w:id="72"/>
      </w:r>
      <w:r>
        <w:rPr>
          <w:rFonts w:ascii="Amiri" w:hAnsi="Amiri" w:eastAsia="Amiri" w:cs="Amiri"/>
          <w:color w:val="111111"/>
          <w:sz w:val="28"/>
          <w:sz w:val="28"/>
          <w:szCs w:val="28"/>
          <w:rtl w:val="true"/>
          <w:lang w:bidi="ar-SA"/>
        </w:rPr>
        <w:t>، أن يكون لهم الأمر بعد رحيله؛ فكان الجواب هو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واللافت في توضيح الأمر هنا أن ما كانت تطالب به هذه القبائل المختلفة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منحهم الحكم والسلطة السياسية التي ينظر إليها أهل السنة بوصفها مسألة فقهية تدخل في صلاحية الأمة واختيارها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يصفها بأنها حق إلهي</w:t>
      </w:r>
      <w:r>
        <w:rPr>
          <w:rFonts w:eastAsia="IRNazanin" w:cs="IRNazanin"/>
          <w:color w:val="111111"/>
          <w:sz w:val="28"/>
          <w:szCs w:val="28"/>
          <w:rtl w:val="true"/>
          <w:lang w:bidi="fa-IR"/>
        </w:rPr>
        <w:t>.</w:t>
      </w:r>
    </w:p>
    <w:p>
      <w:pPr>
        <w:pStyle w:val="Heading4"/>
        <w:numPr>
          <w:ilvl w:val="3"/>
          <w:numId w:val="1"/>
        </w:numPr>
        <w:rPr/>
      </w:pPr>
      <w:bookmarkStart w:id="66" w:name="__RefHeading___Toc11030255_2142443653"/>
      <w:bookmarkStart w:id="67" w:name="_Toc23"/>
      <w:bookmarkEnd w:id="66"/>
      <w:r>
        <w:rPr>
          <w:rtl w:val="true"/>
        </w:rPr>
        <w:t>ثانياً</w:t>
      </w:r>
      <w:r>
        <w:rPr>
          <w:rtl w:val="true"/>
        </w:rPr>
        <w:t xml:space="preserve">: </w:t>
      </w:r>
      <w:r>
        <w:rPr>
          <w:rtl w:val="true"/>
        </w:rPr>
        <w:t xml:space="preserve">الاتجاه التحليلي والعقلي </w:t>
      </w:r>
      <w:r>
        <w:rPr>
          <w:rtl w:val="true"/>
        </w:rPr>
        <w:t>:</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الآخر الذي يمكن تناوله بالبحث والدراسة في تحليل مسألة القيادة وخلافة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عن تحليل عقلي واجتماعي، يأخذ بنظر الاعتبار ظروف ذلك العصر، وذلك على النحو الآتى</w:t>
      </w:r>
      <w:r>
        <w:rPr>
          <w:rFonts w:eastAsia="IRNazanin" w:cs="IRNazanin"/>
          <w:color w:val="111111"/>
          <w:sz w:val="28"/>
          <w:szCs w:val="28"/>
          <w:rtl w:val="true"/>
          <w:lang w:bidi="fa-IR"/>
        </w:rPr>
        <w:t xml:space="preserve">: </w:t>
      </w:r>
      <w:bookmarkStart w:id="68" w:name="pg15658_146811"/>
    </w:p>
    <w:p>
      <w:pPr>
        <w:pStyle w:val="Heading4"/>
        <w:numPr>
          <w:ilvl w:val="3"/>
          <w:numId w:val="1"/>
        </w:numPr>
        <w:rPr/>
      </w:pPr>
      <w:bookmarkStart w:id="69" w:name="__RefHeading___Toc11030257_2142443653"/>
      <w:bookmarkStart w:id="70" w:name="_Toc24"/>
      <w:bookmarkEnd w:id="68"/>
      <w:bookmarkEnd w:id="69"/>
      <w:r>
        <w:rPr>
          <w:rtl w:val="true"/>
        </w:rPr>
        <w:t>النبي الأكرم</w:t>
      </w:r>
      <w:r>
        <w:rPr>
          <w:rtl w:val="true"/>
        </w:rPr>
        <w:t>(</w:t>
      </w:r>
      <w:r>
        <w:rPr>
          <w:rtl w:val="true"/>
        </w:rPr>
        <w:t>صلی الله علیه و آله و سلم</w:t>
      </w:r>
      <w:r>
        <w:rPr>
          <w:rtl w:val="true"/>
        </w:rPr>
        <w:t>)</w:t>
      </w:r>
      <w:r>
        <w:rPr>
          <w:rtl w:val="true"/>
        </w:rPr>
        <w:t>على مفترق ثلاثة طرق</w:t>
      </w:r>
      <w:r>
        <w:rPr>
          <w:rtl w:val="true"/>
        </w:rPr>
        <w:t>:</w:t>
      </w:r>
      <w:bookmarkEnd w:id="70"/>
    </w:p>
    <w:p>
      <w:pPr>
        <w:pStyle w:val="BookText"/>
        <w:rPr/>
      </w:pPr>
      <w:r>
        <w:rPr>
          <w:rFonts w:ascii="IRNazanin" w:hAnsi="IRNazanin" w:eastAsia="IRNazanin"/>
          <w:color w:val="111111"/>
          <w:sz w:val="28"/>
          <w:sz w:val="28"/>
          <w:szCs w:val="28"/>
          <w:rtl w:val="true"/>
          <w:lang w:bidi="fa-IR"/>
        </w:rPr>
        <w:t>لقد أقام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جهوده المضنية التي استمرت لأكثر من عقدين من الزمن على تحمّل أعباء الرسالة والنبوة، برعمين يافعين باسم الدين الإسلامي الحنيف والدولة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كان هذان البرعمان يافعين، استدعى ذلك ضرورة العمل على حفظهما وصيانتهما من أنواع الآفات، وإن عمر النبي لم يكن كافياً لضمان هذه الصيانة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في حين كان الخطر الخارجي متمثلاً بوجود الروم وإيران القديمة والخطر الداخلي متمثلاً بتيار المنافقين يهدد أصل وجود الإسلام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يطرح السؤال الآتي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فكر النبي الأكر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بوسيلة تضمن البقاء والاستمرار لهذين البرعمين اليافعين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المتمثلين بالإسلام وأصل الحكومة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أنه ترك الأمور على عواهنها؟</w:t>
      </w:r>
    </w:p>
    <w:p>
      <w:pPr>
        <w:pStyle w:val="BookText"/>
        <w:rPr/>
      </w:pPr>
      <w:r>
        <w:rPr>
          <w:rFonts w:ascii="Amiri" w:hAnsi="Amiri" w:eastAsia="Amiri" w:cs="Amiri"/>
          <w:color w:val="111111"/>
          <w:sz w:val="28"/>
          <w:sz w:val="28"/>
          <w:szCs w:val="28"/>
          <w:rtl w:val="true"/>
          <w:lang w:bidi="ar-SA"/>
        </w:rPr>
        <w:t>في البداية يوجد هناك ثلاثة احتمالات يمكن تصورها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اتخاذ الموقف السلبي تجاه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بأن يلتزم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الصمت تجاه الحاكم والخليفة الذي يليه، فليس هناك تحديد علي للحاكم والحكم ولا نوع الحكم، وما إذا كان لشخص واحد أو لشورى من عدة 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ضعف هذا الاحتمال سيتضح من خلال الأدلة والشواهد التي سنأتي على ذكرها في الصفحات القادمة بشأن وجوب تنصيب الإمام والحاكم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تخويل الأمر إلى الناس في إطار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الاحتمال الثاني أن يتخذ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موقفاً إيجابياً تجاه مسألة الحكم وإدارة الدولة من بعده، ولكن من خلال تعيين الشورى أو أفراد من النخبة، أو البيعة</w:t>
      </w:r>
      <w:r>
        <w:rPr>
          <w:rFonts w:eastAsia="IRNazanin" w:cs="IRNazanin"/>
          <w:color w:val="111111"/>
          <w:sz w:val="28"/>
          <w:szCs w:val="28"/>
          <w:rtl w:val="true"/>
          <w:lang w:bidi="fa-IR"/>
        </w:rPr>
        <w:t xml:space="preserve">. </w:t>
      </w:r>
      <w:bookmarkStart w:id="71" w:name="pg15658_146812"/>
    </w:p>
    <w:p>
      <w:pPr>
        <w:pStyle w:val="BookText"/>
        <w:rPr/>
      </w:pPr>
      <w:bookmarkEnd w:id="71"/>
      <w:r>
        <w:rPr>
          <w:rFonts w:ascii="Amiri" w:hAnsi="Amiri" w:eastAsia="Amiri" w:cs="Amiri"/>
          <w:color w:val="111111"/>
          <w:sz w:val="28"/>
          <w:sz w:val="28"/>
          <w:szCs w:val="28"/>
          <w:rtl w:val="true"/>
          <w:lang w:bidi="ar-SA"/>
        </w:rPr>
        <w:t>وعلى الرغم من أن الإشكالات السابقة لا تتجه على هذا الاحتمال، ولكنه لا ينجو من بعض الإشكالات الأخرى، التي نجملها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يبرز هناك تحد في اختيار شخص من أعضاء الشورى بسبب هيمنة الأغراض والأهواء على أعضاء هذه الشورى، وهو أمر سيكون مثاراً لتأجيج نار الخلاف والفتنة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لا يتصف أعضاء الشورى بالعصمة، فقد تتحكم فيهم العواطف والمحسوبيات والأهواء، بدلاً من تحكيم الملاكات الحقيقية، كما حصل ذلك بالفعل في الشورى التي اختارها الخليفة الثاني، حيث مالت كفتها لصالح عثمان رغم وجود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كواحد من المرشحين في هذه 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أي توجد أي وثيقة معتبرة ولا غير معتبرة تثبت وجود شورى يراد منها تعيين الإمام والخليفة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يوجد هناك قائل بهذا الاحتمال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تعيين وتنصيب الشخص الأصلح الاحتمال والفرضية الثالثة أن يعمد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خلال معرفته بأصحابه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اختيار الأصلح والأفضل من بينهم لإدارة هذين البرعمين اليافعين وصيانتهما وحفظهما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مختار الشيعة، حيث يعمدون أولاً إلى إثبات ضرورة نظرية التنصيب، ثم يبحثون بعد ذلك عن مصاديقها</w:t>
      </w:r>
      <w:r>
        <w:rPr>
          <w:rFonts w:eastAsia="IRNazanin" w:cs="IRNazanin"/>
          <w:color w:val="111111"/>
          <w:sz w:val="28"/>
          <w:szCs w:val="28"/>
          <w:rtl w:val="true"/>
          <w:lang w:bidi="fa-IR"/>
        </w:rPr>
        <w:t>.</w:t>
      </w:r>
    </w:p>
    <w:p>
      <w:pPr>
        <w:pStyle w:val="Heading4"/>
        <w:numPr>
          <w:ilvl w:val="3"/>
          <w:numId w:val="1"/>
        </w:numPr>
        <w:rPr/>
      </w:pPr>
      <w:bookmarkStart w:id="72" w:name="__RefHeading___Toc11030259_2142443653"/>
      <w:bookmarkStart w:id="73" w:name="_Toc25"/>
      <w:bookmarkEnd w:id="72"/>
      <w:r>
        <w:rPr>
          <w:rtl w:val="true"/>
        </w:rPr>
        <w:t xml:space="preserve">الأدلة والشواهد على وجوب التنصيب </w:t>
      </w:r>
      <w:r>
        <w:rPr>
          <w:rtl w:val="true"/>
        </w:rPr>
        <w:t>:</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ننتقل الآن إلى تقرير نظرية وجوب التنصيب وإثباتها بالأدلة والشواهد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الأخطار الخارجية والداخلية التي تهدّد الإسلام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أشرنا إلى أنّ الأخطار الخارجية والداخلية المتمثلة بالمنافقين والذين يدعون النبوة من أمثال مسيلمة الكذاب، وما سوى ذلك من الأمور كانت تهدد الحكومة الإسلامية، والأهم من ذلك خطر تحريف التعاليم الإسلامية وما إلى ذلك من البدع، كانت تحتم على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يترك أمته نهباً لجميع هذه الأخطار، ومع الالتفات إلى علمه اللدني يتحتم عليه أن يحدد الشخص المناسب كي يتصدى للمرجعية العلمية والدينية والسياسية، وينصبه إماماً وخليفة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الشخص القروي لا يترك قطيع أغنامه من دون من يرعاه، فهل يعقل بنبي مثل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يترك أمته من دون أن يستخلف عليها من يرعى مصالحها؟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التنصيب عنصر الصيانة والوحدة ومنع الخلافات القومية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تتكون المجتمعات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والأمم بشكل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مناطق وقبائل وأعراق ولغات مختلفة ومتنوعة، ويسعى كل مكوّن فيها إلى الاستيلاء على السلطة أو أن يكون له في الحد الأدنى حصة تتناسب وحجمه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التنوع والاختلاف يؤدّيان إلى النزاع والتخاصم، وقد يؤدّيان إلى اندلاع الحروب الداخلية وإزهاق الأرواح وإراقة الدماء، والمثال البارز على ذلك يتجلى في الحروب التي كانت تتفجر من حين لآخر بين قبيلتي الأوس والخزرج في المدينة قبل دخول النبي إليها، فلم تلق تلك الحروب أوزارها إلا بعد اعتناق كلتا القبيلتين للإسلام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قويت شوكة الإسلام على يد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انتشر أتباعه في مختلف المناطق والقبائل، وتنافس القطبان القويان في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بينهما وأخذا يضمران التخطيط للاستيلاء على السلطة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يؤيد ذلك ما حصل في سقيفة بني ساعدة، فعلى الرغم من أن جسد الرسول لم يجهز للغسل والتكفين والتشييع والدفن بعد حتى اجتمع الأنصار في موضع لهم باسم السقيفة، واختاروا لأنفسهم شخصاً وهو سعد بن عبادة ليكون رئيساً عليهم؛ وما أن تناهى خبر ذلك إلى عمر وأبي بكر حتى هرعا إلى المكان، ليُعلنا من هناك بأن قادة قريش لن يقبلوا بقيادة الأنصار عليهم، وتمسّكا لذلك بحديث روياه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والخلافة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يضمن أبو بكر نجاح خطته بسلام قطع وعداً للأنصار بأن تكون لهم الوزارة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يظهر من خلال هذا المشهد والمقطع التاريخي وجود نص نبوي حسم النزاع لصالح أبي بكر، وحال دون استمرار الخلاف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يمكن هذا النص العام والمبهم أن يؤدي بدوره إلى احتدام النزاع بين بطون قريش نفسها فيمن هو أحق من غيره في استلام السلطة؟ فقد اشتملت قريش على آلاف الأشخاص الذين يمكن أن يبرز من بينهم عشرات الرجال الذين يدعون لأنفسهم الأفضلية على الآخرين في تولى السلطة وإدارة الأمة، كما حصل ذلك في نفس حادثة السقيفة حيث بادر عمر بن الخطاب وقام بإهداء الخلافة إلى أبي بكر ، وقام هذا في المقابل بتنصيب عمر خليفة من بعده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حكمة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تقديم مصلحة الأمة على مصلحته الخاصة لاندلعت حرب بسبب عدم استيعاب الشيعة لخلافة أبي بكر، وتم القضاء على برعم الحكومة الإسلامية اليافع، ولم تقم للإسلام بعد ذلك من قائمة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كان بإمكان النص الخاص على شخص بعينه، وتطبيق ذلك النص على أرض الواقع أن يحول دون الاختلاف واندلاع الحرب، ويضمن رفعة الإسلام وتقدمه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أكد بعض الفلاسفة هذه الحقيقة؛ إذ يقول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الاستخلاف بالنص أصوب؛ فإن ذلك لا يؤدى إلى التشعب والتشاغب والاختلاف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بالأصلح وضرورة التعريف به وتنصيبه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أن قلنا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علم بذلك الشخص الأصلح من جميع الجهات للتصدي للمرجعية الدينية والسياسية، وذلك من خلال القنوات الاعتيادية ومن قناة الوحي أيضاً، وعليه إذا لم يُقدِم النبي الأكرم على تنصيب ذلك الفرد في هذا المقام، فإنه لن يحرم أمته من القيادة الدينية والسياسية لهذا الفرد الأصلح فحسب، بل سوف يسهم بشكل من الأشكال في أن يتصدى غير الأصلح لهذا الأمر، ولا يخفى ما في ذلك من مخاطر على الإسلام الفتي والحكم اليافع</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هذا الاحتمال بعيد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المتصف بالحكمة والإخلاص للدين والأمة، بل مستحيل عليه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يحكم بتقديم الفاضل على المفضول، وترجيح الأصلح على الصالح، وقد أيّد القرآن الكريم هذا الحكم العقلي 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هذا الأساس يجب أن يكون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بوصفه واحداً من العقلاء بل هو أعقلهم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مطلعاً ومدركاً لهذا الحكم العقلي، وأن يقوم على تطبيقه أيضاً، ولازم هذا التطبيق هو تعيين الفرد الأصلح وتسميته للأمة، وإلا لزم من ذلك مخالفة حكم العقل، وهذا لا يتناسب مع شأن النبي ومنزلته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الإمام تقتضي التنصيب</w:t>
      </w:r>
    </w:p>
    <w:p>
      <w:pPr>
        <w:pStyle w:val="BookText"/>
        <w:rPr/>
      </w:pPr>
      <w:r>
        <w:rPr>
          <w:rFonts w:ascii="Amiri" w:hAnsi="Amiri" w:eastAsia="Amiri" w:cs="Amiri"/>
          <w:color w:val="111111"/>
          <w:sz w:val="28"/>
          <w:sz w:val="28"/>
          <w:szCs w:val="28"/>
          <w:rtl w:val="true"/>
          <w:lang w:bidi="ar-SA"/>
        </w:rPr>
        <w:t xml:space="preserve">تقدم في البحث عن فلسفة الإمامة أن الإمام الذي يُراد لحفظ الدين وصيانته بشكل صحيح، يجب أن يكون معصوماً؛ ليكون تفسيره معتبراً وحجة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البحث التفصيلى حول العصمة في الفصل الخاص بشبهة التنافي بين الإمامة والخاتمية على هامش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هذه الرؤية إلى الإمامة وشخص الإمام، يتضح أن الطرق الأخرى لتعيين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الشورى والبيعة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ممكنة؛ لأن أعضاء الشورى والبيعة لا طريق لهم إلى العلم بعصمة ذلك الشخص، إذ إن علم ذلك منحصر في الله سبحانه وتعالى، وهو علم ينتقل من الله إلى رسوله عن طريق الوحي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الإمام من لوازم خلود الدين وخاتميته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جميع الأديان والشرائع السماوية السابقة شرائع مرحلية ومؤقتة، بمعنى أن الدين اللاحق ينسخ الدين السابق، وفي هذه الحالة لا يكون تعيين الخليفة في تلك الأديان على درجة عالية من الأهمية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الدين الإسلامي فإنه يمتاز من سائر الأديان الأخرى بالخاتمية والخلود والعالمية، بمعنى </w:t>
      </w:r>
    </w:p>
    <w:p>
      <w:pPr>
        <w:pStyle w:val="BookText"/>
        <w:rPr/>
      </w:pPr>
      <w:r>
        <w:rPr>
          <w:rFonts w:ascii="Amiri" w:hAnsi="Amiri" w:eastAsia="Amiri" w:cs="Amiri"/>
          <w:color w:val="111111"/>
          <w:sz w:val="28"/>
          <w:sz w:val="28"/>
          <w:szCs w:val="28"/>
          <w:rtl w:val="true"/>
          <w:lang w:bidi="ar-SA"/>
        </w:rPr>
        <w:t>أنه لا وجود لنبي أو دين بعد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الدين لا بد له من وجود إمام يعمل على حمايته وصيانته وحفظ مكانته في العالم، والحيلولة دون تحريفه وظهور البدع فيه، ويجب أن يكون هذا الإمام على مستوى هذا الدين وعالميته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كتبت شرحاً تفصيلياً وافياً حول العلاقة بين الإمامة والخاتمية في كتاب لي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فعلى القارئ الكريم إذا أراد التفصيل مراجعة ذلك الشرح</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الخليفة منهج متبع لدى جميع الأنبياء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الرغم مما تقدّم من القول بأن الاستخلاف وتعيين الخليفة أكثر تناسباً وسنخية مع الدين الخاتم منه إلى الأديان الأخرى، ولكننا عندما ننظر فى سيرة الأنبياء السابقين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الأنبياء العظام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نجدهم يهتمون بتسمية خليفة لهم يحرس ذلك المقدار من الشرائع المؤقتة التي يتركونها للأجيال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نجد أول أنبياء الله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وبعده شيث وأوقينان وصولاً إلى خاتم الأنبياء، يعيّنون وصيهم والخليفة بعدهم بأمر من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كتب أبو الحسن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بأسماء خلفاء الأنبياء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فكيف يمكن القول بأن الأنبياء السابقين يهتمون بتسمية من يخلفهم رغم عدم الحاجة الماسة إلى ذلك، ولا يقوم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بتسمية من يخلفه، مع أنه خاتم الأنبياء، ودينه خاتم الأديان؟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القرآن الكريم بتعيين الخليفة والوصي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في جملة تعاليمه يأمر المسلمين بكتابة الوصية لما بعد موتهم، إذ يقول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هاهو القرآن يُبدي كلّ هذا الاهتمام بكتابة الوصية وضرورتها حتى في الأمور الجزئية التي تتعلق بشؤون الأسرة، ويُلزم المسلمين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يمكن أن لا يبدي اهتماماً مماثلاً بالنسبة إلى ما اهتماماً مماثلاً بالنسبة إلى ما هو أخطر من ذلك من الأمور التي تتعلق بمصير الأمة بأسرها، فلا يأمر نبيه بتعيين خليفة له، ليقوم بعده بأعباء الأمة على المستوى الديني والسياسي؟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يمكن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يتجاوز مسألة على مثل هذا المستوى من الأهمية والخطورة؟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ينطوي مثل هذا الكلام على الطعن بشخصية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عدم تطبيقه لهذه الآية فيما يتعلق بمصالح أمته، وهو الحريص على مصلحتها؟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الخليفة منهج للنبي الأكرم في إدارة الدولة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نطالع منهج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إدارة الحكم، ندرك أنه في مختلف أسفاره، من قبيل مشاركته في الحروب حيث كان يغيب عن المدينة المنورة لبضعة أيام، كان يترك فيها من يخلفه؛ ليقوم بأعباء الأمور الإدارية ،والسياسية، وكان من بين الذين استخلفهم النبي من الصحابة طبقاً لأهمية الموقف وخطورة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وعبد الله بن </w:t>
      </w:r>
    </w:p>
    <w:p>
      <w:pPr>
        <w:pStyle w:val="BookText"/>
        <w:rPr/>
      </w:pPr>
      <w:r>
        <w:rPr>
          <w:rFonts w:ascii="Amiri" w:hAnsi="Amiri" w:eastAsia="Amiri" w:cs="Amiri"/>
          <w:color w:val="111111"/>
          <w:sz w:val="28"/>
          <w:sz w:val="28"/>
          <w:szCs w:val="28"/>
          <w:rtl w:val="true"/>
          <w:lang w:bidi="ar-SA"/>
        </w:rPr>
        <w:t>مكتوم، ومعاذ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للنبي الذي يبدي هذا المستوى من الاهتمام بمسائل الحكم والدولة، حتى أنه لا يترك الأمور دون أن يستخلف من يقوم بأعبائها في غيابه لفترة قصيرة جداً، ولا يبدي ذات الاهتمام لما بعد رحيله؟</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عدم النصّ أفضلية الخليفتين الأولين على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عندما نطالع تاريخ الخليفتين الأولين يثبت لنا أنهما لم يعيرا أهمية للبيعة وانتخاب الناس، وإنما عمد كل منهما إلى تعيين الخليفة وتنصيبه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 بكر يوصي في مرض موته عثمان بن عفان أن يكتب لعمر بالخلافة بعده، وطلب من الناس أن يمتثلوا لأوامره،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استخلفت عليكم عمر بن الخطاب، فاسمعوا وأطيعوه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عمد عمر بن الخطاب قبيل موته إلى ضرب البيعة واختيار الناس عرض الجدار، فإنه وإن لم يسم شخصاً بعينه خليفة له، ولكنه جعلها في ستة،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وطلحة، والزبير بن العوام، وسعد بن أبي وقاص،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يختاروا واحداً منهم ليكون خليفة وحاكماً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سيأتي في نص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الأمور في هذه الشورى كانت محسومة سلفاً لصالح عثمان بن عفان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هذا الأساس يتضح أن الخليفة الأول والخليفة الثاني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مدركين ومهتمين بمستقبل الحكم ومستقبل الدين بحسب الظاهر، واتخذا لذلك الإجراءات الكفيلة بالحيلولة دون حدوث أي خطر محتمل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بذل كل ما عنده من أجل الدين الإسلامي الحنيف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الخليفتين الأولين في الاهتمام بمستقبل الدين والحكم والأمة ؟ وعلى أهل السنة ان يجيبوا عن سلوك الخليفة الأول في تعيين خليفته، وما إذا كان مشروعاً وخالياً من المحاذير أم لا؟</w:t>
      </w:r>
    </w:p>
    <w:p>
      <w:pPr>
        <w:pStyle w:val="BookText"/>
        <w:rPr/>
      </w:pPr>
      <w:r>
        <w:rPr>
          <w:rFonts w:ascii="IRNazanin" w:hAnsi="IRNazanin" w:eastAsia="IRNazanin"/>
          <w:color w:val="111111"/>
          <w:sz w:val="28"/>
          <w:sz w:val="28"/>
          <w:szCs w:val="28"/>
          <w:rtl w:val="true"/>
          <w:lang w:bidi="fa-IR"/>
        </w:rPr>
        <w:t>لو كان ما قام به الخليفتان غير مشروع ولم يكن خالياً من المحذور، فليس لنا هنا كلام، سوى أن أهل السنة يكونون بذلك قد اعترفوا بعدم مشروعية ما قام به الشيخان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ما قاما به مشروعاً وعقلانياً وعقلائياً، فالسؤال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يق ، 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بالشيء نفسه؟ هل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اتصاله بالوحي غير مدرك لأهمية ذلك على مستوى الثبوت والمعرفة، أم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تعمد أن يتجاهل مصلحة المجتمع والدين وترك الأمة لحالها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لازم هذا الكلام من أهل السنة هو أن الشيخين 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رسول الله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اللازم لا يمكن الالتزام به حتى من قبل أهل السنة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 أهل السنة هذا التحدّي منذ القرون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 ابن أبي الحديد عند شرحه لمقاطع من نهج البلاغة تدل على أصل التنصيب، مستدلاً لذلك بالخوف والخشية من نسبة الصحابة إلى مخالفة نص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جاء في شرح الفقرة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كانت أثرة شحت عليها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الخطبة رقم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وقد نقل أنه سأل أستاذه أبي جعفر يحيى بن محمد </w:t>
      </w:r>
    </w:p>
    <w:p>
      <w:pPr>
        <w:pStyle w:val="BookText"/>
        <w:rPr/>
      </w:pPr>
      <w:r>
        <w:rPr>
          <w:rFonts w:ascii="Amiri" w:hAnsi="Amiri" w:eastAsia="Amiri" w:cs="Amiri"/>
          <w:color w:val="111111"/>
          <w:sz w:val="28"/>
          <w:sz w:val="28"/>
          <w:szCs w:val="28"/>
          <w:rtl w:val="true"/>
          <w:lang w:bidi="ar-SA"/>
        </w:rPr>
        <w:t>العلوي الذين هضموا حق الإمام في الحكم، هل المراد منه حادثة السقيفة أم الشورى التي دعا إليها عمر بن الخطاب وانتهت باختيار عثمان بن عفان؟ كان جوابه أن المراد من ذلك حادثة السقيفة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يقر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لا تطاوعه باتهام</w:t>
      </w:r>
    </w:p>
    <w:p>
      <w:pPr>
        <w:pStyle w:val="BookText"/>
        <w:rPr/>
      </w:pPr>
      <w:r>
        <w:rPr>
          <w:rFonts w:ascii="IRNazanin" w:hAnsi="IRNazanin" w:eastAsia="IRNazanin"/>
          <w:color w:val="111111"/>
          <w:sz w:val="28"/>
          <w:sz w:val="28"/>
          <w:szCs w:val="28"/>
          <w:rtl w:val="true"/>
          <w:lang w:bidi="fa-IR"/>
        </w:rPr>
        <w:t>الصحابة بمعصية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نفسي لا تسامحني أن أنسب صلى إلى الصحابة عصيان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يجيبه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أستاذه الذي ويصفه بالانصاف ورجاحة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حصيفاً يقول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فلا تسامحني أيضا نفسي أن أنسب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إهمال أمر الإمامة وأن يترك الناس فوضى سدى مهملين وقد كان لا يغيب عن المدينة إلا ويؤمر عليها أميراً وهو حي ليس بالبعيد عنها، فكيف لا يؤمر وهو ميت لا يقدر على استدراك ما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يستمر أبو جعفر بتفصيل الجواب حتى يقول له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أحسنت فيما قلت</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دون التنصيب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يتعلق بالنقطة الأخيرة في نظرية التنصيب عند الشيعة، يجب القول </w:t>
      </w:r>
    </w:p>
    <w:p>
      <w:pPr>
        <w:pStyle w:val="BookText"/>
        <w:rPr/>
      </w:pPr>
      <w:r>
        <w:rPr>
          <w:rFonts w:ascii="IRNazanin" w:hAnsi="IRNazanin" w:eastAsia="IRNazanin"/>
          <w:color w:val="111111"/>
          <w:sz w:val="28"/>
          <w:sz w:val="28"/>
          <w:szCs w:val="28"/>
          <w:rtl w:val="true"/>
          <w:lang w:bidi="fa-IR"/>
        </w:rPr>
        <w:t>إن الشيعة بالاستناد إلى الآيات وصريح الروايات النبوية يعتقدون بأن الوجود النوراني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محط اهتمام الله حتى قبل خلق العالم المادي، وقد اكتسب في الدنيا جميع الفضائل التي يجب توفّرها في الإنسان الكامل على المستوى الفردي والاجتماعي والديني والسياسي، وعليه يكون الإمام منذ أن بدأ رسالته الإسلامية حائزاً على ملاك خلافة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لم يكن بحاجة إلى تنصيب وتعيين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التنصيب والتعيين من الصفات الاعتبارية المتعلقة بالأمور الجعلية، في حين أن منصب الخلافة عن النبي أمر تكويني وحقيقي، وأن الذي تتوفر فيه صفاته يكون مؤهلاً لهذا المنصب تلقائياً من دون حاجة إلى جعل وتنصيب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الجعل والتنصيب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مقام الجعل الحقيقي، بل هو في مقام الإرشاد إلى المصداق الحقيقي والتكويني، وهو في الحقيقة كاشف عن المقام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 في معرض نقد شبهة التوريث في الإمامة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الإشكالات الفقهية والحقوقية الواردة على نظرية الخصم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الانتخاب</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النظرية المقابلة وهي القائلة بانتخاب الخليفة عن طريق الشورى 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بيعة السقيفة التي كانت من قبل بضعة نفر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فاقدة للمشروعية الدينية، على ما سيأتي تفصيله في نقد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انسجام الإمامة مع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وفي نقد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التنصيب عنصر اختلاف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الرابع إن شاء الله تعالى</w:t>
      </w:r>
      <w:r>
        <w:rPr>
          <w:rFonts w:eastAsia="Amiri" w:cs="Amiri" w:ascii="Amiri" w:hAnsi="Amiri"/>
          <w:color w:val="111111"/>
          <w:sz w:val="28"/>
          <w:szCs w:val="28"/>
          <w:rtl w:val="true"/>
          <w:lang w:bidi="ar-SA"/>
        </w:rPr>
        <w:t xml:space="preserve">. </w:t>
      </w:r>
      <w:bookmarkStart w:id="74" w:name="pg15658_146823"/>
    </w:p>
    <w:p>
      <w:pPr>
        <w:pStyle w:val="Heading3"/>
        <w:numPr>
          <w:ilvl w:val="2"/>
          <w:numId w:val="1"/>
        </w:numPr>
        <w:rPr/>
      </w:pPr>
      <w:bookmarkStart w:id="75" w:name="__RefHeading___Toc11030261_2142443653"/>
      <w:bookmarkStart w:id="76" w:name="_Toc26"/>
      <w:bookmarkEnd w:id="74"/>
      <w:bookmarkEnd w:id="75"/>
      <w:r>
        <w:rPr>
          <w:rtl w:val="true"/>
        </w:rPr>
        <w:t>مصداق التنصيب</w:t>
      </w:r>
      <w:bookmarkEnd w:id="76"/>
    </w:p>
    <w:p>
      <w:pPr>
        <w:pStyle w:val="BookText"/>
        <w:rPr/>
      </w:pPr>
      <w:r>
        <w:rPr>
          <w:rFonts w:ascii="IRNazanin" w:hAnsi="IRNazanin" w:eastAsia="IRNazanin"/>
          <w:color w:val="111111"/>
          <w:sz w:val="28"/>
          <w:sz w:val="28"/>
          <w:szCs w:val="28"/>
          <w:rtl w:val="true"/>
          <w:lang w:bidi="fa-IR"/>
        </w:rPr>
        <w:t xml:space="preserve">تحدثنا في الصفحات السابقة عن أصل التنصيب وضرورته، وبطلان النظريتين الأخريين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 السلبي من قبل النبي ، أو تعيين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نتحدث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إثبات ضرورة وجود النص على التنصيب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مصداق هذا التنصيب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أصل ضرورة التنصيب، تثبت الإمامة بالنص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تلقائياً؛ لأن الأكثرية التي تناهز الإجماع من أهل السنة تنكر وجود النص على خلافة خلفائهم على ما سيأتي تفصيله في الفصل الرابع في نقد شبهة تعارض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الشيعة فيثبتون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بالآيات والروايات المتعددة على ما سيأتي تفصيله في معرض الإجابة عن شبهة إنكار النص في القرآن والسنة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لا يعرفون شخصاً ليمثل مصداقاً لأصل النص، وعليه يجب عليهم الإجابة عن الإشكالات السابقة التي ترد على القول بعدم التنصيب، أما الشيعة فإنهم من خلال إثبات ضرورة التنصيب، يحددون مصاديق ذلك بمختلف النصوص</w:t>
      </w:r>
      <w:r>
        <w:rPr>
          <w:rFonts w:eastAsia="Amiri" w:cs="Amiri" w:ascii="Amiri" w:hAnsi="Amiri"/>
          <w:color w:val="111111"/>
          <w:sz w:val="28"/>
          <w:szCs w:val="28"/>
          <w:rtl w:val="true"/>
          <w:lang w:bidi="ar-SA"/>
        </w:rPr>
        <w:t xml:space="preserve">. </w:t>
      </w:r>
      <w:bookmarkStart w:id="77" w:name="pg15658_146824"/>
    </w:p>
    <w:p>
      <w:pPr>
        <w:pStyle w:val="Heading2"/>
        <w:numPr>
          <w:ilvl w:val="1"/>
          <w:numId w:val="1"/>
        </w:numPr>
        <w:rPr/>
      </w:pPr>
      <w:bookmarkStart w:id="78" w:name="__RefHeading___Toc11030263_2142443653"/>
      <w:bookmarkStart w:id="79" w:name="_Toc27"/>
      <w:bookmarkEnd w:id="77"/>
      <w:bookmarkEnd w:id="78"/>
      <w:r>
        <w:rPr>
          <w:rtl w:val="true"/>
        </w:rPr>
        <w:t>الفَضْلُ الثاني</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1030265_2142443653"/>
      <w:bookmarkStart w:id="81" w:name="_Toc28"/>
      <w:bookmarkEnd w:id="80"/>
      <w:r>
        <w:rPr>
          <w:rtl w:val="true"/>
        </w:rPr>
        <w:t>شبهات الإمامة ونقدها</w:t>
      </w:r>
      <w:bookmarkEnd w:id="8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658_146826"/>
      <w:bookmarkStart w:id="83" w:name="pg15658_146826"/>
      <w:bookmarkEnd w:id="83"/>
    </w:p>
    <w:p>
      <w:pPr>
        <w:pStyle w:val="Heading3"/>
        <w:numPr>
          <w:ilvl w:val="2"/>
          <w:numId w:val="1"/>
        </w:numPr>
        <w:rPr/>
      </w:pPr>
      <w:bookmarkStart w:id="84" w:name="pg15658_146826"/>
      <w:bookmarkStart w:id="85" w:name="__RefHeading___Toc11030267_2142443653"/>
      <w:bookmarkStart w:id="86" w:name="_Toc29"/>
      <w:bookmarkEnd w:id="84"/>
      <w:bookmarkEnd w:id="85"/>
      <w:r>
        <w:rPr>
          <w:rtl w:val="true"/>
        </w:rPr>
        <w:t>الشبهة الأولى</w:t>
      </w:r>
      <w:r>
        <w:rPr>
          <w:rtl w:val="true"/>
        </w:rPr>
        <w:t xml:space="preserve">: </w:t>
      </w:r>
      <w:r>
        <w:rPr>
          <w:rtl w:val="true"/>
        </w:rPr>
        <w:t>نظرية وجوب الإمامة تعيين للتكليف على الله تعالى</w:t>
      </w:r>
      <w:r>
        <w:rPr>
          <w:rtl w:val="true"/>
        </w:rPr>
        <w:t>:</w:t>
      </w:r>
      <w:bookmarkEnd w:id="86"/>
    </w:p>
    <w:p>
      <w:pPr>
        <w:pStyle w:val="Heading4"/>
        <w:numPr>
          <w:ilvl w:val="3"/>
          <w:numId w:val="1"/>
        </w:numPr>
        <w:rPr/>
      </w:pPr>
      <w:bookmarkStart w:id="87" w:name="__RefHeading___Toc11030269_2142443653"/>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هناك كثير من الشبهات المطروحة على أصل الإمامة من قبل أهل السنة وبعض المخالفين، حيث سنعمل في هذا الفصل على نقلها وانتقادها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أن ذكرنا في الفصل الأول في تعريف الإمامة أن الإمامية يقولون بالوجوب العقلي لتعيين الإمام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السنة فينكرون الوجوب العقلي لذلك على الله، وينكرون على الإمامية ما يذهبون إليه من تحديد ما يجب على الله فعله</w:t>
      </w:r>
      <w:r>
        <w:rPr>
          <w:rStyle w:val="FootnoteAnchor"/>
          <w:rtl w:val="true"/>
        </w:rPr>
        <w:footnoteReference w:id="83"/>
      </w:r>
      <w:r>
        <w:rPr>
          <w:rFonts w:ascii="Amiri" w:hAnsi="Amiri" w:eastAsia="Amiri" w:cs="Amiri"/>
          <w:color w:val="111111"/>
          <w:sz w:val="28"/>
          <w:sz w:val="28"/>
          <w:szCs w:val="28"/>
          <w:rtl w:val="true"/>
          <w:lang w:bidi="ar-SA"/>
        </w:rPr>
        <w:t>، في حين أن الله هو الخالق المطلق الذي لا يمكن أن يسأل عما يفعل، بحكم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وَهُمْ يُسْأَلُونَ</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الإجابة عن هذه الشبهة هناك مسألتان جديرتان بالتأمل، هما </w:t>
      </w:r>
      <w:r>
        <w:rPr>
          <w:rFonts w:eastAsia="Amiri" w:cs="Amiri" w:ascii="Amiri" w:hAnsi="Amiri"/>
          <w:color w:val="111111"/>
          <w:sz w:val="28"/>
          <w:szCs w:val="28"/>
          <w:rtl w:val="true"/>
          <w:lang w:bidi="ar-SA"/>
        </w:rPr>
        <w:t xml:space="preserve">: </w:t>
      </w:r>
      <w:bookmarkStart w:id="89" w:name="pg15658_146827"/>
    </w:p>
    <w:p>
      <w:pPr>
        <w:pStyle w:val="Heading4"/>
        <w:numPr>
          <w:ilvl w:val="3"/>
          <w:numId w:val="1"/>
        </w:numPr>
        <w:rPr/>
      </w:pPr>
      <w:bookmarkStart w:id="90" w:name="__RefHeading___Toc11030271_2142443653"/>
      <w:bookmarkStart w:id="91" w:name="_Toc31"/>
      <w:bookmarkEnd w:id="89"/>
      <w:bookmarkEnd w:id="90"/>
      <w:r>
        <w:rPr>
          <w:rtl w:val="true"/>
        </w:rPr>
        <w:t xml:space="preserve">أ </w:t>
      </w:r>
      <w:r>
        <w:rPr>
          <w:rtl w:val="true"/>
        </w:rPr>
        <w:t xml:space="preserve">- </w:t>
      </w:r>
      <w:r>
        <w:rPr>
          <w:rtl w:val="true"/>
        </w:rPr>
        <w:t>الإشكال المرتبط بإنكار الحسن والقبح العقليين</w:t>
      </w:r>
      <w:r>
        <w:rPr>
          <w:rtl w:val="true"/>
        </w:rPr>
        <w:t>:</w:t>
      </w:r>
      <w:bookmarkEnd w:id="91"/>
    </w:p>
    <w:p>
      <w:pPr>
        <w:pStyle w:val="BookText"/>
        <w:rPr/>
      </w:pPr>
      <w:r>
        <w:rPr>
          <w:rFonts w:ascii="Amiri" w:hAnsi="Amiri" w:eastAsia="Amiri" w:cs="Amiri"/>
          <w:color w:val="111111"/>
          <w:sz w:val="28"/>
          <w:sz w:val="28"/>
          <w:szCs w:val="28"/>
          <w:rtl w:val="true"/>
          <w:lang w:bidi="ar-SA"/>
        </w:rPr>
        <w:t xml:space="preserve">إن هذه الشبهة من قبل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الأشاعرة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تنشأ من إنكار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والقبح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يمثل إنكار هذا الأصل أحد المباني الكلامية للأشاعرة، بمعنى أن الأشياء والأفعال بقطع النظر عن الله لا تنصف بالحسن والقبح العقليين، وإنما ذلك تابع إلى أمر الشارع وحكمه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اتضح ضعف هذا الأصل والمبنى الكلامي للأشاعرة في علم الكلام</w:t>
      </w:r>
      <w:r>
        <w:rPr>
          <w:rStyle w:val="FootnoteAnchor"/>
          <w:rtl w:val="true"/>
        </w:rPr>
        <w:footnoteReference w:id="86"/>
      </w:r>
      <w:r>
        <w:rPr>
          <w:rFonts w:ascii="Amiri" w:hAnsi="Amiri" w:eastAsia="Amiri" w:cs="Amiri"/>
          <w:color w:val="111111"/>
          <w:sz w:val="28"/>
          <w:sz w:val="28"/>
          <w:szCs w:val="28"/>
          <w:rtl w:val="true"/>
          <w:lang w:bidi="ar-SA"/>
        </w:rPr>
        <w:t>،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 هذا الأصل يستلزم توالي باطلة، لا يمكن لأحد أن يلتزم بها،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إثبات الشريعة والنبوة؛ إذ يمكن على الله أن يجري المعجزة على يد من يدعي النبوة كاذباً، بل من خلال إنكار الأصل المتقدم لا يمكن إثبات حُسن شيء أو قبحه؛ إذ من الممكن أن يكون خبر الشرع والشارع عن الحسن أو القبح بنفسه كاذباً، وإن الكذب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محالاً من الناحية العقلية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البناء على أصل الحسن والقبح العقليين، فإن العقل يحكم بأن الله لا يستطيع أن يفعل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يجب أن يقوم بالأفعال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الشبهة القائلة بأن ذلك يلزم منه تحديد التكليف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المطروحة من قبل الأشاعرة</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يتضح الجواب عنها من خلال المسألة الآتية</w:t>
      </w:r>
      <w:r>
        <w:rPr>
          <w:rFonts w:eastAsia="Amiri" w:cs="Amiri" w:ascii="Amiri" w:hAnsi="Amiri"/>
          <w:color w:val="111111"/>
          <w:sz w:val="28"/>
          <w:szCs w:val="28"/>
          <w:rtl w:val="true"/>
          <w:lang w:bidi="ar-SA"/>
        </w:rPr>
        <w:t xml:space="preserve">. </w:t>
      </w:r>
      <w:bookmarkStart w:id="92" w:name="pg15658_146828"/>
    </w:p>
    <w:p>
      <w:pPr>
        <w:pStyle w:val="Heading4"/>
        <w:numPr>
          <w:ilvl w:val="3"/>
          <w:numId w:val="1"/>
        </w:numPr>
        <w:rPr/>
      </w:pPr>
      <w:bookmarkStart w:id="93" w:name="__RefHeading___Toc11030273_2142443653"/>
      <w:bookmarkStart w:id="94" w:name="_Toc32"/>
      <w:bookmarkEnd w:id="92"/>
      <w:bookmarkEnd w:id="93"/>
      <w:r>
        <w:rPr>
          <w:rtl w:val="true"/>
        </w:rPr>
        <w:t xml:space="preserve">ب </w:t>
      </w:r>
      <w:r>
        <w:rPr>
          <w:rtl w:val="true"/>
        </w:rPr>
        <w:t xml:space="preserve">- </w:t>
      </w:r>
      <w:r>
        <w:rPr>
          <w:rtl w:val="true"/>
        </w:rPr>
        <w:t>الخلط بين الوجوبين الاعتباري والتكويني</w:t>
      </w:r>
      <w:r>
        <w:rPr>
          <w:rtl w:val="true"/>
        </w:rPr>
        <w:t>:</w:t>
      </w:r>
      <w:bookmarkEnd w:id="94"/>
    </w:p>
    <w:p>
      <w:pPr>
        <w:pStyle w:val="BookText"/>
        <w:rPr/>
      </w:pPr>
      <w:r>
        <w:rPr>
          <w:rFonts w:ascii="Amiri" w:hAnsi="Amiri" w:eastAsia="Amiri" w:cs="Amiri"/>
          <w:color w:val="111111"/>
          <w:sz w:val="28"/>
          <w:sz w:val="28"/>
          <w:szCs w:val="28"/>
          <w:rtl w:val="true"/>
          <w:lang w:bidi="ar-SA"/>
        </w:rPr>
        <w:t>المسألة الأخرى التى يجب الالتفات إليها فيما يتعلق بإسناد الوجوب على الله تكمن في اختلاف هذا الوجوب عن الوجوب الاعتباري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الوجوب الاعتباري هو الوجوب الذي يُفرض على المكلف أو المكلفين من الخارج فيفرض عليهم اتخاذ موقف معين بحيث لا يكون أمامهم من خيار آخر، من قبيل الأسير أو السجين الذي يفرض عليه التواجد في زمن خاص ومكان محدد، وهذا التكليف عبارة عن حكم ووجوب فقهي واعتباري، وإذا خالفه يكون مستحقاً للعقاب والمؤاخذة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وجوب من نوع آخر ليس هو من سنخ الجعل والاعتبار، بل يُستنتج من التكوين والذات، كأن يقال إن شجرة الجوز ستثمر جوزاً حتماً، أو إن القوة الجاذبية تستقطب الأشياء باتجاهها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الضرورات الطبيعية تستنتج من العلاقة التكوينية بين الأشياء،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اكتشافها، فإن إثمار شجرة الجوز جوزاً، لا يتضمن إي إجبار وإكراه خارجيين يفرض عليها بأن تثمر الجوز، وإنما ذلك ينشأ من اقتضاء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الآخر يتعلق ببعض الأشخاص،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العالم والحكيم لا يقوم باللغو والعبث، وإن الشخص الكريم والجواد مثل حاتم الطائي يُحسن إلى الآخرين، أو أن تعمد الأم إلى اجتراح المستحيل من أجل توفير الأمن لولدها، وقد تضحي بنفسها 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هذا لا ينشأ من الجبر والإكراه والتكليف الخارجى والاعتباري، بل ينشأ من ذات الإنسان وصفاته الفطرية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وجوب القيام بالفعل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بعث الأنبياء وتعيين </w:t>
      </w:r>
      <w:bookmarkStart w:id="95" w:name="pg15658_146829"/>
    </w:p>
    <w:p>
      <w:pPr>
        <w:pStyle w:val="BookText"/>
        <w:rPr/>
      </w:pPr>
      <w:bookmarkEnd w:id="95"/>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ليس وجوباً مفروضاً عليه من الخارج، بل هو حالة تنشأ من الصفات الكمالية للذات الإلهية، فإن اتصاف الله بالحكمة والجود وإرادة الخير هي التي تقتضي منه أن يعمل على هداية الإنسان لبلوغ السعادة والخلود فيها من خلال إرسال الأنبياء وتنصيب الأئمة، وإن هذا الفعل الإلهى ينشأ من الحكمة واللطف والعناية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المحمول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وجوباً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وجوباً وضعياً وفقهياً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كلامي وعقلي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 في نسبة وجوب تعيين الإمام على الله بالمعنى المتقدم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بعض المتكلمين من الأشاعرة بهذه المسألة، وهو ما سوف نشير إليه فى الشبهة الآتية</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1030275_2142443653"/>
      <w:bookmarkStart w:id="97" w:name="_Toc33"/>
      <w:bookmarkEnd w:id="96"/>
      <w:r>
        <w:rPr>
          <w:rtl w:val="true"/>
        </w:rPr>
        <w:t>الشبهة الثانية</w:t>
      </w:r>
      <w:r>
        <w:rPr>
          <w:rtl w:val="true"/>
        </w:rPr>
        <w:t xml:space="preserve">: </w:t>
      </w:r>
      <w:r>
        <w:rPr>
          <w:rtl w:val="true"/>
        </w:rPr>
        <w:t>اعتبار نظرية وجوب تعيين الإمام بدعة</w:t>
      </w:r>
      <w:r>
        <w:rPr>
          <w:rtl w:val="true"/>
        </w:rPr>
        <w:t>:</w:t>
      </w:r>
      <w:bookmarkEnd w:id="97"/>
    </w:p>
    <w:p>
      <w:pPr>
        <w:pStyle w:val="BookText"/>
        <w:rPr/>
      </w:pPr>
      <w:r>
        <w:rPr>
          <w:rFonts w:ascii="IRNazanin" w:hAnsi="IRNazanin" w:eastAsia="IRNazanin"/>
          <w:color w:val="111111"/>
          <w:sz w:val="28"/>
          <w:sz w:val="28"/>
          <w:szCs w:val="28"/>
          <w:rtl w:val="true"/>
          <w:lang w:bidi="fa-IR"/>
        </w:rPr>
        <w:t>لقد عمد بعض أهل السنة إلى طرح هذه الشبهة، وهي أن رؤية الشيعة بشأن الإمامة ووجوب تعيين الإمام من قبل الله أو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ووجود النص، ليس إلا بدعة في الدين؛ إذ لم يرد هذان الأمران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تعيين الإمام، ووجود النص على إمام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النصوص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والسنة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معنى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قيل في تعريفها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إدخال ما ليس في الدين على الدين، وإخراج ما في الدين من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خلدون في ذكر هذه الشبهة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من بدعة الإمامية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على النبي تعيينها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98" w:name="pg15658_146830"/>
    </w:p>
    <w:p>
      <w:pPr>
        <w:pStyle w:val="BookText"/>
        <w:rPr/>
      </w:pPr>
      <w:bookmarkEnd w:id="98"/>
      <w:r>
        <w:rPr>
          <w:rFonts w:ascii="Amiri" w:hAnsi="Amiri" w:eastAsia="Amiri" w:cs="Amiri"/>
          <w:color w:val="111111"/>
          <w:sz w:val="28"/>
          <w:sz w:val="28"/>
          <w:szCs w:val="28"/>
          <w:rtl w:val="true"/>
          <w:lang w:bidi="ar-SA"/>
        </w:rPr>
        <w:t xml:space="preserve">توضيح ذلك أن هذه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والحكومة ليست من شؤون الدين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تطرح اليوم من قبل بعض العلمانيين من الشيعة والسنة، وسوف نتناولها بالنقد والتحليل في موضعها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1030277_2142443653"/>
      <w:bookmarkStart w:id="100" w:name="_Toc34"/>
      <w:bookmarkEnd w:id="99"/>
      <w:r>
        <w:rPr>
          <w:rtl w:val="true"/>
        </w:rPr>
        <w:t>مناقشة وتحليل</w:t>
      </w:r>
      <w:r>
        <w:rPr>
          <w:rtl w:val="true"/>
        </w:rPr>
        <w:t>:</w:t>
      </w:r>
      <w:bookmarkEnd w:id="100"/>
    </w:p>
    <w:p>
      <w:pPr>
        <w:pStyle w:val="BookText"/>
        <w:rPr/>
      </w:pPr>
      <w:r>
        <w:rPr>
          <w:rFonts w:ascii="Amiri" w:hAnsi="Amiri" w:eastAsia="Amiri" w:cs="Amiri"/>
          <w:color w:val="111111"/>
          <w:sz w:val="28"/>
          <w:sz w:val="28"/>
          <w:szCs w:val="28"/>
          <w:rtl w:val="true"/>
          <w:lang w:bidi="ar-SA"/>
        </w:rPr>
        <w:t>في معرض تحليل هذه الشبهة يجدر الالتفات إلى الأمور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النزاع المبنائي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هناك من خلاف بين الشيعة والسنة بشأن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كبرى البحث وأصل البدعة وتعريفها وحرمتها؛ لأن البدعة وإن كانت لغة 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إحداث وإيجاد كل أمر جديد وغير 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أنها تعني في المصطلح الديني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إحداث أمر جديد في الدين بحيث يخالف الشريعة والسنة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 ما تعرض له اللغويون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عمد ابن الأثير إلى تقسيم البدعة إلى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هداية، وبدعة ضلالة، وقال في تعريف هاتين البدعتين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 في خلاف ما أمر الله به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في حيّز الذم والإنكار، وما كان تحت عموم ما ندب الله إليه وحض عليه الله أو رسوله فهو في حيّز المدح</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 الأفريقي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من خالف أصول الشريعة ولم يوافق السنة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العروس،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الطريحي في 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وما ليس له أصل في كتاب ولا سنة</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الإمام الشافعي أن ملاك حرمة البدعة ليس في نفس كونها أمراً جديداً، بل لما فيها من مخالفة الكتاب والسنة أو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أحدث وخالف كتاباً أو سنة أو إجماعاً فهو البدعة والضلالة، وما أحدث من الخبر ولم يُخالف شيئاً من ذلك فهو البدعة المحمودة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عرف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المفسرين المتقدمين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على أنها إحداث أمر في الدين من تلقاء النفس من دون أن يكون لها مبنى من الدين، كما 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وَرَهْبَانِيَّةٌ ابْتَدَعُوهَا مَا كَتَبْنَاهَا عَلَيْهِمْ</w:t>
      </w:r>
      <w:r>
        <w:rPr>
          <w:rStyle w:val="FootnoteAnchor"/>
          <w:rtl w:val="true"/>
        </w:rPr>
        <w:footnoteReference w:id="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التزموها من تلقاء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الابتداع في دين الله ما لم يأمر به الله</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فسّر الزمخشري</w:t>
      </w:r>
      <w:r>
        <w:rPr>
          <w:rStyle w:val="FootnoteAnchor"/>
          <w:rtl w:val="true"/>
        </w:rPr>
        <w:footnoteReference w:id="95"/>
      </w:r>
      <w:r>
        <w:rPr>
          <w:rFonts w:ascii="Amiri" w:hAnsi="Amiri" w:eastAsia="Amiri" w:cs="Amiri"/>
          <w:color w:val="111111"/>
          <w:sz w:val="28"/>
          <w:sz w:val="28"/>
          <w:szCs w:val="28"/>
          <w:rtl w:val="true"/>
          <w:lang w:bidi="ar-SA"/>
        </w:rPr>
        <w:t>، والفخر الرازي</w:t>
      </w:r>
      <w:r>
        <w:rPr>
          <w:rStyle w:val="FootnoteAnchor"/>
          <w:rtl w:val="true"/>
        </w:rPr>
        <w:footnoteReference w:id="96"/>
      </w:r>
      <w:r>
        <w:rPr>
          <w:rFonts w:ascii="Amiri" w:hAnsi="Amiri" w:eastAsia="Amiri" w:cs="Amiri"/>
          <w:color w:val="111111"/>
          <w:sz w:val="28"/>
          <w:sz w:val="28"/>
          <w:szCs w:val="28"/>
          <w:rtl w:val="true"/>
          <w:lang w:bidi="ar-SA"/>
        </w:rPr>
        <w:t xml:space="preserve">وغيرهما من مفسري أهل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أحدثوها من عند أنفسهم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فإن البحث بشأن وجود الإمامة أو عدم وجودها ليس بدعة في الكبرى، بل في مقام الثبوت والصغرى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أصل الإمامة من الدين أم لا، كي يكون إدخالها أو إخراجها داخلاً في تعريف البدعة؟ </w:t>
      </w:r>
    </w:p>
    <w:p>
      <w:pPr>
        <w:pStyle w:val="BookText"/>
        <w:rPr/>
      </w:pPr>
      <w:r>
        <w:rPr>
          <w:rFonts w:ascii="Amiri" w:hAnsi="Amiri" w:eastAsia="Amiri" w:cs="Amiri"/>
          <w:color w:val="111111"/>
          <w:sz w:val="28"/>
          <w:sz w:val="28"/>
          <w:szCs w:val="28"/>
          <w:rtl w:val="true"/>
          <w:lang w:bidi="ar-SA"/>
        </w:rPr>
        <w:t xml:space="preserve">يذهب الشيعة بالاستناد إلى الأدلة النقلية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كتاب الله وسنة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الاعتقاد بأن أصل الإمامة مذكور في القرآن والسنة النبوية، وكان يجب على الله ورسوله طبقاً لبعض الأدلة أن يعينوا للمسلمين الإمام والقائد السياسي والديني، وهذا ما حصل فعلاً، وعليه يكون أصل الإمامة وتعيينها جزءاً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يذهب أهل السنة إلى الاعتقاد بأن الإمامة ليست جزءاً من الدين، ولذلك لا يجب على الله ورسوله أن يعرفا وينصبا الإمام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توجد هنا رؤيتان ولا يمكن قبل تحليل ونقد آراء الطرفين وأدلّتهم أن ندعي أن الإمامة وتعيينها ليست من شؤون النبي والنبوة، وأن</w:t>
      </w:r>
    </w:p>
    <w:p>
      <w:pPr>
        <w:pStyle w:val="BookText"/>
        <w:rPr/>
      </w:pPr>
      <w:r>
        <w:rPr>
          <w:rFonts w:ascii="Amiri" w:hAnsi="Amiri" w:eastAsia="Amiri" w:cs="Amiri"/>
          <w:color w:val="111111"/>
          <w:sz w:val="28"/>
          <w:sz w:val="28"/>
          <w:szCs w:val="28"/>
          <w:rtl w:val="true"/>
          <w:lang w:bidi="ar-SA"/>
        </w:rPr>
        <w:t>إدخالها في الدين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أغلب علماء أهل السنة ملتفتين إلى هذه المسألة، ولذلك</w:t>
      </w:r>
    </w:p>
    <w:p>
      <w:pPr>
        <w:pStyle w:val="BookText"/>
        <w:rPr/>
      </w:pPr>
      <w:r>
        <w:rPr>
          <w:rFonts w:ascii="Amiri" w:hAnsi="Amiri" w:eastAsia="Amiri" w:cs="Amiri"/>
          <w:color w:val="111111"/>
          <w:sz w:val="28"/>
          <w:sz w:val="28"/>
          <w:szCs w:val="28"/>
          <w:rtl w:val="true"/>
          <w:lang w:bidi="ar-SA"/>
        </w:rPr>
        <w:t>أوردوا هذه الشبهة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اكتشاف الوجوب وليس فرض الوجوب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أن وجوب تعيين الإمام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أشرنا في نقد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الوجوب الاعتباري والوضعي الذي يستوجب تكليفاً على الله من</w:t>
      </w:r>
    </w:p>
    <w:p>
      <w:pPr>
        <w:pStyle w:val="BookText"/>
        <w:rPr/>
      </w:pPr>
      <w:r>
        <w:rPr>
          <w:rFonts w:ascii="IRNazanin" w:hAnsi="IRNazanin" w:eastAsia="IRNazanin"/>
          <w:color w:val="111111"/>
          <w:sz w:val="28"/>
          <w:sz w:val="28"/>
          <w:szCs w:val="28"/>
          <w:rtl w:val="true"/>
          <w:lang w:bidi="fa-IR"/>
        </w:rPr>
        <w:t>ناحية غير الله، بل بالمعنى التكويني الذي يستنتج من صفات الله الكمالية، من قبیل اتصافه بالحكمة وفي الحقيقة فإن الشيعة يذهبون إلى الاعتقاد بأن وجوب التعيين على الله أو نبيه ليس وجوباً وتكليفاً عليهما، بل هو اكتشاف للوجوب من خلال النظر في صفات الله والنبي الأكرم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توجد هنا نسبة إلى الله، وإنما هو مجرد كشف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اعتراف بعض أهل السنة بالوجوب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اعترف بعض </w:t>
      </w:r>
    </w:p>
    <w:p>
      <w:pPr>
        <w:pStyle w:val="BookText"/>
        <w:rPr/>
      </w:pPr>
      <w:r>
        <w:rPr>
          <w:rFonts w:ascii="Amiri" w:hAnsi="Amiri" w:eastAsia="Amiri" w:cs="Amiri"/>
          <w:color w:val="111111"/>
          <w:sz w:val="28"/>
          <w:sz w:val="28"/>
          <w:szCs w:val="28"/>
          <w:rtl w:val="true"/>
          <w:lang w:bidi="ar-SA"/>
        </w:rPr>
        <w:t xml:space="preserve">علماء أهل السنة بهذا النوع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به، كما قال النسفي بشأن بعثة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إرسال الرسل حكمة</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التفتازاني في شرح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مصلحة وعاقبة حميدة، وفي هذا إشارة إلى أن الإرسال واجب لا بمعنى الوجوب على الله، بل بمعنى أن قضية الحكمة تقتضيه لما فيه من المصلحة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دعوى البدعة على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قام بعض علماء أهل السنة بالسماح لأنفسهم أن يصفوا الشيعة بالبدعة وتكفيرهم لذلك، يمكن للشيعة في المقابل أن يلصقوا بأهل السنة التهمة ذاتها، وذلك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وتعيين الإمام يُعد جزءاً من الدين؛ لثبوتها بالأدلة العقلية والنقلية، بل هي من التعاليم الدينية الجوهرية والهامة، وللأسف الشديد يكابر أهل السنة في إخراجها من الدين، وجعلها من الأمور العرفية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إذا كان القرار قائماً على التمسك بالبدعة، فإن بإمكان الشيعة أن يتمسكوا بها لاتهام الخصم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ذلك بالعمد دون الموارد الاجتهادية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البدعة تعنی أن ندخل في الدين ما ليس فيه، أو أن نخرج منه ما فيه، ولكن ذلك إنما يكون بقيد التعمّد والعناد، بمعنى أن يسعى الفرد إلى أن يخرج مفردة من الدين رغم علمه بأنها من صميم الدين، أو أن يتعمد إدخال مسألة في الدين رغم علمه بخروجها عن الدين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يتم تقييد البدعة بهذا القيد، فإن الأغلبية المتاخمة للإجماع من </w:t>
      </w:r>
    </w:p>
    <w:p>
      <w:pPr>
        <w:pStyle w:val="BookText"/>
        <w:rPr/>
      </w:pPr>
      <w:r>
        <w:rPr>
          <w:rFonts w:ascii="Amiri" w:hAnsi="Amiri" w:eastAsia="Amiri" w:cs="Amiri"/>
          <w:color w:val="111111"/>
          <w:sz w:val="28"/>
          <w:sz w:val="28"/>
          <w:szCs w:val="28"/>
          <w:rtl w:val="true"/>
          <w:lang w:bidi="ar-SA"/>
        </w:rPr>
        <w:t xml:space="preserve">علماء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سيطالها وصف البدعة؛ لأن أكثر البحوث الكلامية والفقهية وغيرهما هي من الأمور الخلافية بين المذاهب، وإن فقه أهل السنة ينقسم في حد ذاته إلى أربعة مذاهب، حيث تختلف هذه المذاهب في مسألة واحدة على آراء وأقوال مختلفة، ولا شك في أن واحداً منها في الحد الأقصى هو المطابق للدين الحقيقي، ولكن لا يمكن نسبة الآراء الأخرى إلى البدعة، إذ الفرض أن العلماء الآخرين قد استفرغوا جهدهم في تحصيل الحكم الواقعي، غاية ما هنالك أنهم أخطأوا في إصابة الواقع دون قصد أو تعمّد منهم إلى ذلك، وقد روى أهل السنة أنفسهم عن أبي هريرة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للمخطئ أجر، وللمصيب أجران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يجب التدقيق والتريث جداً، وعدم التسرع في اتهام الخصوم بالبدعة في الدين، وأن لا يعتبر الرأي المخالف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السياق تندرج مسألة الإمامة؛ إذ يجب على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وأنهم يعتبرونها من المسائل الفقهية الخاضعة للاجتهاد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يتهموا من يختلف معهم في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يمارس البدع ويستنكرون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عليهم طبقاً للمبنى الذين يقولون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للمخطئ أجر، وللمصيب أجران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يعتبروا الشيعة وكل من ينكر خلافة الخلفاء الثلاثة الأوائل مخطئين مأجورين بالأجر الواحد، لا أن يتهمونهم بالبدعة ويكفرونهم على هذا الأساس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هذا النوع من الاتهامات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يقتصر على عدد قليل، أما اليوم فإنّ أكثر علماء أهل السنة والإمامية يتجنبون اتهام الآخر ورميه بالكفر والبدعة</w:t>
      </w:r>
      <w:r>
        <w:rPr>
          <w:rFonts w:eastAsia="Amiri" w:cs="Amiri" w:ascii="Amiri" w:hAnsi="Amiri"/>
          <w:color w:val="111111"/>
          <w:sz w:val="28"/>
          <w:szCs w:val="28"/>
          <w:rtl w:val="true"/>
          <w:lang w:bidi="ar-SA"/>
        </w:rPr>
        <w:t xml:space="preserve">. </w:t>
      </w:r>
      <w:bookmarkStart w:id="101" w:name="pg15658_146835"/>
    </w:p>
    <w:p>
      <w:pPr>
        <w:pStyle w:val="Heading3"/>
        <w:numPr>
          <w:ilvl w:val="2"/>
          <w:numId w:val="1"/>
        </w:numPr>
        <w:rPr/>
      </w:pPr>
      <w:bookmarkStart w:id="102" w:name="__RefHeading___Toc11030279_2142443653"/>
      <w:bookmarkStart w:id="103" w:name="_Toc35"/>
      <w:bookmarkEnd w:id="101"/>
      <w:bookmarkEnd w:id="102"/>
      <w:r>
        <w:rPr>
          <w:rtl w:val="true"/>
        </w:rPr>
        <w:t>الشبهة الثالثة</w:t>
      </w:r>
      <w:r>
        <w:rPr>
          <w:rtl w:val="true"/>
        </w:rPr>
        <w:t xml:space="preserve">: </w:t>
      </w:r>
      <w:r>
        <w:rPr>
          <w:rtl w:val="true"/>
        </w:rPr>
        <w:t>البدعة في اعتبار الإمامة مسألة كلامية</w:t>
      </w:r>
      <w:r>
        <w:rPr>
          <w:rtl w:val="true"/>
        </w:rPr>
        <w:t>:</w:t>
      </w:r>
      <w:bookmarkEnd w:id="103"/>
    </w:p>
    <w:p>
      <w:pPr>
        <w:pStyle w:val="Heading4"/>
        <w:numPr>
          <w:ilvl w:val="3"/>
          <w:numId w:val="1"/>
        </w:numPr>
        <w:rPr/>
      </w:pPr>
      <w:bookmarkStart w:id="104" w:name="__RefHeading___Toc11030281_2142443653"/>
      <w:bookmarkStart w:id="105" w:name="_Toc36"/>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تقدم أن أهل السنة يعتبرون الإمامة مجرّد مسألة فرعية من فروع الفقه، واستندوا فى ذلك إلى مختلف الأدلة، ومن بينها الدليل السمعي حيث يعتقدون أن من الواجب على المسلمين أن يضطلعوا بأعباء الحكم وتعيين الحاكم، كما حصل ذلك في صدر الإسلام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الشيعة فقد عمدوا إلى إخراج الإمامة من الفروع الفقهية، واعتبروها أمهات المسائل العقائدية والكلامية، وهو أمر ينظر إليه من قبل أهل السنة بوصفه 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ذكره ابن خلدون حيث نبّه إلى أن أهل السنة قد بحثوا مسألة الإمامة في البحوث الفقهية، ليلحقوها فيما بعد بالأبحاث الاعتقادية، وإن من بين أسباب نسبة الشيعة إلى البدعة هو اعتبارهم أن الإمامة من المسائل</w:t>
      </w:r>
    </w:p>
    <w:p>
      <w:pPr>
        <w:pStyle w:val="BookText"/>
        <w:rPr/>
      </w:pPr>
      <w:r>
        <w:rPr>
          <w:rFonts w:ascii="Amiri" w:hAnsi="Amiri" w:eastAsia="Amiri" w:cs="Amiri"/>
          <w:color w:val="111111"/>
          <w:sz w:val="28"/>
          <w:sz w:val="28"/>
          <w:szCs w:val="28"/>
          <w:rtl w:val="true"/>
          <w:lang w:bidi="ar-SA"/>
        </w:rPr>
        <w:t>العقائدية والكلامية، وفي ذلك يقول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ظهر من بدعة الإمامية من قولهم إنها من عقائد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تلحق بالعقائد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1030283_2142443653"/>
      <w:bookmarkStart w:id="107" w:name="_Toc37"/>
      <w:bookmarkEnd w:id="106"/>
      <w:r>
        <w:rPr>
          <w:rtl w:val="true"/>
        </w:rPr>
        <w:t>نقد ورؤية</w:t>
      </w:r>
      <w:r>
        <w:rPr>
          <w:rtl w:val="true"/>
        </w:rPr>
        <w:t>:</w:t>
      </w:r>
      <w:bookmarkEnd w:id="107"/>
    </w:p>
    <w:p>
      <w:pPr>
        <w:pStyle w:val="BookText"/>
        <w:rPr/>
      </w:pPr>
      <w:r>
        <w:rPr>
          <w:rFonts w:ascii="Amiri" w:hAnsi="Amiri" w:eastAsia="Amiri" w:cs="Amiri"/>
          <w:color w:val="111111"/>
          <w:sz w:val="28"/>
          <w:sz w:val="28"/>
          <w:szCs w:val="28"/>
          <w:rtl w:val="true"/>
          <w:lang w:bidi="ar-SA"/>
        </w:rPr>
        <w:t>تتضح الإجابة عن هذه الشبهة من خلال تحليل الشبهة السابقة، وفيما يأتي نشير إلى مسائل أخر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البدعة في تعريف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ذكرنا تعريف البدعة في معرض الإجابة عن الشبهة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تبين من كلام ابن خلدون هنا أنه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كانت الإمامة من الفروع الفقهية فإن اعتبار الشيعة الإمامية أنها من المسائل العقائدية والكلامية يجعلهم من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الحقيقة معيار جديد للبدعة لا يستند إلى دليل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تختلف الآراء في كون المسألة كلامية أو فقهية أو أصولية أو أخلاقية ويذهب كل رأي إلى تبرير ما ذهب إليه بذكر بعض الأدلة والمبررات وعليه فإن مجرد نقل مسألة من علم إلى علم آخر لا يصح مسوغاً لاعتبار صاحب الرأي من أهل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خلدون من خلال هذا الكلام في تعريف البدعة على خلاف ما عليه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مبتدعاً، حيث أبدع تعريفاً جديداً لا يوافقه عليه أحد، علاوة على أنه لم يدعم كلامه بدليل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هذا التعريف جريان البدعة على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أكثر علماء أهل السنة يعتبرون الإمامة من المسائل الفقهية الفرعية، إلا أن بعضهم من أمثال البيضاوي في كتاب المنهاج والذين كتبوا عليه الهوامش لم يقتصروا على اعتبار الإمامة من المسائل العقائدية فحسب، بل اعتبروها من</w:t>
      </w:r>
    </w:p>
    <w:p>
      <w:pPr>
        <w:pStyle w:val="BookText"/>
        <w:rPr/>
      </w:pPr>
      <w:r>
        <w:rPr>
          <w:rFonts w:ascii="Amiri" w:hAnsi="Amiri" w:eastAsia="Amiri" w:cs="Amiri"/>
          <w:color w:val="111111"/>
          <w:sz w:val="28"/>
          <w:sz w:val="28"/>
          <w:szCs w:val="28"/>
          <w:rtl w:val="true"/>
          <w:lang w:bidi="ar-SA"/>
        </w:rPr>
        <w:t>أصول الدين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لازم تعريف ابن خلدون جريان البدعة حتى على أمثال الإمام البيضاوي أيضاً؛ لأنه أخرج الإمامة من كونها مجرد مسألة فقهية فرعية، واعتبرها داخلة في أصول الدين</w:t>
      </w:r>
      <w:r>
        <w:rPr>
          <w:rFonts w:eastAsia="Amiri" w:cs="Amiri" w:ascii="Amiri" w:hAnsi="Amiri"/>
          <w:color w:val="111111"/>
          <w:sz w:val="28"/>
          <w:szCs w:val="28"/>
          <w:rtl w:val="true"/>
          <w:lang w:bidi="ar-SA"/>
        </w:rPr>
        <w:t xml:space="preserve">. </w:t>
      </w:r>
      <w:bookmarkStart w:id="108" w:name="pg15658_146837"/>
    </w:p>
    <w:p>
      <w:pPr>
        <w:pStyle w:val="Heading3"/>
        <w:numPr>
          <w:ilvl w:val="2"/>
          <w:numId w:val="1"/>
        </w:numPr>
        <w:rPr/>
      </w:pPr>
      <w:bookmarkStart w:id="109" w:name="__RefHeading___Toc11030285_2142443653"/>
      <w:bookmarkStart w:id="110" w:name="_Toc38"/>
      <w:bookmarkEnd w:id="108"/>
      <w:bookmarkEnd w:id="109"/>
      <w:r>
        <w:rPr>
          <w:rtl w:val="true"/>
        </w:rPr>
        <w:t>الشبهة الرابعة</w:t>
      </w:r>
      <w:r>
        <w:rPr>
          <w:rtl w:val="true"/>
        </w:rPr>
        <w:t xml:space="preserve">: </w:t>
      </w:r>
      <w:r>
        <w:rPr>
          <w:rtl w:val="true"/>
        </w:rPr>
        <w:t>تكفير من ينكر الإمامة</w:t>
      </w:r>
      <w:r>
        <w:rPr>
          <w:rtl w:val="true"/>
        </w:rPr>
        <w:t>:</w:t>
      </w:r>
      <w:bookmarkEnd w:id="110"/>
    </w:p>
    <w:p>
      <w:pPr>
        <w:pStyle w:val="Heading4"/>
        <w:numPr>
          <w:ilvl w:val="3"/>
          <w:numId w:val="1"/>
        </w:numPr>
        <w:rPr/>
      </w:pPr>
      <w:bookmarkStart w:id="111" w:name="__RefHeading___Toc11030287_2142443653"/>
      <w:bookmarkStart w:id="112" w:name="_Toc39"/>
      <w:bookmarkEnd w:id="111"/>
      <w:r>
        <w:rPr>
          <w:rtl w:val="true"/>
        </w:rPr>
        <w:t>اشارة</w:t>
      </w:r>
      <w:bookmarkEnd w:id="112"/>
    </w:p>
    <w:p>
      <w:pPr>
        <w:pStyle w:val="BookText"/>
        <w:rPr/>
      </w:pPr>
      <w:r>
        <w:rPr>
          <w:rFonts w:ascii="Amiri" w:hAnsi="Amiri" w:eastAsia="Amiri" w:cs="Amiri"/>
          <w:color w:val="111111"/>
          <w:sz w:val="28"/>
          <w:sz w:val="28"/>
          <w:szCs w:val="28"/>
          <w:rtl w:val="true"/>
          <w:lang w:bidi="ar-SA"/>
        </w:rPr>
        <w:t>إن من بين الانتقادات والشبهات التي يثيرها أهل السنة على الإمامية هو قولهم إن الشيعة من خلال إخراجهم مسألة الإمامة من مجرد كونها مسألة فرعية وفقهية واعتبارها من أصول الدين يعتبرون من ينكرها خارجاً عن الدين ويبادرون إلى تكفيره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الإمامة مسألة فقهية وفرعية عية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11030289_2142443653"/>
      <w:bookmarkStart w:id="114" w:name="_Toc40"/>
      <w:bookmarkEnd w:id="113"/>
      <w:r>
        <w:rPr>
          <w:rtl w:val="true"/>
        </w:rPr>
        <w:t>مناقشة وتحليل</w:t>
      </w:r>
      <w:bookmarkEnd w:id="114"/>
    </w:p>
    <w:p>
      <w:pPr>
        <w:pStyle w:val="BookText"/>
        <w:rPr/>
      </w:pPr>
      <w:r>
        <w:rPr>
          <w:rFonts w:ascii="Amiri" w:hAnsi="Amiri" w:eastAsia="Amiri" w:cs="Amiri"/>
          <w:color w:val="111111"/>
          <w:sz w:val="28"/>
          <w:sz w:val="28"/>
          <w:szCs w:val="28"/>
          <w:rtl w:val="true"/>
          <w:lang w:bidi="ar-SA"/>
        </w:rPr>
        <w:t>في معرض تقييم هذه الشبهة نشير إلى النقاط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التكفير منهج المتطرفين من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في الأديان السماوية وغير السماوية يُثبت أن الأديان تنشعب وتنقسم عبر التاريخ لمختلف الأسباب إلى فرق ومذاهب وإن هذه الفرق تذهب في الغالب إلى عدم استيعاب المذاهب، والفرق الأخرى، وتعتبر نفسها هي التي تمثل الحق المطلق، بينما الفرق الأخرى تمثل الباطل، بل وتذهب إلى حد تكفيرها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انقسام المسيحية إلى الكاثوليكية والأرثودوكسية والبروتستانتية والحروب الطاحنة بينها خير مثال على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وللأسف الشديد لم يكن الدين الإسلامي بمنجى من هذه الظاهرة، فبعد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طول التاريخ ظهرت مختلف الفرق والمذاهب الأعم من الكلامية والفقهية والتفسيرية، ومن بين أهم هذه المذاهب مذهب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بتعيين الخليفة بالانتخاب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القائلين بنظرية </w:t>
      </w:r>
    </w:p>
    <w:p>
      <w:pPr>
        <w:pStyle w:val="BookText"/>
        <w:rPr/>
      </w:pPr>
      <w:r>
        <w:rPr>
          <w:rFonts w:ascii="Amiri" w:hAnsi="Amiri" w:eastAsia="Amiri" w:cs="Amiri"/>
          <w:color w:val="111111"/>
          <w:sz w:val="28"/>
          <w:sz w:val="28"/>
          <w:szCs w:val="28"/>
          <w:rtl w:val="true"/>
          <w:lang w:bidi="ar-SA"/>
        </w:rPr>
        <w:t>التنصيب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انقسمت هاتان الفرقتان بدورهما إلى فرق ومذاهب مختلفة أخرى، من قبيل افتراق أهل السنة من الناحية الكلامية إلى أشاعرة ومعتزلة وماتريدية، ومن الناحية الفقهية إلى المذاهب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الشافعية والحنفية والمالكية والحنبلية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وافترق الشيعة إلى الإسماعيلية والزيدية والإمامية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 فإن أكثر أتباع هذه الفرق يحتكر الحقيقة الخالصة لنفسه، في حين يرى الفرق الأخرى كلها على باطل، أو أنها في الحد الأدنى مزيج من الحق والباطل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شهد التاريخ نزاعات وحروب طاحنة بين أتباع المذاهب الفقهية السنية الأربعة، ونشأت جميع هذه الحروب بسبب اعتبار أتباع كل مذهب أنفسهم على حق، وسائر أتباع المذاهب الأخرى على باطل وتكفيرهم على هذا الأساس</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هنا بصدد بيان تفاصيل النزاعات الداخلية بين فرق أهل السنة والشيعة، وإنما نريد التنويه إلى أن ظاهرة التكفير لم تكن من طرف واحد فقط، وإنما كان التكفير متبادلاً؛ إذ عمد بعض المتطرفين من أهل السنة إلى القول بأن الشيعة مذهب منتحل أسسه شخص اسمه عبد الله بن سبأ الیهودی</w:t>
      </w:r>
      <w:r>
        <w:rPr>
          <w:rStyle w:val="FootnoteAnchor"/>
          <w:rtl w:val="true"/>
        </w:rPr>
        <w:footnoteReference w:id="104"/>
      </w:r>
      <w:r>
        <w:rPr>
          <w:rFonts w:ascii="Amiri" w:hAnsi="Amiri" w:eastAsia="Amiri" w:cs="Amiri"/>
          <w:color w:val="111111"/>
          <w:sz w:val="28"/>
          <w:sz w:val="28"/>
          <w:szCs w:val="28"/>
          <w:rtl w:val="true"/>
          <w:lang w:bidi="ar-SA"/>
        </w:rPr>
        <w:t xml:space="preserve">،وأصدروا حكمهم لذلك بتكفير الشيعة قاطبة، وقد دفع التشيع لذلك على طول التاريخ قائمة طويلة من قوافل الشهداء، وقد ذكر العلامة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هذه السلسلة من الشهداء في كتاب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لنا الإشارة هنا إلى سيف الدين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الآمدي</w:t>
      </w:r>
      <w:r>
        <w:rPr>
          <w:rStyle w:val="FootnoteAnchor"/>
          <w:rtl w:val="true"/>
        </w:rPr>
        <w:footnoteReference w:id="106"/>
      </w:r>
      <w:r>
        <w:rPr>
          <w:rFonts w:ascii="Amiri" w:hAnsi="Amiri" w:eastAsia="Amiri" w:cs="Amiri"/>
          <w:color w:val="111111"/>
          <w:sz w:val="28"/>
          <w:sz w:val="28"/>
          <w:szCs w:val="28"/>
          <w:rtl w:val="true"/>
          <w:lang w:bidi="ar-SA"/>
        </w:rPr>
        <w:t xml:space="preserve">، وأبي الفتح الأشروشني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،والقاضي البيضاوي</w:t>
      </w:r>
      <w:r>
        <w:rPr>
          <w:rStyle w:val="FootnoteAnchor"/>
          <w:rtl w:val="true"/>
        </w:rPr>
        <w:footnoteReference w:id="108"/>
      </w:r>
      <w:r>
        <w:rPr>
          <w:rFonts w:ascii="Amiri" w:hAnsi="Amiri" w:eastAsia="Amiri" w:cs="Amiri"/>
          <w:color w:val="111111"/>
          <w:sz w:val="28"/>
          <w:sz w:val="28"/>
          <w:szCs w:val="28"/>
          <w:rtl w:val="true"/>
          <w:lang w:bidi="ar-SA"/>
        </w:rPr>
        <w:t>،واالشيخ نوح الحنفي</w:t>
      </w:r>
      <w:r>
        <w:rPr>
          <w:rStyle w:val="FootnoteAnchor"/>
          <w:rtl w:val="true"/>
        </w:rPr>
        <w:footnoteReference w:id="109"/>
      </w:r>
      <w:r>
        <w:rPr>
          <w:rFonts w:ascii="Amiri" w:hAnsi="Amiri" w:eastAsia="Amiri" w:cs="Amiri"/>
          <w:color w:val="111111"/>
          <w:sz w:val="28"/>
          <w:sz w:val="28"/>
          <w:szCs w:val="28"/>
          <w:rtl w:val="true"/>
          <w:lang w:bidi="ar-SA"/>
        </w:rPr>
        <w:t>، وابن تيمية</w:t>
      </w:r>
      <w:r>
        <w:rPr>
          <w:rStyle w:val="FootnoteAnchor"/>
          <w:rtl w:val="true"/>
        </w:rPr>
        <w:footnoteReference w:id="110"/>
      </w:r>
      <w:r>
        <w:rPr>
          <w:rFonts w:ascii="Amiri" w:hAnsi="Amiri" w:eastAsia="Amiri" w:cs="Amiri"/>
          <w:color w:val="111111"/>
          <w:sz w:val="28"/>
          <w:sz w:val="28"/>
          <w:szCs w:val="28"/>
          <w:rtl w:val="true"/>
          <w:lang w:bidi="ar-SA"/>
        </w:rPr>
        <w:t>،وابن عبد ربه الأندلسي الأندلسي</w:t>
      </w:r>
      <w:r>
        <w:rPr>
          <w:rStyle w:val="FootnoteAnchor"/>
          <w:rtl w:val="true"/>
        </w:rPr>
        <w:footnoteReference w:id="111"/>
      </w:r>
      <w:r>
        <w:rPr>
          <w:rFonts w:ascii="Amiri" w:hAnsi="Amiri" w:eastAsia="Amiri" w:cs="Amiri"/>
          <w:color w:val="111111"/>
          <w:sz w:val="28"/>
          <w:sz w:val="28"/>
          <w:szCs w:val="28"/>
          <w:rtl w:val="true"/>
          <w:lang w:bidi="ar-SA"/>
        </w:rPr>
        <w:t>، وأبي محمد عثمان العراقى الحنفى</w:t>
      </w:r>
      <w:r>
        <w:rPr>
          <w:rStyle w:val="FootnoteAnchor"/>
          <w:rtl w:val="true"/>
        </w:rPr>
        <w:footnoteReference w:id="112"/>
      </w:r>
      <w:r>
        <w:rPr>
          <w:rFonts w:ascii="IRNazanin" w:hAnsi="IRNazanin" w:eastAsia="IRNazanin"/>
          <w:color w:val="111111"/>
          <w:sz w:val="28"/>
          <w:sz w:val="28"/>
          <w:szCs w:val="28"/>
          <w:rtl w:val="true"/>
          <w:lang w:bidi="fa-IR"/>
        </w:rPr>
        <w:t>، وابن حزم</w:t>
      </w:r>
      <w:r>
        <w:rPr>
          <w:rStyle w:val="FootnoteAnchor"/>
          <w:rtl w:val="true"/>
        </w:rPr>
        <w:footnoteReference w:id="113"/>
      </w:r>
      <w:r>
        <w:rPr>
          <w:rFonts w:ascii="Amiri" w:hAnsi="Amiri" w:eastAsia="Amiri" w:cs="Amiri"/>
          <w:color w:val="111111"/>
          <w:sz w:val="28"/>
          <w:sz w:val="28"/>
          <w:szCs w:val="28"/>
          <w:rtl w:val="true"/>
          <w:lang w:bidi="ar-SA"/>
        </w:rPr>
        <w:t>، وعبدالله القصيمي</w:t>
      </w:r>
      <w:r>
        <w:rPr>
          <w:rStyle w:val="FootnoteAnchor"/>
          <w:rtl w:val="true"/>
        </w:rPr>
        <w:footnoteReference w:id="114"/>
      </w:r>
      <w:r>
        <w:rPr>
          <w:rFonts w:ascii="Amiri" w:hAnsi="Amiri" w:eastAsia="Amiri" w:cs="Amiri"/>
          <w:color w:val="111111"/>
          <w:sz w:val="28"/>
          <w:sz w:val="28"/>
          <w:szCs w:val="28"/>
          <w:rtl w:val="true"/>
          <w:lang w:bidi="ar-SA"/>
        </w:rPr>
        <w:t>،بوصفهم  من أقطاب السلفية</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كان أكثر علماء أهل السنة يذهبون إلى تضعيف رواية الراوي الرافضي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الشيعي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الشيعة على طول التاريخ يرزحون تحت وطأة الخلفاء والحكام الذين يعتنقون المذهب السني </w:t>
      </w:r>
    </w:p>
    <w:p>
      <w:pPr>
        <w:pStyle w:val="BookText"/>
        <w:rPr/>
      </w:pPr>
      <w:r>
        <w:rPr>
          <w:rFonts w:ascii="Amiri" w:hAnsi="Amiri" w:eastAsia="Amiri" w:cs="Amiri"/>
          <w:color w:val="111111"/>
          <w:sz w:val="28"/>
          <w:sz w:val="28"/>
          <w:szCs w:val="28"/>
          <w:rtl w:val="true"/>
          <w:lang w:bidi="ar-SA"/>
        </w:rPr>
        <w:t>ويعانون لذلك شتى أصناف الحرمان والتضييق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هناك بعض المحطات التاريخية التى شهدت تكفير الشيعة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فقد كان التكفير متبادلاً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هذه الظاهرة قبيحة ومستهجنة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قبيحة من كلا الطرفين</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عند تحقيقي لهذا الكتاب عثرت على كتاب يشتمل على تجريح أهل السنة المتعصبين والمتطرفين في شبه القارة الهندية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 وباكستان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أذهلني ما فيه من الدفاع عن حكم يزيد وما قام به من الجرائم النكراء بحق أهل بيت النبي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وإنكار شرعية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وحصر الشرعية بخلافة الخلفاء الثلاثة الأوائل فقط، واتهام الشيعة والإمام الخميني بالردّة والكفر، وهو أمر يحزن جميع المسلمين الأعم من الشيعة 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فهرستواره ایرادات و شبهات علیه شیعیان در هند وباكستان، الدكتور السيد كمال حاج سيد جوادي</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تقييد التكفير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الأخرى فيما يتعلق بتكفير من يُنكر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مقيد بما لو كان المنكر لها معاندة ومكابرة، بمعنى أنه ينكرها بعد علمه بأحقية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وإذا أمكن العثور على مصداق لمثل هذا المنكر، فإن عدد هؤلاء المنكرين قليل جداً؛ لأن أكثر علماء أهل السنة يعتقدون بعدم وجود نص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أي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لا يندرجون في مصاف المنكرين الذين يبلغ بهم إنكارهم حد الكفر والخروج عن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أشار إليه سماحة الإمام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أكثر علماء أهل السنة لم يكونوا على يقين من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أهل السنة في هذا العصر، وفي القرون الماضية لا يدخلون في عداد المنكرين للإمامة، وإنما غاية ما هنالك أنهم يجهلونها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الإمامة من أصول الدين قراءة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الجانب الآخر من الشبهة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الإمامية يعتبرون الإمامة جزءاً من أصول الدين، مثلها مثل أصل التوحيد والنبوة والمعاد، وبذلك فإنهم يحكمون على منكرها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تحليل هذه الشبهة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تعريف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يولون أهمية خاصة للإمامة، ويعتبرونها مكملة للنبوة، وينظرون إليها بوصفها من العقائد الدينية الهامة، أما أن تكون من أصول الدين بحيث يكون منكرها كمنكر النبوة والتوحيد خارجاً عن الإسلام، فهذا ما 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تتفق عليه كلمة علماء الشيعة، وإنما غاية ما يمكن قوله في هذا الشأن إنها </w:t>
      </w:r>
    </w:p>
    <w:p>
      <w:pPr>
        <w:pStyle w:val="BookText"/>
        <w:rPr/>
      </w:pPr>
      <w:r>
        <w:rPr>
          <w:rFonts w:ascii="Amiri" w:hAnsi="Amiri" w:eastAsia="Amiri" w:cs="Amiri"/>
          <w:color w:val="111111"/>
          <w:sz w:val="28"/>
          <w:sz w:val="28"/>
          <w:szCs w:val="28"/>
          <w:rtl w:val="true"/>
          <w:lang w:bidi="ar-SA"/>
        </w:rPr>
        <w:t>قراءة لبعض علماء الإمامية من بين قراءات أخرى ترى الإمامة من أصول المذهب وليست من أصول الدين، وعليه فإن من ينكرها وإن كان خارجاً من التشيّع، ولكنه لا يخرج عن ربقة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العلماء المعاصرين من الشيعة الذين حكموا بصحة إسلام أهل السنة يمكن لنا أن نسمّي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 العاملي</w:t>
      </w:r>
      <w:r>
        <w:rPr>
          <w:rStyle w:val="FootnoteAnchor"/>
          <w:rtl w:val="true"/>
        </w:rPr>
        <w:footnoteReference w:id="119"/>
      </w:r>
      <w:r>
        <w:rPr>
          <w:rFonts w:ascii="Amiri" w:hAnsi="Amiri" w:eastAsia="Amiri" w:cs="Amiri"/>
          <w:color w:val="111111"/>
          <w:sz w:val="28"/>
          <w:sz w:val="28"/>
          <w:szCs w:val="28"/>
          <w:rtl w:val="true"/>
          <w:lang w:bidi="ar-SA"/>
        </w:rPr>
        <w:t>، والشيخ محمد حسين كاشف الغطاء</w:t>
      </w:r>
      <w:r>
        <w:rPr>
          <w:rStyle w:val="FootnoteAnchor"/>
          <w:rtl w:val="true"/>
        </w:rPr>
        <w:footnoteReference w:id="120"/>
      </w:r>
      <w:r>
        <w:rPr>
          <w:rFonts w:ascii="Amiri" w:hAnsi="Amiri" w:eastAsia="Amiri" w:cs="Amiri"/>
          <w:color w:val="111111"/>
          <w:sz w:val="28"/>
          <w:sz w:val="28"/>
          <w:szCs w:val="28"/>
          <w:rtl w:val="true"/>
          <w:lang w:bidi="ar-SA"/>
        </w:rPr>
        <w:t>،والسيد محسن الحكيم</w:t>
      </w:r>
      <w:r>
        <w:rPr>
          <w:rStyle w:val="FootnoteAnchor"/>
          <w:rtl w:val="true"/>
        </w:rPr>
        <w:footnoteReference w:id="121"/>
      </w:r>
      <w:r>
        <w:rPr>
          <w:rFonts w:ascii="Amiri" w:hAnsi="Amiri" w:eastAsia="Amiri" w:cs="Amiri"/>
          <w:color w:val="111111"/>
          <w:sz w:val="28"/>
          <w:sz w:val="28"/>
          <w:szCs w:val="28"/>
          <w:rtl w:val="true"/>
          <w:lang w:bidi="ar-SA"/>
        </w:rPr>
        <w:t>، والإمام السيد روح الله الموسوي الخميني</w:t>
      </w:r>
      <w:r>
        <w:rPr>
          <w:rStyle w:val="FootnoteAnchor"/>
          <w:rtl w:val="true"/>
        </w:rPr>
        <w:footnoteReference w:id="122"/>
      </w:r>
      <w:r>
        <w:rPr>
          <w:rFonts w:ascii="Amiri" w:hAnsi="Amiri" w:eastAsia="Amiri" w:cs="Amiri"/>
          <w:color w:val="111111"/>
          <w:sz w:val="28"/>
          <w:sz w:val="28"/>
          <w:szCs w:val="28"/>
          <w:rtl w:val="true"/>
          <w:lang w:bidi="ar-SA"/>
        </w:rPr>
        <w:t>، والعلامة محمد حسين الطباطبائي</w:t>
      </w:r>
      <w:r>
        <w:rPr>
          <w:rStyle w:val="FootnoteAnchor"/>
          <w:rtl w:val="true"/>
        </w:rPr>
        <w:footnoteReference w:id="123"/>
      </w:r>
      <w:r>
        <w:rPr>
          <w:rFonts w:ascii="Amiri" w:hAnsi="Amiri" w:eastAsia="Amiri" w:cs="Amiri"/>
          <w:color w:val="111111"/>
          <w:sz w:val="28"/>
          <w:sz w:val="28"/>
          <w:szCs w:val="28"/>
          <w:rtl w:val="true"/>
          <w:lang w:bidi="ar-SA"/>
        </w:rPr>
        <w:t>، والشيخ الشهيد مرتضى المطهري</w:t>
      </w:r>
      <w:r>
        <w:rPr>
          <w:rStyle w:val="FootnoteAnchor"/>
          <w:rtl w:val="true"/>
        </w:rPr>
        <w:footnoteReference w:id="124"/>
      </w:r>
      <w:r>
        <w:rPr>
          <w:rFonts w:ascii="Amiri" w:hAnsi="Amiri" w:eastAsia="Amiri" w:cs="Amiri"/>
          <w:color w:val="111111"/>
          <w:sz w:val="28"/>
          <w:sz w:val="28"/>
          <w:szCs w:val="28"/>
          <w:rtl w:val="true"/>
          <w:lang w:bidi="ar-SA"/>
        </w:rPr>
        <w:t>، وذهبوا إلى القول بأن عدم الاعتقاد بالإمامة لا يخرج الفرد من الدين والإسلام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هنا من الإشادة بشكل خاص بدور آية الله العظمى السيد البروجردي المرجع الأعلى للشيعة في العالم، والشيخ محمود شلتوت مفتي أهل السنة ورئيس جامعة الأزهر الشريف في مصر، على ما بذلاه من جهود حثيثة من أجل التقريب بين المذهبين، وكان من جملة النتائج الإيجابية المباركة </w:t>
      </w:r>
    </w:p>
    <w:p>
      <w:pPr>
        <w:pStyle w:val="BookText"/>
        <w:rPr/>
      </w:pPr>
      <w:r>
        <w:rPr>
          <w:rFonts w:ascii="Amiri" w:hAnsi="Amiri" w:eastAsia="Amiri" w:cs="Amiri"/>
          <w:color w:val="111111"/>
          <w:sz w:val="28"/>
          <w:sz w:val="28"/>
          <w:szCs w:val="28"/>
          <w:rtl w:val="true"/>
          <w:lang w:bidi="ar-SA"/>
        </w:rPr>
        <w:t>والميمونة لهذه الجهود فتوى الشيخ محمود شلتوت بجواز التعبد بالمذهب الجعفري واعتباره مذهباً إسلامياً خامساً يضاف إلى المذاهب السنية الأربعة التي يجوز للمسلم أن يتقرب إلى الله من خلالها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هناك أدلة يطرحها أصحاب كلا القراءتين، وهي جديرة بالتدبّر، وقد بحثت هذه الأدلة في كتاب آخر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بعض علماء أهل السنة يذهبون إلى نفس ما يذهب إليه علماء الشيعة من اعتبار الإمامة جزءاً من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نظرة على الأدلة العلمية للخصم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المسألتين المتقدمتين، يجب في البحوث العلمية تجنب المسائل الجدلية والهامشية واتباع الأدلة العلمية، فإذا كان الشيعة يرون الإمامة من أصول الدين، والسنة يرونها من فروع الدين، يجب عدم التسرع في اتهام الخصم بالانحراف والبدع والتحريف في الدين، بل يجب النظر في أدلته والعمل على تحليلها وتمحيصها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الأكثرية القريبة من الإجماع من أهل السنة يعتبرون أصل الإمامة والخلافة مسألة فرعية وفقهية، ولا يرونها من أصول الدين وضرورياته،فعليهم  تبعاً لذلك أن لا يكفروا من ينكرها، ولا يعتبرونه خارجاً عن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يمكنهم تكفيره طبقاً لأدلتهم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بعض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لديهم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فيرون الإمامة من أصول الدين، وعليه يعتبرون من ينكر الإمامة منكراً لأصل من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صحت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لهم اعتبار منكر الإمامة كافراً وخارجاً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لو أن شخصاً قد اعتنق المذهب الشيعي، واعتقد بالإمامة باعتبارها من أصول الدين، فإنه سيكون بمنأى عن التكفير والخروج عن الدين على كلا المذهبين، وإنه سيكون في الحد الأدنى في مورد مسألة فقهية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بالتنصيب الإلهي بدلاً من الانتخاب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اعتنق الشخص المذهب السنى، فإنه في الحد الأدنى سوف يحتمل إمكان أن يكون الحق مع الشيعة، وعليه فإنه من خلال إنكار الإمامة وأصل التنصيب الإلهي سيكون منكراً لأصل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يجب على هذا الفرد بحكم العقل أن يحتاط لنفسه ويسعى إلى دفع الخطر المحتمل بعيداً عن الفرضيات المسبقة، وأن ينظر في أدلة الخصم، وسوف نستعرض تلك الأدلة في هذا الكتاب بالتفصيل، ونكتفي هنا بذكر الحديث النبوي الذي يرويه كلا الفريقين،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اعتبر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الإمام من الأهمية بحيث يعد من ينكرها بل من يجهلها كمن يموت على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يمكن لنا أن ندرك من خلال هذا الحديث مدى أهمية الإمامة في الإسلام وهنا يرد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المراد من وجوب معرفة الإمام وضرورته في كل عصر 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بحيث تعدّ هذه المعرفة تجنباً للموت في عصر الجاهلية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معرفة مطلق الإمام والحاكم </w:t>
      </w:r>
      <w:bookmarkStart w:id="115" w:name="pg15658_146845"/>
    </w:p>
    <w:p>
      <w:pPr>
        <w:pStyle w:val="BookText"/>
        <w:rPr/>
      </w:pPr>
      <w:bookmarkEnd w:id="115"/>
      <w:r>
        <w:rPr>
          <w:rFonts w:ascii="Amiri" w:hAnsi="Amiri" w:eastAsia="Amiri" w:cs="Amiri"/>
          <w:color w:val="111111"/>
          <w:sz w:val="28"/>
          <w:sz w:val="28"/>
          <w:szCs w:val="28"/>
          <w:rtl w:val="true"/>
          <w:lang w:bidi="ar-SA"/>
        </w:rPr>
        <w:t>حتى إذا استولى على مقاليد الأمة بالقهر والغلبة كما هو الحال بالنسبة إلى يزيد بن معاوية، وهو ما هو عليه من الفسق والفجور، وشرب الخمور، وملاعبة الكلاب والقرود؟</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مروج الذهب،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يمكن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يعد معرفة أمثال يزيد مستوجبة للخلاص من الموت بميتة الجاهلية ؟ أم أن المراد هو اشتمال كل عصر وزمان على وجود إمام يتحلى بالصفات الكمالية والمثالية بوصفه حجة الله وخليفة النبي واتصافه بجميع ما يتصف به النبي من مكارم الأخلاق، بحيث يتعين على كل مسلم أن يبذل ما بوسعه من أجل التعرف عليه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ألتمس إخوتنا من أهل السنة ومحققيهم أن يتدبّروا في أدلة الشيعة بما في ذلك الحديث النبوي المتقدم، وأن يحكموا وجدانهم، ثم يبادروا إلى إصدار حكمهم الحيادي بعيداً عن المتبنيات المسبقة</w:t>
      </w:r>
      <w:r>
        <w:rPr>
          <w:rFonts w:eastAsia="IRNazanin" w:cs="IRNazanin"/>
          <w:color w:val="111111"/>
          <w:sz w:val="28"/>
          <w:szCs w:val="28"/>
          <w:rtl w:val="true"/>
          <w:lang w:bidi="fa-IR"/>
        </w:rPr>
        <w:t>.</w:t>
      </w:r>
    </w:p>
    <w:p>
      <w:pPr>
        <w:pStyle w:val="Heading3"/>
        <w:numPr>
          <w:ilvl w:val="2"/>
          <w:numId w:val="1"/>
        </w:numPr>
        <w:rPr/>
      </w:pPr>
      <w:bookmarkStart w:id="116" w:name="__RefHeading___Toc11030291_2142443653"/>
      <w:bookmarkStart w:id="117" w:name="_Toc41"/>
      <w:bookmarkEnd w:id="116"/>
      <w:r>
        <w:rPr>
          <w:rtl w:val="true"/>
        </w:rPr>
        <w:t>الشبهة الخامسة، توريث الإمامة</w:t>
      </w:r>
      <w:r>
        <w:rPr>
          <w:rtl w:val="true"/>
        </w:rPr>
        <w:t>:</w:t>
      </w:r>
      <w:bookmarkEnd w:id="117"/>
    </w:p>
    <w:p>
      <w:pPr>
        <w:pStyle w:val="Heading4"/>
        <w:numPr>
          <w:ilvl w:val="3"/>
          <w:numId w:val="1"/>
        </w:numPr>
        <w:rPr/>
      </w:pPr>
      <w:bookmarkStart w:id="118" w:name="__RefHeading___Toc11030293_2142443653"/>
      <w:bookmarkStart w:id="119" w:name="_Toc42"/>
      <w:bookmarkEnd w:id="118"/>
      <w:r>
        <w:rPr>
          <w:rtl w:val="true"/>
        </w:rPr>
        <w:t>اشارة</w:t>
      </w:r>
      <w:bookmarkEnd w:id="11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الشبهات المثارة ضدّ الشيعة هى شبهة القول بأن الشيعة يدعون إلى توريث الخلافة والإمامة</w:t>
      </w:r>
      <w:r>
        <w:rPr>
          <w:rStyle w:val="FootnoteAnchor"/>
          <w:rtl w:val="true"/>
        </w:rPr>
        <w:footnoteReference w:id="128"/>
      </w:r>
      <w:r>
        <w:rPr>
          <w:rFonts w:ascii="IRNazanin" w:hAnsi="IRNazanin" w:eastAsia="IRNazanin"/>
          <w:color w:val="111111"/>
          <w:sz w:val="28"/>
          <w:sz w:val="28"/>
          <w:szCs w:val="28"/>
          <w:rtl w:val="true"/>
          <w:lang w:bidi="fa-IR"/>
        </w:rPr>
        <w:t>لأن جميع الأئمة هم من نسل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تسعة منهم من نسل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يذهب أهل السنة إلى القول بانتخاب الخليفة من قبل الناس مباشرة عن طريق البيعة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ويعتبر  هذا النهج حالياً أكثر عقلانية من النهج الذي يدعو إليه الشيعة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تمت الإشارة آنفاً فإن هذا الإشكال بسيط، ولذلك نكتفي بالإجابة عنه باختصار من خلال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الشيعة لم يدعوا يوماً أن علياً أحق بالخلافة والإمامة لأنه صهر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عمه، وأقرب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 في الحقيقة يتميّز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بالفضائل والصفات الأسمى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المنازل الروحية والمعنوية، وتدبير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والشجاعة، والأهم من ذلك التقوى والورع وتهذيب النفس، وترعرعه في حجر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نعومة أظفاره، وهو أمر بلغ من خلاله إلى أعلى ذروة الإيمان والكمال الإنساني والاتصاف بالعصمة والعلم الإلهي الشامل بالشريعة، بحيث كان يرى جبرائيل عند نزوله على رسول الله ويسمع كلامه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نُورَ الْوَحْيِ وَالرِّسَالَةِ، وَأَشْمُّ رِيحَ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 الا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الشَّيْطَانُ قَدْ أَيسَ مِنْ عِبَادَتِهِ ، إِنَّكَ تَسْمَعُ مَا أَسْمَعُ، وَتَرَى مَا أَرَى، إِلا أَنَّكَ لَسْتَ بِنَبِي، وَلكِنَّكَ وَزِيرٌ ، وَإِنَّكَ لَعَلَى خَيْرٍ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الأخرى هي 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من أهل بيت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 للنصوص القرآنية والروائية المأثورة في مصادر الفريقين، هم أفضل الناس منذ بدء الخليقة إلى قيام الساعة، وإن هذه الأفضلية تشمل جميع الأنبياء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نتعرّض للدليل القرآني والروائي </w:t>
      </w:r>
    </w:p>
    <w:p>
      <w:pPr>
        <w:pStyle w:val="BookText"/>
        <w:rPr/>
      </w:pPr>
      <w:r>
        <w:rPr>
          <w:rFonts w:ascii="IRNazanin" w:hAnsi="IRNazanin" w:eastAsia="IRNazanin"/>
          <w:color w:val="111111"/>
          <w:sz w:val="28"/>
          <w:sz w:val="28"/>
          <w:szCs w:val="28"/>
          <w:rtl w:val="true"/>
          <w:lang w:bidi="fa-IR"/>
        </w:rPr>
        <w:t>على رؤية الشيعة في تفضيل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معرض تحليل شبهة تفضيل الأئمة على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الصفحات المقبلة إن شاء الله تعالى كما تقدم جانب من الإجابة عن هذه الشبهة في فصل الكليات على هامش الفلسفة السادسة للإمامة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واسطة الفيض الإلهى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فيما يتعلق بتعيين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منصب الإمامة لم يكن هناك من تأثير للوراثة والنسب، وإنما المعيار في ذلك هو الصفات الكمالية التي توفرت في شخص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الآيات والروايات الدالة على تنصيب الإمام علي في الحقيقة لا تقوم على تنصيبه، وإنما هي تكشف عن واقع ما عليه الإمام، فهي بنحو من الأنحاء ذات جنبة تعليمية وإعلانية تخبر الناس بأن الإمام علي هو الخليفة الحقيقي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وذات الشيء يمكن قوله بالنسبة إلى تعيين سائر الأئمة الآخرين، من الإمام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كان كل واحد منهم في عصره هو الإنسان الأكمل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بهذه الحقيقة حتى الخلفاء الذين عاصروا الأئمة، وعلماء أهل السنة أيضاً، وفيما يأتي نشير إلى بعض هذه الشهادات</w:t>
      </w:r>
      <w:r>
        <w:rPr>
          <w:rFonts w:eastAsia="IRNazanin" w:cs="IRNazanin"/>
          <w:color w:val="111111"/>
          <w:sz w:val="28"/>
          <w:szCs w:val="28"/>
          <w:rtl w:val="true"/>
          <w:lang w:bidi="fa-IR"/>
        </w:rPr>
        <w:t xml:space="preserve">: </w:t>
      </w:r>
      <w:bookmarkStart w:id="120" w:name="pg15658_146848"/>
    </w:p>
    <w:p>
      <w:pPr>
        <w:pStyle w:val="BookText"/>
        <w:rPr/>
      </w:pPr>
      <w:bookmarkEnd w:id="120"/>
      <w:r>
        <w:rPr>
          <w:rFonts w:ascii="Amiri" w:hAnsi="Amiri" w:eastAsia="Amiri" w:cs="Amiri"/>
          <w:color w:val="111111"/>
          <w:sz w:val="28"/>
          <w:sz w:val="28"/>
          <w:szCs w:val="28"/>
          <w:rtl w:val="true"/>
          <w:lang w:bidi="ar-SA"/>
        </w:rPr>
        <w:t>اعتراف علماء أهل السنة بفضائل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لا يتفاعل السني مع كلام يشيد بفضائل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صادراً عن الشيعة، ولكن انطلاقاً من مقولة أن الفضل ما شهدت به الأعداء، نجد من المناسب هنا أن نتعرض إلى اعتراف المناوئين للإمامة بفضائل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21" w:name="__RefHeading___Toc11030295_2142443653"/>
      <w:bookmarkStart w:id="122" w:name="_Toc43"/>
      <w:bookmarkEnd w:id="121"/>
      <w:r>
        <w:rPr>
          <w:rtl w:val="true"/>
        </w:rPr>
        <w:t>اعتراف الخلفاء الثلاثة</w:t>
      </w:r>
      <w:r>
        <w:rPr>
          <w:rtl w:val="true"/>
        </w:rPr>
        <w:t>:</w:t>
      </w:r>
      <w:bookmarkEnd w:id="122"/>
    </w:p>
    <w:p>
      <w:pPr>
        <w:pStyle w:val="BookText"/>
        <w:rPr/>
      </w:pPr>
      <w:r>
        <w:rPr>
          <w:rFonts w:ascii="IRNazanin" w:hAnsi="IRNazanin" w:eastAsia="IRNazanin"/>
          <w:color w:val="111111"/>
          <w:sz w:val="28"/>
          <w:sz w:val="28"/>
          <w:szCs w:val="28"/>
          <w:rtl w:val="true"/>
          <w:lang w:bidi="fa-IR"/>
        </w:rPr>
        <w:t xml:space="preserve">على الرغم من أن الخلفاء الثلاثة الأوائل قد تعمدوا لمختلف الذرائع والحجج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سنذكرها في فصل التبريرات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يمنعوا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حقه في الإمامة والخلافة، ولكنهم اعترفوا في كثير من المواطن والمواضع بفضائله العلمية والدينية، بل حتى بحقه في الخلافة، وتنصيب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فی هذا الموقع</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الحديث عن اعتراف الخلفاء وعلماء أهل السنة له في هذا الموقع بأصل التنصيب في معرض بيان شبهة تعارض نصوص الخلافة في الفصل الرابع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الاعتراف بأصل التنصيب يستلزم الاعتراف باتصاف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بالصفات الكمالية، وإلا وجب القول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عمد إلى تنصيب الإمام علي في هذا المنصب من دون أن يكون مستحقاً له</w:t>
      </w:r>
      <w:r>
        <w:rPr>
          <w:rFonts w:eastAsia="IRNazanin" w:cs="IRNazanin"/>
          <w:color w:val="111111"/>
          <w:sz w:val="28"/>
          <w:szCs w:val="28"/>
          <w:rtl w:val="true"/>
          <w:lang w:bidi="fa-IR"/>
        </w:rPr>
        <w:t>.</w:t>
      </w:r>
    </w:p>
    <w:p>
      <w:pPr>
        <w:pStyle w:val="Heading4"/>
        <w:numPr>
          <w:ilvl w:val="3"/>
          <w:numId w:val="1"/>
        </w:numPr>
        <w:rPr/>
      </w:pPr>
      <w:bookmarkStart w:id="123" w:name="__RefHeading___Toc11030297_2142443653"/>
      <w:bookmarkStart w:id="124" w:name="_Toc44"/>
      <w:bookmarkEnd w:id="123"/>
      <w:r>
        <w:rPr>
          <w:rtl w:val="true"/>
        </w:rPr>
        <w:t>اعتراف أئمة المذاهب الفقهية الأربعة بفضائل الأئمة</w:t>
      </w:r>
      <w:r>
        <w:rPr>
          <w:rtl w:val="true"/>
        </w:rPr>
        <w:t>:</w:t>
      </w:r>
      <w:bookmarkEnd w:id="1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 على يد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سنتين كاملتين، كان لهما فضل كبير في ترسيخ قواعده العلمية، وقد اعترف </w:t>
      </w:r>
    </w:p>
    <w:p>
      <w:pPr>
        <w:pStyle w:val="BookText"/>
        <w:rPr/>
      </w:pPr>
      <w:r>
        <w:rPr>
          <w:rFonts w:ascii="Amiri" w:hAnsi="Amiri" w:eastAsia="Amiri" w:cs="Amiri"/>
          <w:color w:val="111111"/>
          <w:sz w:val="28"/>
          <w:sz w:val="28"/>
          <w:szCs w:val="28"/>
          <w:rtl w:val="true"/>
          <w:lang w:bidi="ar-SA"/>
        </w:rPr>
        <w:t>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السنتان لهلك النعمان</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أمره المنصور الدوانيقي يوماً بأن يحضر أربعين مسألة يلقيها على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بغية إحراجه، ولكنه بعد سماع الإجابات التي ذكرها الإمام عن تلك الأسئلة،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أفقه</w:t>
      </w:r>
    </w:p>
    <w:p>
      <w:pPr>
        <w:pStyle w:val="BookText"/>
        <w:rPr/>
      </w:pPr>
      <w:r>
        <w:rPr>
          <w:rFonts w:ascii="IRNazanin" w:hAnsi="IRNazanin" w:eastAsia="IRNazanin"/>
          <w:color w:val="111111"/>
          <w:sz w:val="28"/>
          <w:sz w:val="28"/>
          <w:szCs w:val="28"/>
          <w:rtl w:val="true"/>
          <w:lang w:bidi="fa-IR"/>
        </w:rPr>
        <w:t>من جعفر بن محمد</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في وصف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رأت عين، ولا سمعت أذن، ولا خطر على قلب بشر، أفضل من جعفر بن محمد علماً وعبادة وورعاً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إدريس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قيل له إن بعض أهل السنة لا يطيق سماع فضائل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إذا سمعوا شخصاً يذكر فضيلة لهم رموه بالرفض والتشيّع، فأنشد الأبيات الآتية المعروفة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ولعنته لتلك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راكباً قف بالمحصب متن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 xml:space="preserve">سحر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الفرات الفائض</w:t>
      </w:r>
    </w:p>
    <w:p>
      <w:pPr>
        <w:pStyle w:val="BookText"/>
        <w:rPr/>
      </w:pPr>
      <w:r>
        <w:rPr>
          <w:rFonts w:ascii="Amiri" w:hAnsi="Amiri" w:eastAsia="Amiri" w:cs="Amiri"/>
          <w:color w:val="111111"/>
          <w:sz w:val="28"/>
          <w:sz w:val="28"/>
          <w:szCs w:val="28"/>
          <w:rtl w:val="true"/>
          <w:lang w:bidi="ar-SA"/>
        </w:rPr>
        <w:t xml:space="preserve">وأخبرهم أني من النفر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أهل البيت ليس بناقض</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فليشهد الثقلان أني رافضي</w:t>
      </w:r>
      <w:r>
        <w:rPr>
          <w:rFonts w:eastAsia="Amiri" w:cs="Amiri" w:ascii="Amiri" w:hAnsi="Amiri"/>
          <w:color w:val="111111"/>
          <w:sz w:val="28"/>
          <w:szCs w:val="28"/>
          <w:rtl w:val="true"/>
          <w:lang w:bidi="ar-SA"/>
        </w:rPr>
        <w:t>»</w:t>
      </w:r>
      <w:r>
        <w:rPr>
          <w:rStyle w:val="FootnoteAnchor"/>
          <w:rtl w:val="true"/>
        </w:rPr>
        <w:footnoteReference w:id="135"/>
      </w:r>
      <w:bookmarkStart w:id="125" w:name="pg15658_146850"/>
    </w:p>
    <w:p>
      <w:pPr>
        <w:pStyle w:val="BookText"/>
        <w:rPr/>
      </w:pPr>
      <w:bookmarkEnd w:id="12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قائلاً بأنه لم ترد من الفضائل لأحد، كما ورد لأمير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 لأحد من الفضائل ما جاء لعلي رضى الله عنه</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1030299_2142443653"/>
      <w:bookmarkStart w:id="127" w:name="_Toc45"/>
      <w:bookmarkEnd w:id="126"/>
      <w:r>
        <w:rPr>
          <w:rtl w:val="true"/>
        </w:rPr>
        <w:t xml:space="preserve">اعتراف المعتزلة </w:t>
      </w:r>
      <w:r>
        <w:rPr>
          <w:rtl w:val="true"/>
        </w:rPr>
        <w:t>:</w:t>
      </w:r>
      <w:bookmarkEnd w:id="127"/>
    </w:p>
    <w:p>
      <w:pPr>
        <w:pStyle w:val="BookText"/>
        <w:rPr/>
      </w:pPr>
      <w:r>
        <w:rPr>
          <w:rFonts w:ascii="IRNazanin" w:hAnsi="IRNazanin" w:eastAsia="IRNazanin"/>
          <w:color w:val="111111"/>
          <w:sz w:val="28"/>
          <w:sz w:val="28"/>
          <w:szCs w:val="28"/>
          <w:rtl w:val="true"/>
          <w:lang w:bidi="fa-IR"/>
        </w:rPr>
        <w:t>يقرّ أكثر المعتزلة بأفضلية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جميع الصحابة بمن فيهم الخلفاء الثلاثة الأوائل، كما ألف فى ذلك أبو جعفر الإسكافى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المعيار والموازنة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أبي الحديد المعتزلي في مقدمة شرحه لنهج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قدّم المفضول على الفاضل</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الجاحظ في وصف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الذى ملأ الدنيا علمه وفقهه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نكتفي بهذا المقدار مخافة الإطالة، مع التذكير بأن علماء أهل السنة أنفسهم قد بادروا إلى بيان فضائل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كتبهم الروائية والرجالية، وهناك منهم من ألف الكتب المستقلة في هذا الشأن</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هذا المقدار كافياً </w:t>
      </w:r>
      <w:bookmarkStart w:id="128" w:name="pg15658_146851"/>
    </w:p>
    <w:p>
      <w:pPr>
        <w:pStyle w:val="BookText"/>
        <w:rPr/>
      </w:pPr>
      <w:bookmarkEnd w:id="128"/>
      <w:r>
        <w:rPr>
          <w:rFonts w:ascii="Amiri" w:hAnsi="Amiri" w:eastAsia="Amiri" w:cs="Amiri"/>
          <w:color w:val="111111"/>
          <w:sz w:val="28"/>
          <w:sz w:val="28"/>
          <w:szCs w:val="28"/>
          <w:rtl w:val="true"/>
          <w:lang w:bidi="ar-SA"/>
        </w:rPr>
        <w:t>لإثبات أن تنصيب الأئمة الاثني عشر من أئمة الشيعة لم يكن وراثياً وانتقالاً للإمامة والخلافة من الآباء إلى الأبناء، وإنما لما يتمتع به هؤلاء العظام من الفضائل والصفات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الأخيرة التى يجدر التذكير بها هي أنه إذا ثبت بالأدلة النقلية والعقلية أن الله أو رسوله قد عيّن الأئمة الذين يقودون المجتمع دينياً وسياسياً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على كل مسلم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ذلك على السنة فمن باب أن كل ما يفعله الله حسن وعين العدل، وبالنسبة إلى الإمامية فلأن أوامر الله كاشفة عن الحسن والمصلحة المتعلقة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سنذكر أدلة نصوص الإمامة في الفصل التالي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شبهة القول بتوريث إمامة الأئمة، إنما هي شبهة في مقابل النص وتشكيك في الأوامر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أننا ذكرنا بالتفصيل أن بلوغ الأئمة إلى منصب الإمامة لم يكن توريثاً، وإنما استحقاقاً لما يتمتعون به من الصفات والفضائل الذاتية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1030301_2142443653"/>
      <w:bookmarkStart w:id="130" w:name="_Toc46"/>
      <w:bookmarkEnd w:id="129"/>
      <w:r>
        <w:rPr>
          <w:rtl w:val="true"/>
        </w:rPr>
        <w:t xml:space="preserve">الشبهة السادسة </w:t>
      </w:r>
      <w:r>
        <w:rPr>
          <w:rtl w:val="true"/>
        </w:rPr>
        <w:t xml:space="preserve">: </w:t>
      </w:r>
      <w:r>
        <w:rPr>
          <w:rtl w:val="true"/>
        </w:rPr>
        <w:t>الإمامة في الصغر</w:t>
      </w:r>
      <w:r>
        <w:rPr>
          <w:rtl w:val="true"/>
        </w:rPr>
        <w:t>:</w:t>
      </w:r>
      <w:bookmarkEnd w:id="1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يذهب الشيعة إلى الاعتقاد بأن الإمامة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انتقلت إلى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الأحد عشر من نسله والإمامة سواء بمعنى الحكومة والخلافة أو المرجعية العلمية والدينية والحجة الإلهية رهن بالأوصاف والشرائط، ومن بينها الاستطاعة البدنية والمرحلة السنية، فالصغير والطفل لا يمكنه أن يكون إماماً وخليفة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بعض الأئمة مثل الإمام </w:t>
      </w:r>
      <w:bookmarkStart w:id="131" w:name="pg15658_146852"/>
    </w:p>
    <w:p>
      <w:pPr>
        <w:pStyle w:val="BookText"/>
        <w:rPr/>
      </w:pPr>
      <w:bookmarkEnd w:id="131"/>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إماماً وهو في السابعة من عمره،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الإمامة وهو في السنة الثامنة من عمره، وهذا لا يتناسب مع شأن الإمامة ومنزلتها التي يقول بها الشيعة للإمامة والإمام</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1030303_2142443653"/>
      <w:bookmarkStart w:id="133" w:name="_Toc47"/>
      <w:bookmarkEnd w:id="132"/>
      <w:r>
        <w:rPr>
          <w:rtl w:val="true"/>
        </w:rPr>
        <w:t>مناقشة وتحليل</w:t>
      </w:r>
      <w:r>
        <w:rPr>
          <w:rtl w:val="true"/>
        </w:rPr>
        <w:t>:</w:t>
      </w:r>
      <w:bookmarkEnd w:id="133"/>
    </w:p>
    <w:p>
      <w:pPr>
        <w:pStyle w:val="BookText"/>
        <w:rPr/>
      </w:pPr>
      <w:r>
        <w:rPr>
          <w:rFonts w:ascii="Amiri" w:hAnsi="Amiri" w:eastAsia="Amiri" w:cs="Amiri"/>
          <w:color w:val="111111"/>
          <w:sz w:val="28"/>
          <w:sz w:val="28"/>
          <w:szCs w:val="28"/>
          <w:rtl w:val="true"/>
          <w:lang w:bidi="ar-SA"/>
        </w:rPr>
        <w:t>في تحليل هذه الشبهة تجدر الإشارة إلى الأمور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إعطاء النبوة والحكم لعيسى ويحيى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فترة الصبا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الأولى هي أنه لا ينبغي التعجب من بلوغ هذين الإمامين المعصومين إلى مرتبة الإمامة في الصغر، أو الذهاب إلى ما هو أبعد من ذلك من خلال إنكاره أيضاً؛ بعد أن أخبر الله تعالى بإعطاء النبوة لعيسى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والحكم ليحيى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صغيرين؛ إذ يقول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يَايَحْيَى خُذْ الْكِتَابَ بِقُوَّةٍ وَآتَيْنَاهُ الْحُكْمَ صَبِيًّا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يتعلق بالمراد من الحكم الذي أعطي ليحيى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إذا كان يشمل النبوة أيضاً أم لا ؟ هناك خلاف بين المفسرين من الشيعة </w:t>
      </w:r>
    </w:p>
    <w:p>
      <w:pPr>
        <w:pStyle w:val="BookText"/>
        <w:rPr/>
      </w:pPr>
      <w:r>
        <w:rPr>
          <w:rFonts w:ascii="Amiri" w:hAnsi="Amiri" w:eastAsia="Amiri" w:cs="Amiri"/>
          <w:color w:val="111111"/>
          <w:sz w:val="28"/>
          <w:sz w:val="28"/>
          <w:szCs w:val="28"/>
          <w:rtl w:val="true"/>
          <w:lang w:bidi="ar-SA"/>
        </w:rPr>
        <w:t>السنة</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ونكتفي هنا بذكر ما أورده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المفسر والمتكلم السني الشهير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إعطاء الحكم ليحيى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الصغر،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في الحكم أقوالاً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فإن الله تعالى أحكم عقله في صباه، وأوحى إليه، وذلك لأن الله تعالى بعث يحيى وعيسى عليهما السلام وهما صبيان</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والقدر المشترك والمتيقن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قوة الفهم والإدراك الدقيق والإلهام الغيبي الذي يذكره الله بوصفه عناية خاصة اختص بها النبي 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يتضح من هذه الآية الشريفة أن العلم وقوة التعقل الخاصة والارتباط الغيبي يمكن حصوله في الصغر وسنوات الطفولة، بل هو واقع، ولا يوجد فيه ما يُستبعد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فيما يتعلق بنبوة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وردت في صريح الآية فقد ذهب أكثر علماء الشيعة إلى تفسيرها بنبوته حال كونه صبياً</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المفسرون من أهل السنة فقد ذهبوا إلى آراء شتى، فمنهم من أنكرها</w:t>
      </w:r>
      <w:r>
        <w:rPr>
          <w:rStyle w:val="FootnoteAnchor"/>
          <w:rtl w:val="true"/>
        </w:rPr>
        <w:footnoteReference w:id="146"/>
      </w:r>
      <w:r>
        <w:rPr>
          <w:rFonts w:ascii="Amiri" w:hAnsi="Amiri" w:eastAsia="Amiri" w:cs="Amiri"/>
          <w:color w:val="111111"/>
          <w:sz w:val="28"/>
          <w:sz w:val="28"/>
          <w:szCs w:val="28"/>
          <w:rtl w:val="true"/>
          <w:lang w:bidi="ar-SA"/>
        </w:rPr>
        <w:t>، ومنهم من اكتفى بذكر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وغير النبوة، من دون ترجيح أو رفض أحدهما</w:t>
      </w:r>
      <w:r>
        <w:rPr>
          <w:rStyle w:val="FootnoteAnchor"/>
          <w:rtl w:val="true"/>
        </w:rPr>
        <w:footnoteReference w:id="147"/>
      </w:r>
      <w:r>
        <w:rPr>
          <w:rFonts w:ascii="Amiri" w:hAnsi="Amiri" w:eastAsia="Amiri" w:cs="Amiri"/>
          <w:color w:val="111111"/>
          <w:sz w:val="28"/>
          <w:sz w:val="28"/>
          <w:szCs w:val="28"/>
          <w:rtl w:val="true"/>
          <w:lang w:bidi="ar-SA"/>
        </w:rPr>
        <w:t xml:space="preserve">، وذهب بعضهم إلى تفسيرها بالنبوة، وقد نسب البروسوي هذا القول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الجمهور</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الزمخشري فقد نسب تفسير النبوة في الصغر إلى ظاهر الآية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صرّح الفخر الرازي بحمل هاتين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النبي يحيى بن زكريا، ونبوة السيد المسيح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فترة الصغر، وأجاب عن شبهة استبعاد مثل هذا الأمر،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حصول العقل والفطنة والنبوة حال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السائل إما أن يمنع من خرق العادة، أو لا يمنع منه، فإن منع منه فقد سد باب النبوات؛ لأن بناء الأمر فيها على المعجزات ولا معنى لها إلا خرق العادات، وإن لم يمنع فقد زال هذا الاستبعاد؛ فإنه ليس استبعاد صيرورة الصبي عاقلاً أشد من استبعاد انشقاق القمر وانفلاق البحر</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ذهب إلى حمل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آتَانِيَ الْكِتَابَ</w:t>
      </w:r>
      <w:r>
        <w:rPr>
          <w:rFonts w:ascii="IRNazanin" w:hAnsi="IRNazanin" w:eastAsia="IRNazanin"/>
          <w:color w:val="111111"/>
          <w:sz w:val="28"/>
          <w:sz w:val="28"/>
          <w:szCs w:val="28"/>
          <w:rtl w:val="true"/>
          <w:lang w:bidi="fa-IR"/>
        </w:rPr>
        <w:t xml:space="preserve"> على الدلالة على نبوة السيد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الصغر، وأنه يجب حمل هذه الآية على ظاهرها، وتجنب تفسيرها بما يخالف الظاهر؛ إذ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فثبت </w:t>
      </w:r>
    </w:p>
    <w:p>
      <w:pPr>
        <w:pStyle w:val="BookText"/>
        <w:rPr/>
      </w:pPr>
      <w:r>
        <w:rPr>
          <w:rFonts w:ascii="Amiri" w:hAnsi="Amiri" w:eastAsia="Amiri" w:cs="Amiri"/>
          <w:color w:val="111111"/>
          <w:sz w:val="28"/>
          <w:sz w:val="28"/>
          <w:szCs w:val="28"/>
          <w:rtl w:val="true"/>
          <w:lang w:bidi="ar-SA"/>
        </w:rPr>
        <w:t>بهذا أنه لا امتناع في كونه نبياً في ذلك الوقت،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آتَانِيَ الْكِتَابَ، يدل على كونه نبياً في ذلك الوقت؛ فوجب إجراؤه على ظاهره، بخلاف ما قاله عكرمة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ذهب أبو منصور الماتريدي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المدرسة الكلامية الماتريدية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تفسير هذه الآية بالنبوة فى فترة الصغر والصبا أيضاً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الكلام أن إعطاء النبوة، أو قوة التعقل والمعرفة الخاصة بأحكام الدين والارتباط الغيبي بالمقام القدسي في فترة الصغر أمر ممكن، بل واقع كما حصل بالنسبة إلى النبي يحيى بن زكريا وعيسى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هنا فإن رؤية الإمامية القائمة على بلوغ بعض الأئمة مرتبة الإمامة في مرحلة الصبا، لا تتعلق بالمحال وما يخالف المباني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ورد تشبيه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بالنبي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الروايات المأثورة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مصاديق لبعض العباقرة والنوابغ في سنوات الطفولة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الأنبياء هناك من الأطفال من يبدي نبوغاً يثير إعجاباً ودهشة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يمكن العثور على كثير من المصاديق والأمثلة التي تطالعنا بها وسائل الإعلام في هذا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الطفل الذي لم يبلغ السادسة من عمره ومع ذلك يستطيع إتقان اللغات الأجنبية نطقاً وكتابة، أو أن يحفظ كتاباً أو مقاطع طويلة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يتعذر على من هم في مثل سنه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 كتابتي لهذه السطور تحدثت وسائل الإعلام عن طفل روسي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جيورجي هيجاكوف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من العمر ستة أعوام وهو يتقن اثنتي عشرة لغة، كما يستطيع حل المعادلات الرياضية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للقارئ الكريم أن يقف على مزيد من هذه الحالات من خلال البحث في مواقع الأنترنت الخاصة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تحدث الشيخ إسماعيل حقي البروسوي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مفسري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تفسير الآية الثانية عشرة من سورة مريم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 الْحُكْمَ صَبِيًّا عن حالات الانكشاف والإلهام الغيبي التي حصلت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عبد الله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عمره يتراوح بين ثلاثة وسبعة أعوام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الأساس يكون علم الغيب والنبوغ الذي هو من نوع العناية الإلهية في تفسير الدين، وحتى إدارة الحكم والدولة أمراً ممكناً بل واقعاً بالنسبة إلى الأئمة من أهل بيت النبي أهل بيت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وستكون لنا عودة ثانية إلى هذا الموضوع أيضاً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غلام صغير إلى الإسلام وتعيينه خليفة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بين الحقائق التي تثبت الكفاءة الذاتية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النبی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الإسلام وكان له من العمر عشر سنوات، مع أننا نجد أن النبي طوال فترة نبوته الممتدة إلى ثلاث وعشرين سنة لم يدع إلى الإسلام طفلاً لم يبلغ الحلم باستثناء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وعلاوة على ذلك فقد خص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البيعة منهما صغيرين، ولم يتكرر هذا الأمر لغيرهما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الموارد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الإمام علي وأخذ البيعة من الحسنين في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دليل على ما يتمتع به الأئمة من الفضائل والخصائص الذاتية التي تؤهلهم لحمل أعباء الإمامة صغاراً وكباراً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استشهد لذلك المأمون العباسي المعاصر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مقراً بفضله وكفاءته وجدارته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الذاتية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ما تقدم يُثبت إمكان الفضيلة الذاتية في مرحلة الصغر وفترة الطفولة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بشأن إمامة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الإمكان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إثبات الوقوع والتحقق أيضاً، وفيما يأتي نشير إلى بعض النقاط في هذا الشأن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 عن الأسئلة والمناظرات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رحيل الإمام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الشيعة في البداية يختبرون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طرح بعض الأسئلة عليه للتأكد من أهليته لمنصب الإمامة الإلهى، ويروى في هذا السياق أن كبار الشيعة في بغداد عقدوا العزم على توجيه ثمانين فقيهاً لاختباره والتحقق من حقيقة الأمر، فآمن جميع هؤلاء الفقهاء بأهليته بعد أن حصلوا منه على الإجابات التفصيلية عن جميع الأسئلة المعقدة التي طرحوها عليه ولم يكن قد تجاوز السنة الثامنة من عمره الشريف</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من بين الموارد الأخرى التي أثبت فيها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جدارته الذاتية والعناية الإلهية في حقه في مختلف المجالات، المناظرات العلمية التي كانت تجري بينه وبين مشاهير العلماء المخالفين للإمامة والمحسوبين على جهاز السلطة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يناظر هؤلاء العلماء مراراً، وكان يتغلب عليهم دائماً رغم صغر سنه، وكل ذلك مسجل في المصادر التاريخية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المأمون العباسي يهم بتزويج ابنته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الإمام الجواد بسبب ما يتوسمه فيه من الفضائل والكمال رغم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لأسباب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كان يثير معارضة من حاشيته والمقربين منه، واشترطوا عليه عدم تنفيذ عزمه إلا بعد إجراء مناظرة بينه وبينهم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في هذه المناظرة يحيى بن أكثم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أوسع أفراد حاشية المأمون علماً وكان يشغل منصب قاضى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الغلبة في هذه المناظرة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ولم يبق أمام العلماء غير الإذعان لرغبة المأمون في تزويج ابنته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المأمون وغيره من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إثر كثير من المناظرات التي كانت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علماء أهل السنة، أقر المناظرون جميعهم بمن فيهم المأمون نفسه بعلمه وفضله وصفاته الذاتية رغم صغر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يحيى بن أكثم وهو رئيس علماء أهل السنة كان في بداية الأمر يخالف اتصاف الإمام بهذه الصفات الكمالية، إلا أنه بعد إحدى المناظرات اعترف للإمام بهذه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أقر المأمون نفسه لا بهذه الفضائل فحسب، وإنما أضاف إلى ذلك فلسفة توفرها في الإمام في بعض إشاراته، وأنها غير مستبعدة عن سلسلة </w:t>
      </w:r>
    </w:p>
    <w:p>
      <w:pPr>
        <w:pStyle w:val="BookText"/>
        <w:rPr/>
      </w:pPr>
      <w:r>
        <w:rPr>
          <w:rFonts w:ascii="Amiri" w:hAnsi="Amiri" w:eastAsia="Amiri" w:cs="Amiri"/>
          <w:color w:val="111111"/>
          <w:sz w:val="28"/>
          <w:sz w:val="28"/>
          <w:szCs w:val="28"/>
          <w:rtl w:val="true"/>
          <w:lang w:bidi="ar-SA"/>
        </w:rPr>
        <w:t>النبوة ونزول العلم عليه من طريق الإلهام والعناية الإلهية، كما خاطب جمعاً من العلماء ذات مرّة وقال لهم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وَيْحَكُمْ إِنَّ أَهْلَ هَذَا الْبَيْتِ خُصُّوا مِنَ الْخَلْقِ بِمَا تَرَوْنَ مِنَ الْفَضْلِ وَ إِنَّ صِغَرَ السِّنَّ لَا يَمْنَعُهُمْ مِنَ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أَهْلِ بَيْتِ عِلْمُهُمْ مِنَ الله تَعَالَى وَمَوَادِّهِ وَ إِلْحَامِهِ</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أقر سائر علماء أهل السنة من أمثال ابن حجر الهيتمي بفضل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 وكماله وعظمته في صغره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الفضائل الذاتية للإمام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أبيه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آلت إليه الإمامة وهو صغير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تلقى الشيعة إمامته بالقبول لمشابهتها بإمامة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يتعلق بالفضل الذاتي الذي كان يتصف به الإمام الهادي نكتفي بذكر هذه الواقعة، وهي أن المعتصم العباسي أراد أن يستغل صغر سن الإمام، فأرسل إلى عالم سني شهير وهو أبو عبد الله الجنيدي ليتولى تأديب الإمام الجواد وتعليمه، وأن يتولى لذلك ملازمته وحبسه في بيته، وأخذ عليه خلال هذه المدة أن يقوم له بعملية غسل دماغ بوصفه أستاذه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ذلك على كبار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الجنيدي يلزم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القصر ؛ فاذا كان الليل أغلق الباب وأقفله وأخذ المفاتيح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على هذا مدة وانقطعت الشيعة عنه وعن الاستماع منه والقراءة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إني لقيته في يوم جمعة فسلّمت عليه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الغلام الهاشمي الذي تؤدبه ؟ فقال منكراً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الغلام، ولا تقول الشيخ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الله هل تعلم بالمدينة أعلم مني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و الله </w:t>
      </w:r>
    </w:p>
    <w:p>
      <w:pPr>
        <w:pStyle w:val="BookText"/>
        <w:rPr/>
      </w:pPr>
      <w:r>
        <w:rPr>
          <w:rFonts w:ascii="Amiri" w:hAnsi="Amiri" w:eastAsia="Amiri" w:cs="Amiri"/>
          <w:color w:val="111111"/>
          <w:sz w:val="28"/>
          <w:sz w:val="28"/>
          <w:szCs w:val="28"/>
          <w:rtl w:val="true"/>
          <w:lang w:bidi="ar-SA"/>
        </w:rPr>
        <w:t>أذكر له الحزب من الأدب أظن أني قد بالغت فيه فيملي علي باباً فيه أستفيده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ويظنّ الناس أني أعلمه، وأنا والله أتعلم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مات أبوه بالعراق وهو صغير بالمدينة ونشأ بين هذه الجواري السود، فمن أين علم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مرت به الأيام والليالي حتى لقيته فوجدته قد قال بإمامته وعرف الحق و قال به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بلغت كرامات الإمام الهادي وصفاته في صغره مرحلة من الظهور،بحيث اتخذ منها بعضهم ذريعة للمبالغة والغلو، وقد وقف الإمام في وجه هذه الظاهرة بكل حزم وشدة، وحكم بقتل عدد من الغلاة أيضاً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الكلام أنه بالالتفات إلى نبوة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،وإعطاء الحكم لسيدنا يحيى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صغيران في السن، تكون الإمامة في هذه الفترة بالنسبة إلى الأئمة من أهل بيت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ممکناً وواقعاً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فضلاً عن أن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ثبتت من طريق لأحاديث المأثورة عن الأئمة السابقين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،وهو أمر يشكل بدوره برهاناً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إمكانيتهم وصلاحيتهم الذاتية لهذا الأمر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فيما يتعلق بإمامة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نفرد لها بحثاً مستقلا</w:t>
      </w:r>
      <w:r>
        <w:rPr>
          <w:rFonts w:eastAsia="IRNazanin" w:cs="IRNazanin"/>
          <w:color w:val="111111"/>
          <w:sz w:val="28"/>
          <w:szCs w:val="28"/>
          <w:rtl w:val="true"/>
          <w:lang w:bidi="fa-IR"/>
        </w:rPr>
        <w:t xml:space="preserve">. </w:t>
      </w:r>
      <w:bookmarkStart w:id="134" w:name="pg15658_146861"/>
    </w:p>
    <w:p>
      <w:pPr>
        <w:pStyle w:val="Heading3"/>
        <w:numPr>
          <w:ilvl w:val="2"/>
          <w:numId w:val="1"/>
        </w:numPr>
        <w:rPr/>
      </w:pPr>
      <w:bookmarkStart w:id="135" w:name="__RefHeading___Toc11030305_2142443653"/>
      <w:bookmarkStart w:id="136" w:name="_Toc48"/>
      <w:bookmarkEnd w:id="134"/>
      <w:bookmarkEnd w:id="135"/>
      <w:r>
        <w:rPr>
          <w:rtl w:val="true"/>
        </w:rPr>
        <w:t>الشبهة السابعة</w:t>
      </w:r>
      <w:r>
        <w:rPr>
          <w:rtl w:val="true"/>
        </w:rPr>
        <w:t xml:space="preserve">: </w:t>
      </w:r>
      <w:r>
        <w:rPr>
          <w:rtl w:val="true"/>
        </w:rPr>
        <w:t>أفضلية الإمامة على النبوة</w:t>
      </w:r>
      <w:r>
        <w:rPr>
          <w:rtl w:val="true"/>
        </w:rPr>
        <w:t>:</w:t>
      </w:r>
      <w:bookmarkEnd w:id="136"/>
    </w:p>
    <w:p>
      <w:pPr>
        <w:pStyle w:val="BookText"/>
        <w:rPr/>
      </w:pPr>
      <w:r>
        <w:rPr>
          <w:rFonts w:ascii="IRNazanin" w:hAnsi="IRNazanin" w:eastAsia="IRNazanin"/>
          <w:color w:val="111111"/>
          <w:sz w:val="28"/>
          <w:sz w:val="28"/>
          <w:szCs w:val="28"/>
          <w:rtl w:val="true"/>
          <w:lang w:bidi="fa-IR"/>
        </w:rPr>
        <w:t>إن من بين الشبهات التي يثيرها أهل السنة ضد التشيع هي ما عليه الشيعة من الاعتقاد بأفضلية مقام الإمامة على مقام النبوة، والذي يذهب الشيعة على أساسه إلى تقديم مقام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مراتب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137" w:name="__RefHeading___Toc11030307_2142443653"/>
      <w:bookmarkStart w:id="138" w:name="_Toc49"/>
      <w:bookmarkEnd w:id="137"/>
      <w:r>
        <w:rPr>
          <w:rtl w:val="true"/>
        </w:rPr>
        <w:t>مناقشة وتحليل</w:t>
      </w:r>
      <w:bookmarkEnd w:id="138"/>
    </w:p>
    <w:p>
      <w:pPr>
        <w:pStyle w:val="BookText"/>
        <w:rPr/>
      </w:pPr>
      <w:r>
        <w:rPr>
          <w:rFonts w:ascii="Amiri" w:hAnsi="Amiri" w:eastAsia="Amiri" w:cs="Amiri"/>
          <w:color w:val="111111"/>
          <w:sz w:val="28"/>
          <w:sz w:val="28"/>
          <w:szCs w:val="28"/>
          <w:rtl w:val="true"/>
          <w:lang w:bidi="ar-SA"/>
        </w:rPr>
        <w:t>إن البحث في تعريف النبوة والإمامة والفرق بينهما بحث قرآني وكلامي، وعليه يمكن لكل مدرسة أو فرقة أن تبين رأيها في هذا الشأن، شريطة أن يكون هذا الرأي قائماً على قاعدة دينية وأن يستند إلى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ننظر فى آراء أهل السنة والشيعة حول تعريف الإمامة نقف على اختلافهما المبنائي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عمد علماء أهل السنة إلى تفسير الإمامة في كتبهم الكلامية بالرئاسة الدنيوية الناظرة إلى أمر الحكومة والسياسة، وغاية ما على الحاكم أنه يتكفل به من تنظيم هذه الأمور الدنيوية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تقدم الكلام بالتفصيل حول آراء أهل السنة في هذا الموضوع في بداية الفصل الأول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الرؤية إلى تعريف الإمام والإمامة يتضح أن أهل السنة يقدمون تعريفاً عاماً للإمامة في القرآن والسنة</w:t>
      </w:r>
      <w:r>
        <w:rPr>
          <w:rStyle w:val="FootnoteAnchor"/>
          <w:rtl w:val="true"/>
        </w:rPr>
        <w:footnoteReference w:id="163"/>
      </w:r>
      <w:r>
        <w:rPr>
          <w:rFonts w:ascii="Amiri" w:hAnsi="Amiri" w:eastAsia="Amiri" w:cs="Amiri"/>
          <w:color w:val="111111"/>
          <w:sz w:val="28"/>
          <w:sz w:val="28"/>
          <w:szCs w:val="28"/>
          <w:rtl w:val="true"/>
          <w:lang w:bidi="ar-SA"/>
        </w:rPr>
        <w:t xml:space="preserve">ذلك لأن الإمام والإمامة قد استعملا في القرآن في مقام النبوة وما هو أسمى منها، كما استعملا في غير مقام النبوة من قبيل الحكومة وقيادة المجتمع حتى لو كان من نوع الكفر والإلحاد أيضاً، من </w:t>
      </w:r>
    </w:p>
    <w:p>
      <w:pPr>
        <w:pStyle w:val="BookText"/>
        <w:rPr/>
      </w:pPr>
      <w:r>
        <w:rPr>
          <w:rFonts w:ascii="Amiri" w:hAnsi="Amiri" w:eastAsia="Amiri" w:cs="Amiri"/>
          <w:color w:val="111111"/>
          <w:sz w:val="28"/>
          <w:sz w:val="28"/>
          <w:szCs w:val="28"/>
          <w:rtl w:val="true"/>
          <w:lang w:bidi="ar-SA"/>
        </w:rPr>
        <w:t>قبيل 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يَدْعُونَ إِلَى النَّارِ</w:t>
      </w:r>
      <w:r>
        <w:rPr>
          <w:rStyle w:val="FootnoteAnchor"/>
          <w:rtl w:val="true"/>
        </w:rPr>
        <w:footnoteReference w:id="164"/>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فَقَاتِلُوا أَئِمَّةَ الْكُفْرِ إِنَّهُمْ لا أَيْمَانَ لَهُمْ</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القول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بإمكان أهل السنة أن يفسروا الإمامة بما دون النبوة والنبي، ولكن لا يحق لهم وليس من المنطقي أن يتهموا الشيعة بمخالفة القرآن والإسلام لمجرد مخالفتهم في تعريف الإمامة؛ لأن تعريف الشيعة للإمامة يستند إلى القرآن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أن أشرنا في الفصل الأول في تعريف الإمامة من وجهة نظر الإمامية واختلافهم عن توجّه أهل السنة في هذا الشأن، مع بيان اختلاف وخصائص تعريف الشيعة بشكل مسهب، وكان من بين أهم خصائص الإمامة عند الشيعة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الخاصة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العلمية والدينية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واسطة الفيض والقطب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طبقاً لهذا التعريف والخصائص، لا يمكن لأي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حاكماً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إماماً؛ وذلك لأن الجمع بين هذه الصفات صعب بالنسبة إلى الإنسان العادي، بل هو ضرب من المحال، ولا يمكن جمع هذه الصفات في شخص إلا إذا شملته العناية الإلهية، وتم التنصيص عليه من قبل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بالالتفات إلى التعريف الخاص للإمام والإمامة المطروح من قبل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الروايات أيضاً 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أن الذي تتوفر فيه هذه الصفات ليس نبياً، وإنما سيكون في نفس مراتبهم، غاية ما في الأمر أنه لا يأخذ عن الوحي ولا ينزل إليه كتاب، ولكن من الممكن في الوقت نفسه أن يكون مقام الذي يتحلى بصفات الإمامة أسمى من بعض الأنبياء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إثبات هذه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الإمامة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بالقطع واليقين من خلال الاستناد إلى الآية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بالالتفات إلى شأن نزول هذه الآية وتاريخها يتضح أن إعطاء مقام الإمامة لإبراهيم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بعد إعطائه النبوة، إذ تم له ذلك في آخر عمره الشريف، وبعد اجتياز كثير من الاختبارات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يتضح أن مقام الإمامة يختلف عن مقام النبوة، ويمتاز منها، وإنه أفضل وأسمى منها؛ لأن إعطاء الإمامة يكون بعد مقام النبوة، وإذا كان مقام الإمامة هو عين مقام النبوة لكان الحديث عن إعطائها وتفريعها على الابتلاء بالكلمات الإلهية لا مبرر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يتضح أن رؤية الإمامية في تفضيل مقام الإمامة على مقام النبوة لها مستند من القرآن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إشارته إلى محدودية أذهان الناس وقصورها عن بلوغ حقيقة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الإمامة أفضل من النبوة،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واستدل لذلك بإعطاء النبي إبراهيم مقام الإمامة بعد النبوة،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الإمامه خص الله بها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النبوه والخلة مرتبة ثالثة، وفضيلة شرفه بها</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كتاب الحجة، ب نادر جامع،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استطرد الإمام قائلاً إن هذه المنزلة خاصة بذرية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بيان صفات ومناقب النبي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المفاهيم الآتية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مؤكداً على أن هذه المنازل والمقامات إنما هي مقامات تراتبية، بمعنى أنه كان عبداً أول الأمر، ثم نبياً، ثم رسولاً ، ثم خليلاً، ليصبح في نهاية المطاف إماماً، وإليك نص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اتَّخَذَ إِبْرَاهِيمَ عَبْداً قَبْلَ أَنْ يَتَّخِذَهُ نَبِيَّاً، وَاتَّخَذَهُ نَبِيّاً قَبْلَ أَنْ يَتَّخِذَهُ رَسُولًا، وَاتَّخَذَهُ رَسُولًا قَبْلَ أَنْ يَتَّخِذَهُ خَلِيلًا، وَاتَّخَذَهُ خَلِيلًا قَبْلَ أَنْ يَتَّخِذَهُ إِمَاماً ، فَلَمَّا جَمَعَ لَهُ هَذِهِ الْأَشْيَاءَ وَقَبَضَ يَدَهُ،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جاعِلُكَ لِلنَّاسِ إِماماً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عمد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تعريف نفسه وأسلافه وأخلافه بأنهم أئمة المسلمين، معدداً الآثار والمنافع التي يتركونها على الناس والكون بأسره،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 المسلمين، وحجج الله على العالمين، وسادة المؤمنين، وقادة المحجلين، وموالي المؤمنين، ونحن أمان أهل الأرض، كما أن النجوم أمان لأهل السماء، ونحن الذين بنا يمسك الله السماء أن تقع على الأرض، ولولا ما في الأرض منا لساخت بأهلها</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الصفات من مختصات الأئمة التي لم يشاركهم فيها حتى الأنبياء السابقين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أفضلية الإمامة ومصاديقها الحصرية بالأئمة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سائر الأنبياء، تتضح من الروايات التي تقدم ذكرها في الفصل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واسطة الفيض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وسنذكر بعض الروايات الأخرى في معرض نقد الشبهة الآتية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الكلام أن الاختلاف بين الشيعة وأهل السنة في تعريف الإمامة هو اختلاف مبنائي، ويمكن غض الطرف عنه بشكل من الأشكال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موضع النقاش الرئيس في هذا البحث يكمن في مؤديات هذا المبنى، حيث يتوصل الشيعة من خلال تعريفهم الخاص للإمامة إلى إمامة الأئمة الإثني عشر، ومن ثُمَّ يتوصلون إلى تفضيلهم على جميع الأنبياء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يعمد أهل السنة إلى اتهام الشيعة بالإفراط والغلو</w:t>
      </w:r>
      <w:r>
        <w:rPr>
          <w:rFonts w:eastAsia="IRNazanin" w:cs="IRNazanin"/>
          <w:color w:val="111111"/>
          <w:sz w:val="28"/>
          <w:szCs w:val="28"/>
          <w:rtl w:val="true"/>
          <w:lang w:bidi="fa-IR"/>
        </w:rPr>
        <w:t xml:space="preserve">. </w:t>
      </w:r>
      <w:bookmarkStart w:id="139" w:name="pg15658_146866"/>
    </w:p>
    <w:p>
      <w:pPr>
        <w:pStyle w:val="BookText"/>
        <w:rPr/>
      </w:pPr>
      <w:bookmarkEnd w:id="139"/>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غير الأنبياء من بلغ مقام الإمامة أم لا؟ يجيب الإمامية عن هذا السؤال بالإيجاب، حيث يذهبون إلى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الآيات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الأئمة الإثني عشر قد بلغوا هذه المرتبة، وقد تقدم ذكر بعض الآيات والروايات التي تثبت هذا الإدعاء في الصفحات السابقة، كما سيأتي ذكر مزيد منها في معرض تحليل الشبهة الآتية</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1030309_2142443653"/>
      <w:bookmarkStart w:id="141" w:name="_Toc50"/>
      <w:bookmarkEnd w:id="140"/>
      <w:r>
        <w:rPr>
          <w:rtl w:val="true"/>
        </w:rPr>
        <w:t>الشبهة الثامنة</w:t>
      </w:r>
      <w:r>
        <w:rPr>
          <w:rtl w:val="true"/>
        </w:rPr>
        <w:t xml:space="preserve">: </w:t>
      </w:r>
      <w:r>
        <w:rPr>
          <w:rtl w:val="true"/>
        </w:rPr>
        <w:t>أفضلية أئمة الشيعة على الأنبياء</w:t>
      </w:r>
      <w:r>
        <w:rPr>
          <w:rtl w:val="true"/>
        </w:rPr>
        <w:t>(</w:t>
      </w:r>
      <w:r>
        <w:rPr>
          <w:rtl w:val="true"/>
        </w:rPr>
        <w:t>علیهم السّلام</w:t>
      </w:r>
      <w:r>
        <w:rPr>
          <w:rtl w:val="true"/>
        </w:rPr>
        <w:t>):</w:t>
      </w:r>
      <w:bookmarkEnd w:id="141"/>
    </w:p>
    <w:p>
      <w:pPr>
        <w:pStyle w:val="BookText"/>
        <w:rPr/>
      </w:pPr>
      <w:r>
        <w:rPr>
          <w:rFonts w:ascii="IRNazanin" w:hAnsi="IRNazanin" w:eastAsia="IRNazanin"/>
          <w:color w:val="111111"/>
          <w:sz w:val="28"/>
          <w:sz w:val="28"/>
          <w:szCs w:val="28"/>
          <w:rtl w:val="true"/>
          <w:lang w:bidi="fa-IR"/>
        </w:rPr>
        <w:t xml:space="preserve">بالالتفات إلى المبنى القرآني للإمامية فيما يتعلق بتعريف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في تحليل الشبهة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الإمامة مقاماً إلهياً يفوق النبوة، وتبعاً لذلك يكون أئمة الشيعة أفضل من سائر الأنبياء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أهل السنة فبالالتفات إلى مبناهم فيما يتعلق بالإمامة، فإنهم يقدمون تعريفاً سطحياً عن الإمامة، وتطبيقه على الحكومة والحاكم الديني، وينكرون عقيدة الشيعة القائمة على تفضيل الأئمة على سائر الأنبياء باستثناء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مناقشة وتحليل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بتحليل هذه الشبهة، نجد النقاط الآتية جديرة بالملاحظة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الإمامة مثبت للأفضلية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أثبت الشيعة بالدليل القرآني أن مقام الإمامة أفضل من مقام النبوة، يضاف إلى ذلك دلالة النصوص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والروايات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تعيين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الآخرين بوصفهم أئمة وخلفاء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تكون نتيجة هذين الأمرين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الإمامة على النبوة، وتنصيب الأئمة المعصومين الإثني عشر في منصب الإمامة بأدلة من القرآن والسنة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أفضلية أئمة الشيعة على الأنبياء الذين لم يبلغوا مرتبة الإمامة واقتصروا على مرتبة النبوة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والجدير بالبحث هنا ليس النتيجة، وإنما المقدمتان الانفتان 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أفضلية مقام الإمامة على مقام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تحليل الشبهة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منصب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نعمل على إثباتها بالتفصيل في الفصل الآتي ضمن الحديث عن شبهة عدم وجود تنصيب في القرآن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الدليل إنما يثبت أفضلية الأئمة على الأنبياء الذين لم يبلغوا مرتبة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دعوى أفضلية الأئمة على سائر الأنبياء بمن فيهم الذين بلغوا مرتبة الإمامة باستثناء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ما سنعمل على بيانه في الدليل التالي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الخاصة على أفضلية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المسألتين المتقدمتين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الإمامة على النبوة، ووجود النص على إمامة الأئمة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لنا من خلال الآيات والروايات أن نثبت أفضلية الأئمة الشيعة سيما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عدم صحة </w:t>
      </w:r>
    </w:p>
    <w:p>
      <w:pPr>
        <w:pStyle w:val="BookText"/>
        <w:rPr/>
      </w:pPr>
      <w:r>
        <w:rPr>
          <w:rFonts w:ascii="Amiri" w:hAnsi="Amiri" w:eastAsia="Amiri" w:cs="Amiri"/>
          <w:color w:val="111111"/>
          <w:sz w:val="28"/>
          <w:sz w:val="28"/>
          <w:szCs w:val="28"/>
          <w:rtl w:val="true"/>
          <w:lang w:bidi="ar-SA"/>
        </w:rPr>
        <w:t xml:space="preserve">الدليلين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المتقدمين على ادعاء الشيعة، يمكن لنا مع ذلك إثبات هذه الأفضلية من طريق التمسك بالنصوص الخاصة؛ إذ هناك نصوص خاصة من القرآن والسنة على أفضلية الأئمة على الأنبياء، وفيما يأتي نعرض هذه الأدلة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قضية المباهلة</w:t>
      </w:r>
      <w:r>
        <w:rPr>
          <w:rStyle w:val="FootnoteAnchor"/>
          <w:rtl w:val="true"/>
        </w:rPr>
        <w:footnoteReference w:id="172"/>
      </w:r>
      <w:r>
        <w:rPr>
          <w:rFonts w:ascii="Amiri" w:hAnsi="Amiri" w:eastAsia="Amiri" w:cs="Amiri"/>
          <w:color w:val="111111"/>
          <w:sz w:val="28"/>
          <w:sz w:val="28"/>
          <w:szCs w:val="28"/>
          <w:rtl w:val="true"/>
          <w:lang w:bidi="ar-SA"/>
        </w:rPr>
        <w:t>، أمر الله نبيه أن يخرج بأهل بيته للمباهلة والدعاء، وذلك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يُجمع المفسرون والمؤرخون على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يخرج معه إلى المباهلة غير ابنته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حيث تمت الإشارة إلى السيدة الزهراء الله بلفظنِسَاءَنَا، وإلى الحسنين بلفظ أَبْنَاءَنَا، وإلى الإمام علي بلفظ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يتضح أن الإمام علي كان بمرتبة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مرتبة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ورسوله من السمو بحيث يعتبره الله ورسوله بمثابة نفس الرسول ومنزلته، وهذا يشكل دليلاً على أنه ليس هناك من يشابه الرسول في صفاته وكماله غير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،وحيث أن النبي الأكرم أفضل من جميع الناس والأنبياء، كان شبيهه ونفسه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الإمام علي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من سائر الأنبياء الآخرين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المواطن بأفضلية الأئمة المعصومين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الموارد الخاصة بأفضلية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جميع الناس والأنبياء، وقد تقدّم بعضها في فصل الكليات في بحث إثبات نظرية التنصيب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واسطة الفيض الإلهي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يأتي نعرض بعض النصوص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هم المخلوق الإلهي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تحدثت النصوص الروائية أن أرواح الناس كانت متحققة قبل عالم الدنيا في عالم آخر اسمه عالم الذر أو عالم النور، وهو العالم الذي أخذ الله فيه عهده وميثاقه على الناس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 أَنْ تَقُولُوا يَوْمَ الْقِيَامَةِ إِنَّا كُنَّا عَنْ هَذَا غَافِلِينَ</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أول ما خلق الله في ذلك العالم روح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التأكيد في الأحاديث على اتحاد نور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ورد في ذلك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خلقت أنا وعلى بن أبي طالب من نور الله عن يمين العرش نسبح الله ونقدسه من قبل أن يخلق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بأربعة ألاف سنة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النبي في هذا الكلام في مقام التعريف بالمنزلة الحقيقية للإمام علي ، وأنه متحد معه في عالم الأنوار والأرواح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هذا المضمون في كثير من روايات أهل السنة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لاشك في دلالة ذات خلق النفس الأولى على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وذلك لأن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هذا الأمر في سياق تفضيل نفسه ونفس</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الملائكة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لا نكون أفضل من الملائكة وقد سبقناهم إلى معرفة ربنا وتسبيحه وتهليله وتقديسه؟ لأن أول ما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فأنطقنا بتوحيده وتحميده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كتابة أسماء الأئمة في الجنة وتعريف الأنبياء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كثير من الروايات أن أسماء أصحاب الكساء أو الأئمة الإثني عشر كانت مكتوبة في مواضع مقدسة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والعرش، وباب الجنة، قبل نزول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آدم قد سأل الله سبحانه عن أصحاب هذه الأسماء، فبين الله له حقيقة هذه الوجودات النورانية وما تتمتع به من كريم الصفات والسجايا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الله بهذه الحقيقة في بعض الأحاديث القدسية وغيرها، من قبيل حديث المعراج، حيث شاهد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الأئمة الإثني عشر في ساق العرش الإلهي، فسأل الله عنهم، فقال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أوصياؤك وخلفاؤك، وخير خلقي بعدك</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وصي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مجرد وصي له في تصريف أموره الشخصية والأسرية المعروفة في مسألة الوفاة، وإنما المراد منها الوصاية والخلافة في أمور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تم التصريح به في الحديث ذاته حيث يقول الله سبحانه وتعالى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هؤلاء أوليائى وأحبائي وأصفيائي وحججي بعدك على بريتي، وهم أوصياؤك، وعزتي وجلالي، لأطهرن الأرض بآخرهم المهدي من الظلم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أنه لو كان بين الناس والأنبياء غير الأئمة من هو أفضل منهم لكتبت أسماؤهم في الجنة ايضاً، ولشاهدها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كتابة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أفضليتهم على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الروايات أنه وأهل بيته هم غاية خلق عالم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ذكرنا أن أسماء أهل البيت مكتوبة في الجنة وأن أبانا آدم قد تشرف بزيارتها، وفي أكثر هذه الروايات يجيب الله آدم عن سؤاله ويؤكد له أفضليتهم على من سواهم، وأنه لولاهم لما خلق العالم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آدم لولاهم لما خلقتك، ولما خلقت النار والعرش والكرسي واللوح والقلم</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قياس أحد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منزلة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ومرتبتهم في عالم الإمكان من الرفعة والسمو بحيث لا يدانيهم فيها أحد على ما صرح بذلك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لا يقاس بنا أحد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من الروايات بهذا المضمون، ومن ذلك 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بيت لا يقاس بنا أحد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حكم ابن عمر على ما روى عنه أبو وائل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إذا عددنا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فقال رجل لابن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 أهل البيت، لا يقاس به أحد، هو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درجته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أفتى الإمام أحمد بن حنبل وهو من كبار علماء أهل السنة وأحد أقطاب المذاهب الأربعة، إذ قال أحمد بن محمد الكرزري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التفضيل؟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ثم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أين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من أهل البيت لا يقاس به هؤلاء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المتقدمة كانت تدل على أفضلية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بالدلالة الالتزامية، وعليه يمكن لبعضهم أن يشكك في دلالتها أو يتوقف، ولكن هناك لحسن الحظ روايات أخرى وهى كثيرة أيضاً تدل بالدلالة المطابقية وبشكل لا يقبل معه الشك على أفضلية أهل البيت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ما يأتي نشير إلى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الرحمن بن عوف يا عبد الرحمن إنكم أصحابي وعلي بن أبي طالب أخي ومني وأنا من علي فهو باب علمي ووصيي، وهو وفاطمة والحسن والحسين هم خير الأرض عنصراً وشرفاً وكرماً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المؤمنين عائشة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حدثها عن الخوارج وأن الذي يقاتلهم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خير أهل الأرض وأعظمهم منزلة عند الله يوم القيامة،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شر الخلق، يقتلهم خير الخلق وأعظمهم عند الله يوم القيامة وسيلة</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وأهل بيته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اختارني وأهل بيتي عن جميع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وأهل بيتي صفوة الله وخيرته من خلقه</w:t>
      </w:r>
      <w:r>
        <w:rPr>
          <w:rFonts w:eastAsia="IRNazanin" w:cs="IRNazanin"/>
          <w:color w:val="111111"/>
          <w:sz w:val="28"/>
          <w:szCs w:val="28"/>
          <w:rtl w:val="true"/>
          <w:lang w:bidi="fa-IR"/>
        </w:rPr>
        <w:t>»</w:t>
      </w:r>
      <w:r>
        <w:rPr>
          <w:rStyle w:val="FootnoteAnchor"/>
          <w:rtl w:val="true"/>
        </w:rPr>
        <w:footnoteReference w:id="18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جمع من الأنصار والمهاجرين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لو أن أحداً عبد الله حق عبادته ثم شك فيك وأهل بيتك في أنكم أفضل الناس كان في النار</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الآخر هو الحديث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 المشوي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صححه بعض علماء أهل السنة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في المستدرك على الصحيحين، والذهبي في 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وإليك نص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 كَانَ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اثْتِنِي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وهناك رواية صريحة في دلالتها على أفضلية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جميع الناس بمن فيهم الأنبياء السابقين، وهي الرواية المروية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كتب الفريقين، وإليك نص الرواية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أنت أفضل أم جبرائيل؟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أنبياءه المرسلين على ملائكته المقربين، وفضلني على جميع النبيين والمرسلين، والفضل بعدي لك يا علي، وللأئمة من ولدك من بعدك، فإن الملائكة من خدامنا وخدام محبينا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المأثورة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الروايات </w:t>
      </w:r>
    </w:p>
    <w:p>
      <w:pPr>
        <w:pStyle w:val="BookText"/>
        <w:rPr/>
      </w:pPr>
      <w:r>
        <w:rPr>
          <w:rFonts w:ascii="IRNazanin" w:hAnsi="IRNazanin" w:eastAsia="IRNazanin"/>
          <w:color w:val="111111"/>
          <w:sz w:val="28"/>
          <w:sz w:val="28"/>
          <w:szCs w:val="28"/>
          <w:rtl w:val="true"/>
          <w:lang w:bidi="fa-IR"/>
        </w:rPr>
        <w:t>النبوية هناك روايات كثيرة صدرت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تتحدث عن أفضليتهم على سائر الناس وحتى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جاءت هنا شبهة لزوم الدور، إننا بذلك نستدل على أفضلية الأئمة بروايات ماثورة عن الأئمة أنفسهم، وبذلك لا يكون هذا الدليل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الجواب عن هذه الشبهة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قبل إثبات أفضلية الأئمة، نعمد أولاً إلى إثبات إمامتهم وصفاتهم اللازمة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والمرجعية الدينية، وحجية أقوالهم، لنتخذ من ذلك فرضية وقاعدة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نرجع إلى هذا المصدر الذي أثبتنا حجيته وعصمته؛ لنحصل على جواب عن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IRNazanin" w:hAnsi="IRNazanin" w:eastAsia="IRNazanin"/>
          <w:color w:val="111111"/>
          <w:sz w:val="28"/>
          <w:sz w:val="28"/>
          <w:szCs w:val="28"/>
          <w:rtl w:val="true"/>
          <w:lang w:bidi="fa-IR"/>
        </w:rPr>
        <w:t>أفضل الناس؟</w:t>
      </w:r>
    </w:p>
    <w:p>
      <w:pPr>
        <w:pStyle w:val="BookText"/>
        <w:rPr/>
      </w:pPr>
      <w:r>
        <w:rPr>
          <w:rFonts w:ascii="IRNazanin" w:hAnsi="IRNazanin" w:eastAsia="IRNazanin"/>
          <w:color w:val="111111"/>
          <w:sz w:val="28"/>
          <w:sz w:val="28"/>
          <w:szCs w:val="28"/>
          <w:rtl w:val="true"/>
          <w:lang w:bidi="fa-IR"/>
        </w:rPr>
        <w:t>وصف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عترة النبي الأكرم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عترته خير العتر</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جنب الله، ونحن صفوة الله، ونحن خيرته</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فتح الله وبنا ختم الله، ونحن الأولون ونحن الآخرون ونحن أخيار الدهر ونواميس العصر، ونحن سادة العباد وساسة البلاد، ونحن النهج القويم والصراط المستقيم، ونحن علة الوجود وحجة المعبود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bookmarkStart w:id="142" w:name="pg15658_146876"/>
    </w:p>
    <w:p>
      <w:pPr>
        <w:pStyle w:val="BookText"/>
        <w:rPr/>
      </w:pPr>
      <w:bookmarkEnd w:id="142"/>
      <w:r>
        <w:rPr>
          <w:rFonts w:ascii="Amiri" w:hAnsi="Amiri" w:eastAsia="Amiri" w:cs="Amiri"/>
          <w:color w:val="111111"/>
          <w:sz w:val="28"/>
          <w:sz w:val="28"/>
          <w:szCs w:val="28"/>
          <w:rtl w:val="true"/>
          <w:lang w:bidi="ar-SA"/>
        </w:rPr>
        <w:t>الجمع بين الروايات الدالة على أفضلية الإمام علي الله وأبي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اتضح مما سبق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أفضل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يتعارض ويتنافى مع ظاهر روايات أهل السنة الدالة على أفضلية أبي بكر وعمر، وفي بعض الروايات يرد اسم عثمان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لنا في الجمع بينها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أهل السنة في الحد الأدنى لا يشكون في أفضلية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الصحابة، أما فيما يتعلق بتقديمهم لأبي بكر وعمر فيجب القول إن هذه الأفضلية كانت في الدائرة الخاصة بالصحابة وهي دائرة يُخرجون منها الإمام علي تخصصاً، ولذلك يصرحون بأن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أهل البيت الذين لا يُقاس بهم ،أحد فهو فوق الصحابة، بوصفه رديفاً وكفؤاً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هذا المعنى في الرواية عن ابن عمر، وفي جواب أحمد بن حنبل عند تفضيله للصحابة وجوابه عن سؤال ابنه عن موضع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،ويبدو من ذلك أن أفضلية علي على سائر الناس كانت واضحة عند ابن عمر وابن حنبل وضوح الشمس في رابعة النهار، وعليه لا حاجة إلى جعله في مستوى سائر الصحابة فيما يتعلق بالمفاضلة بينهم؛ فهو خارج دائرتهم</w:t>
      </w:r>
      <w:r>
        <w:rPr>
          <w:rFonts w:eastAsia="IRNazanin" w:cs="IRNazanin"/>
          <w:color w:val="111111"/>
          <w:sz w:val="28"/>
          <w:szCs w:val="28"/>
          <w:rtl w:val="true"/>
          <w:lang w:bidi="fa-IR"/>
        </w:rPr>
        <w:t>.</w:t>
      </w:r>
    </w:p>
    <w:p>
      <w:pPr>
        <w:pStyle w:val="Heading3"/>
        <w:numPr>
          <w:ilvl w:val="2"/>
          <w:numId w:val="1"/>
        </w:numPr>
        <w:rPr/>
      </w:pPr>
      <w:bookmarkStart w:id="143" w:name="__RefHeading___Toc11030311_2142443653"/>
      <w:bookmarkStart w:id="144" w:name="_Toc51"/>
      <w:bookmarkEnd w:id="143"/>
      <w:r>
        <w:rPr>
          <w:rtl w:val="true"/>
        </w:rPr>
        <w:t>الشبهة التاسعة</w:t>
      </w:r>
      <w:r>
        <w:rPr>
          <w:rtl w:val="true"/>
        </w:rPr>
        <w:t xml:space="preserve">: </w:t>
      </w:r>
      <w:r>
        <w:rPr>
          <w:rtl w:val="true"/>
        </w:rPr>
        <w:t>استبعاد مقام الإمامة من دون نبوة</w:t>
      </w:r>
      <w:bookmarkEnd w:id="144"/>
    </w:p>
    <w:p>
      <w:pPr>
        <w:pStyle w:val="Heading4"/>
        <w:numPr>
          <w:ilvl w:val="3"/>
          <w:numId w:val="1"/>
        </w:numPr>
        <w:rPr/>
      </w:pPr>
      <w:bookmarkStart w:id="145" w:name="__RefHeading___Toc11030313_2142443653"/>
      <w:bookmarkStart w:id="146" w:name="_Toc52"/>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قد تثار شبهة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للأئمة أن يكون أفضل من الأنبياء مع أنهم هم أنفسهم ليسوا من الأنبياء؟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للأئمة أن يبلغوا مرحلة الإمامة قبل أن يبلغوا مرحلة النبوة؟</w:t>
      </w:r>
    </w:p>
    <w:p>
      <w:pPr>
        <w:pStyle w:val="Heading4"/>
        <w:numPr>
          <w:ilvl w:val="3"/>
          <w:numId w:val="1"/>
        </w:numPr>
        <w:rPr/>
      </w:pPr>
      <w:bookmarkStart w:id="147" w:name="__RefHeading___Toc11030315_2142443653"/>
      <w:bookmarkStart w:id="148" w:name="_Toc53"/>
      <w:bookmarkEnd w:id="147"/>
      <w:r>
        <w:rPr>
          <w:rtl w:val="true"/>
        </w:rPr>
        <w:t xml:space="preserve">مناقشة وتحليل </w:t>
      </w:r>
      <w:r>
        <w:rPr>
          <w:rtl w:val="true"/>
        </w:rPr>
        <w:t>(</w:t>
      </w:r>
      <w:r>
        <w:rPr>
          <w:rtl w:val="true"/>
        </w:rPr>
        <w:t>الولاية جوهر النبوة</w:t>
      </w:r>
      <w:r>
        <w:rPr>
          <w:rtl w:val="true"/>
        </w:rPr>
        <w:t>):</w:t>
      </w:r>
      <w:bookmarkEnd w:id="14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الخصوصية التي تجعل الأنبياء يستحقون مواجهة الأمر القدسي </w:t>
      </w:r>
    </w:p>
    <w:p>
      <w:pPr>
        <w:pStyle w:val="BookText"/>
        <w:rPr/>
      </w:pPr>
      <w:r>
        <w:rPr>
          <w:rFonts w:ascii="Amiri" w:hAnsi="Amiri" w:eastAsia="Amiri" w:cs="Amiri"/>
          <w:color w:val="111111"/>
          <w:sz w:val="28"/>
          <w:sz w:val="28"/>
          <w:szCs w:val="28"/>
          <w:rtl w:val="true"/>
          <w:lang w:bidi="ar-SA"/>
        </w:rPr>
        <w:t>وملك الوحي، هو ما يتمتعون به من السمو الروحي، فإنهم يطهرون أنفسهم ويهذبونها قبل النبوة حتى تغدو مستعدة لنزول الوحي عليهم، ويتم اصطفاؤهم بالرسالة، وبطبيعة الحال لا يمكن إغفال دور العناية الإلهية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المصطلح العرفاني يطلق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تسامي الروح و تقرب صاحبها من منزلة القرب الإلهي، فيحصل صاحبها على منزلة خاصة من الله، فتشمله العناية الإلهية من طريق الارتباط بالغيب وعالم الملائكة، وبذلك يحصل على الشرط اللازم للنبوة ونزول الوحي، ومن الممكن في الوقت نفسه أن يحصل هذا الفرد على الوحي بمعنى الشريعة وحمل الرسالة، وقد لا يحصل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بالنسبة إلى لقمان الحكيم الذي ذكر القرآن الكريم مواعظه الحكمية في كثير من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يصنف في المصادر بوصفه نبياً، وإنما يعطى عنوان الحكيم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كانت منزلته ومرتبته فوق بعض الأنبياء</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يحصل على مقام الولاية يصل بالضرورة إلى مقام القرب من الله والارتباط بعالم الغيب والحصول على أسرار المعارف الإلهية من نوع المعارف العقلية والدينية والمعرفية، ومن هذه الناحية يمكن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المخبر عن الغيب الإلهى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تسمية هذه المنزلة في العرفان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التعريفية</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العرفاء فيما يتعلق بالخاتمية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التشريعية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ختمت، أما النبوة التعريفية بمعنى بلوغ الإنسان الكامل مقام </w:t>
      </w:r>
      <w:bookmarkStart w:id="149" w:name="pg15658_146878"/>
    </w:p>
    <w:p>
      <w:pPr>
        <w:pStyle w:val="BookText"/>
        <w:rPr/>
      </w:pPr>
      <w:bookmarkEnd w:id="149"/>
      <w:r>
        <w:rPr>
          <w:rFonts w:ascii="Amiri" w:hAnsi="Amiri" w:eastAsia="Amiri" w:cs="Amiri"/>
          <w:color w:val="111111"/>
          <w:sz w:val="28"/>
          <w:sz w:val="28"/>
          <w:szCs w:val="28"/>
          <w:rtl w:val="true"/>
          <w:lang w:bidi="ar-SA"/>
        </w:rPr>
        <w:t xml:space="preserve">القرب الإلهى والحصول على الحقائق العقلية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محيي الدين بن 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نبوّة التشريع والرسالة فمنقطعة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الله لطيف بعباده، فأبقى لهم النبوة العامة التي لا تشريع فيها</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أصل أفضلية من يتمتع بمقام الولاية على مقام النبوة محرز ومنسجم مع القرآن والمباني العرفانية، ولكن هل يمتلك أئمة الشيعة مثل هذه المنزلة؟ هذا ما نثبته من طريق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كثير من الروايات المروية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تصرح وتؤكد على أرواح الأئمة القدسية وأفضليتهم على أرواح الأنبياء، وقد تقدم بعضها في الصفحات السابقة في الفصل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واسطة الفيض الإلهي</w:t>
      </w:r>
      <w:r>
        <w:rPr>
          <w:rFonts w:eastAsia="IRNazanin" w:cs="IRNazanin"/>
          <w:color w:val="111111"/>
          <w:sz w:val="28"/>
          <w:szCs w:val="28"/>
          <w:rtl w:val="true"/>
          <w:lang w:bidi="fa-IR"/>
        </w:rPr>
        <w:t>».</w:t>
      </w:r>
    </w:p>
    <w:p>
      <w:pPr>
        <w:pStyle w:val="Heading3"/>
        <w:numPr>
          <w:ilvl w:val="2"/>
          <w:numId w:val="1"/>
        </w:numPr>
        <w:rPr/>
      </w:pPr>
      <w:bookmarkStart w:id="150" w:name="__RefHeading___Toc11030317_2142443653"/>
      <w:bookmarkStart w:id="151" w:name="_Toc54"/>
      <w:bookmarkEnd w:id="150"/>
      <w:r>
        <w:rPr>
          <w:rtl w:val="true"/>
        </w:rPr>
        <w:t>الشبهة العاشرة</w:t>
      </w:r>
      <w:r>
        <w:rPr>
          <w:rtl w:val="true"/>
        </w:rPr>
        <w:t xml:space="preserve">: </w:t>
      </w:r>
      <w:r>
        <w:rPr>
          <w:rtl w:val="true"/>
        </w:rPr>
        <w:t>عدم انسجام الإمامة مع الديمقراطية</w:t>
      </w:r>
      <w:r>
        <w:rPr>
          <w:rtl w:val="true"/>
        </w:rPr>
        <w:t>:</w:t>
      </w:r>
      <w:bookmarkEnd w:id="151"/>
    </w:p>
    <w:p>
      <w:pPr>
        <w:pStyle w:val="BookText"/>
        <w:rPr/>
      </w:pPr>
      <w:r>
        <w:rPr>
          <w:rFonts w:ascii="IRNazanin" w:hAnsi="IRNazanin" w:eastAsia="IRNazanin"/>
          <w:color w:val="111111"/>
          <w:sz w:val="28"/>
          <w:sz w:val="28"/>
          <w:szCs w:val="28"/>
          <w:rtl w:val="true"/>
          <w:lang w:bidi="fa-IR"/>
        </w:rPr>
        <w:t xml:space="preserve">إن من بين الذرائع التي يتمسك بها أعداء أصل الإمامة ومذهب التشيع للطعن فيه والتشنيع عليه هو القول بأن أصل الإمامة يتعارض مع الديمقراطية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 الأغلبية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ببيان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الحاكم والقائد السياسي والاجتماعي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يتم تنصيبه من قبل مقام قدسي مثل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الله عز وجل، يكون هناك تجاهل لآراء الأمة، ولا يخفى ما في ذلك من الانتهاك الصارخ لمفهوم الديمقراطية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عمد الدكتور عبد الكريم 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التي ألقاها عام </w:t>
      </w:r>
      <w:bookmarkStart w:id="152" w:name="pg15658_146879"/>
    </w:p>
    <w:p>
      <w:pPr>
        <w:pStyle w:val="BookText"/>
        <w:rPr/>
      </w:pPr>
      <w:bookmarkEnd w:id="152"/>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في جامعة السوربون فى فرنسا واستغرقت ساعتين كاملتين تحت عنوان الديمقراطية والتشيّع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اعتبار هذين المفهومين 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تعود جذور هذه الشبهة إلى ما يقرب من قرن من الزمن، حيث سبق للمستنيرين من أهل السنة من أمثال أحمد أمين إلى اعتبار نظرية الشيعة في الإمامة متنافية مع القواعد الديمقراطية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1030319_2142443653"/>
      <w:bookmarkStart w:id="154" w:name="_Toc55"/>
      <w:bookmarkEnd w:id="153"/>
      <w:r>
        <w:rPr>
          <w:rtl w:val="true"/>
        </w:rPr>
        <w:t>نقد ورأي</w:t>
      </w:r>
      <w:bookmarkEnd w:id="154"/>
    </w:p>
    <w:p>
      <w:pPr>
        <w:pStyle w:val="Heading4"/>
        <w:numPr>
          <w:ilvl w:val="3"/>
          <w:numId w:val="1"/>
        </w:numPr>
        <w:rPr/>
      </w:pPr>
      <w:bookmarkStart w:id="155" w:name="__RefHeading___Toc11030321_2142443653"/>
      <w:bookmarkStart w:id="156" w:name="_Toc56"/>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في معرض نقد هذه الشبهة يجدر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030323_2142443653"/>
      <w:bookmarkStart w:id="158" w:name="_Toc57"/>
      <w:bookmarkEnd w:id="157"/>
      <w:r>
        <w:rPr>
          <w:rtl w:val="true"/>
        </w:rPr>
        <w:t xml:space="preserve">- </w:t>
      </w:r>
      <w:r>
        <w:rPr>
          <w:rtl w:val="true"/>
        </w:rPr>
        <w:t>النقد الأول</w:t>
      </w:r>
      <w:r>
        <w:rPr>
          <w:rtl w:val="true"/>
        </w:rPr>
        <w:t xml:space="preserve">: </w:t>
      </w:r>
      <w:r>
        <w:rPr>
          <w:rtl w:val="true"/>
        </w:rPr>
        <w:t>تعدّد نماذج الديمقراطية</w:t>
      </w:r>
      <w:r>
        <w:rPr>
          <w:rtl w:val="true"/>
        </w:rPr>
        <w:t>:</w:t>
      </w:r>
      <w:bookmarkEnd w:id="158"/>
    </w:p>
    <w:p>
      <w:pPr>
        <w:pStyle w:val="BookText"/>
        <w:rPr/>
      </w:pPr>
      <w:r>
        <w:rPr>
          <w:rFonts w:ascii="Amiri" w:hAnsi="Amiri" w:eastAsia="Amiri" w:cs="Amiri"/>
          <w:color w:val="111111"/>
          <w:sz w:val="28"/>
          <w:sz w:val="28"/>
          <w:szCs w:val="28"/>
          <w:rtl w:val="true"/>
          <w:lang w:bidi="ar-SA"/>
        </w:rPr>
        <w:t xml:space="preserve">إن القائلين بوجود التعارض بين الإمامة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يقدّمون أي بيان لطرفي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يصدرون حكمهم بوجود التنافي والتعارض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المسار المنطقي يقتضي منهم أن يعملوا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تعريف الإمامة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إيضاح أسباب</w:t>
      </w:r>
    </w:p>
    <w:p>
      <w:pPr>
        <w:pStyle w:val="BookText"/>
        <w:rPr/>
      </w:pPr>
      <w:r>
        <w:rPr>
          <w:rFonts w:ascii="Amiri" w:hAnsi="Amiri" w:eastAsia="Amiri" w:cs="Amiri"/>
          <w:color w:val="111111"/>
          <w:sz w:val="28"/>
          <w:sz w:val="28"/>
          <w:szCs w:val="28"/>
          <w:rtl w:val="true"/>
          <w:lang w:bidi="ar-SA"/>
        </w:rPr>
        <w:t>القول بتعارضهما وعدم إمكان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سنقوم هنا بإيضاح هذين المفهومين من أجل مراعاة المسار المنطقي للبحث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المعنى اللغوي للديمقراطية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حكومة 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هى مؤلفة من كلمتين وهما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بمعنى الشعب، 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Kratein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بمعنى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 ترجمتها وتعريفها بحكومة الشعب أو الأكثرية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أشكل علماء الاجتماع وفلاسفة السياسة على هذا التعريف، ويجب دراسة هذه الإشكالات </w:t>
      </w:r>
    </w:p>
    <w:p>
      <w:pPr>
        <w:pStyle w:val="BookText"/>
        <w:rPr/>
      </w:pPr>
      <w:r>
        <w:rPr>
          <w:rFonts w:ascii="Amiri" w:hAnsi="Amiri" w:eastAsia="Amiri" w:cs="Amiri"/>
          <w:color w:val="111111"/>
          <w:sz w:val="28"/>
          <w:sz w:val="28"/>
          <w:szCs w:val="28"/>
          <w:rtl w:val="true"/>
          <w:lang w:bidi="ar-SA"/>
        </w:rPr>
        <w:t>في موضعها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الديمقراطية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لمختلف الاعتبارارت، من قبيل طريقة مشاركة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 أو غير المباشرة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والمسار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التقليدي أو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والأهداف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الليبرالية أو الاشتراكية أو النزعة النخبوية، والأسلوب أو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أقسام ونماذج متعددة</w:t>
      </w:r>
      <w:r>
        <w:rPr>
          <w:rStyle w:val="FootnoteAnchor"/>
          <w:rtl w:val="true"/>
        </w:rPr>
        <w:footnoteReference w:id="200"/>
      </w:r>
      <w:r>
        <w:rPr>
          <w:rFonts w:ascii="Amiri" w:hAnsi="Amiri" w:eastAsia="Amiri" w:cs="Amiri"/>
          <w:color w:val="111111"/>
          <w:sz w:val="28"/>
          <w:sz w:val="28"/>
          <w:szCs w:val="28"/>
          <w:rtl w:val="true"/>
          <w:lang w:bidi="ar-SA"/>
        </w:rPr>
        <w:t>، وهو أمرٌ جعل تعريف الديمقراطية مهمة في غاية 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نجد من الضروري هنا أن نبين مختلف نماذج الديمقراطيات،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بما هي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أهم نماذج الديمقراطية يمكن تسمية نموذجين،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بوصفها قيمة، والديمقراطية بوصفها أسلوباً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الأول تكون الديمقراطية وآراء الناس والأكثرية في نفسها ذات قيمة، بحيث يُعدُّ انتخاب الأكثرية صائباً وعقلياً وكاشفاً عن الخير الواقعي والمصلحة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النموذج يؤكد على مجموعة من المباني والمسلمات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الناس على حكم أنفسهم، واتباع البشر للعقل والمنطق والأخلاق، وقدرتهم على بلوغ التقدم المادي والمعنوي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هذا النموذج ينقسم بنفسه إلى أقسام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التي تحترم المعارف البشرية الأعم مما إذا كانت صائبة أم خاطئة، أو حقاً أو ،باطلاً، ولا تتحمل أي آيديولوجية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بما هي 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النموذج الثاني للديمقراطية هي الديمقراطية بوصفها أسلوباً، وهي كما يبدو من اسمها تعني اعتبار انتخاب الأكثرية أسلوباً وطريقاً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النموذج يمكن أن ينقسم إلى قراءات ونماذج مختلفة،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الديمقراطية الليبرالية، والديمقراطية الاشتراكية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وللأهمية الخاصة لهذين النموذجين الآخرين سوف نخوض في تعريفهما على النحو الآتى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الليبرالية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تؤكد الديمقراطية الليبرالية على أولوية حرية المواطنين وتقدمها على سائر القيم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والفضيلة المدنية، والرفاه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الليبراليين الجدد من أمثال هايك يصرحون بأن هذه الليبرالية هي التي تمارس السطوة على الديمقراطية، وإن انتخاب الأكثرية لا يمكنه سلب أو تحديد قيم الليبرالية،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المواطنين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الاشتراكية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الديمقراطية الاشتراكية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تهتم بأصل المساواة بين المواطنين وحقوقهم الاقتصادية، وتذهب لذلك إلى الاعتقاد بأن على الدولة أن تمسك بعصب الاقتصاد، ولضمان أصل المساواة والحقوق الاقتصادية، يمكنها أن تسلب حرية المواطنين</w:t>
      </w:r>
    </w:p>
    <w:p>
      <w:pPr>
        <w:pStyle w:val="BookText"/>
        <w:rPr/>
      </w:pPr>
      <w:r>
        <w:rPr>
          <w:rFonts w:ascii="Amiri" w:hAnsi="Amiri" w:eastAsia="Amiri" w:cs="Amiri"/>
          <w:color w:val="111111"/>
          <w:sz w:val="28"/>
          <w:sz w:val="28"/>
          <w:szCs w:val="28"/>
          <w:rtl w:val="true"/>
          <w:lang w:bidi="ar-SA"/>
        </w:rPr>
        <w:t>و تعمل على تحديدها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الديمقراطية القانونية والنخبوية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التعريف المشهور والتقليدي للديمقراطية هو مشاركة الأكثرية من الناس في انتخاب الحاكم وإدارة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بعض فلاسفة السياسة في القرن الأخير طلعوا علينا </w:t>
      </w:r>
      <w:bookmarkStart w:id="159" w:name="pg15658_146882"/>
    </w:p>
    <w:p>
      <w:pPr>
        <w:pStyle w:val="BookText"/>
        <w:rPr/>
      </w:pPr>
      <w:bookmarkEnd w:id="159"/>
      <w:r>
        <w:rPr>
          <w:rFonts w:ascii="Amiri" w:hAnsi="Amiri" w:eastAsia="Amiri" w:cs="Amiri"/>
          <w:color w:val="111111"/>
          <w:sz w:val="28"/>
          <w:sz w:val="28"/>
          <w:szCs w:val="28"/>
          <w:rtl w:val="true"/>
          <w:lang w:bidi="ar-SA"/>
        </w:rPr>
        <w:t>بتقديم نموذجين آخرين لتعريف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فطبقاً للديمقراطية القانونية لا يكمن جوهر الديمقراطية في حكم الأكثرية، بل في حكم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السلطة من وجهة نظر هؤلاء الفلاسفة خطيرة للغاية، ولذلك لابد من تحديدها في إطار القانون، وإن تحديد السلطة وكبح جماحها لا يتم عبر الأكثرية، وإنما من خلال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 الأقصى فإن هذا النموذج من الديمقراطية لا يكمن في حكم مباشر من قبل الجماهير، بل هو وسيلة للتشاور مع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والنموذج الآخر للديمقراطية يتمثل في الديمقراطية النخبوية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يذهب القائلون بهذا النموذج إلى أن الديمقراطية بمعنى انتخاب الأكثرية ومشاركتهم في الحكم أمر مستحيل، ولا يعدو أن يكون مجرد وهم، إذ غاية ما نراه هو حصر الحكم بأقلية من أفراد المجتمع تتكون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القائلين بهذا النموذج يمكن لنا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التقليديين،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شومبيتر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روبرت 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المعاصرين من النخبويين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للتقليديين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يذهبون إلى القول بأن قواعد الديمقراطية تبدو معتبرة، ولكن على المستوى العملي لا تكون الحكومة إلا في حيازة النُخَب</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11030325_2142443653"/>
      <w:bookmarkStart w:id="161" w:name="_Toc58"/>
      <w:bookmarkEnd w:id="160"/>
      <w:r>
        <w:rPr>
          <w:rtl w:val="true"/>
        </w:rPr>
        <w:t>نسبة الإسلام والتشيّع إلى الديمقراطية</w:t>
      </w:r>
      <w:r>
        <w:rPr>
          <w:rtl w:val="true"/>
        </w:rPr>
        <w:t>:</w:t>
      </w:r>
      <w:bookmarkEnd w:id="16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شرحنا مختلف أنواع الديمقراطية ندخل في تحليل النسبة القائمة بين الإسلام والديمقراطية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تبين لنا أن الديمقراطية لا تختزل في نموذج ،واحد من البديهي عندما يواجه القارئ النبيه سؤالاً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الإسلام </w:t>
      </w:r>
    </w:p>
    <w:p>
      <w:pPr>
        <w:pStyle w:val="BookText"/>
        <w:rPr/>
      </w:pPr>
      <w:r>
        <w:rPr>
          <w:rFonts w:ascii="Amiri" w:hAnsi="Amiri" w:eastAsia="Amiri" w:cs="Amiri"/>
          <w:color w:val="111111"/>
          <w:sz w:val="28"/>
          <w:sz w:val="28"/>
          <w:szCs w:val="28"/>
          <w:rtl w:val="true"/>
          <w:lang w:bidi="ar-SA"/>
        </w:rPr>
        <w:t>ينسجم مع الديمقراطية ؟ سيكون جوابه البديهي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أولاً أن نحدد نوع هذه الديمقراطية بشكل واضح، كي يتسنى لنا الإجابة عن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الإسلام والتشيع مع الديمقراطية بما هي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طرف النسبة بين الإسلام والديمقراطية هى الديمقراطية بوصفها قيمة،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الإسلام والتشيّع يؤكدان على سلسلة من المباني والأسس الثابتة،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الحاكمية الإلهية، واعتبار الدنيا وسيلة إلى السعادة في الآخرة، وضرورة تطبيق أحكام الدين في المجتمع، فلا يمكن له أن ينسجم مع هذا النموذج من الديمقراطية وقواعدها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بأن انتخاب الأكثرية يعدُّ في نفسه قيمة ويُعدُّ صائباً ومنطقياً، لا يمكن أن ينسجم مع العقل السليم أبداً؛ لأننا نشهد كثيراً من موارد أخطاء الأكثرية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الإسلام لا يمكنه أن يستوعب القول بأن رأي الأكثرية هو المطاع والمتبع في جميع المجالات والحقول حتى لو أدى إلى مخالفة التعاليم الدينية، وإنما يقبل ذلك فيما لو تطابق رأي الأكثرية مع الموارد والمسائل المنسجمة مع الدين والعقل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يمكن على نحو الاحتمال أن ندافع عن القائلين بوجود التنافي بين الإسلام والديمقراطية، والتذكير بأن المراد من ذلك هو مخالفة الإسلام لنموذج الديمقراطية بما هي قيمة ذاتية، والذي يعتبره علماء الدين ممثلاً للديمقراطية الغربية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تناغم الإسلام والتشيع مع الديمقراطية بوصفها أسلوباً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طرف النسبة بين الإسلام والتشيع مع الديمقراطية بما هي أسلوب، فهنا لا يمكن لنا التحدث بضرس قاطع عن التعارض وعد الانسجام بين الإسلام والديمقراطية،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أصل هذا النموذج من انتخاب الأكثرية </w:t>
      </w:r>
    </w:p>
    <w:p>
      <w:pPr>
        <w:pStyle w:val="BookText"/>
        <w:rPr/>
      </w:pPr>
      <w:r>
        <w:rPr>
          <w:rFonts w:ascii="IRNazanin" w:hAnsi="IRNazanin" w:eastAsia="IRNazanin"/>
          <w:color w:val="111111"/>
          <w:sz w:val="28"/>
          <w:sz w:val="28"/>
          <w:szCs w:val="28"/>
          <w:rtl w:val="true"/>
          <w:lang w:bidi="fa-IR"/>
        </w:rPr>
        <w:t>لا ينظر إليه بوصفه قيمة، بل هو مجرد وسيلة، فإن الإسلام يحترم هذا الأمر مع تطعيمه ببعض الشروط وإضافة بعض القيود، ومن بين أهم تلك الشروط أن يكون انتخاب الأكثرية في إطار الدين والتعاليم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يؤدي هذا النوع من الديمقراطية وانتخاب الأكثرية إلى انحسار دور الدين وأحكامه، بل إن الدين وتعاليمه هو الذي يحدد البوصلة التي يجب على الأكثرية أن تسير على ضبط إيقاعها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يبرز دور الأكثرية ورأيها في عصر غيبة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أجلى، حيث يمكن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لحاظ القيم والصفات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ينتخبوا الحاكم والرئيس بشكل مباشر أو غير مباشر، وبذلك يمارسون دورهم في إدارة البلاد والإشراف على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تسمية هذا النوع من الديمقراطية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الديمقراطية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بأن هذا النوع من الديمقراطية هل هو موجود في الغرب أم لا؟ يجب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الديمقراطية بوصفها قيمة قابلة للمرونة مع الديمقراطية الدينية، والكلام يدور حول أصل انطباق المعايير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 بعدم وجود هذا النوع من الديمقراطية في الغرب، فإنه لا ينهض دليلاً على ضعفه أو بطلانه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الليبرالية إنما تقبل بالديمقراطية وانتخاب الأكثرية في إطار القواعد الليبرالية، وعندما يقع التعارض بين الليبرالية والديمقراطية، تعمل الليبرالية على تقديم قواعدها، وفي هذه الصورة لا نجد أحداً يهب إلى الدفاع عن حياض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عندما تعمد القيم الدينية إلى تحديد الديمقراطية ضمن الدائرة التي تلاحظ رعاية مصالح الناس، ينهض الجميع ويتحدث عن </w:t>
      </w:r>
    </w:p>
    <w:p>
      <w:pPr>
        <w:pStyle w:val="BookText"/>
        <w:rPr/>
      </w:pPr>
      <w:r>
        <w:rPr>
          <w:rFonts w:ascii="Amiri" w:hAnsi="Amiri" w:eastAsia="Amiri" w:cs="Amiri"/>
          <w:color w:val="111111"/>
          <w:sz w:val="28"/>
          <w:sz w:val="28"/>
          <w:szCs w:val="28"/>
          <w:rtl w:val="true"/>
          <w:lang w:bidi="ar-SA"/>
        </w:rPr>
        <w:t>معارضة الدين للديمقراطية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 أنه لا يمكن الحديث عن التعارض والتنافي بين الإسلام والديمقراطية بشكل مطلق، وإنما يجب تفسير مفهوم الديمقراطية وتشريحه وبيان نوعها، للانطلاق بعد ذلك إلى بيان موقف الإسلام من الديمقراطية المعنية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تناغم الإسلام والتشيّع مع الديمقراطية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أنواع الديمقراطية هي الدفاع عن أصل سيادة القانون، وليس الدفاع عن رأي الأكثرية، غاية ما هنالك أن أنصار هذا النموذج الديمقراطي يُفضّلون القانون على مقاس الثقافة والمباني المقبولة عندهم،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الليبرالية والمصالح الدينية والاقتصادية، ويؤسس الديمقراطية المنشودة والمطلوبة له على هذا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تطبيق هذا النوع من الديمقراطية في إطار الإسلام والتشيّع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للإسلام والتشيّع في حقل السياسة والحكم نظاماً سياسياً واقتصادياً خاصاً، ويذهب في هذا السياق إلى ضرورة تطبيق قانون خاص في المجتمع، وإن الحاكم يمثل دور المسؤول عن تطبيق هذه القوانين بوصفه وكيلاً من قبل الناس ومستأمناً على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يمكن الحديث عن تناغم الإسلام مع هذا النوع من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قانون هذا النوع من الديمقراطية وقواعده ستكون مختلفة عن القوانين والقواعد الديمقراطية الغربية، من قبيل الليبرالية وما إليها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تناغم الإسلام والتشيّع مع ديمقراطية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ديمقراطية النُّخَب نموذج جديد ومعاصر في الغرب، حيث يؤكد القائلون بها لا على رأي الأكثرية، بل على وجود النُخَب في المجتمع لإدارة الحكومة والتعامل مع المنافسين من الأحزاب والجماعات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تطبيق هذا النوع من الديمقراطية </w:t>
      </w:r>
      <w:bookmarkStart w:id="162" w:name="pg15658_146886"/>
    </w:p>
    <w:p>
      <w:pPr>
        <w:pStyle w:val="BookText"/>
        <w:rPr/>
      </w:pPr>
      <w:bookmarkEnd w:id="162"/>
      <w:r>
        <w:rPr>
          <w:rFonts w:ascii="Amiri" w:hAnsi="Amiri" w:eastAsia="Amiri" w:cs="Amiri"/>
          <w:color w:val="111111"/>
          <w:sz w:val="28"/>
          <w:sz w:val="28"/>
          <w:szCs w:val="28"/>
          <w:rtl w:val="true"/>
          <w:lang w:bidi="ar-SA"/>
        </w:rPr>
        <w:t>على الإسلام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منح الإسلام قبل أربعة عشر قرناً النبوة والإمامة إلى بعض 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المنتجبين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ليقوموا على رأس أمور الأمة، وفي عصر الغيبة حدّد الإسلام بعض الصفات الخاصة لمن يتولى قيادة المجتمع،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والعدالة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تعريف الديمقراطية وأنواعها، سوف ندخل في مزيد من الشرح لبيان عدم تعارض التشيع مع الديمقراطية، وسوف نشير في هذا السياق إلى دور الناس والشعب في حقل السياسة والحكم من وجهة نظر التشيّع</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030327_2142443653"/>
      <w:bookmarkStart w:id="164" w:name="_Toc59"/>
      <w:bookmarkEnd w:id="163"/>
      <w:r>
        <w:rPr>
          <w:rtl w:val="true"/>
        </w:rPr>
        <w:t>النقد الثاني</w:t>
      </w:r>
      <w:r>
        <w:rPr>
          <w:rtl w:val="true"/>
        </w:rPr>
        <w:t xml:space="preserve">: </w:t>
      </w:r>
      <w:r>
        <w:rPr>
          <w:rtl w:val="true"/>
        </w:rPr>
        <w:t>مشاركة الشعب في مضمار السياسة عند الشيعة</w:t>
      </w:r>
      <w:r>
        <w:rPr>
          <w:rtl w:val="true"/>
        </w:rPr>
        <w:t>:</w:t>
      </w:r>
      <w:bookmarkEnd w:id="164"/>
    </w:p>
    <w:p>
      <w:pPr>
        <w:pStyle w:val="BookText"/>
        <w:rPr/>
      </w:pPr>
      <w:r>
        <w:rPr>
          <w:rFonts w:ascii="IRNazanin" w:hAnsi="IRNazanin" w:eastAsia="IRNazanin"/>
          <w:color w:val="111111"/>
          <w:sz w:val="28"/>
          <w:sz w:val="28"/>
          <w:szCs w:val="28"/>
          <w:rtl w:val="true"/>
          <w:lang w:bidi="fa-IR"/>
        </w:rPr>
        <w:t>على الرغم من ذهاب الإمامية إلى أصل التنصيب والقول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وبأمر من الله عز وجل، ولكنهم يقيدون ذلك في الوقت نفسه برضا الناس، وإلا لن يكتب لها التحقق، ولا يمكن إكراه الناس على تحمّل حكومة مهما كانت نزيهة وشرعية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الحكومة في الإسلام والتشيع تتشكل من عنصرين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الحكم والحاكم دينياً، وأنه مع وجود المعصوم لا يجوز لغير المعصوم تولي السلطة، وهي حكومة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والأئمة المعصومين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مشاركة أفراد الشعب في أمر الحكومة، ومشروعيتها الدينية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يوجد هناك اليوم من المستنيرين من يسعى إلى إظهار الرؤية الشيعية حول الحكومة بوصفها معارضة وغير منسجمة مع الديمقراطية بمعنى مشاركة الشعب، نجد أنفسنا مضطرين إلى تقرير العنصر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الجدير ذكره هو أني قد سبق أن أوضحت بشكل تفصيلي المباني القرآنية لدور الناس في أمر الحكومة في موضع أخر</w:t>
      </w:r>
      <w:r>
        <w:rPr>
          <w:rStyle w:val="FootnoteAnchor"/>
          <w:rtl w:val="true"/>
        </w:rPr>
        <w:footnoteReference w:id="203"/>
      </w:r>
      <w:r>
        <w:rPr>
          <w:rFonts w:ascii="Amiri" w:hAnsi="Amiri" w:eastAsia="Amiri" w:cs="Amiri"/>
          <w:color w:val="111111"/>
          <w:sz w:val="28"/>
          <w:sz w:val="28"/>
          <w:szCs w:val="28"/>
          <w:rtl w:val="true"/>
          <w:lang w:bidi="ar-SA"/>
        </w:rPr>
        <w:t>، وفيما يأتي نشير إلى عناوين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خليفة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تدلّ عليه كثير من الآيات القرآنية الكريمة</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الخلافة الاضطلاع بدور الله فيما يتعلق بالحقوق والمسؤوليات، من قبيل الحكومة وممارسة السلطة، والمصادقة على القوانين الاجتماعية الضرورية، في حال فقدان النص</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أكد القرآن الكريم على أصل الشورى والتشاور في إدارة الحكم والدولة</w:t>
      </w:r>
      <w:r>
        <w:rPr>
          <w:rStyle w:val="FootnoteAnchor"/>
          <w:rtl w:val="true"/>
        </w:rPr>
        <w:footnoteReference w:id="206"/>
      </w:r>
      <w:r>
        <w:rPr>
          <w:rFonts w:ascii="Amiri" w:hAnsi="Amiri" w:eastAsia="Amiri" w:cs="Amiri"/>
          <w:color w:val="111111"/>
          <w:sz w:val="28"/>
          <w:sz w:val="28"/>
          <w:szCs w:val="28"/>
          <w:rtl w:val="true"/>
          <w:lang w:bidi="ar-SA"/>
        </w:rPr>
        <w:t>، وهو أمر تسالم عليه المفكرون من الشيعة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القرآن الكريم المؤمنين بأنهم أولياء بعض</w:t>
      </w:r>
      <w:r>
        <w:rPr>
          <w:rStyle w:val="FootnoteAnchor"/>
          <w:rtl w:val="true"/>
        </w:rPr>
        <w:footnoteReference w:id="207"/>
      </w:r>
      <w:r>
        <w:rPr>
          <w:rFonts w:ascii="Amiri" w:hAnsi="Amiri" w:eastAsia="Amiri" w:cs="Amiri"/>
          <w:color w:val="111111"/>
          <w:sz w:val="28"/>
          <w:sz w:val="28"/>
          <w:szCs w:val="28"/>
          <w:rtl w:val="true"/>
          <w:lang w:bidi="ar-SA"/>
        </w:rPr>
        <w:t>، ويمنح المؤمنين بذلك نوعاً من حق الحاكمية وتولي أمور المجتمع</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مسؤول عن تشكيل الحكومة وصيانتها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القرآن الكريم أن تأسيس الحكومة الدينية وصيانتها مسؤولية تقع على عاتق أفراد الشعب والأمة</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ذلك فإن القرآن يشتمل على الأحكام الاجتماعية والجزائية، وإن تطبيق هذه الأحكام لا يقوم بها شخص الحاكم، وإنما يضطلع بها أفراد المجتمع والمواطنون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أفراد الأمة غير قادرين على الاضطلاع بهذا الدور إلا بعد إقامة الحكم واستلام مقاليد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 أمانة والحاكم أمين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الحكومة من وجهة نظر القرآن أمانة الناس، وإن الحكام أمناء ومستأمنون على حقوق الشعب والأمة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نهى القرآن الكريم في كثير من آياته عن الاستكبار وحكومات الظلم والجور، مبيناً أن إحدى وظائف ومسؤوليات الأنبياء هي محاربة الحكومات الطاغية، وتحرير العباد من سطوة الظلم</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مصاديق حكومات الظلم والجور والاستكبار، الحكومة التي تمارس الحكم على الناس بالقهر والغلبة والبطش والقوة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وبعد ذكر العناوين القرآنية المثبتة لمشاركة الناس في أمر الحكم، ندخل الآن في ذكر بعض الروايات في هذا المجال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التأكيد من قبل النبي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معروفة على أصل الحكومة والحاكمية الإلهية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 أنه علقها على رضا الناس وإقبالهم، إذ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ابن أبي طالب لك ولاء أمتي، فإن ولوك في عافية وأجمعوا عليك بالرضا، فقم في أمرهم، وإن اختلفوا عليك، فدعهم وما هم فيه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نهى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الحكم بالإكراه، ومن دون استشارة أفراد الأمة،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جاءكم يريد أن يفرق الجماعة، ويغصب الأمة أمرها، ويتولى من غير مشورة فاقتلوه، فإن الله قد أذن ذلك</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يلجأ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ممارسة العنف والقوة في التصدي للحكم رغم كون هذا الحكم حقاً من حقوقه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ترك ذلك لرغبة الناس وإرادتهم وبيعتهم، وفي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بيعتي لا تكون خفياً، ولا تكون إلا عن </w:t>
      </w:r>
    </w:p>
    <w:p>
      <w:pPr>
        <w:pStyle w:val="BookText"/>
        <w:rPr/>
      </w:pPr>
      <w:r>
        <w:rPr>
          <w:rFonts w:ascii="Amiri" w:hAnsi="Amiri" w:eastAsia="Amiri" w:cs="Amiri"/>
          <w:color w:val="111111"/>
          <w:sz w:val="28"/>
          <w:sz w:val="28"/>
          <w:szCs w:val="28"/>
          <w:rtl w:val="true"/>
          <w:lang w:bidi="ar-SA"/>
        </w:rPr>
        <w:t>رضى المسلمين</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بيعة الناس للحاكم في مرحلة البيعة تكون عبر الانتخاب الحر والاختيار التام، أما بعد البيعة فيجب عليهم الوفاء وعدم نقض عهد البيعة مع الحاكم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الخيار للناس قبل أن يبايعوا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الحكم أمانة وأن الحاكم أمين، كما ورد مضمون ذلك في كتاب له إلى بعض 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عملك ليس لك بطعمة، ولكنهفي عنقك أمانة، وأنت مسترعى لمن فوقك، ليس لك أن تفتات في رعيتك</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وصف قادة جيشه في كتاب آخر بأنهم حراس الأمة وخزانها ووكلاؤها،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خزان الرعية، ووكلاء الأمة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رأى الإمام أنّ الحكم والحاكمية ملك للناس،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ملاء وإذن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أمركم ليس لأحدٍ فيه الحق، إلا من أمرتم وإنه ليس لي دونكم إلا مفاتيح مالكم معي</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الحاكم من طريق الشورى من حق المهاجرين والأنصار،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الشورى للمهاجرين والأنصار، فإن أجمعوا </w:t>
      </w:r>
    </w:p>
    <w:p>
      <w:pPr>
        <w:pStyle w:val="BookText"/>
        <w:rPr/>
      </w:pPr>
      <w:r>
        <w:rPr>
          <w:rFonts w:ascii="Amiri" w:hAnsi="Amiri" w:eastAsia="Amiri" w:cs="Amiri"/>
          <w:color w:val="111111"/>
          <w:sz w:val="28"/>
          <w:sz w:val="28"/>
          <w:szCs w:val="28"/>
          <w:rtl w:val="true"/>
          <w:lang w:bidi="ar-SA"/>
        </w:rPr>
        <w:t>على رجل وستموه إماماً، كان ذلك الله رضى</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يعتبر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 الحاكم من قبل الأمة واجباً وحكماً إلهياً، وإنه داخل في التكاليف رغم كونه من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ذات الوقت،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والواجب في حكم الله وحكم الإسلام على المسلمين بعد ما يموت إمامهم أو يقتل أن لا يعملوا عملاً، ولا يحدثوا حدثاً، ولا يقدموا يداً ولا رجلاً، ولا يبدأوا بشيء قبل أن يختاروا لأنفسهم إماماً</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المجلسي، بحار الأنوار، ج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وسنكتفي بهذا المقدار تجنّباً للإطالة، وسوف نغض الطرف عن ذكر روايات سائر الأئمة وآراء علماء الشيعة، على أمل أن يكون في ما ذكرناه ما يكفي لإثبات أن مذهب التشيع وأصل الإمامة ليس بصدد فرض حكم المعصوم بالإكراه وممارسة العنف والقوة، بل قام أئمة الشيعة منذ أكثر من أربعة عشر قرناً بتعريف الناس على مبدأ الشورى والبيعة والانتخاب في حقل السياسة والحكومة، بل إن حكومة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النموذج العملي على ذلك</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أردنا قياس نسبة الإسلام إلى الديمقراطية في صدر الإسلام، وجب علينا تحليل خلافة عمر بتنصيبه من قبل الخليفة الأول، وتعيين عثمان من قبل لجنة من خمسة أشخاص فيما عرف بالشورى؛ ليتضح أن الإسلام السني هو الذي يتنافى مع الديمقراطية على المستوى العملي، وليس الإسلام المتمثل بالتشيع</w:t>
      </w:r>
      <w:r>
        <w:rPr>
          <w:rFonts w:eastAsia="Amiri" w:cs="Amiri" w:ascii="Amiri" w:hAnsi="Amiri"/>
          <w:color w:val="111111"/>
          <w:sz w:val="28"/>
          <w:szCs w:val="28"/>
          <w:rtl w:val="true"/>
          <w:lang w:bidi="ar-SA"/>
        </w:rPr>
        <w:t xml:space="preserve">. </w:t>
      </w:r>
      <w:bookmarkStart w:id="165" w:name="pg15658_146892"/>
    </w:p>
    <w:p>
      <w:pPr>
        <w:pStyle w:val="BookText"/>
        <w:rPr/>
      </w:pPr>
      <w:bookmarkEnd w:id="165"/>
      <w:r>
        <w:rPr>
          <w:rFonts w:ascii="IRNazanin" w:hAnsi="IRNazanin" w:eastAsia="IRNazanin"/>
          <w:color w:val="111111"/>
          <w:sz w:val="28"/>
          <w:sz w:val="28"/>
          <w:szCs w:val="28"/>
          <w:rtl w:val="true"/>
          <w:lang w:bidi="fa-IR"/>
        </w:rPr>
        <w:t xml:space="preserve">المسألة الأخرى إن القارئ الكريم يدرك ويلمس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كل هذا التأكيد والاهتمام بدور الناس في المعترك السياسي ومسألة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العنصر الثاني من الحكومة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العنصر الأول من الحكومة الدينية والمتمثل بأصل دينية الحكم وتعيين الحاكم المعصوم من قبل الله عزّ وجلّ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جزء من العنصر الأول في الحكومة الدينية، والذي يذعن له الشعب والأمة لا بالإكراه بل بدافع من معتقداتهم الدينية، وكما تقدم أن ذكرنا فإنهم إن لم يلتزموا بذلك يكونون قد ارتكبوا معصية من الناحية الدينية، ولكن في الوقت نفسه لا يكتب التحقق لحكومة المعصوم الدينية، ولا يستطيع المعصوم أن يجلس على سدة الحكم بالإكراه والقوة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يكون هناك أي تناف أو تعارض بين النظرية السياسية لدى الشيعة وبين الديمقراطية بالمعنى المنهجي والأسلوبي </w:t>
      </w:r>
      <w:r>
        <w:rPr>
          <w:rFonts w:eastAsia="IRNazanin" w:cs="IRNazanin"/>
          <w:color w:val="111111"/>
          <w:sz w:val="28"/>
          <w:szCs w:val="28"/>
          <w:rtl w:val="true"/>
          <w:lang w:bidi="fa-IR"/>
        </w:rPr>
        <w:t>.</w:t>
      </w:r>
    </w:p>
    <w:p>
      <w:pPr>
        <w:pStyle w:val="Heading4"/>
        <w:numPr>
          <w:ilvl w:val="3"/>
          <w:numId w:val="1"/>
        </w:numPr>
        <w:rPr/>
      </w:pPr>
      <w:bookmarkStart w:id="166" w:name="__RefHeading___Toc11030329_2142443653"/>
      <w:bookmarkStart w:id="167" w:name="_Toc60"/>
      <w:bookmarkEnd w:id="166"/>
      <w:r>
        <w:rPr>
          <w:rtl w:val="true"/>
        </w:rPr>
        <w:t>النقد الثالث</w:t>
      </w:r>
      <w:r>
        <w:rPr>
          <w:rtl w:val="true"/>
        </w:rPr>
        <w:t xml:space="preserve">: </w:t>
      </w:r>
      <w:r>
        <w:rPr>
          <w:rtl w:val="true"/>
        </w:rPr>
        <w:t>اختلاف الإمامة عن الحكومة</w:t>
      </w:r>
      <w:r>
        <w:rPr>
          <w:rtl w:val="true"/>
        </w:rPr>
        <w:t>:</w:t>
      </w:r>
      <w:bookmarkEnd w:id="16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يعمد ناقدو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تفسيرهم المجتزأ والناقص للإمامة، واختزالها بمسألة الحكم والزعامة السياسية من طريق تنصيب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اعتبارها مساوقة للحكومة التنصيبية، ويعملون على مهاجمتها بحجة تعارضها مع 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هؤلاء الناقدين يسعون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حذف مع جزء من معتقد الشيعة في الإمامة،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حذف الأركان الرئيسة لنظرية الشيعة في الإمامة المتمثلة بوجود الإمام المعصوم الذي يتمتع بالعلم اللدنى والإلهام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مرّ بحثه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والاستناد إلى الجانب التاريخي المتمثل بالحكم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إضعاف التشيّع وجرحه من خلال ارتكاب مغالطة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الذي يصرّ الشيعة على كونه منصوصاً ليس هو مجرد تعيين </w:t>
      </w:r>
    </w:p>
    <w:p>
      <w:pPr>
        <w:pStyle w:val="BookText"/>
        <w:rPr/>
      </w:pPr>
      <w:r>
        <w:rPr>
          <w:rFonts w:ascii="IRNazanin" w:hAnsi="IRNazanin" w:eastAsia="IRNazanin"/>
          <w:color w:val="111111"/>
          <w:sz w:val="28"/>
          <w:sz w:val="28"/>
          <w:szCs w:val="28"/>
          <w:rtl w:val="true"/>
          <w:lang w:bidi="fa-IR"/>
        </w:rPr>
        <w:t>الحاكم وولي المسلمين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المسألة مورد البحث أبعد من مقولة الحكم وتعيين الحاكم، إذ إن الشيعة يبحثون مسألة الإمامة في دائرة أوسع ويرونها أسمى وأرفع من مجرد الحكومة، وتشمل المرجعية الدينية والعلمية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الإمام وخليفة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مثله في العصمة والمسؤولية الإلهية وتفسير الدين وحراسته وصيانته، وإن كلمته هي كلمة النبي في جميع المجالات الدينية والسياسية والاجتماعية، فهي فصل الخطاب 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شأن الإمام أسمى وأهم من الشأن الحكومي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الأستاذ الشهيد المطهري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يحظى بالدرجة الأولى من الأهمية فيما يتعلق بمسألة الإمامة هو خلافة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هناك بعد النبي فرد يستطيع أن يكون مرجعاً في أحكام الدين كما كان رسول الله مرجعاً ومبيناً ومفسراً للدين ؟</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ذكرنا الإمامة بالشكل السطحي والبسيط المتمثل بالمستوى الحكومي، وقلنا بأن الإمامة تعني الحكومة، لكان ما يقوله أهل السنة أكبر من جاذبية ذلك الشيء الذي يقوله الشيعة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يرى سماحته أن هذا الأسلوب في البحث خطأ كبير، وأن هذا الخطأ قد ارتكبه حتى بعض قدماء خالمتكلمين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واستطرد سماحته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ثبتت كفاءة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للتصدّي لمقام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المرجعية الدينية ونيابته في ذلك بالأدلة القطعية المتقنة، فإن نيابته في أمر الحكومة ستكون ثابتة تلقائياً </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68" w:name="pg15658_146894"/>
    </w:p>
    <w:p>
      <w:pPr>
        <w:pStyle w:val="Heading4"/>
        <w:numPr>
          <w:ilvl w:val="3"/>
          <w:numId w:val="1"/>
        </w:numPr>
        <w:rPr/>
      </w:pPr>
      <w:bookmarkStart w:id="169" w:name="__RefHeading___Toc11030331_2142443653"/>
      <w:bookmarkStart w:id="170" w:name="_Toc61"/>
      <w:bookmarkEnd w:id="168"/>
      <w:bookmarkEnd w:id="169"/>
      <w:r>
        <w:rPr>
          <w:rtl w:val="true"/>
        </w:rPr>
        <w:t>النقد الرابع</w:t>
      </w:r>
      <w:r>
        <w:rPr>
          <w:rtl w:val="true"/>
        </w:rPr>
        <w:t xml:space="preserve">: </w:t>
      </w:r>
      <w:r>
        <w:rPr>
          <w:rtl w:val="true"/>
        </w:rPr>
        <w:t>الأئمة المنتخبون حصرياً هم الحكام الأكفاء</w:t>
      </w:r>
      <w:r>
        <w:rPr>
          <w:rtl w:val="true"/>
        </w:rPr>
        <w:t>:</w:t>
      </w:r>
      <w:bookmarkEnd w:id="170"/>
    </w:p>
    <w:p>
      <w:pPr>
        <w:pStyle w:val="BookText"/>
        <w:rPr/>
      </w:pPr>
      <w:r>
        <w:rPr>
          <w:rFonts w:ascii="IRNazanin" w:hAnsi="IRNazanin" w:eastAsia="IRNazanin"/>
          <w:color w:val="111111"/>
          <w:sz w:val="28"/>
          <w:sz w:val="28"/>
          <w:szCs w:val="28"/>
          <w:rtl w:val="true"/>
          <w:lang w:bidi="fa-IR"/>
        </w:rPr>
        <w:t>اتضح من خلال بحث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وعلمهم وإلهامهم أن الاشتمال على مقام الإمامة والزعامة وتعيين ذلك كان على أساس الكفاءة واللياقة، وبناء على هذه الكفاءة واللياقة،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المقتضية في صدر الإسلام كانت منحصرة في الوجود المبارك للإمام علي ، اتضح 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إماماً وخليفة حقيقيا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مقام الواقع والثبوت، من هنا فإن تنصيب النبي الأكرم له إماماً إنما يحتوي على صبغة كاشفية وإرشادية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النصوص الدالة على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أكسبته الشرعية، وإنما الصحيح هو أن الإمام كان لاتقاً ومتصفاً بالصفات التي أهلته لتولي منصب الإمامة، وقد جاءت هذه النصوص في مرحلة لاحقة لتحقق الإمامة في شخص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 مقام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الإمامة لم يتحقق من خلال التنصيب، كى يُشكل على الشيعة بأنهم قد عمدوا إلى إخراج مسألة الحكومة عن طبيعتها الديمقراطية والعقلانية، وحولوها إلى مجرد مسألة وراثية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في عصرهم كانوا هم اللائقون الحقيقيون حصرياً للتصدي لمقام الإمامة والخلافة، وإن الشيعة إنما يقولون بزعامة النخب الحقيقيين وقيادتهم للأمور السياسية والاجتماعية والعلمية والدينية، وهي تتطابق مع الديمقراطية التي هي من نوع ديمقراطية النخب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علاوة على أن نظرية الإمامة ضمن تأكيدها على أصل تنصيب الإمام، إنما تربط تطبيق الحاكمية بشرط المقبولية ومرضاة الأمة، فلا وجود لأي إكراه في الدين، وعليه فإن نظرية الإمامة لا تعارض الديمقراطية أبداً</w:t>
      </w:r>
      <w:r>
        <w:rPr>
          <w:rFonts w:eastAsia="Amiri" w:cs="Amiri" w:ascii="Amiri" w:hAnsi="Amiri"/>
          <w:color w:val="111111"/>
          <w:sz w:val="28"/>
          <w:szCs w:val="28"/>
          <w:rtl w:val="true"/>
          <w:lang w:bidi="ar-SA"/>
        </w:rPr>
        <w:t xml:space="preserve">. </w:t>
      </w:r>
      <w:bookmarkStart w:id="171" w:name="pg15658_146895"/>
    </w:p>
    <w:p>
      <w:pPr>
        <w:pStyle w:val="Heading4"/>
        <w:numPr>
          <w:ilvl w:val="3"/>
          <w:numId w:val="1"/>
        </w:numPr>
        <w:rPr/>
      </w:pPr>
      <w:bookmarkStart w:id="172" w:name="__RefHeading___Toc11030333_2142443653"/>
      <w:bookmarkStart w:id="173" w:name="_Toc62"/>
      <w:bookmarkEnd w:id="171"/>
      <w:bookmarkEnd w:id="172"/>
      <w:r>
        <w:rPr>
          <w:rtl w:val="true"/>
        </w:rPr>
        <w:t xml:space="preserve">النقد الخامس </w:t>
      </w:r>
      <w:r>
        <w:rPr>
          <w:rtl w:val="true"/>
        </w:rPr>
        <w:t xml:space="preserve">: </w:t>
      </w:r>
      <w:r>
        <w:rPr>
          <w:rtl w:val="true"/>
        </w:rPr>
        <w:t>حاجة الديمقراطية الحقيقية للأرضية المناسبة</w:t>
      </w:r>
      <w:r>
        <w:rPr>
          <w:rtl w:val="true"/>
        </w:rPr>
        <w:t>:</w:t>
      </w:r>
      <w:bookmarkEnd w:id="173"/>
    </w:p>
    <w:p>
      <w:pPr>
        <w:pStyle w:val="BookText"/>
        <w:rPr/>
      </w:pPr>
      <w:r>
        <w:rPr>
          <w:rFonts w:ascii="IRNazanin" w:hAnsi="IRNazanin" w:eastAsia="IRNazanin"/>
          <w:color w:val="111111"/>
          <w:sz w:val="28"/>
          <w:sz w:val="28"/>
          <w:szCs w:val="28"/>
          <w:rtl w:val="true"/>
          <w:lang w:bidi="fa-IR"/>
        </w:rPr>
        <w:t>ربما تساءل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يترك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اختيار الإمام والقائد الحقيقي إلى الأمة لتختاره بنفسها؟ بل دعا الناس في كثير من الروايات المأثورة عنه إلى انتخاب وبيعة الأئمة الذين نصّ عليهم في تلك الروايات؟</w:t>
      </w:r>
    </w:p>
    <w:p>
      <w:pPr>
        <w:pStyle w:val="BookText"/>
        <w:rPr/>
      </w:pPr>
      <w:r>
        <w:rPr>
          <w:rFonts w:ascii="IRNazanin" w:hAnsi="IRNazanin" w:eastAsia="IRNazanin"/>
          <w:color w:val="111111"/>
          <w:sz w:val="28"/>
          <w:sz w:val="28"/>
          <w:szCs w:val="28"/>
          <w:rtl w:val="true"/>
          <w:lang w:bidi="fa-IR"/>
        </w:rPr>
        <w:t>إن الإجابة عن هذا السؤال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من بين مهام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إرشاد أمته وهدايتها وبيان أصول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حيث تعرض الناس في صدر الإسلام لحملة إعلامية قام بها الأمويون والمنافقون والمتكالبون على السلطة وهو أمر أثار في أذهانهم بعض الشبهات فلم يرتقوا إلى المستوى المطلوب من الوعي السياسي الذي يجعلهم قادرين على تعيين إمامهم الحقيقى، كان لابد من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قاله الأستاذ الشهيد مرتضى مطهري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هنا يتضح عدم نضج مجتمع ذلك العصر لفكرة انتخاب الخليفة، وأن ولي الأمر كان يجب أن يكون تعيينياً وليس انتخابياً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إذا ما قبلنا بأن مبدأ الحكومة الإسلامية إنما يقوم على الانتخاب، وليس على التعيين، إلا أن ذلك المجتمع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لسنوات طويلة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يكن قادراً على استيعاب فكرة الانتخاب</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الديمقراطية الحقيقية تتمثل بانتخاب الناس واختيارهم </w:t>
      </w:r>
    </w:p>
    <w:p>
      <w:pPr>
        <w:pStyle w:val="BookText"/>
        <w:rPr/>
      </w:pPr>
      <w:r>
        <w:rPr>
          <w:rFonts w:ascii="Amiri" w:hAnsi="Amiri" w:eastAsia="Amiri" w:cs="Amiri"/>
          <w:color w:val="111111"/>
          <w:sz w:val="28"/>
          <w:sz w:val="28"/>
          <w:szCs w:val="28"/>
          <w:rtl w:val="true"/>
          <w:lang w:bidi="ar-SA"/>
        </w:rPr>
        <w:t>للحاكم الكفوء الذي تتوفر فيه الشروط والمواصفات اللازمة في التصدي لأمر الحكومة، وهذا يحتاج إلى أرضية مناسبة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تشخيص الأمة، وعدم الإعلام المسيء ضد المرشحين الكفوئين، وأن تكون هناك إمكانية للتعريف بالمرشحين الصالحين على المستوى العملى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تتحقق هذه الظروف، فإن الحكمة والعقل يقضيان بتوفير الأرضية المناسبة لإدارة الأمور وتحسين الأوضاع ومساعدة الناس من خلال التعريف وانتخاب المرشح الحصري الصالح، وهذا الأمر هو المنطقي في انتخاب الأصلح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لمما يثير العجب من أمثال الدكتور سروش الذي يرى نفسه مناصراً للفلسفة السياسية للغرب مثل فلسفة بوبر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من أن بوبر لا يرتضي الديمقراطية لشعوب العالم الثالث لعدم بلوغهم إلى المستوى المطلوب من النضج السياسي، وهكذا يعمد إلى التضحية بالديمقراطية فداء للأطماع الغربية، نجد الدكتور سروش فيما يتعلق بالديمقراطية الغربية حنبلياً أكثر من ابن حنبل، حيث يجرح في الشيعة ونظرية الإمامة بسبب توهم معارضتها للديمقراطية، متجاهلاً الظروف التي سادت ذلك العصر وما تعرض له الناس من الهجمة الشرسة التي قادها الأمويون لاغتيال شخصية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بلغت حد اتهام الإمام بترك الصلاة، فهل كانت هناك أرضية مناسبة لانتخاب الناس لمن هو الأصلح لإدارة الأمة، وتحقيق الديمقراطية الحقيقية؟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فرضنا أن الله سبحانه وتعالى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يسميا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 قائداً وإماماً، ما هو الحكم الذي كان يمكن للأجيال الراهنة أن تصدره في هذا الشأن؟ ألم يكن من حقهم اتهام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بكتمان الحق وتجاهل أصل التعريف بالنُّخَب؟ ألم يحق لهم أن يقولوا إن الله ورسوله قد </w:t>
      </w:r>
      <w:bookmarkStart w:id="174" w:name="pg15658_146897"/>
    </w:p>
    <w:p>
      <w:pPr>
        <w:pStyle w:val="BookText"/>
        <w:rPr/>
      </w:pPr>
      <w:bookmarkEnd w:id="174"/>
      <w:r>
        <w:rPr>
          <w:rFonts w:ascii="Amiri" w:hAnsi="Amiri" w:eastAsia="Amiri" w:cs="Amiri"/>
          <w:color w:val="111111"/>
          <w:sz w:val="28"/>
          <w:sz w:val="28"/>
          <w:szCs w:val="28"/>
          <w:rtl w:val="true"/>
          <w:lang w:bidi="ar-SA"/>
        </w:rPr>
        <w:t>خذلا الإمام عليّاً في مواجهة أمثال معاوية بن أبي سفيان والمنافقين وغيرهم من المتحينين للفرص والمتكالبين على السلطة؟</w:t>
      </w:r>
    </w:p>
    <w:p>
      <w:pPr>
        <w:pStyle w:val="Heading4"/>
        <w:numPr>
          <w:ilvl w:val="3"/>
          <w:numId w:val="1"/>
        </w:numPr>
        <w:rPr/>
      </w:pPr>
      <w:bookmarkStart w:id="175" w:name="__RefHeading___Toc11030335_2142443653"/>
      <w:bookmarkStart w:id="176" w:name="_Toc63"/>
      <w:bookmarkEnd w:id="175"/>
      <w:r>
        <w:rPr>
          <w:rtl w:val="true"/>
        </w:rPr>
        <w:t>النقد السادس</w:t>
      </w:r>
      <w:r>
        <w:rPr>
          <w:rtl w:val="true"/>
        </w:rPr>
        <w:t xml:space="preserve">: </w:t>
      </w:r>
      <w:r>
        <w:rPr>
          <w:rtl w:val="true"/>
        </w:rPr>
        <w:t>تقديم الحكم الإلهي على الديمقراطية</w:t>
      </w:r>
      <w:r>
        <w:rPr>
          <w:rtl w:val="true"/>
        </w:rPr>
        <w:t>:</w:t>
      </w:r>
      <w:bookmarkEnd w:id="176"/>
    </w:p>
    <w:p>
      <w:pPr>
        <w:pStyle w:val="BookText"/>
        <w:rPr/>
      </w:pPr>
      <w:r>
        <w:rPr>
          <w:rFonts w:ascii="Amiri" w:hAnsi="Amiri" w:eastAsia="Amiri" w:cs="Amiri"/>
          <w:color w:val="111111"/>
          <w:sz w:val="28"/>
          <w:sz w:val="28"/>
          <w:szCs w:val="28"/>
          <w:rtl w:val="true"/>
          <w:lang w:bidi="ar-SA"/>
        </w:rPr>
        <w:t>لو أغمضنا الطرف عن المسائل المتقدمة، وقلنا بأن أصل الإمامة والحكومة المنصوبة من قبل الله تعارض الديمقراطية الغربية أو أي أطروحة بشرية أخرى، بيد أننا نتساءل هنا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تعارض الحكم الإلهي مع الحكم الغربي وما يبدو أنه من أحكام المتمدنين، فلمن يكون الترجيح والتقديم؟ إذا كان الأصل يقوم على التنصيب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يذهب الشيعة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الداعي إلى التضحية بحكم الله فداء لحكم غير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يجب على الإنسان أن يخضع لحكم خالقه وخالق الوجود بأسره؟ أم يجوز له لمجرد اغتراره بالتقدم العلمي أن يتمرد على إرادة واهب الوجود والحياة؟</w:t>
      </w:r>
    </w:p>
    <w:p>
      <w:pPr>
        <w:pStyle w:val="BookText"/>
        <w:rPr/>
      </w:pPr>
      <w:r>
        <w:rPr>
          <w:rFonts w:ascii="Amiri" w:hAnsi="Amiri" w:eastAsia="Amiri" w:cs="Amiri"/>
          <w:color w:val="111111"/>
          <w:sz w:val="28"/>
          <w:sz w:val="28"/>
          <w:szCs w:val="28"/>
          <w:rtl w:val="true"/>
          <w:lang w:bidi="ar-SA"/>
        </w:rPr>
        <w:t>واضح أن الإنسان المتأله والمؤمن بالله يقدم حكم الله حتى على نفسه وروحه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 الديمقراطية الغربية المزعومة تعاني من كثير من النواقص الحقوقية والإنسانية على ما ستأتي الإشارة إلى ذلك، وعليه لا ينبغي ترجيح هذه الديمقراطية على التشيع لمجرد توهم إمكان حصول التعارض بينهما</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1030337_2142443653"/>
      <w:bookmarkStart w:id="178" w:name="_Toc64"/>
      <w:bookmarkEnd w:id="177"/>
      <w:r>
        <w:rPr>
          <w:rtl w:val="true"/>
        </w:rPr>
        <w:t xml:space="preserve">النقد السابع </w:t>
      </w:r>
      <w:r>
        <w:rPr>
          <w:rtl w:val="true"/>
        </w:rPr>
        <w:t xml:space="preserve">: </w:t>
      </w:r>
      <w:r>
        <w:rPr>
          <w:rtl w:val="true"/>
        </w:rPr>
        <w:t>ثغرات الديمقراطية</w:t>
      </w:r>
      <w:bookmarkEnd w:id="17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يبلغ بعضهم في احترامها وتبجيلها حد التقديس وترجيحها على الإمامة عند التعارض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تعاني كثيراً من الإشكالات </w:t>
      </w:r>
    </w:p>
    <w:p>
      <w:pPr>
        <w:pStyle w:val="BookText"/>
        <w:rPr/>
      </w:pPr>
      <w:r>
        <w:rPr>
          <w:rFonts w:ascii="Amiri" w:hAnsi="Amiri" w:eastAsia="Amiri" w:cs="Amiri"/>
          <w:color w:val="111111"/>
          <w:sz w:val="28"/>
          <w:sz w:val="28"/>
          <w:szCs w:val="28"/>
          <w:rtl w:val="true"/>
          <w:lang w:bidi="ar-SA"/>
        </w:rPr>
        <w:t xml:space="preserve">الحقوقية ونقاط الضعف المنطقية، وإن إصلاحها رهن بترميمها، وفيما يأتي نشير إلى بعض مواطن النقص والضعف في هذه النظرية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مشاركة 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أثبتت تجارب الانتخابات الغربية السابقة أن أكثر المواطنين لا يشاركون في التصويت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ينخرم الجوهر الأساسي من الديمقراطية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انتخاب الحاكم من قبل الأكثرية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يحصل نادراً أن تكون هناك أغلبية نسبية من مشاركة المواطنين في الانتخابات، ولكن حيث يكون هناك كثرة في المرشحين لتولي رئاسة السلطة التنفيذية يمكن القول بكل ثقة إنه ليس هناك حاكم تم انتخابه من قبل الأكثرية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على هذين النقصين الفيلسوف الشهير في القرن العشرين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ریموند بوبر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الافتقار إلى السند القانوني بالنسبة إلى الأجيال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المبنى القانونى والحقوقى الذى يبرر حكومة منتخبة من قبل جيل من آلاف المواطنين على أشخاص لم يبلغوا السن القانونية إلا بعد انتهاء التصويت والحملة الانتخابية؛ فاضطروا إلى الانصياع لقوانين حكومة وإجراءات لم يكن لهم شرف انتخابها؟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سيادة المناخ المضطرب في الانتخابات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الانتخابات تكون الدعاية هي التي تمهد الطريق أمام فوز بعض المرشحين بعينهم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الدعاية حكر على من يمسك بالعصب المالي ومن يملك الثروة والامبراطوريات الاقتصادية والتجارية، ولكي يضمن المرشح فوزه، يتعين عليه التعاقد مسبقاً </w:t>
      </w:r>
      <w:bookmarkStart w:id="179" w:name="pg15658_146899"/>
    </w:p>
    <w:p>
      <w:pPr>
        <w:pStyle w:val="BookText"/>
        <w:rPr/>
      </w:pPr>
      <w:bookmarkEnd w:id="179"/>
      <w:r>
        <w:rPr>
          <w:rFonts w:ascii="Amiri" w:hAnsi="Amiri" w:eastAsia="Amiri" w:cs="Amiri"/>
          <w:color w:val="111111"/>
          <w:sz w:val="28"/>
          <w:sz w:val="28"/>
          <w:szCs w:val="28"/>
          <w:rtl w:val="true"/>
          <w:lang w:bidi="ar-SA"/>
        </w:rPr>
        <w:t>مع هذه القنوات التي ستنهض بأعباء الدعاية له كي تستثمرهلاحقاً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انخفاض مستوى الكفاءة في الدولة من الممكن جداً أن تفضي الانتخابات إلى فوز المرشح الذي يفتقر إلى الصلاحية والكفاءة، أو تقديم المفضول على الفاضل لمختلف الأسباب، من قبيل إصرار القانون الانتخابي على أن يكون المرشح من طبقة خاصة، ويصادف وجود الكفاءات في خارج تلك 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يؤدي هذا الأمر بالمجتمع إلى كثير من الأزمات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تؤدي الانتخابات المبكرة وتغيير إدارة الدولة إلى العجز عن تطبيق مخططاتها المرصودة على المدى الطويل، فلا تنجح في تحسين إدارة الدولة</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1030339_2142443653"/>
      <w:bookmarkStart w:id="181" w:name="_Toc65"/>
      <w:bookmarkEnd w:id="180"/>
      <w:r>
        <w:rPr>
          <w:rtl w:val="true"/>
        </w:rPr>
        <w:t>إقرار المفكرين الغربيين</w:t>
      </w:r>
      <w:r>
        <w:rPr>
          <w:rtl w:val="true"/>
        </w:rPr>
        <w:t>:</w:t>
      </w:r>
      <w:bookmarkEnd w:id="1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الثغرات لم تغب عن أنظار فلاسفة السياسة الغربيين أنفسهم، وقد عمد المنصفون منهم إلى نقد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تنوع نماذج الديمقراطية حمل كل أمة من أمم الديمقراطية على لعن أختها معتبرة نفسها خيراً منها، ولا مجال هنا لتقرير اعترافات أتباع كل أمة من أمم الديمقراطية ضد أخواتها</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82" w:name="pg15658_146900"/>
    </w:p>
    <w:p>
      <w:pPr>
        <w:pStyle w:val="Heading4"/>
        <w:numPr>
          <w:ilvl w:val="3"/>
          <w:numId w:val="1"/>
        </w:numPr>
        <w:rPr/>
      </w:pPr>
      <w:bookmarkStart w:id="183" w:name="__RefHeading___Toc11030341_2142443653"/>
      <w:bookmarkStart w:id="184" w:name="_Toc66"/>
      <w:bookmarkEnd w:id="182"/>
      <w:bookmarkEnd w:id="183"/>
      <w:r>
        <w:rPr>
          <w:rtl w:val="true"/>
        </w:rPr>
        <w:t>النقد الثامن</w:t>
      </w:r>
      <w:r>
        <w:rPr>
          <w:rtl w:val="true"/>
        </w:rPr>
        <w:t xml:space="preserve">: </w:t>
      </w:r>
      <w:r>
        <w:rPr>
          <w:rtl w:val="true"/>
        </w:rPr>
        <w:t xml:space="preserve">جواب نقضي </w:t>
      </w:r>
      <w:r>
        <w:rPr>
          <w:rtl w:val="true"/>
        </w:rPr>
        <w:t>:</w:t>
      </w:r>
      <w:bookmarkEnd w:id="184"/>
    </w:p>
    <w:p>
      <w:pPr>
        <w:pStyle w:val="BookText"/>
        <w:rPr/>
      </w:pPr>
      <w:r>
        <w:rPr>
          <w:rFonts w:ascii="IRNazanin" w:hAnsi="IRNazanin" w:eastAsia="IRNazanin"/>
          <w:color w:val="111111"/>
          <w:sz w:val="28"/>
          <w:sz w:val="28"/>
          <w:szCs w:val="28"/>
          <w:rtl w:val="true"/>
          <w:lang w:bidi="fa-IR"/>
        </w:rPr>
        <w:t xml:space="preserve">يمكن لنا أن نواجه أمثال الدكتور سروش من الذين يتوهمون وجود التعارض بين الإمامة والديمقراطية؛ فيجرحون في الإمامة ويرجحون الديمقراطية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سار بعض أهل السنة على النهج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نقضي بعكس الإشكال عليهم فيما يتعلق بحاكمية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يعتبرون حكومة النبي الأكرم معارضة للديمقراطية؟ واضح أن المنهج الذي يتبعه هؤلاء في مقام انتقاد الإمامة بسبب تعارضها مع الديمقراطية، يجري على النبوة أيضاً ، ولذلك عليهم أن يلتزموا بتعارض النبوة والديمقراطية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جوابهم عندها؟ هل يعمدون إلى ترجيح الديمقراطية على النبوة أيضاً؟</w:t>
      </w:r>
    </w:p>
    <w:p>
      <w:pPr>
        <w:pStyle w:val="BookText"/>
        <w:rPr/>
      </w:pPr>
      <w:r>
        <w:rPr>
          <w:rFonts w:ascii="IRNazanin" w:hAnsi="IRNazanin" w:eastAsia="IRNazanin"/>
          <w:color w:val="111111"/>
          <w:sz w:val="28"/>
          <w:sz w:val="28"/>
          <w:szCs w:val="28"/>
          <w:rtl w:val="true"/>
          <w:lang w:bidi="fa-IR"/>
        </w:rPr>
        <w:t>لقد بادر الدكتور سروش في كلمته التى ألقاها في باريس إلى اعتبار التشيع تحديداً متعارضاً مع الديمقراطية، وتجنب بيان نسبة الديمقراطية إلى أصل الإسلام وحكومة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خافية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كان قبل سنوات ينكر ويرفض أي نوع من أنواع الحكومات الإلهية إذا تعارضت مع حق الناس في الانتخاب والديمقراطية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حصل تغير في موقفه أو رأيه في هذا الشأن؟ نأمل أن يحدد موقفه بهذا الشأن في المستقبل بشكل واضح</w:t>
      </w:r>
      <w:r>
        <w:rPr>
          <w:rFonts w:eastAsia="Amiri" w:cs="Amiri" w:ascii="Amiri" w:hAnsi="Amiri"/>
          <w:color w:val="111111"/>
          <w:sz w:val="28"/>
          <w:szCs w:val="28"/>
          <w:rtl w:val="true"/>
          <w:lang w:bidi="ar-SA"/>
        </w:rPr>
        <w:t xml:space="preserve">. </w:t>
      </w:r>
      <w:bookmarkStart w:id="185" w:name="pg15658_146901"/>
    </w:p>
    <w:p>
      <w:pPr>
        <w:pStyle w:val="Heading4"/>
        <w:numPr>
          <w:ilvl w:val="3"/>
          <w:numId w:val="1"/>
        </w:numPr>
        <w:rPr/>
      </w:pPr>
      <w:bookmarkStart w:id="186" w:name="__RefHeading___Toc11030343_2142443653"/>
      <w:bookmarkStart w:id="187" w:name="_Toc67"/>
      <w:bookmarkEnd w:id="185"/>
      <w:bookmarkEnd w:id="186"/>
      <w:r>
        <w:rPr>
          <w:rtl w:val="true"/>
        </w:rPr>
        <w:t>تقييم عام</w:t>
      </w:r>
      <w:bookmarkEnd w:id="1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مقام تحليل الديمقراطية وبيانها اتضح أن الديمقراطية السائدة في الغرب ليست نموذجاً واحداً متفقاً عليه من قبل أكثر الفلاسفة السياسيين، بل هناك مختلف النماذج الديمقراطية التي يعمد أشياع كل واحد منها إلى نقد النماذج الأخرى وجرحها</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وإن أحدث نماذج الديمقراطية وهي 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إلى نسف جوهر الديمقراطية المتمثل برأي الأكثرية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أصل الديمقراطية والتأكيد على رأي الأكثرية من دون لحاظ المباني الدينية يشتمل على الكثير من نقاط الإبهام والغموض على المستوى الحقوقي، ويبدو من المستحيل تجاوزها إلا من خلال إدخال الدور الإلهي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التأمل في مختلف نماذج الديمقراطية يتضح أن مجموع أتباعها يؤكدون على ثلاثة أصول ومحاور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أكثرية الشعب، والقانون، والنخب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كل طيف من أطياف الديمقراطيات يتبنى أصلاً واحداً من هذه الأصول الثلاثة، وينكر الأصلين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لي أن أفضل نماذج الديمقراطية هو الذي يتبنى الجمع بين الأصول الثلاثة كلها، ولكن بحسب استقرائي الناقص لم أعثر على مصداق لهذه الديمقراطية في العالم الغربي</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التأمل في النظام السياسي للإسلام والتشيع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وأئمة الشيعة، قد أخذوا قبل أربعة عشر قرناً جميع هذه الأصول الثلاثة بنظر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الإسلام من خلال قوله بتنصيبية مقام النبوة والإمامة، من الذاهبين إلى القول بأصل سيادة الكفاءات والنُخَب، ويؤكد في الوقت نفسه على أن الحاكم المنصوب من قبل الله يتساوى أمام القانون والشريعة مع جميع المواطنين، ولا يتمتع بأي امتياز يرفعه فوقهم</w:t>
      </w:r>
      <w:r>
        <w:rPr>
          <w:rFonts w:eastAsia="Amiri" w:cs="Amiri" w:ascii="Amiri" w:hAnsi="Amiri"/>
          <w:color w:val="111111"/>
          <w:sz w:val="28"/>
          <w:szCs w:val="28"/>
          <w:rtl w:val="true"/>
          <w:lang w:bidi="ar-SA"/>
        </w:rPr>
        <w:t xml:space="preserve">. </w:t>
      </w:r>
      <w:bookmarkStart w:id="188" w:name="pg15658_146902"/>
    </w:p>
    <w:p>
      <w:pPr>
        <w:pStyle w:val="BookText"/>
        <w:rPr/>
      </w:pPr>
      <w:bookmarkEnd w:id="188"/>
      <w:r>
        <w:rPr>
          <w:rFonts w:ascii="IRNazanin" w:hAnsi="IRNazanin" w:eastAsia="IRNazanin"/>
          <w:color w:val="111111"/>
          <w:sz w:val="28"/>
          <w:sz w:val="28"/>
          <w:szCs w:val="28"/>
          <w:rtl w:val="true"/>
          <w:lang w:bidi="fa-IR"/>
        </w:rPr>
        <w:t xml:space="preserve">من ناحية أخرى يسعى من خلال مختلف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الحصول على رضا الناس في انتخاب الحكومة الدينية والحاكم وأصل الشورى والأمر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احترام آراء المواطنين في انتخاب الحكومة والحاكم وإدارة الدولة، وإعطاء أصواتهم القيمة 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دور الناس في عصر الغيبة يتجلى بشكل أوضح منه في عصر حضور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وجهة نظري فإن الديمقراطية الدينية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حكومة الجمهورية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على جميع العناصر الثلاثة في الديمقراطية الغربية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أكثرية الشعب، والقانون والنُخَب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فى الوقت نفسه حيث ترتبط بخالق الكون، وتضمن مشروعيتها من قبل الله سبحانه وتعالى، فإنها ستكون مصانة من مواطن الضعف والنقص التي تعاني منها الديمقراطية الغربية</w:t>
      </w:r>
      <w:r>
        <w:rPr>
          <w:rFonts w:eastAsia="IRNazanin" w:cs="IRNazanin"/>
          <w:color w:val="111111"/>
          <w:sz w:val="28"/>
          <w:szCs w:val="28"/>
          <w:rtl w:val="true"/>
          <w:lang w:bidi="fa-IR"/>
        </w:rPr>
        <w:t>.</w:t>
      </w:r>
    </w:p>
    <w:p>
      <w:pPr>
        <w:pStyle w:val="Heading3"/>
        <w:numPr>
          <w:ilvl w:val="2"/>
          <w:numId w:val="1"/>
        </w:numPr>
        <w:rPr/>
      </w:pPr>
      <w:bookmarkStart w:id="189" w:name="__RefHeading___Toc11030345_2142443653"/>
      <w:bookmarkStart w:id="190" w:name="_Toc68"/>
      <w:bookmarkEnd w:id="189"/>
      <w:r>
        <w:rPr>
          <w:rtl w:val="true"/>
        </w:rPr>
        <w:t>الشبهة الحادية عشرة</w:t>
      </w:r>
      <w:r>
        <w:rPr>
          <w:rtl w:val="true"/>
        </w:rPr>
        <w:t xml:space="preserve">: </w:t>
      </w:r>
      <w:r>
        <w:rPr>
          <w:rtl w:val="true"/>
        </w:rPr>
        <w:t>غيبة الإمام تنافي فلسفة ضرورة الإمامة</w:t>
      </w:r>
      <w:r>
        <w:rPr>
          <w:rtl w:val="true"/>
        </w:rPr>
        <w:t>:</w:t>
      </w:r>
      <w:bookmarkEnd w:id="190"/>
    </w:p>
    <w:p>
      <w:pPr>
        <w:pStyle w:val="BookText"/>
        <w:rPr/>
      </w:pPr>
      <w:r>
        <w:rPr>
          <w:rFonts w:ascii="IRNazanin" w:hAnsi="IRNazanin" w:eastAsia="IRNazanin"/>
          <w:color w:val="111111"/>
          <w:sz w:val="28"/>
          <w:sz w:val="28"/>
          <w:szCs w:val="28"/>
          <w:rtl w:val="true"/>
          <w:lang w:bidi="fa-IR"/>
        </w:rPr>
        <w:t xml:space="preserve">يذهب الشيعة الإثني عشرية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الاعتقاد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عيّن الأئمة الإثني عشر، ونصبهم بأمر من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الأدلة على ضرورة وجود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قاعدة اللطف، وقاعدة إمكان الأشرف</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كما أن الأدلة الفلسفية على الإمامة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المرجعية الدينية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بلوغ المخاطبين بشكل كامل</w:t>
      </w:r>
      <w:r>
        <w:rPr>
          <w:rFonts w:eastAsia="Amiri" w:cs="Amiri" w:ascii="Amiri" w:hAnsi="Amiri"/>
          <w:color w:val="111111"/>
          <w:sz w:val="28"/>
          <w:szCs w:val="28"/>
          <w:rtl w:val="true"/>
          <w:lang w:bidi="ar-SA"/>
        </w:rPr>
        <w:t xml:space="preserve">. </w:t>
      </w:r>
      <w:bookmarkStart w:id="191" w:name="pg15658_146903"/>
    </w:p>
    <w:p>
      <w:pPr>
        <w:pStyle w:val="BookText"/>
        <w:rPr/>
      </w:pPr>
      <w:bookmarkEnd w:id="19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واسطة الفيض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مرّ بيانه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الأدلة تقتضي وجود الإمام المعصوم في المجتمع المسلم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هذه الشبهة يعمد الناقد إلى افتراض تمامية الأدلة على ضرورة الإمامة وأن وجود الإمام المعصوم بعد النبي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ضروري،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الأدلة تنافى نظرية أخرى للشيعة بشأن غيبة الإمام الثاني عشر؛ إذ إن الشيعة من جهة يؤكدون ويصرون على ضرورة وجود الإمام المعصوم، ومن جهة أخرى يعتقدون من خلال القول بنظرية الغيبة بأن هذا الإمام المعصوم</w:t>
      </w:r>
    </w:p>
    <w:p>
      <w:pPr>
        <w:pStyle w:val="BookText"/>
        <w:rPr/>
      </w:pPr>
      <w:r>
        <w:rPr>
          <w:rFonts w:ascii="Amiri" w:hAnsi="Amiri" w:eastAsia="Amiri" w:cs="Amiri"/>
          <w:color w:val="111111"/>
          <w:sz w:val="28"/>
          <w:sz w:val="28"/>
          <w:szCs w:val="28"/>
          <w:rtl w:val="true"/>
          <w:lang w:bidi="ar-SA"/>
        </w:rPr>
        <w:t xml:space="preserve">غير حاضر في المجتمع على المستوى الفعلي، وإن المجتمع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الغيبة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هذه الشبهة مطروحة منذ القرون السابقة، وقد عمد البعض في عصرنا الراهن إلى إعادة صياغتها</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1030347_2142443653"/>
      <w:bookmarkStart w:id="193" w:name="_Toc69"/>
      <w:bookmarkEnd w:id="192"/>
      <w:r>
        <w:rPr>
          <w:rtl w:val="true"/>
        </w:rPr>
        <w:t>نقد ورأي</w:t>
      </w:r>
      <w:r>
        <w:rPr>
          <w:rtl w:val="true"/>
        </w:rPr>
        <w:t>:</w:t>
      </w:r>
      <w:bookmarkEnd w:id="193"/>
    </w:p>
    <w:p>
      <w:pPr>
        <w:pStyle w:val="BookText"/>
        <w:rPr/>
      </w:pPr>
      <w:r>
        <w:rPr>
          <w:rFonts w:ascii="Amiri" w:hAnsi="Amiri" w:eastAsia="Amiri" w:cs="Amiri"/>
          <w:color w:val="111111"/>
          <w:sz w:val="28"/>
          <w:sz w:val="28"/>
          <w:szCs w:val="28"/>
          <w:rtl w:val="true"/>
          <w:lang w:bidi="ar-SA"/>
        </w:rPr>
        <w:t>في تحليل هذه الشبهة يجدر الالتفات إلى الأمور الآتية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الإمام المعصوم في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في بحث فلسفة الإمامة في الفصل الأول من هذا الكتاب إلى أنه مع وجود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هناك حاجة إلى وجود فرد آخر يحمل عنوان الإمام أصلاً، ولكن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الإسلام يشبه البرعم الفتي الذي يحتاج إلى من </w:t>
      </w:r>
    </w:p>
    <w:p>
      <w:pPr>
        <w:pStyle w:val="BookText"/>
        <w:rPr/>
      </w:pPr>
      <w:r>
        <w:rPr>
          <w:rFonts w:ascii="Amiri" w:hAnsi="Amiri" w:eastAsia="Amiri" w:cs="Amiri"/>
          <w:color w:val="111111"/>
          <w:sz w:val="28"/>
          <w:sz w:val="28"/>
          <w:szCs w:val="28"/>
          <w:rtl w:val="true"/>
          <w:lang w:bidi="ar-SA"/>
        </w:rPr>
        <w:t>يعتني به عناية خاصة؛ إذ لم يكن الناس بعد قد بلغوا المستوى المطلوب من النضج حتى يكتفوا ذاتياً فيما يتعلق بتفسير الدين، وتشخيص الغثّ من السمين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تطبيق التعاليم الدينية والأحكام الشرعية بحاجة إلى وجود حكومة دينية يقف على رأسها إمام وحاكم معصوم، كي يُفيد من الأداتين اللتين يمتلكهما، 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المرجعية العلمية والدينية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رهن بالعلم اللدني والعصمة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والمقام السياسي والقدرة الظاهرة، ليعمل ضمن تفسير الدين الخاتم ورفع الشبهات الصادرة عن المخالفين والجاهلين على مواجهة المحرفين والمعارضين، لينتقل الإسلام إلى الأجيال القادمة، ويجد الإسلام لنفسه بين أفراد المجتمع موضع قدم راسخة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ولحسن الحظ فإن الأداة الأولى المتمثلة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المرجعية العلمية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موجودة بين الناس إلى حدّ ما، فكان بإمكان الناس وحتى أتباع الديانات الأخرى أن يطرحوا إشكالاتهم وشبهاتهم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يحصلوا منه على الجواب الصحيح والشافي والمنطقي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الأداة الثانية،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والسلطة السياسية، فقد حرم منها هذا المقام العلمي للأسف الشديد، لأسباب سنأتي على ذكر بعضها فيما بعد، واستمر الحال على ذلك مدة ربع قرن من الزمن، وقد لحق الإسلام الكثير من الضرر من جراء ذلك، ولكن بعد عودة الشرعية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إلى حد ما من ترميم بعض الأمور وإصلاحها، وبعد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تمكن الأئمة المعصومون من ولده من نقل التعاليم الإسلامية الخالصة إلى الأجيال اللاحقة، حيث كان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مدرسة كبيرة تخرج منها ما يقرب من </w:t>
      </w:r>
    </w:p>
    <w:p>
      <w:pPr>
        <w:pStyle w:val="BookText"/>
        <w:rPr/>
      </w:pPr>
      <w:r>
        <w:rPr>
          <w:rFonts w:ascii="Amiri" w:hAnsi="Amiri" w:eastAsia="Amiri" w:cs="Amiri"/>
          <w:color w:val="111111"/>
          <w:sz w:val="28"/>
          <w:sz w:val="28"/>
          <w:szCs w:val="28"/>
          <w:rtl w:val="true"/>
          <w:lang w:bidi="ar-SA"/>
        </w:rPr>
        <w:t xml:space="preserve">أربعة آلاف عالم ومفكر ديني كلهم يروي عن الإمام الصادق، ولم يقتصر حضور طلاب العلم عنده على الشيعة فقط، بل كان هناك الكثير من علماء السنة قد تشرفوا بحضور درسه، حتى كان مؤسسو المذاهب الفقهية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الشافعي والحنبلي والمالكي والحنفي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تتلمذوا على يد الإمام مباشرة أو بالواسطة</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يمكن القول إن جهود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أفلحت في إعداد قاعدة علمية من العلماء والمبلغين الأكفاء الذين امكنهم أن يضطلعوا بجزء من الدور والمسؤولية الملقاة على عاتق الإمام والمرجعية الدينية والعلمية في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استمرار هذه الحركة انخفضت حاجة المجتمع إلى حد ما إلى وجود الإمام المعصوم بينهم، وكان المجتمع يسير باتجاه الاستعداد اللازم للدخول في مرحلة غيبة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أهم فلسفة في ضرورة الإمام في المجتمع تتمثل بمرجعيته العلمية والدينية وهداية الأمة، وقد تم ترسيخ ذلك في فترة حضور وتواجد الأئمة المعصومين في المجتمع، وأسند الاستمرار في المسيرة إلى علماء الدين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مسألة التشريع فقد تمت في عصر فقد تمت في عصر الأئمة بالمقدار اللازم، وتركت حاجة المجتمع في هذا الشأن على شكل الاجتهاد إلى الفقهاء الذين تتوفر فيهم الصفات والشرائط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مسألة الواسطة في الفيض، فهي من مختصات الأئمة، ويذهب الشيعة إلى الاعتقاد بأن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يمارس دوره في هذا </w:t>
      </w:r>
    </w:p>
    <w:p>
      <w:pPr>
        <w:pStyle w:val="BookText"/>
        <w:rPr/>
      </w:pPr>
      <w:r>
        <w:rPr>
          <w:rFonts w:ascii="Amiri" w:hAnsi="Amiri" w:eastAsia="Amiri" w:cs="Amiri"/>
          <w:color w:val="111111"/>
          <w:sz w:val="28"/>
          <w:sz w:val="28"/>
          <w:szCs w:val="28"/>
          <w:rtl w:val="true"/>
          <w:lang w:bidi="ar-SA"/>
        </w:rPr>
        <w:t>الشأن من خلال حضوره وإن كان غائباً عن الأنظار، وبذلك لا تخلو الأرض من حجة إلهية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إعطاء اللطف الإلهي رهن بعدم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الإقرار هنا بأن وجود الإمام المعصوم في كل عصر هو لطف مضاعف لطف مضاعف من ألطاف الله التي لا يوجد بديل عنها، بمعنى أنه لا يستطيع أي عالم أن يحل محل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الإمام المعصوم إذا كان موجوداً فإن الخلافات العلمية بين المسلمين ستصل إلى حدودها الدنيا، وإن كانت لا تزول تماماً، والدليل على ذلك أن المذاهب السنية المخالفة قد تكونت فى عصر حضور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الالتفات إلى هذه الحقيقة أيضاً، وهي أن إعطاء اللطف المضاعف يحتاج إلى أرضية مناسبة، وإن هذه الأرضية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تتوفر في عصر الإمام الثاني عشر، فقد عمدت السلطات الحاكمة إلى تضييق الخناق على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بثت العيون من حوله كي تقتل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 ولادته، ولم يوفر الناس الحماية المطلوبة للإمام العسكري، وبذلك كانت الظروف الاجتماعية معدّة لقتل الإمام وليس إلى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اقتضت حكمة الله أن يغيّب ذلك الإمام، وإرجاء ظهوره إلى وقت آخر ليملأ الأرض قسطاً وعدلاً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غيبة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تتنافى مع دليل اللطف الإلهي ؛ لأنها في حدّ ذاتها من الألطاف الإلهية أيضاً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الهداية التشريعية والتكوينية في عصر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وظائف الإمام وشؤونه ومرتبة الإمامة هى الواسطة فى الفيض الإلهى، فإن عالم التكوين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النصوص الروائية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يدار بواسطة الوجود الشريف للأئمة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الروايات التى تحمل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السماء تحفظ من السقوط </w:t>
      </w:r>
    </w:p>
    <w:p>
      <w:pPr>
        <w:pStyle w:val="BookText"/>
        <w:rPr/>
      </w:pPr>
      <w:r>
        <w:rPr>
          <w:rFonts w:ascii="IRNazanin" w:hAnsi="IRNazanin" w:eastAsia="IRNazanin"/>
          <w:color w:val="111111"/>
          <w:sz w:val="28"/>
          <w:sz w:val="28"/>
          <w:szCs w:val="28"/>
          <w:rtl w:val="true"/>
          <w:lang w:bidi="fa-IR"/>
        </w:rPr>
        <w:t>ببركة وجود الأئمة، أو أن السماء إنما تمطر بفضل فيض وجود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مربيانه في الفصل الأول من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هذا الشأن مرتبط بأصل وجود الإمام، ولا ربط له بحضوره أو غيبته بتاتاً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هذا الشأن يكون متحققاً حتى في عصر غيبة الإمام أيضاً، ويتضح أن ضرورة وجود الإمام المعصوم لاستمرار الفيض الإلهي لازم وضروري، وإن غيبته لا تشكل مانعاً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أن شأن الولاية التكوينية للإمام بالنسبة إلى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 خلف حُجب الغيب تتم عبر مختلف الوسائل والطرق،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التصرف في نفوس المسلمين وغيرهم وأفئدتهم، التي تشكل أرضية صالحة لهدايتهم إلى الحق تعالى، كما تشير الآية الشريفة إلى دور الأئمة</w:t>
      </w:r>
    </w:p>
    <w:p>
      <w:pPr>
        <w:pStyle w:val="BookText"/>
        <w:rPr/>
      </w:pPr>
      <w:r>
        <w:rPr>
          <w:rFonts w:ascii="Amiri" w:hAnsi="Amiri" w:eastAsia="Amiri" w:cs="Amiri"/>
          <w:color w:val="111111"/>
          <w:sz w:val="28"/>
          <w:sz w:val="28"/>
          <w:szCs w:val="28"/>
          <w:rtl w:val="true"/>
          <w:lang w:bidi="ar-SA"/>
        </w:rPr>
        <w:t>والقادة حيث تقول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وَجَعَلْنَاهُمْ أَئِمَّةً يَهْدُونَ بِأَمْرِنَا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وَجَعَلْنَا مِنْهُمْ أَئِمَّةً يَهْدُونَ بِأَمْرِنَا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أن أشار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غيبة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الجواب عن إمكان الاستفادة من وجوده في حال غيبته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بالنبوة، إنهم لينتفعون به ويستضيئون بنور ولايته في غيبته، كانتفاع الناس بالشمس وإن جللها السحاب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يعمد الإمام أحياناً إلى رفع مشاكل الناس، ويهب إلى مساعدة </w:t>
      </w:r>
    </w:p>
    <w:p>
      <w:pPr>
        <w:pStyle w:val="BookText"/>
        <w:rPr/>
      </w:pPr>
      <w:r>
        <w:rPr>
          <w:rFonts w:ascii="IRNazanin" w:hAnsi="IRNazanin" w:eastAsia="IRNazanin"/>
          <w:color w:val="111111"/>
          <w:sz w:val="28"/>
          <w:sz w:val="28"/>
          <w:szCs w:val="28"/>
          <w:rtl w:val="true"/>
          <w:lang w:bidi="fa-IR"/>
        </w:rPr>
        <w:t>المحتاجين والحيارى، وهذا الشأن يعد من بين الصفات التي يتصف بها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ورد في بعض الأدعية من قبيل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 الكرب، ومزيل الهم، وكاشف البلوى</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والرحمة الواسعة</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الضياء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والكهف والعضد، السلام على مفرّج الكربات</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تشرف بعض الناس بلقاء الحجة، وهناك من نال شرف الحصول على مساعدته، وقد رصدت كتب التاريخ كثيراً من هذه الوقائع، نحيل القارئ الكريم إلى مظانها</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يعد حفظ جبهة المسلمين وحياضهم، وخاصة الشيعة من مؤامرات الأعداء، وعلى وجه التحديد الجمهورية الإسلامية الإيرانية مفردة من مفردات الفيوضات وجود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ولتأييد هذا المعنى وتأكيده يمكن لنا الإشارة إلى انتصارات جيوش الإسلام في الحرب المفروضة التي استمرت لثمان سنوات متواصلة في مواجهة القوى العظمى والدول الإقليمية العميلة بكل قوتها، وكذلك صمود أبطال المقاومة في لبنان بوجه الآلة العسكرية الفتاكة لإسرائيل، حيث لا يخفى أثر الإمدادات الغيبية الإلهية والإمام </w:t>
      </w:r>
      <w:bookmarkStart w:id="194" w:name="pg15658_146909"/>
    </w:p>
    <w:p>
      <w:pPr>
        <w:pStyle w:val="BookText"/>
        <w:rPr/>
      </w:pPr>
      <w:bookmarkEnd w:id="194"/>
      <w:r>
        <w:rPr>
          <w:rFonts w:ascii="IRNazanin" w:hAnsi="IRNazanin" w:eastAsia="IRNazanin"/>
          <w:color w:val="111111"/>
          <w:sz w:val="28"/>
          <w:sz w:val="28"/>
          <w:szCs w:val="28"/>
          <w:rtl w:val="true"/>
          <w:lang w:bidi="fa-IR"/>
        </w:rPr>
        <w:t>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أخرى للغيبة والانتظار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ذاته مستوراً خلف حُجب الغيب، مع الوعد بظهوره يوماً لإقامة أقوى الحكومات العالمية العادلة، والقضاء على الظلم وحكومات الجور، يبعث الأمل في أفئدة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غيبة الإمام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وطليعة لظهور النور الذي سيعم العالم مؤذناً بالمصير المشرق للمجتمع العالمي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هناك ما لا يحصى من الناس الذين توفرت فيهم أرضية الحضور بين جنود الإمام المنتظر أو الحصول على شرف الحضور والتواجد في سلك المنتظمين في ركابه، ووجود كثير من الشباب المؤمن والمتدين في الهيئات التي تلهج بندبة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شاهد ودليل على وجود الآثار الإيجابية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فإن غيبة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على الكثير من الفوائد التي لا تنافي أدلة ضرورة الإمام</w:t>
      </w:r>
      <w:r>
        <w:rPr>
          <w:rFonts w:eastAsia="IRNazanin" w:cs="IRNazanin"/>
          <w:color w:val="111111"/>
          <w:sz w:val="28"/>
          <w:szCs w:val="28"/>
          <w:rtl w:val="true"/>
          <w:lang w:bidi="fa-IR"/>
        </w:rPr>
        <w:t>.</w:t>
      </w:r>
    </w:p>
    <w:p>
      <w:pPr>
        <w:pStyle w:val="Heading3"/>
        <w:numPr>
          <w:ilvl w:val="2"/>
          <w:numId w:val="1"/>
        </w:numPr>
        <w:rPr/>
      </w:pPr>
      <w:bookmarkStart w:id="195" w:name="__RefHeading___Toc11030349_2142443653"/>
      <w:bookmarkStart w:id="196" w:name="_Toc70"/>
      <w:bookmarkEnd w:id="195"/>
      <w:r>
        <w:rPr>
          <w:rtl w:val="true"/>
        </w:rPr>
        <w:t>الشبهة الثانية عشرة</w:t>
      </w:r>
      <w:r>
        <w:rPr>
          <w:rtl w:val="true"/>
        </w:rPr>
        <w:t xml:space="preserve">: </w:t>
      </w:r>
      <w:r>
        <w:rPr>
          <w:rtl w:val="true"/>
        </w:rPr>
        <w:t>عدم انسجام المهدوية مع الديمقراطية</w:t>
      </w:r>
      <w:r>
        <w:rPr>
          <w:rtl w:val="true"/>
        </w:rPr>
        <w:t>:</w:t>
      </w:r>
      <w:bookmarkEnd w:id="19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بين عقائد الشيعة الإيمان بأصل المهدوية، والتي على أساسها سيأتي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يتحدد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فيه الإمام المهدي وهو الإمام الثاني عشر، ويملأ الأرض قسطاً وعدلاً، ليقيم حكومة عالمية واحدة</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الإمام هو مثل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من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كونه حجة الله وفي وجوب إطاعته على الجميع ولكن هناك من اعتبر أصل المهدوية </w:t>
      </w:r>
    </w:p>
    <w:p>
      <w:pPr>
        <w:pStyle w:val="BookText"/>
        <w:rPr/>
      </w:pPr>
      <w:r>
        <w:rPr>
          <w:rFonts w:ascii="Amiri" w:hAnsi="Amiri" w:eastAsia="Amiri" w:cs="Amiri"/>
          <w:color w:val="111111"/>
          <w:sz w:val="28"/>
          <w:sz w:val="28"/>
          <w:szCs w:val="28"/>
          <w:rtl w:val="true"/>
          <w:lang w:bidi="ar-SA"/>
        </w:rPr>
        <w:t>منافياً للديمقراطية</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الدكتور سروش في 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هناك مهدي يأتي متمتعاً بنفس سلطات النبي، فإننا سوف نفتقر إلى فوائد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يرد على الشيعة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الجمع بين المهدوية والقول بالحرية والديمقراطية</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97" w:name="pg15658_146911"/>
    </w:p>
    <w:p>
      <w:pPr>
        <w:pStyle w:val="Heading3"/>
        <w:numPr>
          <w:ilvl w:val="2"/>
          <w:numId w:val="1"/>
        </w:numPr>
        <w:rPr/>
      </w:pPr>
      <w:bookmarkStart w:id="198" w:name="__RefHeading___Toc11030351_2142443653"/>
      <w:bookmarkStart w:id="199" w:name="_Toc71"/>
      <w:bookmarkEnd w:id="197"/>
      <w:bookmarkEnd w:id="198"/>
      <w:r>
        <w:rPr>
          <w:rtl w:val="true"/>
        </w:rPr>
        <w:t>نقد ورأي</w:t>
      </w:r>
      <w:r>
        <w:rPr>
          <w:rtl w:val="true"/>
        </w:rPr>
        <w:t>:</w:t>
      </w:r>
      <w:bookmarkEnd w:id="199"/>
    </w:p>
    <w:p>
      <w:pPr>
        <w:pStyle w:val="Heading4"/>
        <w:numPr>
          <w:ilvl w:val="3"/>
          <w:numId w:val="1"/>
        </w:numPr>
        <w:rPr/>
      </w:pPr>
      <w:bookmarkStart w:id="200" w:name="__RefHeading___Toc11030353_2142443653"/>
      <w:bookmarkStart w:id="201" w:name="_Toc72"/>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في معرض تحليل هذه الشبهة يجدر التأمل في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1030355_2142443653"/>
      <w:bookmarkStart w:id="203" w:name="_Toc73"/>
      <w:bookmarkEnd w:id="202"/>
      <w:r>
        <w:rPr>
          <w:rtl w:val="true"/>
        </w:rPr>
        <w:t xml:space="preserve">أ </w:t>
      </w:r>
      <w:r>
        <w:rPr>
          <w:rtl w:val="true"/>
        </w:rPr>
        <w:t xml:space="preserve">- </w:t>
      </w:r>
      <w:r>
        <w:rPr>
          <w:rtl w:val="true"/>
        </w:rPr>
        <w:t>تجاهل فضائل المجتمع المهدوي</w:t>
      </w:r>
      <w:r>
        <w:rPr>
          <w:rtl w:val="true"/>
        </w:rPr>
        <w:t>:</w:t>
      </w:r>
      <w:bookmarkEnd w:id="203"/>
    </w:p>
    <w:p>
      <w:pPr>
        <w:pStyle w:val="Heading5"/>
        <w:numPr>
          <w:ilvl w:val="4"/>
          <w:numId w:val="1"/>
        </w:numPr>
        <w:rPr/>
      </w:pPr>
      <w:bookmarkStart w:id="204" w:name="__RefHeading___Toc11030357_2142443653"/>
      <w:bookmarkStart w:id="205" w:name="_Toc7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يقدم الدكتور سروش في بحث المهدوية صورة ناقصة بل وقاسية ومخالفة للديمقراطية، في حين أن الإنصاف والمنطق يقتضيان من المرء عندما يخضع نظرية للدراسة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كانت نظرية دينية يقدسها ملايين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يقدم لها صورة ناقصة ومحرفة، ويعمل على تجريحها من دون أن ينظر إلى نقاطها الإيجابية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مغالطة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يأتي سوف نعمل باختصار على بيان فضائل وإيجابيات المجتمع المهدوي، كي يتعرف القارئ الكريم على هذا المجتمع من جميع الأبعاد والزوايا، حتى إذا كان هناك من تعارض حقيقي بين أصل المهدوية والديمقراطية، يعمل على الترجيح والتفاضل بينهما عن وعي ودراية</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11030359_2142443653"/>
      <w:bookmarkStart w:id="207" w:name="_Toc75"/>
      <w:bookmarkEnd w:id="206"/>
      <w:r>
        <w:rPr>
          <w:rtl w:val="true"/>
        </w:rPr>
        <w:t>إشارة إلى خصائص الحكومة المهدوية العالمية</w:t>
      </w:r>
      <w:r>
        <w:rPr>
          <w:rtl w:val="true"/>
        </w:rPr>
        <w:t>:</w:t>
      </w:r>
      <w:bookmarkEnd w:id="207"/>
    </w:p>
    <w:p>
      <w:pPr>
        <w:pStyle w:val="BookText"/>
        <w:rPr/>
      </w:pPr>
      <w:r>
        <w:rPr>
          <w:rFonts w:ascii="Amiri" w:hAnsi="Amiri" w:eastAsia="Amiri" w:cs="Amiri"/>
          <w:color w:val="111111"/>
          <w:sz w:val="28"/>
          <w:sz w:val="28"/>
          <w:szCs w:val="28"/>
          <w:rtl w:val="true"/>
          <w:lang w:bidi="ar-SA"/>
        </w:rPr>
        <w:t xml:space="preserve">من خلال النظر في الروايات تتضح خصائص عصر الظهور وحكومة الإسلام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يمكن التعبير عنها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 الإسلامية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يأتي نشير إليها على النحو الآتى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النظرة المتفائلة إلى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إولى خصائص عصر الظهور، هي بعث الأمل فيما يتعلق بمستقبل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خلافاً لبعض المذاهب التي تصور مستقبل التاريخ مظلماً ومفعماً بالشرور والفساد، يرى الإسلام مستقبل البشر مشرقاً في ظل قيام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العالمية، حيث سيقيم </w:t>
      </w:r>
    </w:p>
    <w:p>
      <w:pPr>
        <w:pStyle w:val="BookText"/>
        <w:rPr/>
      </w:pPr>
      <w:r>
        <w:rPr>
          <w:rFonts w:ascii="Amiri" w:hAnsi="Amiri" w:eastAsia="Amiri" w:cs="Amiri"/>
          <w:color w:val="111111"/>
          <w:sz w:val="28"/>
          <w:sz w:val="28"/>
          <w:szCs w:val="28"/>
          <w:rtl w:val="true"/>
          <w:lang w:bidi="ar-SA"/>
        </w:rPr>
        <w:t>حكومة ومجتمعاً مثالياً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سموّ الأخلاق والمعنوية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إيمان الناس وهداية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يتصف أكثر الناس بالأخلاق السامية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وصفا ذلك المجتمع بالبعد عن الأحقاد والبغضاء والعداوات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يزول الفساد الأخلاقي في المجتمع المهدوي ويزول الطمع والجشع</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إقامة العدالة الفردية والاجتماعية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ضوء ظهور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يبلغ العقل البشري مرحلة من النضج والبلوغ بحيث يمتنع الإنسان معه تلقائياً من ارتكاب المعاصى والذنوب، وتسود العدالة الاجتماعية بين مختلف أصناف الناس وطبقاتهم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الانتعاش الاقتصادي والرخاء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بين خصائص المجتمع المهدوي، رفع الفقر المادي بحيث يحصل كل مواطن على مستوى من العيش الكريم الذي يؤمن له الاستغناء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الروايات في التعبير عن هذه الحقيقة بأن الأرض ستخرج بركاتها، وأن الأشجار ستنزل ثمارها بحيث لا يبقى في المجتمع من يستحق الصدقة والنفقة</w:t>
      </w:r>
      <w:r>
        <w:rPr>
          <w:rStyle w:val="FootnoteAnchor"/>
          <w:rtl w:val="true"/>
        </w:rPr>
        <w:footnoteReference w:id="246"/>
      </w:r>
      <w:r>
        <w:rPr>
          <w:rFonts w:ascii="Amiri" w:hAnsi="Amiri" w:eastAsia="Amiri" w:cs="Amiri"/>
          <w:color w:val="111111"/>
          <w:sz w:val="28"/>
          <w:sz w:val="28"/>
          <w:szCs w:val="28"/>
          <w:rtl w:val="true"/>
          <w:lang w:bidi="ar-SA"/>
        </w:rPr>
        <w:t>،وحتى لا يبقى هناك مستحق للخمس والزكاة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وتبلغ الزراعة</w:t>
      </w:r>
      <w:r>
        <w:rPr>
          <w:rStyle w:val="FootnoteAnchor"/>
          <w:rtl w:val="true"/>
        </w:rPr>
        <w:footnoteReference w:id="248"/>
      </w:r>
      <w:r>
        <w:rPr>
          <w:rFonts w:ascii="Amiri" w:hAnsi="Amiri" w:eastAsia="Amiri" w:cs="Amiri"/>
          <w:color w:val="111111"/>
          <w:sz w:val="28"/>
          <w:sz w:val="28"/>
          <w:szCs w:val="28"/>
          <w:rtl w:val="true"/>
          <w:lang w:bidi="ar-SA"/>
        </w:rPr>
        <w:t>وتربية المواشي</w:t>
      </w:r>
      <w:r>
        <w:rPr>
          <w:rStyle w:val="FootnoteAnchor"/>
          <w:rtl w:val="true"/>
        </w:rPr>
        <w:footnoteReference w:id="249"/>
      </w:r>
      <w:r>
        <w:rPr>
          <w:rFonts w:ascii="Amiri" w:hAnsi="Amiri" w:eastAsia="Amiri" w:cs="Amiri"/>
          <w:color w:val="111111"/>
          <w:sz w:val="28"/>
          <w:sz w:val="28"/>
          <w:szCs w:val="28"/>
          <w:rtl w:val="true"/>
          <w:lang w:bidi="ar-SA"/>
        </w:rPr>
        <w:t>والتجارة</w:t>
      </w:r>
      <w:r>
        <w:rPr>
          <w:rStyle w:val="FootnoteAnchor"/>
          <w:rtl w:val="true"/>
        </w:rPr>
        <w:footnoteReference w:id="250"/>
      </w:r>
      <w:r>
        <w:rPr>
          <w:rFonts w:ascii="Amiri" w:hAnsi="Amiri" w:eastAsia="Amiri" w:cs="Amiri"/>
          <w:color w:val="111111"/>
          <w:sz w:val="28"/>
          <w:sz w:val="28"/>
          <w:szCs w:val="28"/>
          <w:rtl w:val="true"/>
          <w:lang w:bidi="ar-SA"/>
        </w:rPr>
        <w:t>أعلى مستوياتها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تكامل الوعي والمعرفة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تبلغ العلوم النظرية والتجريبية في عصر الظهور حدّ التكامل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الروايات أن العلم يشتمل على سبعة وعشرين شعبة، وأن البشرية لن تتوصل إلى الكشف عن غير شعبتين من هذه الشعب الكثيرة، وأن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يكشف بظهوره الشعب الخمسة والعشرين المتبقية</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 أن الإمام المهدي سوف يُرى ويسمع صوته لكل سكان الكرة الأرضية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بسط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المهدوي سيشهد استتباباً للأمن على مختلف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التعبير عن هذه الظاهرة بسفر الطاعنين في السن في الليالي البهيمة لمسافات طويلة من دون أن يتعرض لهم أحد بسوء</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الأمن القضائي وإعادة الحقوق والانتصاف للمظلومين من الظالمين سيكون واحداً من بين الأبعاد الأخرى المترتبة على استتباب الأمن في عصر الظهور أيضاً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الحكومة العالمية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المزايا الرئيسة لحكومة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أنها ستكون حكومة واحدة تستوعب كامل الكرة الأرضية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تم التعبير عن ذلك في الروايات بأن حكومته ستشمل مشرق الأرض ومغربها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ضوء هذه الظاهرة سوف لا تكون هناك مشكلة باسم الحدود التي تعيق حرية الإنسان فى التحرك والانطلاق في أرض الله الفسيحة، والتنقل من مكان إلى آخر، من دون أن يكون هناك أي نوع من أنواع المنع</w:t>
      </w:r>
    </w:p>
    <w:p>
      <w:pPr>
        <w:pStyle w:val="BookText"/>
        <w:rPr/>
      </w:pPr>
      <w:r>
        <w:rPr>
          <w:rFonts w:ascii="IRNazanin" w:hAnsi="IRNazanin" w:eastAsia="IRNazanin"/>
          <w:color w:val="111111"/>
          <w:sz w:val="28"/>
          <w:sz w:val="28"/>
          <w:szCs w:val="28"/>
          <w:rtl w:val="true"/>
          <w:lang w:bidi="fa-IR"/>
        </w:rPr>
        <w:t>والمعوقات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 المواطنين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الخصائص المنشودة لكل حكومة الحصول على رضا المواطنين عنها وعن الحاكم الذى يقف على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الأصل سيكون مما يميّز الحكومة العالمية للإمام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بشكل کامل</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انتهاء الحروب وإحلال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 حكومة الإسلام العالمية بقيادة الإمام المهدي المنتظ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 تشهد البشرية أي نوع من أنواع الحروب وإزهاق الأرواح وإراقة الدماء، وسوف يعيش المجتمع الإنساني في صلح وسلام شامل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الألفة بين الإنسان والطبيعة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بين الخصائص الأخرى للعصر المهدوي، قيام علاقة انسجام بين الإنسان والطبيعة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 من الجماد والنبات والحيوان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عبّرت الروايات عن التعايش السلمى بين الحيوانات </w:t>
      </w:r>
    </w:p>
    <w:p>
      <w:pPr>
        <w:pStyle w:val="BookText"/>
        <w:rPr/>
      </w:pPr>
      <w:r>
        <w:rPr>
          <w:rFonts w:ascii="Amiri" w:hAnsi="Amiri" w:eastAsia="Amiri" w:cs="Amiri"/>
          <w:color w:val="111111"/>
          <w:sz w:val="28"/>
          <w:sz w:val="28"/>
          <w:szCs w:val="28"/>
          <w:rtl w:val="true"/>
          <w:lang w:bidi="ar-SA"/>
        </w:rPr>
        <w:t>المفترسة والحيوانات الضعيفة وبينها وبين الناس أيضاً</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ذلك إلا في ظل ولاية الإمام المهدي المنتظر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المجتمع السليم والصحي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المجتمع المهدوي سوف يتمتع بصحة جيدة على المستوى الروحي والجسدي، وسينعم في حياة بعيدة عن مختلف الأمراض</w:t>
      </w:r>
      <w:r>
        <w:rPr>
          <w:rStyle w:val="FootnoteAnchor"/>
          <w:rtl w:val="true"/>
        </w:rPr>
        <w:footnoteReference w:id="258"/>
      </w:r>
      <w:r>
        <w:rPr>
          <w:rFonts w:ascii="Amiri" w:hAnsi="Amiri" w:eastAsia="Amiri" w:cs="Amiri"/>
          <w:color w:val="111111"/>
          <w:sz w:val="28"/>
          <w:sz w:val="28"/>
          <w:szCs w:val="28"/>
          <w:rtl w:val="true"/>
          <w:lang w:bidi="ar-SA"/>
        </w:rPr>
        <w:t>، وتطول في ظله أعمار الناس</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حصيلة الكلام أن الروايات المتعددة والمتواترة تصف المجتمع المهدوي بأنه مجتمع نموذجي للإنسانية على جميع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المادية والمعنوية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يعبّر عنه الفلاسفة بالمدينة الفاضلة ويطلق عليه اليوم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المثالي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يرد التساؤل هنا هل هناك من يعرض عن هذا المجتمع المهدوي الذي يتصف بكل هذه الصفات الإيجابية، وأن لا يقبل بسياسة حاكمها المتمثل بالإمام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الجواب سيكون بالنفي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يتساءل شخص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لا يكتب لمثل هذا المجتمع أن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إنما نبحث في مقام الافتراض وما ورد في منطوق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الدكتور </w:t>
      </w:r>
      <w:bookmarkStart w:id="208" w:name="pg15658_146916"/>
    </w:p>
    <w:p>
      <w:pPr>
        <w:pStyle w:val="BookText"/>
        <w:rPr/>
      </w:pPr>
      <w:bookmarkEnd w:id="208"/>
      <w:r>
        <w:rPr>
          <w:rFonts w:ascii="IRNazanin" w:hAnsi="IRNazanin" w:eastAsia="IRNazanin"/>
          <w:color w:val="111111"/>
          <w:sz w:val="28"/>
          <w:sz w:val="28"/>
          <w:szCs w:val="28"/>
          <w:rtl w:val="true"/>
          <w:lang w:bidi="fa-IR"/>
        </w:rPr>
        <w:t>سروش إنما يستفيد نظرية الإمام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تناغمها مع الديمقراطية من الروايات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فعليه أن يكمل تحليله وتوصيفه والقول إن المجتمع المهدوي طبقاً للروايات يتصف بالمواصفات والخصائص المتقدمة، ولكنه يتنافى مع الديمقراطية التي أطمح إلى تحقيقها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سنثبت في الصفحات القادمة أن القول بوجود التعارض والتنافي بين المجتمع المهدوي والديمقراطية مجرد ادعاء اعتباطي لا أساس له من الصحة؛ لأن من بين خصائص المجتمع المهدوي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تقدمت الإشارة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يتمتع برضا المواطنين عن إمام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الركن تتحقق الديمقراطية في حكومة الإمام المهدي بأجلى صورها العملية</w:t>
      </w:r>
      <w:r>
        <w:rPr>
          <w:rFonts w:eastAsia="IRNazanin" w:cs="IRNazanin"/>
          <w:color w:val="111111"/>
          <w:sz w:val="28"/>
          <w:szCs w:val="28"/>
          <w:rtl w:val="true"/>
          <w:lang w:bidi="fa-IR"/>
        </w:rPr>
        <w:t>.</w:t>
      </w:r>
    </w:p>
    <w:p>
      <w:pPr>
        <w:pStyle w:val="Heading4"/>
        <w:numPr>
          <w:ilvl w:val="3"/>
          <w:numId w:val="1"/>
        </w:numPr>
        <w:rPr/>
      </w:pPr>
      <w:bookmarkStart w:id="209" w:name="__RefHeading___Toc11030361_2142443653"/>
      <w:bookmarkStart w:id="210" w:name="_Toc76"/>
      <w:bookmarkEnd w:id="209"/>
      <w:r>
        <w:rPr>
          <w:rtl w:val="true"/>
        </w:rPr>
        <w:t xml:space="preserve">ب </w:t>
      </w:r>
      <w:r>
        <w:rPr>
          <w:rtl w:val="true"/>
        </w:rPr>
        <w:t xml:space="preserve">- </w:t>
      </w:r>
      <w:r>
        <w:rPr>
          <w:rtl w:val="true"/>
        </w:rPr>
        <w:t>موافقة جميع المواطنين عن حكومة الإمام المهدي</w:t>
      </w:r>
      <w:r>
        <w:rPr>
          <w:rtl w:val="true"/>
        </w:rPr>
        <w:t>(</w:t>
      </w:r>
      <w:r>
        <w:rPr>
          <w:rtl w:val="true"/>
        </w:rPr>
        <w:t>علیه السّلام</w:t>
      </w:r>
      <w:r>
        <w:rPr>
          <w:rtl w:val="true"/>
        </w:rPr>
        <w:t>) :</w:t>
      </w:r>
      <w:bookmarkEnd w:id="210"/>
    </w:p>
    <w:p>
      <w:pPr>
        <w:pStyle w:val="BookText"/>
        <w:rPr/>
      </w:pPr>
      <w:r>
        <w:rPr>
          <w:rFonts w:ascii="IRNazanin" w:hAnsi="IRNazanin" w:eastAsia="IRNazanin"/>
          <w:color w:val="111111"/>
          <w:sz w:val="28"/>
          <w:sz w:val="28"/>
          <w:szCs w:val="28"/>
          <w:rtl w:val="true"/>
          <w:lang w:bidi="fa-IR"/>
        </w:rPr>
        <w:t>إن من بين خصائص الحكومة المهدوية رضا الناس عنها، واحتفائهم بشخص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يرضى عنه ساكن السماء وساكن الأرض</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يحبه ساكن السماء وساكن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يتمنى الأحياء الأموات، بما صنع الله بأهل الأرض من خيره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211" w:name="pg15658_146917"/>
    </w:p>
    <w:p>
      <w:pPr>
        <w:pStyle w:val="Heading4"/>
        <w:numPr>
          <w:ilvl w:val="3"/>
          <w:numId w:val="1"/>
        </w:numPr>
        <w:rPr/>
      </w:pPr>
      <w:bookmarkStart w:id="212" w:name="__RefHeading___Toc11030363_2142443653"/>
      <w:bookmarkStart w:id="213" w:name="_Toc77"/>
      <w:bookmarkEnd w:id="211"/>
      <w:bookmarkEnd w:id="212"/>
      <w:r>
        <w:rPr>
          <w:rtl w:val="true"/>
        </w:rPr>
        <w:t xml:space="preserve">ج </w:t>
      </w:r>
      <w:r>
        <w:rPr>
          <w:rtl w:val="true"/>
        </w:rPr>
        <w:t xml:space="preserve">- </w:t>
      </w:r>
      <w:r>
        <w:rPr>
          <w:rtl w:val="true"/>
        </w:rPr>
        <w:t>الديمقراطية وسيلة ومقدمة وليست هدفاً وغاية</w:t>
      </w:r>
      <w:r>
        <w:rPr>
          <w:rtl w:val="true"/>
        </w:rPr>
        <w:t>:</w:t>
      </w:r>
      <w:bookmarkEnd w:id="213"/>
    </w:p>
    <w:p>
      <w:pPr>
        <w:pStyle w:val="BookText"/>
        <w:rPr/>
      </w:pPr>
      <w:r>
        <w:rPr>
          <w:rFonts w:ascii="Amiri" w:hAnsi="Amiri" w:eastAsia="Amiri" w:cs="Amiri"/>
          <w:color w:val="111111"/>
          <w:sz w:val="28"/>
          <w:sz w:val="28"/>
          <w:szCs w:val="28"/>
          <w:rtl w:val="true"/>
          <w:lang w:bidi="ar-SA"/>
        </w:rPr>
        <w:t xml:space="preserve">إذا تجاوزنا الإشكالات والنواقص التي تعاني منها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تقدمت الإشارة إليه في نقد شبهة التنافي بين الإمامة والديمقراطية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بتحقق 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انتخاب الحاكم من قبل الناس وإشرافهم على أدائه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ذهبنا إلى ما هو أبعد من ذلك وقلنا بإجماع الناس على حكومة وحاكم واحد، نتساءل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قيام الحكومة وتعيين الحاكم يراد لنفسه بوصفه هدفاً وغاية أم أنه وسيلة تساعد الناس على ضمان حقوقهم؟ لا شك في أن الإجابة الصحيحة تنظر إلى الشق الثاني من هذا السؤال ؛ فالحكومة وسيلة وليست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الديمقراطية وانتخاب الناس فيما يتعلق بحكومة غير المعصوم، أفضل وسيلة وخيار متوفر لإحقاق حقوق الناس، والإشراف على أداء الحكومة والحاكم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المسألة الهامة والدقيقة في المجتمع المهدوي، تكمن في أنه يمثل المجتمع النموذي والمدينة المثالية والفاضلة للمواطنين والأمة بأسرها، بحيث أن حكومة الإمام المهدي تضمن الحقوق الأساسية للناس،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الفردية والاجتماعية، ورفع الظلم والجور عنهم، وتوفير الأمن في مختلف المجالات، وبناء حياة سالمة، وضمان المطالب المادية، وسيادة الأخلاق والصلاح والتعايش السلمي بين مختلف الطبقات والفئات والمذاهب المختلفة بالنسبة إلى الجميع بالشكل الأحسن والأكمل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الحكومة يقوم سلوك الحاكم وسائر المسؤولين في الحكومة على أساس العدل، ولا يصدر أي انتهاك للقانون والدستور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ففى هذه الفرضية ألا يتم تلبية ما يريده الناس من حكومتهم تلقائياً؟ وعليه هل يبقى هناك من مطلب وغاية لا تقوم الحكومة المهدوية على تلبيتها، حتى يبقى الناس متشبثين بالديمقراطية لتلبيتها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الديمقراطية سوى وسيلة وأداة، وإن الأهداف التي يراد تحقيقها منها حاصلة في حكومة الإمام المهدي العالمية والموعودة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مجال للحديث عن الديمقراطية في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؛لكون ذلك ضرباً من تحصيل 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يتعلق بأنواع الحريات الخاصة التي تضمنها الديمقراطيات لأفراد الشعب من قبيل تشكيل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الأحزاب والنقابات والتجمعات، وحرية التعبير،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منتفية بالنظر إلى ما تقدم من بيان لخصوصيات المجتمع المهدوي؛ لأن الهدف من تشكيل الأحزاب والتجمعات وحرية الصحافة، والإشراف والرقابة على أداء الساسة، والمساهمة فى إدارة السلطة، بالالتفات إلى أن هرم السلطة ومن يقوم على رأسها هو الإمام المهدي المعصوم، الذي يملأ الأرض قسطاً وعدلاً، ويرفع من مستوى أخلاق الناس ومعنوياتهم، حتى يصل الناس إلى جميع مآربهم ومطالبهم وتطلعاتهم وأهدافهم، بحيث لا تبقى هناك أي حاجة إلى تكوين الأحزاب والعضوية فيها، وبذلك تكون أهداف هذه الأحزاب والتيارات والحريات السياسية والمدنية من قبيل تحصيل الحاصل أيضاً؛ لأن الأحزاب الأنشطة السياسية الأخرى تهدف إلى إقامة العدالة والأمن وتوفير المهن والرفاه الاجتماعي وما إلى ذلك من الأهداف الأخرى، وهي بحسب الفرض أهداف متحققة وحاصلة في حكومة الإمام المهدي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214" w:name="pg15658_146919"/>
    </w:p>
    <w:p>
      <w:pPr>
        <w:pStyle w:val="Heading4"/>
        <w:numPr>
          <w:ilvl w:val="3"/>
          <w:numId w:val="1"/>
        </w:numPr>
        <w:rPr/>
      </w:pPr>
      <w:bookmarkStart w:id="215" w:name="__RefHeading___Toc11030365_2142443653"/>
      <w:bookmarkStart w:id="216" w:name="_Toc78"/>
      <w:bookmarkEnd w:id="214"/>
      <w:bookmarkEnd w:id="215"/>
      <w:r>
        <w:rPr>
          <w:rtl w:val="true"/>
        </w:rPr>
        <w:t xml:space="preserve">د </w:t>
      </w:r>
      <w:r>
        <w:rPr>
          <w:rtl w:val="true"/>
        </w:rPr>
        <w:t xml:space="preserve">- </w:t>
      </w:r>
      <w:r>
        <w:rPr>
          <w:rtl w:val="true"/>
        </w:rPr>
        <w:t>المسلمون هم غالبية المجتمع المهدوي</w:t>
      </w:r>
      <w:r>
        <w:rPr>
          <w:rtl w:val="true"/>
        </w:rPr>
        <w:t>:</w:t>
      </w:r>
      <w:bookmarkEnd w:id="216"/>
    </w:p>
    <w:p>
      <w:pPr>
        <w:pStyle w:val="BookText"/>
        <w:rPr/>
      </w:pPr>
      <w:r>
        <w:rPr>
          <w:rFonts w:ascii="Amiri" w:hAnsi="Amiri" w:eastAsia="Amiri" w:cs="Amiri"/>
          <w:color w:val="111111"/>
          <w:sz w:val="28"/>
          <w:sz w:val="28"/>
          <w:szCs w:val="28"/>
          <w:rtl w:val="true"/>
          <w:lang w:bidi="ar-SA"/>
        </w:rPr>
        <w:t>ربما يثار هنا هذا السؤال والشبهة القائلة بأن حكومة الإمام المهدي بوصفها حكومة إسلامية حتى إذا أمكن تبريرها من الزاوية الديمقراطية ورضا الناس، إلا أن أتباع سائر الأديان الأخرى لا يرتضون حكومة من ليس على دينهم، وبذلك لا تكون حكومة الإمام المهدي منسجمة مع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غير المسلمين هم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هذه الشبهة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الإسلامي طبقاً للروايات المهدوية وآيات القرآن الكريم وتعاليم الإسلام، سيكون هو الغالب على الأديان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الاستدلال والاحتجاج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أتباع الديانات والمذاهب الأخرى ضمن الأقلية، وعلى هذا الأساس ستكون حكومة الإمام المهدي منسجمة مع مقتضيات الديمقراطية وقواعدها من حكومة الأكثرية على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حقوق الأقليات ستكون مكفولة ضمن حكومة الأكثرية الإسلامية أيضاً</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030367_2142443653"/>
      <w:bookmarkStart w:id="218" w:name="_Toc79"/>
      <w:bookmarkEnd w:id="217"/>
      <w:r>
        <w:rPr>
          <w:rtl w:val="true"/>
        </w:rPr>
        <w:t>هـ</w:t>
      </w:r>
      <w:r>
        <w:rPr>
          <w:rtl w:val="true"/>
        </w:rPr>
        <w:t xml:space="preserve">- </w:t>
      </w:r>
      <w:r>
        <w:rPr>
          <w:rtl w:val="true"/>
        </w:rPr>
        <w:t>رعاية حقوق الأقليات</w:t>
      </w:r>
      <w:r>
        <w:rPr>
          <w:rtl w:val="true"/>
        </w:rPr>
        <w:t>:</w:t>
      </w:r>
      <w:bookmarkEnd w:id="218"/>
    </w:p>
    <w:p>
      <w:pPr>
        <w:pStyle w:val="BookText"/>
        <w:rPr/>
      </w:pPr>
      <w:r>
        <w:rPr>
          <w:rFonts w:ascii="IRNazanin" w:hAnsi="IRNazanin" w:eastAsia="IRNazanin"/>
          <w:color w:val="111111"/>
          <w:sz w:val="28"/>
          <w:sz w:val="28"/>
          <w:szCs w:val="28"/>
          <w:rtl w:val="true"/>
          <w:lang w:bidi="fa-IR"/>
        </w:rPr>
        <w:t xml:space="preserve">لمّا كان المسلمين في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للآيات والروايات التي 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سيشكلون أكثرية المواطنين في العالم، فإن حكومتهم سوف تتشكل بقيادة المسلمين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حقوق الأقليات في ظل حكم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هو الحال بالنسبة إلى حكم النبي الأكرم ع الا الله وحكم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سوف تراعى بشكل كامل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تقدم من المزايا والخصائص التى تتصف بها الحكومة المهدوية، </w:t>
      </w:r>
    </w:p>
    <w:p>
      <w:pPr>
        <w:pStyle w:val="BookText"/>
        <w:rPr/>
      </w:pP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والأمن والحرية والرخاء المادي، سوف تشمل الأقليات أيضاً، ولن تكون حكراً على الأكثرية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للروايات فإن قائم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امتلاكه السلطة المطلقة وأحقية الإسلام الحصرية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يفرض التعايش السلمي بين جميع أتباع الديانات، وإنه علاوة على ذلك سيقضي بين أتباع الديانات الأخرى بما تحكم به كتبهم</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أمر لا يتم تطبيقه في البلدان التي تتظاهر بممارسة الديمقراطية، حيث يتم انتهاك أبسط حقوق الأقليات الدينية والإنسانية بمختلف العناوين، فيتم حرمانهم حتى من اختيار أزيائهم، من قبيل حظر بعض البلدان الغربية ارتداء الحجاب على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الروايات أن الإمام المهدي سيعمل على تقسيم بيت المال على المواطنين بالسوية</w:t>
      </w:r>
      <w:r>
        <w:rPr>
          <w:rStyle w:val="FootnoteAnchor"/>
          <w:rtl w:val="true"/>
        </w:rPr>
        <w:footnoteReference w:id="263"/>
      </w:r>
      <w:r>
        <w:rPr>
          <w:rFonts w:ascii="Amiri" w:hAnsi="Amiri" w:eastAsia="Amiri" w:cs="Amiri"/>
          <w:color w:val="111111"/>
          <w:sz w:val="28"/>
          <w:sz w:val="28"/>
          <w:szCs w:val="28"/>
          <w:rtl w:val="true"/>
          <w:lang w:bidi="ar-SA"/>
        </w:rPr>
        <w:t xml:space="preserve">، وسيكون عامل توحيد ورفع للاختلاف والفرقة بينهم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المهدي، الذي وعد الله عز وجل به الأمم، أن يجمع به الكلم ويلم به الشعث</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ويمكن أن نضيف إلى النقاط الآنفة المذكورة في دفع شبهة التنافي بين الإمامة والديمقراطية، نقاطاً 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الحق الإلهي على الحق الإنساني، واعتبار الأئمة النُخَب الحقيقيين في المجتمع</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ما ذكرناه كافياً لرفع شبهة التعارض بين المهدوية والديمقراطية، حيث يدرك القارئ الكريم أن الحكومة المهدوية هي الحكومة المثالية الحقيقية والمدينة الفاضلة لجميع العالمين من المسلمين وغير المسلمين</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219" w:name="pg15658_146922"/>
    </w:p>
    <w:p>
      <w:pPr>
        <w:pStyle w:val="Heading2"/>
        <w:numPr>
          <w:ilvl w:val="1"/>
          <w:numId w:val="1"/>
        </w:numPr>
        <w:rPr/>
      </w:pPr>
      <w:bookmarkStart w:id="220" w:name="__RefHeading___Toc11030369_2142443653"/>
      <w:bookmarkStart w:id="221" w:name="_Toc80"/>
      <w:bookmarkEnd w:id="219"/>
      <w:bookmarkEnd w:id="220"/>
      <w:r>
        <w:rPr>
          <w:rtl w:val="true"/>
        </w:rPr>
        <w:t>الفَضْلُ الثالث</w:t>
      </w:r>
      <w:bookmarkEnd w:id="22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11030371_2142443653"/>
      <w:bookmarkStart w:id="223" w:name="_Toc81"/>
      <w:bookmarkEnd w:id="222"/>
      <w:r>
        <w:rPr>
          <w:rtl w:val="true"/>
        </w:rPr>
        <w:t>شبهة التنافي بين الإمامة وأصل الخاتمية</w:t>
      </w:r>
      <w:bookmarkEnd w:id="22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658_146924"/>
      <w:bookmarkStart w:id="225" w:name="pg15658_146924"/>
      <w:bookmarkEnd w:id="225"/>
    </w:p>
    <w:p>
      <w:pPr>
        <w:pStyle w:val="Heading3"/>
        <w:numPr>
          <w:ilvl w:val="2"/>
          <w:numId w:val="1"/>
        </w:numPr>
        <w:rPr/>
      </w:pPr>
      <w:bookmarkStart w:id="226" w:name="pg15658_146924"/>
      <w:bookmarkStart w:id="227" w:name="__RefHeading___Toc11030373_2142443653"/>
      <w:bookmarkStart w:id="228" w:name="_Toc82"/>
      <w:bookmarkEnd w:id="226"/>
      <w:bookmarkEnd w:id="227"/>
      <w:r>
        <w:rPr>
          <w:rtl w:val="true"/>
        </w:rPr>
        <w:t>الشبهة الأولى</w:t>
      </w:r>
      <w:r>
        <w:rPr>
          <w:rtl w:val="true"/>
        </w:rPr>
        <w:t xml:space="preserve">: </w:t>
      </w:r>
      <w:r>
        <w:rPr>
          <w:rtl w:val="true"/>
        </w:rPr>
        <w:t>المبنى العقلي لضرورة الإمامة يتنافى مع الخاتمية</w:t>
      </w:r>
      <w:r>
        <w:rPr>
          <w:rtl w:val="true"/>
        </w:rPr>
        <w:t>:</w:t>
      </w:r>
      <w:bookmarkEnd w:id="228"/>
    </w:p>
    <w:p>
      <w:pPr>
        <w:pStyle w:val="BookText"/>
        <w:rPr/>
      </w:pPr>
      <w:r>
        <w:rPr>
          <w:rFonts w:ascii="Amiri" w:hAnsi="Amiri" w:eastAsia="Amiri" w:cs="Amiri"/>
          <w:color w:val="111111"/>
          <w:sz w:val="28"/>
          <w:sz w:val="28"/>
          <w:szCs w:val="28"/>
          <w:rtl w:val="true"/>
          <w:lang w:bidi="ar-SA"/>
        </w:rPr>
        <w:t>إن الإمامة متمّمة للنبوة والخاتمية وامتداد لها، إلا أن بعض أهل السنة، و بعض المستنيرين في الأعوام الأخيرة عمدوا إلى إظهار الإمامة بوصفها معارضة للنبوة والخاتمية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الشبهة تنحل إلى شبهات متعددة، ولأهمية المسألة سوف نخوض في تحليل هذه الشبهات ونقدها على النحو الآتي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تسعى الشبهة الأولى إلى تسويق الوهم القائل بأن فلسفة الخاتمية تكمن وراء بلوغ العقل البشري في صدر الإسلام، ولازم هذا البلوغ في العقل البشري عدم الحاجة إلى أصل الإمامة وإلى الإمام المعصوم بعد النبي؛ لأن عقل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عقل النُّخَب في الحد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أن يحل محل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الرؤية إلى الخاتمية يؤدي إلى صيرورة الدين عرفياً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229" w:name="pg15658_146925"/>
    </w:p>
    <w:p>
      <w:pPr>
        <w:pStyle w:val="BookText"/>
        <w:rPr/>
      </w:pPr>
      <w:bookmarkEnd w:id="229"/>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فلسفة الخاتمية من خلال التمسك ببلوغ العقل البشري إنما ينسجم مع المزاج السائد عند أهل السنة أكثر من انسجامه مع المزاج السائد بين أتباع مذهب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يسعى إلى وصف هذين الأمرين بالتنافي من خلال مقارنة رأي الأستاذ الشهيد مرتضى المطهري في التكامل والبلوغ الفكري لدى الناس من جهة، وتفسير الإمامة بصيانة الشريعة ومرجعية الإسلام من جهة أخرى،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يصل الناس إلى مستوى من الرشد والبلوغ الفكري والعقلي بحيث يمكنهم تحصيل الهداية والسعادة في ضوء الاجتهاد في كليات الوحي وتفسيره، فما هي الحاجة إلى وجود مرجع لتفسير الدين ومعرفة الإسلام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1030375_2142443653"/>
      <w:bookmarkStart w:id="231" w:name="_Toc83"/>
      <w:bookmarkEnd w:id="230"/>
      <w:r>
        <w:rPr>
          <w:rtl w:val="true"/>
        </w:rPr>
        <w:t>مناقشة وتحليل</w:t>
      </w:r>
      <w:r>
        <w:rPr>
          <w:rtl w:val="true"/>
        </w:rPr>
        <w:t>:</w:t>
      </w:r>
      <w:bookmarkEnd w:id="231"/>
    </w:p>
    <w:p>
      <w:pPr>
        <w:pStyle w:val="Heading4"/>
        <w:numPr>
          <w:ilvl w:val="3"/>
          <w:numId w:val="1"/>
        </w:numPr>
        <w:rPr/>
      </w:pPr>
      <w:bookmarkStart w:id="232" w:name="__RefHeading___Toc11030377_2142443653"/>
      <w:bookmarkStart w:id="233" w:name="_Toc84"/>
      <w:bookmarkEnd w:id="232"/>
      <w:r>
        <w:rPr>
          <w:rtl w:val="true"/>
        </w:rPr>
        <w:t>اشارة</w:t>
      </w:r>
      <w:bookmarkEnd w:id="2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معرض تحليل هذه الشبهة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البلوغ العقلي في صدر الإسلام، لا يعني وصول أفراد الأمة إلى مستوى التخصص في الدين وتفسير القرآن الكريم، وإنما المراد بلوغهم مستوى من الاستعداد والتكامل الكافي لصيانة الكتاب السماوي من آفة التحريف وحفظه ونقله إلى الأجيال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فإن هذا المجتمع في ظل تعاليم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مرتبة من العلم والمعرفة في فهم الدين والقرآن بحيث أمكن لهذا النسل أن يفرز علماء كباراً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وكميل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على الرغم من ذلك فإنّ </w:t>
      </w:r>
      <w:bookmarkStart w:id="234" w:name="pg15658_146926"/>
    </w:p>
    <w:p>
      <w:pPr>
        <w:pStyle w:val="BookText"/>
        <w:rPr/>
      </w:pPr>
      <w:bookmarkEnd w:id="234"/>
      <w:r>
        <w:rPr>
          <w:rFonts w:ascii="Amiri" w:hAnsi="Amiri" w:eastAsia="Amiri" w:cs="Amiri"/>
          <w:color w:val="111111"/>
          <w:sz w:val="28"/>
          <w:sz w:val="28"/>
          <w:szCs w:val="28"/>
          <w:rtl w:val="true"/>
          <w:lang w:bidi="ar-SA"/>
        </w:rPr>
        <w:t xml:space="preserve">هذه الأمة وعلماءها لم تبلغ مستوى العصمة، وعليه يكون احتمال الوقوع في الخطأ كبيراً، لعدم ترسيخ قواعد الدين وأصوله وعدم تنقيح تعاليمه، وهو أمر يدعو إلى الحاجة إلى وجود مرجع ديني معصوم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كان لابد من أن يكون هناك إمام ومرجع ديني معصوم ليستكمل عملية تدوين الأصول وتنقيحها ويبلغ بها إلى مستوى الصيانة والمحافظة من التحريف والخطأ بشكل كامل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1030379_2142443653"/>
      <w:bookmarkStart w:id="236" w:name="_Toc85"/>
      <w:bookmarkEnd w:id="235"/>
      <w:r>
        <w:rPr>
          <w:rtl w:val="true"/>
        </w:rPr>
        <w:t>اختلاف صدر الإسلام عن عصر الغيبة</w:t>
      </w:r>
      <w:r>
        <w:rPr>
          <w:rtl w:val="true"/>
        </w:rPr>
        <w:t>:</w:t>
      </w:r>
      <w:bookmarkEnd w:id="236"/>
    </w:p>
    <w:p>
      <w:pPr>
        <w:pStyle w:val="BookText"/>
        <w:rPr/>
      </w:pPr>
      <w:r>
        <w:rPr>
          <w:rFonts w:ascii="Amiri" w:hAnsi="Amiri" w:eastAsia="Amiri" w:cs="Amiri"/>
          <w:color w:val="111111"/>
          <w:sz w:val="28"/>
          <w:sz w:val="28"/>
          <w:szCs w:val="28"/>
          <w:rtl w:val="true"/>
          <w:lang w:bidi="ar-SA"/>
        </w:rPr>
        <w:t>إن الإشكال بأن الحاجة إلى المرجع الديني المعصوم قائمة في كل مرحلة، ولا تقتصر على عصر الغيبة؛ لأن الاجتهاد يحتمل الخطأ في جميع المراحل وليس في مرحلة دون أخرى</w:t>
      </w:r>
      <w:r>
        <w:rPr>
          <w:rStyle w:val="FootnoteAnchor"/>
          <w:rtl w:val="true"/>
        </w:rPr>
        <w:footnoteReference w:id="268"/>
      </w:r>
      <w:r>
        <w:rPr>
          <w:rFonts w:ascii="Amiri" w:hAnsi="Amiri" w:eastAsia="Amiri" w:cs="Amiri"/>
          <w:color w:val="111111"/>
          <w:sz w:val="28"/>
          <w:sz w:val="28"/>
          <w:szCs w:val="28"/>
          <w:rtl w:val="true"/>
          <w:lang w:bidi="ar-SA"/>
        </w:rPr>
        <w:t>، لا يمكن أن يكون إشكالاً وجيهاً؛ إذ إنّ احتمال الخطأ في الاجتهاد في عصر الغيبة إنما يكون في فروع الدين وجزئياته دون أصوله ومبانيه، والأخطاء في الجزئيات لا تضر بأصل الدين، وقياس الاجتهاد في عصر الغيبة على الاجتهاد في العصور السابقة على الاجتهاد في عصر الغيبة، قياس مع الفارق</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يشير الأستاذ الشهيد المطهري في بيان كيفية البلوغ العقلي للأمة في تبرير الخاتمية إلى مراتب ذلك، ولكنه في الوقت نفسه كان ملتفتاً إلى شبهة </w:t>
      </w:r>
    </w:p>
    <w:p>
      <w:pPr>
        <w:pStyle w:val="BookText"/>
        <w:rPr/>
      </w:pPr>
      <w:r>
        <w:rPr>
          <w:rFonts w:ascii="Amiri" w:hAnsi="Amiri" w:eastAsia="Amiri" w:cs="Amiri"/>
          <w:color w:val="111111"/>
          <w:sz w:val="28"/>
          <w:sz w:val="28"/>
          <w:szCs w:val="28"/>
          <w:rtl w:val="true"/>
          <w:lang w:bidi="ar-SA"/>
        </w:rPr>
        <w:t>التنافى بين الخاتمية وأصل الإمامة، ولذلك تراه يشير في الجواب عن الإشكال إلى المرجعية العلمية للإمام وحل الاختلاف الديني، ويقول بأن المسلمين والنُّخَب عاجزة عن 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أن مراد الشهيد المطهري من البلوغ هو البلوغ النسبي الذي توصل له المسلمون في صدر الإسلام،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تظهر سلسلة من الاختلافات والفرقة والتشتت والمذاهب المختلفة والمتنوعة في الشريعة الخاتمة، وعليه لا بد من وجود معيار وشاخص يقصده الناس لير شدهم إلى الحق من بين هذه المذاهب المتنوعة التي ظهرت بسبب الأهواء والآراء والعصبيات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الأمة يمكنهم أن يخلفوا الأنبياء في أمر</w:t>
      </w:r>
    </w:p>
    <w:p>
      <w:pPr>
        <w:pStyle w:val="BookText"/>
        <w:rPr/>
      </w:pPr>
      <w:r>
        <w:rPr>
          <w:rFonts w:ascii="Amiri" w:hAnsi="Amiri" w:eastAsia="Amiri" w:cs="Amiri"/>
          <w:color w:val="111111"/>
          <w:sz w:val="28"/>
          <w:sz w:val="28"/>
          <w:szCs w:val="28"/>
          <w:rtl w:val="true"/>
          <w:lang w:bidi="ar-SA"/>
        </w:rPr>
        <w:t>الدعوة وتبليغ الدين، ولكنهم لا يستطيعون الاضطلاع بدور المرجع لحل هذه الخلافات</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البلوغ والتكامل العقلي للمخاطبين في صدر الإسلام لا يتنافى مع أصل الإمامة، بل إن هذا الاستعداد والتكامل الفكري بالمعنى المتقدم يُعدُّ مقدمة وشرطاً للاستفادة من وجود الإمام، إذ في حالة عدم رجوع الناس أو علماء الدين إلى الإمام من أجل تفسير المتشابهات وحل الاختلافات الدينية، فإن هذا الأمر يعكس إما الجمود الفكري، وتخشب الفكر الديني في المجتمع، أو يحكي عن جهل الناس وعلماء الدين لأصل الإمامة وعدم إدراكهم الحاجة إلى الرجوع إلى الإمام في حل المشاكل والمسائل الدينية، وكلا الأمرين يثبت عدم البلوغ والنضج الفكري والعقلي للمسلمين في صدر الإسلام، وفي هذه الحالة لا يكون أصل الإمامة مثمراً ولا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لابد من الإلتزام بالبلوغ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المستوى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في </w:t>
      </w:r>
      <w:bookmarkStart w:id="237" w:name="pg15658_146928"/>
    </w:p>
    <w:p>
      <w:pPr>
        <w:pStyle w:val="BookText"/>
        <w:rPr/>
      </w:pPr>
      <w:bookmarkEnd w:id="237"/>
      <w:r>
        <w:rPr>
          <w:rFonts w:ascii="Amiri" w:hAnsi="Amiri" w:eastAsia="Amiri" w:cs="Amiri"/>
          <w:color w:val="111111"/>
          <w:sz w:val="28"/>
          <w:sz w:val="28"/>
          <w:szCs w:val="28"/>
          <w:rtl w:val="true"/>
          <w:lang w:bidi="ar-SA"/>
        </w:rPr>
        <w:t>صدر الإسلام لتبرير الخاتمية من طريق أصل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الكلمة الأخيرة فهي أن البلوغ العقلي ليس ملاكاً منحصراً لتبرير الخاتمية، وإنما هو واحد من بين ملاكات وأدلة تقع في عرض بعض أدلة أخرى من بينها أصل الإمامة، وإن مجموع تلك الأدلة هو الذي يبرر أصل الخاتمية</w:t>
      </w:r>
      <w:r>
        <w:rPr>
          <w:rStyle w:val="FootnoteAnchor"/>
          <w:rtl w:val="true"/>
        </w:rPr>
        <w:footnoteReference w:id="270"/>
      </w:r>
      <w:r>
        <w:rPr>
          <w:rFonts w:ascii="Amiri" w:hAnsi="Amiri" w:eastAsia="Amiri" w:cs="Amiri"/>
          <w:color w:val="111111"/>
          <w:sz w:val="28"/>
          <w:sz w:val="28"/>
          <w:szCs w:val="28"/>
          <w:rtl w:val="true"/>
          <w:lang w:bidi="ar-SA"/>
        </w:rPr>
        <w:t>ويفسرها</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1030381_2142443653"/>
      <w:bookmarkStart w:id="239" w:name="_Toc86"/>
      <w:bookmarkEnd w:id="238"/>
      <w:r>
        <w:rPr>
          <w:rtl w:val="true"/>
        </w:rPr>
        <w:t>الشبهة الثانية</w:t>
      </w:r>
      <w:r>
        <w:rPr>
          <w:rtl w:val="true"/>
        </w:rPr>
        <w:t xml:space="preserve">: </w:t>
      </w:r>
      <w:r>
        <w:rPr>
          <w:rtl w:val="true"/>
        </w:rPr>
        <w:t>تنافي عصمة الإمام مع الخاتمية</w:t>
      </w:r>
      <w:r>
        <w:rPr>
          <w:rtl w:val="true"/>
        </w:rPr>
        <w:t>:</w:t>
      </w:r>
      <w:bookmarkEnd w:id="23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الأنبياء والمرسلين من قبل الله يتصفون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الحصول على الوحي وتبليغه من أجل صيانته وحفظه من جميع أنواع الخطأ والنسيان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خلاف بين الشيعة وأهل السنة في اتصاف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بالعصمة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الشيعة عمدوا إلى توسيع دائرة العصمة وإعمامها على الأئمة أيضاً، وقالوا بأن الأئمة مثل الأنبياء في ضرورة الاتصاف بالعصمة، وهذا يتنافى مع أصل الخاتمية؛ إذ برحيل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 جميع خصائصه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ونزول الوحي، وتصل إلى خط النهاية والخاتمية، وعليه يكون ما يذهب إليه الشيعة من القول بعصمة الأئمة منافياً للخاتمية</w:t>
      </w:r>
      <w:r>
        <w:rPr>
          <w:rFonts w:eastAsia="IRNazanin" w:cs="IRNazanin"/>
          <w:color w:val="111111"/>
          <w:sz w:val="28"/>
          <w:szCs w:val="28"/>
          <w:rtl w:val="true"/>
          <w:lang w:bidi="fa-IR"/>
        </w:rPr>
        <w:t xml:space="preserve">. </w:t>
      </w:r>
      <w:bookmarkStart w:id="240" w:name="pg15658_146929"/>
    </w:p>
    <w:p>
      <w:pPr>
        <w:pStyle w:val="BookText"/>
        <w:rPr/>
      </w:pPr>
      <w:bookmarkEnd w:id="240"/>
      <w:r>
        <w:rPr>
          <w:rFonts w:ascii="Amiri" w:hAnsi="Amiri" w:eastAsia="Amiri" w:cs="Amiri"/>
          <w:color w:val="111111"/>
          <w:sz w:val="28"/>
          <w:sz w:val="28"/>
          <w:szCs w:val="28"/>
          <w:rtl w:val="true"/>
          <w:lang w:bidi="ar-SA"/>
        </w:rPr>
        <w:t>وصف شاه ولي الله الدهلوي الهندي نسبة العصمة إلى الإمام بأنها منافية للخاتمية وأصل النبوة، وسوف نذكر نص عبارته لاحقاً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الدكتور سروش فيقول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يظهر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يضمن صحة كلامه وحسن سلوكه من الناحية الدينية </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أن يأتي بعد النبي الخاتم أناس، يتحدثون عن الوحي والشهود بكلام لا أثر له في القرآن والسنة النبوية، ومع ذلك يتم التعامل معه على أنه من التعاليم الدينية والتشريعية التي توجب تحليلاً وتحريماً، وتحل في المرتبة محل الوحى النبوي وتكتسب عصمة كلام النبي وحجيته، ومع ذلك لا يكون ذلك منافياً للخاتمية؟</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اندیشه،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من ذهب إلى وصف بعض الصفات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والعلم اللدني بأنها صفات ميتافيزيقية تفوق الحالات البشرية، معتبراً النظرية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الصفات الميتافيزيقية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منسجمة مع القول بأصل الخاتمية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1030383_2142443653"/>
      <w:bookmarkStart w:id="242" w:name="_Toc87"/>
      <w:bookmarkEnd w:id="241"/>
      <w:r>
        <w:rPr>
          <w:rtl w:val="true"/>
        </w:rPr>
        <w:t>رأي وتحليل</w:t>
      </w:r>
      <w:r>
        <w:rPr>
          <w:rtl w:val="true"/>
        </w:rPr>
        <w:t>:</w:t>
      </w:r>
      <w:bookmarkEnd w:id="242"/>
    </w:p>
    <w:p>
      <w:pPr>
        <w:pStyle w:val="BookText"/>
        <w:rPr/>
      </w:pPr>
      <w:r>
        <w:rPr>
          <w:rFonts w:ascii="Amiri" w:hAnsi="Amiri" w:eastAsia="Amiri" w:cs="Amiri"/>
          <w:color w:val="111111"/>
          <w:sz w:val="28"/>
          <w:sz w:val="28"/>
          <w:szCs w:val="28"/>
          <w:rtl w:val="true"/>
          <w:lang w:bidi="ar-SA"/>
        </w:rPr>
        <w:t>في معرض تحليل هذه الشبهة ونقدها يجدر الالتفات إلى المسائل الآتية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العصمة بالأنبياء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دعوى بلا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إن مقام العصمة عناية إلهية مقرونة بالنفس الزكية للإنسان المعصوم، وهي تعد من </w:t>
      </w:r>
    </w:p>
    <w:p>
      <w:pPr>
        <w:pStyle w:val="BookText"/>
        <w:rPr/>
      </w:pPr>
      <w:r>
        <w:rPr>
          <w:rFonts w:ascii="IRNazanin" w:hAnsi="IRNazanin" w:eastAsia="IRNazanin"/>
          <w:color w:val="111111"/>
          <w:sz w:val="28"/>
          <w:sz w:val="28"/>
          <w:szCs w:val="28"/>
          <w:rtl w:val="true"/>
          <w:lang w:bidi="fa-IR"/>
        </w:rPr>
        <w:t>الصفات اللازمة للنبوة، وبعبارة أخرى إن العصمة من لوازم مقام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ولكنها لا تعني سلب هذه الصفة عن الآخرين، واحتكارها من قبل الأنبياء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من صاغ هذه الشبهة قد خلط بين هذين الأمرين، حيث توهم أن العصمة هي مثل نزول الوحي في كونها من الصفات الخاصة والمنحصرة بالنبي والتى لا يشاركه فيها أحد من غير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عليه أولا أن يثبت مدعاه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العصمة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 يثبت بعد ذلك أن القول بنظرية تعميم العصمة إلى غير الأنبياء من أمثال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منافياً للنبوة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وعلاوة على ذلك فإن روايات الفريقين، بل وآيات القرآن الكريم تدل على 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سيأتي بيانه والإشارة إليه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الإمامة يقتضي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حول ما إذا كانت الإمامة ملازمة لصفة العصمة أم لا ؟ يرتبط بنوع الرؤية إلى الإمامة وتفسيرها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كانت الإمامة مجرد خلافة وحكومة دنيوية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يرى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الحد الأقصى كانت بمعنى تفسير الدين، فعندها لا تكون الإمامة مقتضية للعصمة، وأما إذا كان المراد من الإمامة هو معناها الحقيقي، والذي يفوق النبوة مرتبة بحسب التعبير القرآني، فإنها ستقتضي العصمة وتلازمها قطعاً، والدليل على ذلك إعطاء الله الإمامة للنبي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إعطائه مقام النبوة، ولم يتحقق ذلك إلا في نهايات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ابْتَلَى إِبْرَاهِيمَ رَبُّهُ بِكَلِمَاتٍ فَأَتَتْهُنَّ قَالَ إِنِّي جَاعِلُكَ لِلنَّاسِ إِمَامًا قَالَ وَمِنْ ذُرِّيَّتِي قَالَ لَا يَنَالُ عَهْدِي الظَّالِمِينَ</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تعلق الآية الشريفة إعطاء الإمامة للنبي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هو واضح من منطوقها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اجتيازه الاختبار والابتلاء، ومن هنا يتضح أن الإمامة أرفع شأناً ومنزلة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طمع النبي إبراهيم بعد حصوله على مرتبة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يصفها القرآن في هذه الآية بأنها جعل من الله عز وجل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بإعطائها إلى نسله، فواجه رفض هذا الطلب من قبل الله، والسبب في ذلك كما يصرّح الله تعالى يعود إلى صدور الظلم منهم، وهو أمر يثبت أن الإمامة لا تجتمع مع صدور أي نوع من أنواع الظلم والمعاصي، وأن الذي يتصف بها يجب أن يكون معصوماً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العقلي على ضرورة وجود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المقتضي الضرورة بعث الأنبياء، يقتضي ضرورة عصمة الإمام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الله يجب عليه من باب اللطف والحكمة أن يبعث هداة من جنس البشر لهداية الإنسان شريطة أن يتصف بالعصمة؛ لأن الهادي إذا لم يكن معصوماً جاز عليه السهو والخطأ في إبلاغ الرسالة أو تفسير الوحي، ولا يخفى ما في ذلك من نقض الغرض المنشود من بعث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الفترات التي تخللت بعث الأنبياء السابقين لم تكن هناك حاجة إلى وجود الأئمة، بعد إمكان ظهور نبي جديد بعد كل فترة ليتولى عملية تصحيح الانحراف الذي تعرضت له شريعة النبي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فيما يتعلق بشريعة خاتم الرسل، فحيث لا يكون هناك نبي يأتي من بعده، تمس الحاجة إلى وجود إمام معصوم ليكون هو الحكم والميزان والمعيار الذي ترجع إليه الأمة للحصول على التفسير الصحيح، والبت في حالات الاختلاف بين الأمة وكشف الغث من السمين وتمييز الحق من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يكن هناك من إمام يخلف خاتم المرسلين سيتعرض الدين الخاتم إلى </w:t>
      </w:r>
    </w:p>
    <w:p>
      <w:pPr>
        <w:pStyle w:val="BookText"/>
        <w:rPr/>
      </w:pPr>
      <w:r>
        <w:rPr>
          <w:rFonts w:ascii="Amiri" w:hAnsi="Amiri" w:eastAsia="Amiri" w:cs="Amiri"/>
          <w:color w:val="111111"/>
          <w:sz w:val="28"/>
          <w:sz w:val="28"/>
          <w:szCs w:val="28"/>
          <w:rtl w:val="true"/>
          <w:lang w:bidi="ar-SA"/>
        </w:rPr>
        <w:t>البلى وتطاله آفة التحريف والانحراف حتى لا يبقى منه شيء من الحق، وهذا لا ينسجم مع الهدف من البعثة وأصل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أصل الخاتمية يقتضي ضرورة وجود الإمام المعصوم من دون أن يكون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على هذه المسألة فى بعض الروايات أيضاً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الأدلة القرآنية على 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آیات القرآن الكريم ما يدلّ صراحة على طهارة وعصمة أهل بيت النبوة، وقد تم تفسيرها 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أوضح الآيات في الدلالة على عصمة أهل البيت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 أم سلمة زوج زوج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نزول هذه الآية، دعا رسول الله علياً وفاطمة والحسن والحسين،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وخاصتي، أذهب عنهم الرجس وطهرهم تطهيراً</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اشتملت مصادر أهل السنة على روايات تشتمل على هذا المضمون ذاته برواية السيدة عائشة أيضاً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ورد التصريح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بعصمة أهل بيته ضمن بيان الملازمة بينهم وبين عترته،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أوصيكم في عترتي وأهل بيتي خيراً، فإنهم مع الحق والحق معهم، وهم الأئمة الراشدون بعدي والأمناء المعصومون</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الروايات النبوية على عصمة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ذكرنا في العدد السابق من هذه السلسلة أن الآية الشريفة والحديث النبوي المعروف بحديث الكساء تدلان دلالة صريحة واضحة على 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وعلاوة على ذلك هناك روايات أخرى بهذا الخصوص، نشير إليها فيما 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ابن عباس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وعلى والحسن والحسين وتسعة من ولد الحسين مطهرون ومعصومون</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يدلّ الحديث النبوي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عصمة العترة من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تركت ما إن أخذتم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تواتر نقل هذا الحديث في مصادر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وضع أهل البيت في هذه الروايات في مستوى القرآن، وتم التصريح بأنهما لن يفترقا عن </w:t>
      </w:r>
    </w:p>
    <w:p>
      <w:pPr>
        <w:pStyle w:val="BookText"/>
        <w:rPr/>
      </w:pPr>
      <w:r>
        <w:rPr>
          <w:rFonts w:ascii="Amiri" w:hAnsi="Amiri" w:eastAsia="Amiri" w:cs="Amiri"/>
          <w:color w:val="111111"/>
          <w:sz w:val="28"/>
          <w:sz w:val="28"/>
          <w:szCs w:val="28"/>
          <w:rtl w:val="true"/>
          <w:lang w:bidi="ar-SA"/>
        </w:rPr>
        <w:t xml:space="preserve">بعضهما، وأنه يجب التمسك بهما معاً، وبذلك لن تكون هناك ضلالة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ورد تأبيد نفي الضلالة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النفي المؤبد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أن عترة رسول الله إذا لم تنصف بالعصمة، لما كان هناك إمكان لاقترانها بالقرآن، والتأكيد على أن التمسك بهما يؤمن من الوقوع في الخطأ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هذا النوع من التأكيد يدل دلالة واضحة وقاطعة على عصمة القرآن وعدله المتمثل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هم أهل بيت النبي؟ ذكرنا في العدد السابق من هذه السلسلة أنهم الأئمة الإثنى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ذريته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خيرة الله عز وجل وصفوته، وهم المعصومون من كل ذنب</w:t>
      </w:r>
    </w:p>
    <w:p>
      <w:pPr>
        <w:pStyle w:val="BookText"/>
        <w:rPr/>
      </w:pPr>
      <w:r>
        <w:rPr>
          <w:rFonts w:ascii="Amiri" w:hAnsi="Amiri" w:eastAsia="Amiri" w:cs="Amiri"/>
          <w:color w:val="111111"/>
          <w:sz w:val="28"/>
          <w:sz w:val="28"/>
          <w:szCs w:val="28"/>
          <w:rtl w:val="true"/>
          <w:lang w:bidi="ar-SA"/>
        </w:rPr>
        <w:t>وخطيئة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روى النبي الأكرم عن ملكين من الملائكة الموكلين بكتابة أعمال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لم يكتبا لعلي معصية أو ذنباً أبدا</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أشار النبي إلى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مصاديقها، وإن نفس العصمة يستوجب أمر الله بإطاعتهم،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أمر بطاعة أولي الأمر لأنهم معصومون مطهرون لا يأمرون بمعصية الله</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علياً؛ فإنه مطهر معصوم لا يضل ولا يشقى</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ذكرت هذه الرواية علة الأمر بإطاعة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تكمن في اتصافه بالظهر والعصمة، مما يعني عدم الضلالة والوقوع في الشقاء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والحسن والحسين وتسعة من ولد الحسين مطهرون معصومون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يؤكد النبي الأكرم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الحديث على عصمة جميع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بعض الأحاديث المروية عن النبي الأكرم نجد الإشارة إلى لوازم العصمة، من قبيل 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معياراً للحق، وأنه ملازم للحق، وأن الحق ملازم له، وأن الإمام علي ملازم للقرآن، وأن القرآن ملازم له، وأنه الفاروق الأكبر الذي يفرق بين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والحق مع علي، ولن يفترقا حتى يردا علي الحوض يوم القيامة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مع الحق والحق مع علي، اللهم أدر الحق مع علي حيثما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الفخر الرازي في إشارة منه إلى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اقتدى في دينه بعلي بن أبي طالب فقد اهتدى، والدليل عليه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أدر الحق مع علي حيث دار</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تؤكد الروايات الآتية على الملازمة المتبادلة بين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والحق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يلازم القرآن والحق ويلازمانه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القرآن، والقرآن معه،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والقرآن، والحق والقرآن مع علي، ولن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التمييز بين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الروايات بأنه الصديق الأكبر وفاروق الأمة، ومن ذلك الحديث القائل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الصديق الأكبر، وهذا فاروق هذه الأمة بين الحق والباطل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ستكون بعدي فتنة فإذا كان ذلك، فالزموا علي بن أبي طالب، فإنه أول من يراني وأول من يصافحني يوم القيامة وهو الصديق الأكبر وهو فاروق هذه الأمة يفرق بين الحق والباطل وهو يعسوب المؤمنين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بين الأحاديث الأخرى التي تثبت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المعروف بالسفينة، والذي يقول فيه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أهل بيتي فيكم كسفينة نوح، من دخل فيها نجا ومن تخلف عنها غرق</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مما تقدم أن القول بعصمة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ينافي القول بأصل الخاتمية، بل هو من مقتضيات القول بالخاتمية على ما تثبته الأدلة العقلية والقرآنية والروائية التي تقدم ذكرها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الروايات الولائية على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نفهم حقيقة الإمامة وصفاتها، فليس هناك ما هو أفضل من الأئمة الأطهار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نحن رجعنا إلى الروايات المأثورة عنهم، نجدهم يؤكدون على عصمتهم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دائرة العصمة بما يشمل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وذلك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الطاعة لله عزّ وجل ولرسوله ولولاة الأمر، وإنما أمر بطاعة أولي الأمر ؛ لأنهم معصومون مطهّرون لا يأمرون بمعصية</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تقرير صفات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تَبَارَكَ وَتَعَالَى طَهَّرَنَا وَعَصَمَنَا وَجَعَلَنَا شُهَدَاءَ عَلَى خَلْقِهِ وَحُجَّتَهُ فِي أَرْضِهِ وَجَعَلَنَا مَعَ الْقُرْآنِ، وَجَعَلَ الْقُرْآنَ مَعَنَا لَا نُفَارِقُهُ وَلَا يُفَارِقُنَا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الرواية نجد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إلى مسألة العصمة يصرح بكونهم حجج الله على العباد أيضاً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الملازمة بين الإمامة والعصمة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منا لا يكون إلا معصوماً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روى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بين شروط الإمام والإمامة وبعبارة أدق إن من بين العناصر المكونة للإمام والإمامة هى العصمة، وأضاف إلى ذلك أن العصمة ليست بالأمر الذي يبدو على ظاهر الإمام، وعليه وجب أن يعرف ذلك من خلال النص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منا لا يكون إلا معصوماً وليست العصمة في ظاهر الخلقة فيعرف بها، ولذلك لا يكون إلا منصوصاً</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ذكر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العصمة في الإمامة يتحقق من خلال عدم ارتكاب الذنوب كبيرة وصغيرة حتى مع فرض التوبة،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للإمامة من قد ارتكب من المحارم شيئاً صغيراً كان أو كبيراً، وإن تاب منه بعد ذلك</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وصف الأنبياء والأوصياء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 وأوصياؤهم لا ذنوب لهم؛ لأنهم معصومون مطهرون</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البحث عن العصمة ومفهومها مثاراً حتى في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كما يلوح ذلك من رواية حسين الأشقر، والتي يقول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لهشام بن الحكم ما معنى قولكم إن الإمام لا يكون إلا معصوماً؟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المعصوم هو الممتنع بالله من جميع محارم الله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في بيان حقيقة الإمام والإمامة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الْمُطَهَّرُ مِنَ الذُّنُوبِ وَالْمُبَرَّأُ عَنِ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الْقُدْسِ وَالطَّهَارَةِ وَالنُّسُكِ وَالزَّهَادَةِ وَالْعِلْمِ وَالْعِبَادَةِ مَخصُوصٌ بِدَعْوَةِ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وَنَسْلِ المُطَهَّرَةِ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مَعْصُومٌ مُؤَيَّدٌ مُوَفَّقٌ مُسَدَّدٌ قَدْ أَمِنَ مِنَ الْخَطَايَا وَالزَّلَلِ وَالْعِثَارِ يَخصُّهُ الله بِذَلِكَ لِيَكُونَ حُجَّتَهُ عَلَى عِبَادِهِ وَشَاهِدَهُ عَلَى خَلْقِهِ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أخبار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للمأمون العباسى في بيان سبب اشتراط العصمة في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يفرض الله تعالى بطاعة من يعلم أنه يضلهم ويغويهم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ورد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عصمكم الله من الزلل</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 بالعصمة من قبل بعض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المحقق المنصف أن يجعل من الأدلة العقلية والنقلية ملاكاً لتحديد بوصلته الاعتقادية ،والإيمانية، وأن يكون من أبناء الدليل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أهل السنة من سار على مقتضى هذا الأصل بعد دراسته للأدلة العقلية والنقلية الواردة في العصمة، فأذعن لها وقال بضرورة العصمة في الأئمة واعتبرها منسجمة مع الخاتمية</w:t>
      </w:r>
      <w:r>
        <w:rPr>
          <w:rFonts w:eastAsia="Amiri" w:cs="Amiri" w:ascii="Amiri" w:hAnsi="Amiri"/>
          <w:color w:val="111111"/>
          <w:sz w:val="28"/>
          <w:szCs w:val="28"/>
          <w:rtl w:val="true"/>
          <w:lang w:bidi="ar-SA"/>
        </w:rPr>
        <w:t xml:space="preserve">. </w:t>
      </w:r>
      <w:bookmarkStart w:id="243" w:name="pg15658_146940"/>
    </w:p>
    <w:p>
      <w:pPr>
        <w:pStyle w:val="BookText"/>
        <w:rPr/>
      </w:pPr>
      <w:bookmarkEnd w:id="243"/>
      <w:r>
        <w:rPr>
          <w:rFonts w:ascii="IRNazanin" w:hAnsi="IRNazanin" w:eastAsia="IRNazanin"/>
          <w:color w:val="111111"/>
          <w:sz w:val="28"/>
          <w:sz w:val="28"/>
          <w:szCs w:val="28"/>
          <w:rtl w:val="true"/>
          <w:lang w:bidi="fa-IR"/>
        </w:rPr>
        <w:t>ومن بين علماء أهل السنة يذهب ابن أبي الحديد المعتزلي إلى القول بعصمة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نص على قول أبي محمد بن متويه بعصمة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منه يشعر بأن العترة معصومة فما قول أصحابكم في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أبو محمد بن متويه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وإن لم يكن واجب العصمة ولا العصمة شرط في الإمامة، لكن أدلة النصوص قد دلت على عصمته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ذهب العارف الإسلامي الشهير محيي الدين ابن عربي إلى القول بعصمة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وأهل بيته تطهيراً، وأذهب عنهم الرجس،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يشينهم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والملفت أنه لم يكتف بوصفهم بأنهم مطهرون فقط، بل وصفهم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المطهرون، بل هم عين الطهارة</w:t>
      </w:r>
      <w:r>
        <w:rPr>
          <w:rFonts w:eastAsia="IRNazanin" w:cs="IRNazanin"/>
          <w:color w:val="111111"/>
          <w:sz w:val="28"/>
          <w:szCs w:val="28"/>
          <w:rtl w:val="true"/>
          <w:lang w:bidi="fa-IR"/>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تمسك بالحديث النبوي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وألحقه في زمرة المعصومين أيضاً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1030385_2142443653"/>
      <w:bookmarkStart w:id="245" w:name="_Toc88"/>
      <w:bookmarkEnd w:id="244"/>
      <w:r>
        <w:rPr>
          <w:rtl w:val="true"/>
        </w:rPr>
        <w:t>الشبهة الثالثة</w:t>
      </w:r>
      <w:r>
        <w:rPr>
          <w:rtl w:val="true"/>
        </w:rPr>
        <w:t xml:space="preserve">: </w:t>
      </w:r>
      <w:r>
        <w:rPr>
          <w:rtl w:val="true"/>
        </w:rPr>
        <w:t>القول بوجوب إطاعة الإمام يتنافى مع الخاتمية</w:t>
      </w:r>
      <w:r>
        <w:rPr>
          <w:rtl w:val="true"/>
        </w:rPr>
        <w:t>:</w:t>
      </w:r>
      <w:bookmarkEnd w:id="24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يذهب الشيعة في أدعيتهم وزياراتهم ورواياتهم إلى وجوب إطاعة الأئمة، وأن طاعتهم من طاعة الله، وإن معصيتهم معصية الله</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الأصل </w:t>
      </w:r>
    </w:p>
    <w:p>
      <w:pPr>
        <w:pStyle w:val="BookText"/>
        <w:rPr/>
      </w:pPr>
      <w:r>
        <w:rPr>
          <w:rFonts w:ascii="Amiri" w:hAnsi="Amiri" w:eastAsia="Amiri" w:cs="Amiri"/>
          <w:color w:val="111111"/>
          <w:sz w:val="28"/>
          <w:sz w:val="28"/>
          <w:szCs w:val="28"/>
          <w:rtl w:val="true"/>
          <w:lang w:bidi="ar-SA"/>
        </w:rPr>
        <w:t>لا ينسجم مع أصل الخاتمية؛ لأن الخاتمية تعني انتهاء ظهور الحجة الإلهية، وأنه لا يكون هناك بعد ذلك من تجب إطاعته بشكل 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ذهب الشاه ولي الله الدهلوي إلى القول بأنه رأى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المنام فسأله عن مذهب التشيّع؛ فأجابه بأنه مذهب باطل، وأن بطلانه يتضح من لفظ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واستطرد الدهلوي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أفقت من نومي أخذت أتأمل فى لفظ الإمام فاتضح لي أن الإمام في مصطلح الشيعة معصوم ومفترض الطاعة ومنصوب للخلق، ويجوزون عليه الوحي الباطني، وبذلك يكونون في الحقيقة منكرين لخاتمية النبوة</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القول بعصمتهم ووجوب إطاعتهم وامتلاكهم للروح الباطنية لا يختلف عن القول بالنبوة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عمد القاضي محمد ثناء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تلميذ الدهلوي إلى تأييد كلام أستاذه في حاشيته على العبارة المتقدمة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ذكر الدكتور سروش هذا الشبهة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يمكن فهم الكلام القائل باعتبار الإمامة شرطاً في كمال الدين، واعتبار الأئمة متصلين بالوحي الباطني، والقول بعصمتهم، وافتراض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يتنافى مع الخاتمية، ولا يكون كلامهم في رتبة كلام النبي واتصافه بذات الحجية؟</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نذكر الإجابة عن هذه الشبهة على هامش الإجابة عن الشبهة القادمة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الحجية الإلهية للأئمة</w:t>
      </w:r>
      <w:r>
        <w:rPr>
          <w:rFonts w:eastAsia="Amiri" w:cs="Amiri" w:ascii="Amiri" w:hAnsi="Amiri"/>
          <w:color w:val="111111"/>
          <w:sz w:val="28"/>
          <w:szCs w:val="28"/>
          <w:rtl w:val="true"/>
          <w:lang w:bidi="ar-SA"/>
        </w:rPr>
        <w:t xml:space="preserve">). </w:t>
      </w:r>
      <w:bookmarkStart w:id="246" w:name="pg15658_146942"/>
    </w:p>
    <w:p>
      <w:pPr>
        <w:pStyle w:val="Heading3"/>
        <w:numPr>
          <w:ilvl w:val="2"/>
          <w:numId w:val="1"/>
        </w:numPr>
        <w:rPr/>
      </w:pPr>
      <w:bookmarkStart w:id="247" w:name="__RefHeading___Toc11030387_2142443653"/>
      <w:bookmarkStart w:id="248" w:name="_Toc89"/>
      <w:bookmarkEnd w:id="246"/>
      <w:bookmarkEnd w:id="247"/>
      <w:r>
        <w:rPr>
          <w:rtl w:val="true"/>
        </w:rPr>
        <w:t>الشبهة الرابعة</w:t>
      </w:r>
      <w:r>
        <w:rPr>
          <w:rtl w:val="true"/>
        </w:rPr>
        <w:t xml:space="preserve">: </w:t>
      </w:r>
      <w:r>
        <w:rPr>
          <w:rtl w:val="true"/>
        </w:rPr>
        <w:t>القول بالحجية الإلهية للأئمة ينافي الخاتمية</w:t>
      </w:r>
      <w:r>
        <w:rPr>
          <w:rtl w:val="true"/>
        </w:rPr>
        <w:t>:</w:t>
      </w:r>
      <w:bookmarkEnd w:id="248"/>
    </w:p>
    <w:p>
      <w:pPr>
        <w:pStyle w:val="BookText"/>
        <w:rPr/>
      </w:pPr>
      <w:r>
        <w:rPr>
          <w:rFonts w:ascii="IRNazanin" w:hAnsi="IRNazanin" w:eastAsia="IRNazanin"/>
          <w:color w:val="111111"/>
          <w:sz w:val="28"/>
          <w:sz w:val="28"/>
          <w:szCs w:val="28"/>
          <w:rtl w:val="true"/>
          <w:lang w:bidi="fa-IR"/>
        </w:rPr>
        <w:t>هناك من يذهب إلى القول بأن الخاتمية تعني انتهاء الحجية والقداسة والأخذ بالأمور من دون المطالبة بدليل؛ لأن هذه الأمور من مختصات النبيالأكرم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رحيله لا يكون هناك إنسان يمتلك هذه الخصائص التي من شأنها أن تجعل قوله وفعله حجة بالنسبة لنا، وأن يتمتع بشخصية حقوقية تصل إلى حدّ القداسة، وتلزمنا بالتعبد والالتزام بما يقوله من دون مطالبته بتقديم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الحجية الذاتية للشخصيات الدينية إنما تكون حكراً على الأنبياء فقط، وفي الدين الإسلامي لا يتصف بها غير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فإن الموقع الخاص الذي يخلعه الشيعة على الأئمة، باعتبارهم من ذوي المقامات القدسية ووصفهم بأنهم حجج الله على الخلق، يتعارض مع القول بأصل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جال الدكتور سروش في هذه الحلبة وصال مراراً وتكراراً، واعتبر وصف الأئمة بهذه الأوصاف نوعاً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هو الذاتي في الإسلام هو شخصية النبي وتجربته الباطنية وأوامره ونواهيه الناشئة عن تلك التجارب، وإنها ستبلغ مرحلة النهاية والختام برحيل رسول الله، وإن كل ما يأتي بعد ذلك يجب تفسيره بشكل لا يتنافى مع هذا الأصل الأصيل والركن الركين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هناك الكثير من الغلاة الذين منحوا أولياء الله مراتب إلهية، أو منحوهم مراتب لا تصلح لغير الأنبياء</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وبطبيعة الحال كان هناك من الشيعة من سبق الدكتور سروش في طرح هذا الإشكال، حيث أشار أبو الفضل البرقعي قبل ثلاثة عقود إلى فقرة من </w:t>
      </w:r>
      <w:bookmarkStart w:id="249" w:name="pg15658_146943"/>
    </w:p>
    <w:p>
      <w:pPr>
        <w:pStyle w:val="BookText"/>
        <w:rPr/>
      </w:pPr>
      <w:bookmarkEnd w:id="249"/>
      <w:r>
        <w:rPr>
          <w:rFonts w:ascii="Amiri" w:hAnsi="Amiri" w:eastAsia="Amiri" w:cs="Amiri"/>
          <w:color w:val="111111"/>
          <w:sz w:val="28"/>
          <w:sz w:val="28"/>
          <w:szCs w:val="28"/>
          <w:rtl w:val="true"/>
          <w:lang w:bidi="ar-SA"/>
        </w:rPr>
        <w:t>دعاء العديلة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أقوالهم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جعل الحجية يكون من قبل كتاب الأدعية، أم يكون ذلك من قبل الله ؟ متى جعل الله أقوال الأئمة حجة حتى تبيحوا لأنفسكم نسبة كل خرافة إلى الأئمة وتمريرها تحت غطاء جعل الحجية لهم؟</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نهج البلاغة سنأتي على شرحها في الصفحات القادمة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11030389_2142443653"/>
      <w:bookmarkStart w:id="251" w:name="_Toc90"/>
      <w:bookmarkEnd w:id="250"/>
      <w:r>
        <w:rPr>
          <w:rtl w:val="true"/>
        </w:rPr>
        <w:t>تقرير الشبهة</w:t>
      </w:r>
      <w:r>
        <w:rPr>
          <w:rtl w:val="true"/>
        </w:rPr>
        <w:t>:</w:t>
      </w:r>
      <w:bookmarkEnd w:id="251"/>
    </w:p>
    <w:p>
      <w:pPr>
        <w:pStyle w:val="Heading4"/>
        <w:numPr>
          <w:ilvl w:val="3"/>
          <w:numId w:val="1"/>
        </w:numPr>
        <w:rPr/>
      </w:pPr>
      <w:bookmarkStart w:id="252" w:name="__RefHeading___Toc11030391_2142443653"/>
      <w:bookmarkStart w:id="253" w:name="_Toc91"/>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إن شبهة عدم انسجام القول بحجية الأئمة مع الخاتمية، يمكن تحليلها من خلال المسألتين الآتيتين</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11030393_2142443653"/>
      <w:bookmarkStart w:id="255" w:name="_Toc92"/>
      <w:bookmarkEnd w:id="254"/>
      <w:r>
        <w:rPr>
          <w:rtl w:val="true"/>
        </w:rPr>
        <w:t xml:space="preserve">أ </w:t>
      </w:r>
      <w:r>
        <w:rPr>
          <w:rtl w:val="true"/>
        </w:rPr>
        <w:t xml:space="preserve">- </w:t>
      </w:r>
      <w:r>
        <w:rPr>
          <w:rtl w:val="true"/>
        </w:rPr>
        <w:t>عدم الانسجام مع الشخصية الحقوقية للنبي الأكرم</w:t>
      </w:r>
      <w:r>
        <w:rPr>
          <w:rtl w:val="true"/>
        </w:rPr>
        <w:t>(</w:t>
      </w:r>
      <w:r>
        <w:rPr>
          <w:rtl w:val="true"/>
        </w:rPr>
        <w:t>صلی الله علیه و آله و سلم</w:t>
      </w:r>
      <w:r>
        <w:rPr>
          <w:rtl w:val="true"/>
        </w:rPr>
        <w:t>):</w:t>
      </w:r>
      <w:bookmarkEnd w:id="25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نبي الإسلام يتمتع من قبل الله بشخصية حقوقية، وإن من أهم عناصر تلك الشخصية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لوازم الولاية حق تشريع الأحكام، وإصدار الأوامر، ووجوب الطاعة لأحكامه على الناس من دون المطالبة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الدكتور سروش بهذا الشأن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المقوّم لشخصية النبي الحقوقية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عنصر الولاية، والولاية تعني أن تكون شخصية الشخص المتكلم هي التي تضفي الشرعية والحجية على كلامه وأوامره، وهذا هو الشيء الذي ختم بالخاتمية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الآن لا نقبل كلام أي شخص إلا إذا كان مستنداً إلى دليل أو مدعوماً بقانون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الأنبياء لم يكونوا كذلك؛ لأنهم كانوا هم دعائم أقوالهم وأوامرهم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تجاربهم الدينية متعدية وليست لازمة، وكانت أحكامهم تسري على الآخرين، وتستتبع </w:t>
      </w:r>
      <w:bookmarkStart w:id="256" w:name="pg15658_146944"/>
    </w:p>
    <w:p>
      <w:pPr>
        <w:pStyle w:val="BookText"/>
        <w:rPr/>
      </w:pPr>
      <w:bookmarkEnd w:id="256"/>
      <w:r>
        <w:rPr>
          <w:rFonts w:ascii="Amiri" w:hAnsi="Amiri" w:eastAsia="Amiri" w:cs="Amiri"/>
          <w:color w:val="111111"/>
          <w:sz w:val="28"/>
          <w:sz w:val="28"/>
          <w:szCs w:val="28"/>
          <w:rtl w:val="true"/>
          <w:lang w:bidi="ar-SA"/>
        </w:rPr>
        <w:t>تكليفاً وعملاً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بأن الحجة الإلهية قد انتهت وختمت برحيل رسول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الأمر يشمل حتى أقوال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يظهر أي شخص تضمن شخصيته صحة كلامه وحسن سلوكه من الناحية الدينية، وأن يكون كلامه مستوجباً لحدوث التكليف الديني على الآخرين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سنأتي على نقد هذه الشبهة في معرض نقد الشبهة الآتية</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030395_2142443653"/>
      <w:bookmarkStart w:id="258" w:name="_Toc93"/>
      <w:bookmarkEnd w:id="257"/>
      <w:r>
        <w:rPr>
          <w:rtl w:val="true"/>
        </w:rPr>
        <w:t xml:space="preserve">ب </w:t>
      </w:r>
      <w:r>
        <w:rPr>
          <w:rtl w:val="true"/>
        </w:rPr>
        <w:t xml:space="preserve">- </w:t>
      </w:r>
      <w:r>
        <w:rPr>
          <w:rtl w:val="true"/>
        </w:rPr>
        <w:t>عدم حجية روايات الأئمة</w:t>
      </w:r>
      <w:r>
        <w:rPr>
          <w:rtl w:val="true"/>
        </w:rPr>
        <w:t>(</w:t>
      </w:r>
      <w:r>
        <w:rPr>
          <w:rtl w:val="true"/>
        </w:rPr>
        <w:t>علیهم السّلام</w:t>
      </w:r>
      <w:r>
        <w:rPr>
          <w:rtl w:val="true"/>
        </w:rPr>
        <w:t>):</w:t>
      </w:r>
      <w:bookmarkEnd w:id="2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لازم حصر الشخصية الحقوقية والدينية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نفي الحجية عمّن سواه بشكل مطلق، وخاصة عن الأئمة في دائرة الدين وتفسيره من خلال الروايات المأثورة عنهم ؛ وذلك لأن زعم صاحب النظرية المتقدمة يقوم على عدم انسجام القول بحجية كلام وتفسير الأئمة مع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الدكتور سروش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يظهر أي شخص تضمن شخصيته صحة كلامه وحسن سلوكه من الناحية الدينية، وأن يكون كلامه مستوجباً لحدوث التكليف الديني على الآخرين</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تفسير كلمات الله والنبي لا يمكن أن يكون شخصياً ومستنداً إلى الأشخاص، بل يجب أن يكون إجماعياً ومستنداً إلى الدليل</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إن الدكتور سروش يتعدى من خاتمية الحجة الإلهية إلى مقولة معرفة النص الديني وتفسيره، ويعتبر لازم الخاتمية ختم حجية تفسير النصوص الدينية،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قطعية تفسير المعرفة الدينية، ويقول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تفسير أي كلام أو نص ديني بحيث يعطي لأحد حق الولاية بهذا المعنى؛ لأن ذلك يمثل عين التناقض؛ إذ يعني يعني أن خاتم الأنبياء يمنح شخصاً أو جماعة حقوقاً تؤدي إلى نقض خاتميته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مضمون وفحوى الخاتمية أن لا نعتبر أي فهم للدين على أنه هو الفهم الخاتم، وبذلك سوف نفتح أمام هذا المحيط محيطات أخرى، وأن نوسع المجال لبسط التجربة النبوية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جاء خاتم النبيين، ولكن لم يأت خاتم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كلام أي شخص في مقام الشرح والتفسير، لا يبلغ مرتبة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وجود دين خاتم، إلا أنه لا يوجد لدينا فهم 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وجود الدين الكامل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ادعاء من داخل الدائرة الدينية، ويتم التصديق به تبعاً لتصديق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لا توجد معرفة دينية كاملة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يصرح الدكتور سروش بأننا لا نبحث عن الدليل في خصوص الكلام النبوي، وأما في غير الكلام النبوي فلابد من أن يقوم الكلام على دليل حتى إذا كان المتكلم هو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مجرد شخصية المتكلم لا تمثل حجة له، وفي ذلك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هناك من دليل مقنع على </w:t>
      </w:r>
      <w:bookmarkStart w:id="259" w:name="pg15658_146946"/>
    </w:p>
    <w:p>
      <w:pPr>
        <w:pStyle w:val="BookText"/>
        <w:rPr/>
      </w:pPr>
      <w:bookmarkEnd w:id="259"/>
      <w:r>
        <w:rPr>
          <w:rFonts w:ascii="IRNazanin" w:hAnsi="IRNazanin" w:eastAsia="IRNazanin"/>
          <w:color w:val="111111"/>
          <w:sz w:val="28"/>
          <w:sz w:val="28"/>
          <w:szCs w:val="28"/>
          <w:rtl w:val="true"/>
          <w:lang w:bidi="fa-IR"/>
        </w:rPr>
        <w:t>المدعى، أخذنا به، وإذا لم يكن هناك من دليل، فلن يكون هناك فرق بين أن يكون المدعي 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غيره؛ ومن الآن فصاعداً يكون الدليل هو المتبع وليس قول المتكلم مهما اجترح من الكرامات</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الدكتور سروش في آخر موقف له بعدم الانسجام بين القول بحجية قول الأئمة والقول بخاتمية رسول الله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1030397_2142443653"/>
      <w:bookmarkStart w:id="261" w:name="_Toc94"/>
      <w:bookmarkEnd w:id="260"/>
      <w:r>
        <w:rPr>
          <w:rtl w:val="true"/>
        </w:rPr>
        <w:t>نقد ورأي</w:t>
      </w:r>
      <w:r>
        <w:rPr>
          <w:rtl w:val="true"/>
        </w:rPr>
        <w:t>:</w:t>
      </w:r>
      <w:bookmarkEnd w:id="261"/>
    </w:p>
    <w:p>
      <w:pPr>
        <w:pStyle w:val="Heading4"/>
        <w:numPr>
          <w:ilvl w:val="3"/>
          <w:numId w:val="1"/>
        </w:numPr>
        <w:rPr/>
      </w:pPr>
      <w:bookmarkStart w:id="262" w:name="__RefHeading___Toc11030399_2142443653"/>
      <w:bookmarkStart w:id="263" w:name="_Toc95"/>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 xml:space="preserve">في معرض تحليل هذا الادعاء ونقده تجدر ملاحظة الأمور الآتية </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1030401_2142443653"/>
      <w:bookmarkStart w:id="265" w:name="_Toc96"/>
      <w:bookmarkEnd w:id="264"/>
      <w:r>
        <w:rPr>
          <w:rtl w:val="true"/>
        </w:rPr>
        <w:t xml:space="preserve">أ </w:t>
      </w:r>
      <w:r>
        <w:rPr>
          <w:rtl w:val="true"/>
        </w:rPr>
        <w:t xml:space="preserve">- </w:t>
      </w:r>
      <w:r>
        <w:rPr>
          <w:rtl w:val="true"/>
        </w:rPr>
        <w:t>مجرد دعوى من دون دليل</w:t>
      </w:r>
      <w:r>
        <w:rPr>
          <w:rtl w:val="true"/>
        </w:rPr>
        <w:t>:</w:t>
      </w:r>
      <w:bookmarkEnd w:id="265"/>
    </w:p>
    <w:p>
      <w:pPr>
        <w:pStyle w:val="BookText"/>
        <w:rPr/>
      </w:pPr>
      <w:r>
        <w:rPr>
          <w:rFonts w:ascii="Amiri" w:hAnsi="Amiri" w:eastAsia="Amiri" w:cs="Amiri"/>
          <w:color w:val="111111"/>
          <w:sz w:val="28"/>
          <w:sz w:val="28"/>
          <w:szCs w:val="28"/>
          <w:rtl w:val="true"/>
          <w:lang w:bidi="ar-SA"/>
        </w:rPr>
        <w:t>تقدم أن ذكرنا في معرض الإجابة عن شبهة عدم انسجام العصمة مع أصل الخاتمية، أن العصمة وافتراض الطاعة والحجة لم تكن في بحثنا من الشروط اللازمة للنبوة، وليست من الأوصاف الحصرية لها، وعليه فإن توسيع رقعة هذه الصفات وتعميمها لا ينافي أصل النبوة والخاتمية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على من يدعي وجود التنافي أن يثبت هذا الادعاء، فى حين انه قد اكتفى بمجرد الادعاء ولم يدعمه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وإننا سوف نثبت ضمن المسائل الآتية عكس هذا الادعاء</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030403_2142443653"/>
      <w:bookmarkStart w:id="267" w:name="_Toc97"/>
      <w:bookmarkEnd w:id="266"/>
      <w:r>
        <w:rPr>
          <w:rtl w:val="true"/>
        </w:rPr>
        <w:t xml:space="preserve">ب </w:t>
      </w:r>
      <w:r>
        <w:rPr>
          <w:rtl w:val="true"/>
        </w:rPr>
        <w:t xml:space="preserve">- </w:t>
      </w:r>
      <w:r>
        <w:rPr>
          <w:rtl w:val="true"/>
        </w:rPr>
        <w:t>الحجة وافتراض الطاعة من لوازم العصمة</w:t>
      </w:r>
      <w:r>
        <w:rPr>
          <w:rtl w:val="true"/>
        </w:rPr>
        <w:t>:</w:t>
      </w:r>
      <w:bookmarkEnd w:id="2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أثبتنا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بالأدلة العقلية والنقلية، وفيما يأتي </w:t>
      </w:r>
      <w:bookmarkStart w:id="268" w:name="pg15658_146947"/>
    </w:p>
    <w:p>
      <w:pPr>
        <w:pStyle w:val="BookText"/>
        <w:rPr/>
      </w:pPr>
      <w:bookmarkEnd w:id="268"/>
      <w:r>
        <w:rPr>
          <w:rFonts w:ascii="IRNazanin" w:hAnsi="IRNazanin" w:eastAsia="IRNazanin"/>
          <w:color w:val="111111"/>
          <w:sz w:val="28"/>
          <w:sz w:val="28"/>
          <w:szCs w:val="28"/>
          <w:rtl w:val="true"/>
          <w:lang w:bidi="fa-IR"/>
        </w:rPr>
        <w:t>نشير إلى هذه النقطة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الإمام المعصوم في المجتمع وتأييده من قبل القرآن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والأوامر المتكررة بوجوب اتباعه وإطاعته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يدل ذلك على وجوب اتباع الإمام وإطاعة أوامره ونواهيه؟ أليس من لوازم العصمة أن يكون كلام المعصوم واجب الاتباع بوصفه حجة على الآخرين ومعياراً ينضمون سلوكهم على أساسه؟</w:t>
      </w:r>
    </w:p>
    <w:p>
      <w:pPr>
        <w:pStyle w:val="BookText"/>
        <w:rPr/>
      </w:pPr>
      <w:r>
        <w:rPr>
          <w:rFonts w:ascii="Amiri" w:hAnsi="Amiri" w:eastAsia="Amiri" w:cs="Amiri"/>
          <w:color w:val="111111"/>
          <w:sz w:val="28"/>
          <w:sz w:val="28"/>
          <w:szCs w:val="28"/>
          <w:rtl w:val="true"/>
          <w:lang w:bidi="ar-SA"/>
        </w:rPr>
        <w:t xml:space="preserve">لو تم التشكيك في أصل عصمة الأئمة وتمّ إنكارها، لكان هناك مجال لطرح هذه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لزوم إطاعة وحجية أقوال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مع افتراض العصمة، فإن هذه الشبهة تكون غير وجيهة وباطلة من الأساس؛ لأنها تعني عدم الالتفات إلى مفهوم ولوازم العصمة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030405_2142443653"/>
      <w:bookmarkStart w:id="270" w:name="_Toc98"/>
      <w:bookmarkEnd w:id="269"/>
      <w:r>
        <w:rPr>
          <w:rtl w:val="true"/>
        </w:rPr>
        <w:t xml:space="preserve">ج </w:t>
      </w:r>
      <w:r>
        <w:rPr>
          <w:rtl w:val="true"/>
        </w:rPr>
        <w:t xml:space="preserve">- </w:t>
      </w:r>
      <w:r>
        <w:rPr>
          <w:rtl w:val="true"/>
        </w:rPr>
        <w:t>أمر القرآن بالإطاعة وجعل الحجية</w:t>
      </w:r>
      <w:r>
        <w:rPr>
          <w:rtl w:val="true"/>
        </w:rPr>
        <w:t>:</w:t>
      </w:r>
      <w:bookmarkEnd w:id="270"/>
    </w:p>
    <w:p>
      <w:pPr>
        <w:pStyle w:val="BookText"/>
        <w:rPr/>
      </w:pPr>
      <w:r>
        <w:rPr>
          <w:rFonts w:ascii="Amiri" w:hAnsi="Amiri" w:eastAsia="Amiri" w:cs="Amiri"/>
          <w:color w:val="111111"/>
          <w:sz w:val="28"/>
          <w:sz w:val="28"/>
          <w:szCs w:val="28"/>
          <w:rtl w:val="true"/>
          <w:lang w:bidi="ar-SA"/>
        </w:rPr>
        <w:t xml:space="preserve">إن القرآن الكريم يصنف إطاعة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إطاعة رسول الله،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حيث نجد في هذه الآية أن الله سبحانه وتعالى يأمر الناس بصيغة أمر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بإطاعة النبي وأولي الأمر واتباعهم، مما يدل في حقيقة الأمر على أن إطاعة أولي الأمر هي إطاعة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ما ورد في منطوق الشبهة من اختصاص وجوب الطاعة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،يخالف صريح هذه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وبطبيعة الحال هناك خلاف بشأن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المراد منهم خصوص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يشمل غيرهم أيضاً؟ </w:t>
      </w:r>
    </w:p>
    <w:p>
      <w:pPr>
        <w:pStyle w:val="BookText"/>
        <w:rPr/>
      </w:pPr>
      <w:r>
        <w:rPr>
          <w:rFonts w:ascii="Amiri" w:hAnsi="Amiri" w:eastAsia="Amiri" w:cs="Amiri"/>
          <w:color w:val="111111"/>
          <w:sz w:val="28"/>
          <w:sz w:val="28"/>
          <w:szCs w:val="28"/>
          <w:rtl w:val="true"/>
          <w:lang w:bidi="ar-SA"/>
        </w:rPr>
        <w:t>يتفق الشيعة والسنة على شمول هذا المصطلح للقائد الذي تتوفر فيه الشرائط الدينية، ومما قيل في تعريف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الإمامة هي خلافة الرسول في إقامة الدين بحيث يجب اتباعه على كافة الأمة</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 والمصداق الأبرز لذلك هم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ورد في حقهم من الروايات التي تؤكد هذا الأمر في كتب الفريقين</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أهل السنة يعممونه إلى كل حاكم وقائد حتى وإن كان من أهل الفسق والفجور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يتضح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الطاعة لا يختص بالشيعة فقط، ولا يعارض أصل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مراراً وبإشكال 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 دائرة النبوة ونزول الوحي والشريعة الجديدة، ولا تتنافى مع وجود المعصومين الذين يخدمون هذه الشريعة الجديدة، من خلال افتراض طاعتهم وحجيتهم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الحجية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يسعى صاحب الادعاء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التشبث بمفهوم الخاتمية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إثبات أن آخر الحجج الإلهية هو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وبذلك ينزل بشأن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ومرتبتهم إلى مستوى غيرهم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أن هذا الملام المنتقد المحترم كان صادقاً مع نفسه في هذه الرؤية، وكان حقاً ملتزماً بأن النبي </w:t>
      </w:r>
    </w:p>
    <w:p>
      <w:pPr>
        <w:pStyle w:val="BookText"/>
        <w:rPr/>
      </w:pPr>
      <w:r>
        <w:rPr>
          <w:rFonts w:ascii="IRNazanin" w:hAnsi="IRNazanin" w:eastAsia="IRNazanin"/>
          <w:color w:val="111111"/>
          <w:sz w:val="28"/>
          <w:sz w:val="28"/>
          <w:szCs w:val="28"/>
          <w:rtl w:val="true"/>
          <w:lang w:bidi="fa-IR"/>
        </w:rPr>
        <w:t xml:space="preserve">الأكرم هو من يتمتع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بشخصية حقوقية تجعل كلامه حجة على الآخرين وعليهم الالتزام بمضامين كلام النبي من دون مطالبته بالدليل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أقرّ في منطوق إشكاله، لكان عليه أن يلتزم بالروايات الثابتة عن النبي بالتواتر ، والتى أثبت فيها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العصمة والحجية، وهكذا الأمر بالنسبة إلى 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وبأدنى نظرة نلقيها على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بالتواتر في 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ندرك أن للإمام علي بدوره شخصية حقوقية فى الإسلام ترفعه إلى الولاية والحجية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سبقت الإشارة إلى ذلك في معرض شرح 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أثبت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خلال حديث المنزلة وغيره من الروايات الأخرى، وهكذا الآيات العديدة مقام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المرجعية العلمية والدينية وخلافة النبي في الشؤون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ذلك حجية أقواله وأفعاله على المسلمين، واعتبار رواياته و تفسيره في المعرفة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الكثير من الآيات والروايات المأثورة عن النبي في كتب الفريقين، وفيما يلي نشير إلى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صرّح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المواضع بمقام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ومنزلته بوصفه حجة الله، ومن ذلك قوله لأحد أصحابه مشيراً إلى الإمام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أنا وهذا حجّة الله على خلقه</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والذي يدعو إلى التدبر والتأمل في هذا الحديث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بالحجة الإلهية كما يتصف هو بها، وكأن النبي يفسر حجيته وحجية </w:t>
      </w:r>
    </w:p>
    <w:p>
      <w:pPr>
        <w:pStyle w:val="BookText"/>
        <w:rPr/>
      </w:pPr>
      <w:r>
        <w:rPr>
          <w:rFonts w:ascii="Amiri" w:hAnsi="Amiri" w:eastAsia="Amiri" w:cs="Amiri"/>
          <w:color w:val="111111"/>
          <w:sz w:val="28"/>
          <w:sz w:val="28"/>
          <w:szCs w:val="28"/>
          <w:rtl w:val="true"/>
          <w:lang w:bidi="ar-SA"/>
        </w:rPr>
        <w:t>الإمام على في سياق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رويت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تؤكد على استمرار الحجة الإلهية بعد الخاتمية، وسوف نأتي على ذكرها في معرض نقد الدليل النقلي لهذه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علياً وزوجته وأبناءه، حجج الله على خلقه</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واجب 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الآتية تأمر المؤمنين بإطاعة الله ورسوله وأولي الأمر،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الكثير من الروايات أولي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تُعدُّ طاعتهم طاعة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أمر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روايات أخرى بتصديق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وإطاعته، ومن ذلك 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إمامكم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فناصحوه وصدقوه</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 فاسمعوا له، وأطيعوا له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الآتية تعرف ولي المؤمنين بأنه هو الله والنبي والذين يقيمون الصلاة ويتصدقون أثناء الركوع، 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وَلِيُّكُمُ الله وَرَسُولُهُ وَالَّذِينَ آمَنُوا الَّذِينَ يُقِيمُونَ الصَّلاةَ وَيُؤْتُونَ الزَّكَاةَ وَهُمْ رَاكِعُونَ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الروايات المأثورة عنه بالإمام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الروايات النبوية نجد هناك مقارنة بين الحق والقرآن من جهة والإمام علي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أخرى، وتخرج بأن بين الإمام علي والقرآن والحق ملازمة ثابتة وغير قابلة للفصل والانفكاك ،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مع الحق والحق مع علي، ولن يفترقا حتى يردا على الحوض یوم القیامة</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مع الحق والقرآن، والحق والقرآن مع علي، ولن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الهداية والنجاة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 وصف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الروايات النبوية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الهداية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عهد إلي في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راية الهدى، ومنار الإيمان، وإمام أوليائي</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 كتاب الله حبل ممدود من السماء إلى الأرض، وعترتي أهل بيتي، ولن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حل الاختلافات كما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مرجع حل وفصل الاختلافات التي تظهر بين أمته،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تبيّن لأمتى ما اختلفوا فيه من بعدي</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عمد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روايات أخرى إلى مزيد من الشرح والبيان بشأن المرجعية العلمية والدينية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معتبراً منزلته فى هذا المقام كمنزلته، إذ 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الذي تبيّن لأمتي ما يختلفون بعدي وتقوم فيهم مقامي، قولك قولي وأمرك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وكيفية الاستدلال بهذه الروايات على حجية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بمعنى أن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كونه مع الحق والقرآن وأنهما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لواء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والمفسّر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متصل بعالم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يمكن إلا أن يكون نصاً في جعل الحجية له، وإلا كانت كل هذه الروايات لغواً وعبثاً والعياذ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حصيلة الكلام أنه بالالتفات إلى ما تقدّم ذكره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لا تشكل إلا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الروايات الواردة بشأن الأئمة وعلى رأسهم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يجب القول إن إنكار الشخصية الحقوقية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والهبوط بها إلى مستوى الإنسان العادي، وإنكار حجية كلامه وحديثه في تفسير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أحسنا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يعبر عن عدم ملاحظة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أطلب من الناقدين للإمامة ناصحاً ومشفقاً أن تكون لهم مراجعة لهذه الروايات، لتتضح لهم الحقيقة لاحبة مثل الشمس في رابعة النهار</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كان الناقد ينكر كون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رغم علمه بهذه الروايات المتواترة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فيجب القول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إنكار ذلك يعني إنكار حجية الشخصية الحقوقية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 إذ إن جاعل الحجية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للروايات الكثيرة والمتواترة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نقلت أكثرها في مصادر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الله وشخص رسول الله ، وإن على الذي يعتبر الحجية الذاتية لكلام رسول الله أن يلتزم بلوازم ذلك أيضاً، إلا إذا صح من المسلم أن </w:t>
      </w:r>
      <w:bookmarkStart w:id="271" w:name="pg15658_146954"/>
    </w:p>
    <w:p>
      <w:pPr>
        <w:pStyle w:val="BookText"/>
        <w:rPr/>
      </w:pPr>
      <w:bookmarkEnd w:id="271"/>
      <w:r>
        <w:rPr>
          <w:rFonts w:ascii="Amiri" w:hAnsi="Amiri" w:eastAsia="Amiri" w:cs="Amiri"/>
          <w:color w:val="111111"/>
          <w:sz w:val="28"/>
          <w:sz w:val="28"/>
          <w:szCs w:val="28"/>
          <w:rtl w:val="true"/>
          <w:lang w:bidi="ar-SA"/>
        </w:rPr>
        <w:t>ينكر اعتبار النبي حجة من قبل الله على العباد، وعندها يصعب إطلاق صفة المسلم عليه، بل يستحيل ذلك</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1030407_2142443653"/>
      <w:bookmarkStart w:id="273" w:name="_Toc99"/>
      <w:bookmarkEnd w:id="272"/>
      <w:r>
        <w:rPr>
          <w:rtl w:val="true"/>
        </w:rPr>
        <w:t xml:space="preserve">هـ </w:t>
      </w:r>
      <w:r>
        <w:rPr>
          <w:rtl w:val="true"/>
        </w:rPr>
        <w:t xml:space="preserve">- </w:t>
      </w:r>
      <w:r>
        <w:rPr>
          <w:rtl w:val="true"/>
        </w:rPr>
        <w:t>حجية الإمام علي</w:t>
      </w:r>
      <w:r>
        <w:rPr>
          <w:rtl w:val="true"/>
        </w:rPr>
        <w:t>(</w:t>
      </w:r>
      <w:r>
        <w:rPr>
          <w:rtl w:val="true"/>
        </w:rPr>
        <w:t>علیه السّلام</w:t>
      </w:r>
      <w:r>
        <w:rPr>
          <w:rtl w:val="true"/>
        </w:rPr>
        <w:t>)</w:t>
      </w:r>
      <w:r>
        <w:rPr>
          <w:rtl w:val="true"/>
        </w:rPr>
        <w:t xml:space="preserve">في طول حجية النبي وحجية الله </w:t>
      </w:r>
      <w:r>
        <w:rPr>
          <w:rtl w:val="true"/>
        </w:rPr>
        <w:t>:</w:t>
      </w:r>
      <w:bookmarkEnd w:id="273"/>
    </w:p>
    <w:p>
      <w:pPr>
        <w:pStyle w:val="BookText"/>
        <w:rPr/>
      </w:pPr>
      <w:r>
        <w:rPr>
          <w:rFonts w:ascii="IRNazanin" w:hAnsi="IRNazanin" w:eastAsia="IRNazanin"/>
          <w:color w:val="111111"/>
          <w:sz w:val="28"/>
          <w:sz w:val="28"/>
          <w:szCs w:val="28"/>
          <w:rtl w:val="true"/>
          <w:lang w:bidi="fa-IR"/>
        </w:rPr>
        <w:t>من الجدير ذكره أن الشيعة يعتبرون حجية وإطاعة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حجية الله ورسوله، وإن الشيعة يقرون بإرجاع حجية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والنبي، ولكن حيث لا حجة إلهية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النبوة، فإنه ستحل محلها حجية إلهية أخرى من جنس الإمامة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 للروايات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سيخلف النبي في جميع شؤون النبوة من قبيل المرجعية وتفسير الدين، ولزوم إطاعته، وإن كلامه سيكون ملاكاً وحجة على الآخرين مثل كلام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حجية الإمام مأخوذة ومتفرعة عن حجية الرسول، لا يعني سلب وعدم اعتبار حجية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توهم الناقد المحترم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محمد حسين الطباطبائي بعد تمسكه بالروايات الكثيرة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الغدير والسفينة والثقلين والمنزلة والإنذار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عن النبي أن كلام أهل بيته مثل كلامه، وطبقاً لهذا الحديث وغيره من الأحاديث النبوية القطعية الأخرى يكون كلام أهل البيت تالي تلو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كان لأهل البيت فى الإسلام صفة المرجعية العلمية، وعليه لا يصح عليهم الخطأ في بيان المعارف والأحكام الإسلامية، وبذلك يكون كلامهم الصادر عنهم مباشرة أو بنقل الناقل الموثوق حجة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74" w:name="pg15658_146955"/>
    </w:p>
    <w:p>
      <w:pPr>
        <w:pStyle w:val="BookText"/>
        <w:rPr/>
      </w:pPr>
      <w:bookmarkEnd w:id="274"/>
      <w:r>
        <w:rPr>
          <w:rFonts w:ascii="Amiri" w:hAnsi="Amiri" w:eastAsia="Amiri" w:cs="Amiri"/>
          <w:color w:val="111111"/>
          <w:sz w:val="28"/>
          <w:sz w:val="28"/>
          <w:szCs w:val="28"/>
          <w:rtl w:val="true"/>
          <w:lang w:bidi="ar-SA"/>
        </w:rPr>
        <w:t>وسيأتي في بحث تشريع الأئمة أن روايات الأئمة إنما تكتسب الحجية الذاتية بسبب مقام العصمة، وكذلك ارتباطهم بعالم الغيب عن طريق الإلهام والعلم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العمل بالروايات المأثورة عنهم</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1030409_2142443653"/>
      <w:bookmarkStart w:id="276" w:name="_Toc100"/>
      <w:bookmarkEnd w:id="275"/>
      <w:r>
        <w:rPr>
          <w:rtl w:val="true"/>
        </w:rPr>
        <w:t>البرقعي وتمسكه بالأدلة النقلية في تقرير الشبهة</w:t>
      </w:r>
      <w:r>
        <w:rPr>
          <w:rtl w:val="true"/>
        </w:rPr>
        <w:t>:</w:t>
      </w:r>
      <w:bookmarkEnd w:id="276"/>
    </w:p>
    <w:p>
      <w:pPr>
        <w:pStyle w:val="Heading4"/>
        <w:numPr>
          <w:ilvl w:val="3"/>
          <w:numId w:val="1"/>
        </w:numPr>
        <w:rPr/>
      </w:pPr>
      <w:bookmarkStart w:id="277" w:name="__RefHeading___Toc11030411_2142443653"/>
      <w:bookmarkStart w:id="278" w:name="_Toc101"/>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لقد عثرت أثناء بحثي في مؤلفات أصحاب شبهة تعارض حجية الأئمة مع أصل الخاتمية، على دليلين من القرآن والسنة، وفيما يأتي نستعرض هذين الدليلين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030413_2142443653"/>
      <w:bookmarkStart w:id="280" w:name="_Toc102"/>
      <w:bookmarkEnd w:id="279"/>
      <w:r>
        <w:rPr>
          <w:rtl w:val="true"/>
        </w:rPr>
        <w:t xml:space="preserve">أ </w:t>
      </w:r>
      <w:r>
        <w:rPr>
          <w:rtl w:val="true"/>
        </w:rPr>
        <w:t xml:space="preserve">- </w:t>
      </w:r>
      <w:r>
        <w:rPr>
          <w:rtl w:val="true"/>
        </w:rPr>
        <w:t>دلالة القرآن على خاتمية الحجة الإلهية؟</w:t>
      </w:r>
      <w:r>
        <w:rPr>
          <w:rtl w:val="true"/>
        </w:rPr>
        <w:t>!</w:t>
      </w:r>
      <w:bookmarkEnd w:id="280"/>
    </w:p>
    <w:p>
      <w:pPr>
        <w:pStyle w:val="BookText"/>
        <w:rPr/>
      </w:pPr>
      <w:r>
        <w:rPr>
          <w:rFonts w:ascii="Amiri" w:hAnsi="Amiri" w:eastAsia="Amiri" w:cs="Amiri"/>
          <w:color w:val="111111"/>
          <w:sz w:val="28"/>
          <w:sz w:val="28"/>
          <w:szCs w:val="28"/>
          <w:rtl w:val="true"/>
          <w:lang w:bidi="ar-SA"/>
        </w:rPr>
        <w:t>لقد زعم أحد أصحاب هذه الشبهة أنه عثر بعد جهد جهيد على آية تدل بزعمه على نفي وجود حجة بعد الأنبياء، وهى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مُبَشِّرِينَ وَمُنذِرِينَ لأَلَّا يَكُونَ لِلنَّاسِ عَلَى الله حُجَّةٌ بَعْدَ الرُّسُلِ</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صاحب الشبهة هذه الآية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لم ينصب أحداً بعدالرسل حجة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وجود في الإسلام بحكم هذه الآية لحجة بعد الأنبياء، ولا يوحى لأحد بعد الرسل، في حين يذهب الإمامية إلى اعتباركل إمام حجة، والقول بحجية كل معمم وكلام كل قطب وإمام</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ضعف هذا الدليل مما تقدم، ولكننا مع ذلك نجد ضرورة لذكر </w:t>
      </w:r>
      <w:bookmarkStart w:id="281" w:name="pg15658_146956"/>
    </w:p>
    <w:p>
      <w:pPr>
        <w:pStyle w:val="BookText"/>
        <w:rPr/>
      </w:pPr>
      <w:bookmarkEnd w:id="281"/>
      <w:r>
        <w:rPr>
          <w:rFonts w:ascii="Amiri" w:hAnsi="Amiri" w:eastAsia="Amiri" w:cs="Amiri"/>
          <w:color w:val="111111"/>
          <w:sz w:val="28"/>
          <w:sz w:val="28"/>
          <w:szCs w:val="28"/>
          <w:rtl w:val="true"/>
          <w:lang w:bidi="ar-SA"/>
        </w:rPr>
        <w:t>بعض الأمور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الآية الشريفة في مقام بيان فلسفة بعث الأنبياء وتبيينه، بمعنى أن بعضهم قد تصور أنه مع وجود د العقل البشري، لا تكون هناك حاجة إلى النبوة، أو أنه كان من الممكن أن يعلل بعض الناس عدم إيمانهم بالله والآخرة في يوم القيامة بعدم إتمام الحجة الإلهية عليهم، من هنا جاءت الآية الشريفة لتؤكد ضرورة بعث الأنبياء فى هذا السياق، حيث تقول إن الله قد بعث على طول التاريخ أنبياء بالبشارة والإنذار كي لا يبقى أي عذر لصالح الناس على الله سبحانه وتعالى، وإن المراد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إرسال الرسل لا تكون هناك حجة وذريعة لصالح الملحدين، ولا تعني عدم وجود من يتصف بالحجة بعد الرسل</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يدرك القارئ الكريم أن الآية ليست في مقام بحث خاتمية الأنبياء والحجج الإلهية كي يتم توظيفها في القول بانتهاء مرحلة تحقق الحجة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يتضح من المسألة السابقة أن المراد من الحجة في الآية الشريفة يعني الدليل والمستمسك الذي يمكن للملحدين أن يتمسكوا به للاحتجاج على الله، وليس له علاقة بالأنبياء والأئمة لا من قريب ولا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أقصى ما تدل عليه هذه الآية هو خاتمية ونهاية مجيء الرسل، وهذا أمر متفق عليه من قبل الجميع</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030415_2142443653"/>
      <w:bookmarkStart w:id="283" w:name="_Toc103"/>
      <w:bookmarkEnd w:id="282"/>
      <w:r>
        <w:rPr>
          <w:rtl w:val="true"/>
        </w:rPr>
        <w:t xml:space="preserve">ب </w:t>
      </w:r>
      <w:r>
        <w:rPr>
          <w:rtl w:val="true"/>
        </w:rPr>
        <w:t xml:space="preserve">- </w:t>
      </w:r>
      <w:r>
        <w:rPr>
          <w:rtl w:val="true"/>
        </w:rPr>
        <w:t>كلام الإمام علي</w:t>
      </w:r>
      <w:r>
        <w:rPr>
          <w:rtl w:val="true"/>
        </w:rPr>
        <w:t>(</w:t>
      </w:r>
      <w:r>
        <w:rPr>
          <w:rtl w:val="true"/>
        </w:rPr>
        <w:t>علیه السّلام</w:t>
      </w:r>
      <w:r>
        <w:rPr>
          <w:rtl w:val="true"/>
        </w:rPr>
        <w:t>)</w:t>
      </w:r>
      <w:r>
        <w:rPr>
          <w:rtl w:val="true"/>
        </w:rPr>
        <w:t>في خاتمية الحجة الإلهية؟</w:t>
      </w:r>
      <w:r>
        <w:rPr>
          <w:rtl w:val="true"/>
        </w:rPr>
        <w:t>!</w:t>
      </w:r>
      <w:bookmarkEnd w:id="2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الدليل الثاني الذي يستند إليه صاحب الشبهة فيتلخص في فقرة من </w:t>
      </w:r>
    </w:p>
    <w:p>
      <w:pPr>
        <w:pStyle w:val="BookText"/>
        <w:rPr/>
      </w:pPr>
      <w:r>
        <w:rPr>
          <w:rFonts w:ascii="IRNazanin" w:hAnsi="IRNazanin" w:eastAsia="IRNazanin"/>
          <w:color w:val="111111"/>
          <w:sz w:val="28"/>
          <w:sz w:val="28"/>
          <w:szCs w:val="28"/>
          <w:rtl w:val="true"/>
          <w:lang w:bidi="fa-IR"/>
        </w:rPr>
        <w:t>فقرات نهج البلاغة، حيث يروى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بنبينا محمد حجته</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صاحب هذه الشبهة الحجّة هنا أيضاً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حجة الله قد ختمت بمجيء النبي محمد، وبعده لا يكون هناك من يتصف بأنه حجة على العباد</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نقد هذا الدليل نشير إلى المسائل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أصحاب هذا النوع من الشبهات يدفعون الروايات المأثورة من قبل المحدثين عن الأئمة الأطهار تحت كل ذريعة وينكرونها من خلال القول</w:t>
      </w:r>
    </w:p>
    <w:p>
      <w:pPr>
        <w:pStyle w:val="BookText"/>
        <w:rPr/>
      </w:pPr>
      <w:r>
        <w:rPr>
          <w:rFonts w:ascii="IRNazanin" w:hAnsi="IRNazanin" w:eastAsia="IRNazanin"/>
          <w:color w:val="111111"/>
          <w:sz w:val="28"/>
          <w:sz w:val="28"/>
          <w:szCs w:val="28"/>
          <w:rtl w:val="true"/>
          <w:lang w:bidi="fa-IR"/>
        </w:rPr>
        <w:t>بأنها من وضع واختلاق المحدثين أنفسهم، أو القول بأن فضائل الأئمة ومناقبهم يجب عدم إثباتها برواية الأئمة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صاحب الشبهة هنا إذ حسب هذه الرواية المروية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لصالحه نسي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البحث الأخلاقي والمنطقي يقتضي من الإنسان والباحث أن يلتزم بما ألزم به نفسه دائماً وعلى كل حال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ظاهر خطبة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يدل على مدعى صاحب شبهة عدم انسجام حجية الإمام مع أصل الخاتمية؛ ذلك لأنه عمد إلى فصل الفقرة التى استشهد بها لمدّعاه عن سياقها، وبذلك أراد الوصول إلى غايته من </w:t>
      </w:r>
    </w:p>
    <w:p>
      <w:pPr>
        <w:pStyle w:val="BookText"/>
        <w:rPr/>
      </w:pPr>
      <w:r>
        <w:rPr>
          <w:rFonts w:ascii="IRNazanin" w:hAnsi="IRNazanin" w:eastAsia="IRNazanin"/>
          <w:color w:val="111111"/>
          <w:sz w:val="28"/>
          <w:sz w:val="28"/>
          <w:szCs w:val="28"/>
          <w:rtl w:val="true"/>
          <w:lang w:bidi="fa-IR"/>
        </w:rPr>
        <w:t>خلال تقطيع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 الكامل في خطبة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كالآتي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تعاهدهم بالحجج على ألسن الخيرة من أنبيائه ومتحمّلي ودائع رسالته قرناً فقرناً حتى تمت بنبينا محمد حجته وبلغ المقطع عذره ونذره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وكما يلحظ القارئ الكريم 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الكلام بصدد التأكيد على بعث الأنبياء في كل فترة زمنية، حيث يرسل الله الرسل لهداية البشر، إلا أن هذه العملية لا تستمر ولابد لها من نقطة تقف عندها، وهي التي يصطلح عليها بنقطة الخاتمية، التي بلغت غايتها وخاتميتها بظهور أكمل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 لن نشهد ظهور نبي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مراد الحجة في 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الحجة السماوية الذي تدل عليه الفقرة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الناظرة إلى بعث الأنبياء في كل فترة 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والفقرة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الانتهاء وقطع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فإن المراد من الحجة هو الدليل والمستمسك الذي من أجله أتم الله حجته واحتجاجه على الناس، وهي الحجة التي تحققت في إطار ظهور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ذيل الرواية يدل على انقطاع عذر الناس وحجتهم بظهور 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ابن أبي الحديد هذا المقطع من كلام أمير المؤمنين بهذا المعنى،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النبوة دون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لم يبلغ بعده رسول ينتظر</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يفهم من كلام أمير المؤمنين المتقدم أنه لن يأتي بعد رحيل رسول الله إمام ديني منتجب من قبل الله في غير مقام النبوة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قوله إن هذه الفقرة مجملة ومتشابهة، والحكم في مثلها هو الرجوع إلى </w:t>
      </w:r>
    </w:p>
    <w:p>
      <w:pPr>
        <w:pStyle w:val="BookText"/>
        <w:rPr/>
      </w:pPr>
      <w:r>
        <w:rPr>
          <w:rFonts w:ascii="IRNazanin" w:hAnsi="IRNazanin" w:eastAsia="IRNazanin"/>
          <w:color w:val="111111"/>
          <w:sz w:val="28"/>
          <w:sz w:val="28"/>
          <w:szCs w:val="28"/>
          <w:rtl w:val="true"/>
          <w:lang w:bidi="fa-IR"/>
        </w:rPr>
        <w:t>النصوص الأخرى المأثورة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والدليل الآخر على أن المراد من إتمام الحجة هو إتمام النبوة وليس الحجة الإلهية، هي الأدلة النقلية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والتي تدل على استمرار الحجة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تقدم من وصف النبي لنفسه وللإمام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أنا وهذا حجة الله على خلقه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وصف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بأنه حجة الله؛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عليكم من الله الحجّة البالغة؛ فلا تتولّوا قوماً غضب الله عليهم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بعدم خلو الأرض من حجة إلهية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ويؤكد بأن هذه الحجة إما أن تكون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كان بالنسبة إلى الأئمة المعصومين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الأرض من قائم بحجة، إما ظاهراً مشهوراً، وإما خائفاً مغموراً؛ لئلا تبطل حجج الله</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أكد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الخطبة الأولى من خطب نهج البلاغة على عدم خلوّ الخلق من نبي وحجة،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 الله سبحانه خلقه من نبي مرسل أو كتاب منزل، أو حجّة لازمة أو محجّة قائمة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284" w:name="pg15658_146960"/>
    </w:p>
    <w:p>
      <w:pPr>
        <w:pStyle w:val="BookText"/>
        <w:rPr/>
      </w:pPr>
      <w:bookmarkEnd w:id="284"/>
      <w:r>
        <w:rPr>
          <w:rFonts w:ascii="IRNazanin" w:hAnsi="IRNazanin" w:eastAsia="IRNazanin"/>
          <w:color w:val="111111"/>
          <w:sz w:val="28"/>
          <w:sz w:val="28"/>
          <w:szCs w:val="28"/>
          <w:rtl w:val="true"/>
          <w:lang w:bidi="fa-IR"/>
        </w:rPr>
        <w:t>وقد جعل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في هذه الخطبة رديفاً للنبي المرسل وفي عرضه ؛ وهو أمر يفهم منه أنهما متغايران ومختلفان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أنه لو كان أصل الخاتمية يدل على خاتمية الحجة الإلهية بشكل مطلق، لما أكد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وكذلك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استمرارها؛ إذ أنهما هما المفسران الحقيقيان للدين، وهما اللذان يعلمان المراد من القرآن بما في ذلك هذه الآية التي استند إليها صاحب الشبهة في إثبات شبهته</w:t>
      </w:r>
      <w:r>
        <w:rPr>
          <w:rFonts w:eastAsia="IRNazanin" w:cs="IRNazanin"/>
          <w:color w:val="111111"/>
          <w:sz w:val="28"/>
          <w:szCs w:val="28"/>
          <w:rtl w:val="true"/>
          <w:lang w:bidi="fa-IR"/>
        </w:rPr>
        <w:t>.</w:t>
      </w:r>
    </w:p>
    <w:p>
      <w:pPr>
        <w:pStyle w:val="Heading4"/>
        <w:numPr>
          <w:ilvl w:val="3"/>
          <w:numId w:val="1"/>
        </w:numPr>
        <w:rPr/>
      </w:pPr>
      <w:bookmarkStart w:id="285" w:name="__RefHeading___Toc11030417_2142443653"/>
      <w:bookmarkStart w:id="286" w:name="_Toc104"/>
      <w:bookmarkEnd w:id="285"/>
      <w:r>
        <w:rPr>
          <w:rtl w:val="true"/>
        </w:rPr>
        <w:t xml:space="preserve">ج </w:t>
      </w:r>
      <w:r>
        <w:rPr>
          <w:rtl w:val="true"/>
        </w:rPr>
        <w:t xml:space="preserve">- </w:t>
      </w:r>
      <w:r>
        <w:rPr>
          <w:rtl w:val="true"/>
        </w:rPr>
        <w:t>حصر الحجة بالنبي والعقل</w:t>
      </w:r>
      <w:r>
        <w:rPr>
          <w:rtl w:val="true"/>
        </w:rPr>
        <w:t>:</w:t>
      </w:r>
      <w:bookmarkEnd w:id="286"/>
    </w:p>
    <w:p>
      <w:pPr>
        <w:pStyle w:val="BookText"/>
        <w:rPr/>
      </w:pPr>
      <w:r>
        <w:rPr>
          <w:rFonts w:ascii="IRNazanin" w:hAnsi="IRNazanin" w:eastAsia="IRNazanin"/>
          <w:color w:val="111111"/>
          <w:sz w:val="28"/>
          <w:sz w:val="28"/>
          <w:szCs w:val="28"/>
          <w:rtl w:val="true"/>
          <w:lang w:bidi="fa-IR"/>
        </w:rPr>
        <w:t>كما تمسك صاحب الشبهة برواية أخرى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تحصر الحجة في حجتين لا ثالث لهما،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إذ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 والحجة فيما بين العباد وبين الله عز وجل العقل</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ويبدو من ظاهر الرواية حصر الحجّة بالنبي والعقل، ولو كان الإمام حجة أيضاً؛ لذكرته الرواية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الرواية في مقام بيان حجة الله على الإنسان، وإنّها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خارجية وسماوية تتمثل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وحجة داخلية تتمثل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فإن الحديث يشير بشكل عام إلى حجتين مستقلتين عن </w:t>
      </w:r>
    </w:p>
    <w:p>
      <w:pPr>
        <w:pStyle w:val="BookText"/>
        <w:rPr/>
      </w:pPr>
      <w:r>
        <w:rPr>
          <w:rFonts w:ascii="IRNazanin" w:hAnsi="IRNazanin" w:eastAsia="IRNazanin"/>
          <w:color w:val="111111"/>
          <w:sz w:val="28"/>
          <w:sz w:val="28"/>
          <w:szCs w:val="28"/>
          <w:rtl w:val="true"/>
          <w:lang w:bidi="fa-IR"/>
        </w:rPr>
        <w:t>بعضهما،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هي حدود الحجة بعد النبي؟ فإن الحديث ليس في وارد بيانها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أن حجية الإمام متفرعة عن حجيّة جمیع النبي وفي طولها، لم يشر الحديث إلى الأفراد والمصاديق الطولية لحجية النبي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بغض النظر عن الفقرة السابقة،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الحصر المذكور في الرواية ليس حصراً حقيقياً وإنما هو من قبيل الحصر الإضافي والاعتباري، بمعنى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 لم يكن بصدد بيان أقسام الموضوع، وإنما هو بصدد الاهتمام ببيان مصاديقه البارزة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هناك روايات أخرى تشير إلى مصاديق أخرى بوصفها حجة الله أيضاً، من قبيل القرآن الكريم، وهو ما ذكره صاحب الشبهة، أو وصف الأئمة بأنهم حجج الله على ما تقدّم تفصيله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 حمل الحصر في هذه الرواية على الحصر الحقيقي لزم من ذلك تكذيب الروايات الأخرى، في حين يمكن حمل لسان هذه الرواية على</w:t>
      </w:r>
    </w:p>
    <w:p>
      <w:pPr>
        <w:pStyle w:val="BookText"/>
        <w:rPr/>
      </w:pPr>
      <w:r>
        <w:rPr>
          <w:rFonts w:ascii="Amiri" w:hAnsi="Amiri" w:eastAsia="Amiri" w:cs="Amiri"/>
          <w:color w:val="111111"/>
          <w:sz w:val="28"/>
          <w:sz w:val="28"/>
          <w:szCs w:val="28"/>
          <w:rtl w:val="true"/>
          <w:lang w:bidi="ar-SA"/>
        </w:rPr>
        <w:t>الحصر الإضافي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وأخيراً إذا كان من منهج صاحب الشبهة أن يستدل بروايات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عليه عدم الاجتزاء بمورد خاص فقط، بل عليه الاستدلال بجميع الروايات المأثورة عنهم فيما يتعلق بالحجية، وأن يقارن بعضها ببعض للخروج بنتيجة صحيحة ونظرية جامعة مستفادة من مجموع الروايات، لا أن يأخذ منها ما وافق مدعاه بحسب الظاهر، ويذر ما لا يأتى على وفق مشربه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87" w:name="pg15658_146962"/>
    </w:p>
    <w:p>
      <w:pPr>
        <w:pStyle w:val="Heading3"/>
        <w:numPr>
          <w:ilvl w:val="2"/>
          <w:numId w:val="1"/>
        </w:numPr>
        <w:rPr/>
      </w:pPr>
      <w:bookmarkStart w:id="288" w:name="__RefHeading___Toc11030419_2142443653"/>
      <w:bookmarkStart w:id="289" w:name="_Toc105"/>
      <w:bookmarkEnd w:id="287"/>
      <w:bookmarkEnd w:id="288"/>
      <w:r>
        <w:rPr>
          <w:rtl w:val="true"/>
        </w:rPr>
        <w:t>الشبهة الخامسة</w:t>
      </w:r>
      <w:r>
        <w:rPr>
          <w:rtl w:val="true"/>
        </w:rPr>
        <w:t xml:space="preserve">: </w:t>
      </w:r>
      <w:r>
        <w:rPr>
          <w:rtl w:val="true"/>
        </w:rPr>
        <w:t>عدم انسجام الإلهام والولاية الباطنية للإمام مع الخاتمية</w:t>
      </w:r>
      <w:r>
        <w:rPr>
          <w:rtl w:val="true"/>
        </w:rPr>
        <w:t>:</w:t>
      </w:r>
      <w:bookmarkEnd w:id="289"/>
    </w:p>
    <w:p>
      <w:pPr>
        <w:pStyle w:val="Heading4"/>
        <w:numPr>
          <w:ilvl w:val="3"/>
          <w:numId w:val="1"/>
        </w:numPr>
        <w:rPr/>
      </w:pPr>
      <w:bookmarkStart w:id="290" w:name="__RefHeading___Toc11030421_2142443653"/>
      <w:bookmarkStart w:id="291" w:name="_Toc106"/>
      <w:bookmarkEnd w:id="290"/>
      <w:r>
        <w:rPr>
          <w:rtl w:val="true"/>
        </w:rPr>
        <w:t>اشارة</w:t>
      </w:r>
      <w:bookmarkEnd w:id="291"/>
    </w:p>
    <w:p>
      <w:pPr>
        <w:pStyle w:val="BookText"/>
        <w:rPr/>
      </w:pPr>
      <w:r>
        <w:rPr>
          <w:rFonts w:ascii="IRNazanin" w:hAnsi="IRNazanin" w:eastAsia="IRNazanin"/>
          <w:color w:val="111111"/>
          <w:sz w:val="28"/>
          <w:sz w:val="28"/>
          <w:szCs w:val="28"/>
          <w:rtl w:val="true"/>
          <w:lang w:bidi="fa-IR"/>
        </w:rPr>
        <w:t>يذهب الشيعة إلى الاعتقاد بأن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الإثنى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يتصلون بعالم الغيب والملائكة، وأن الملائكة كانت تتنزل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هذا الأمر للأئمة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في الروايات بعبارات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ملهمون</w:t>
      </w:r>
      <w:r>
        <w:rPr>
          <w:rFonts w:eastAsia="IRNazanin" w:cs="IRNazanin"/>
          <w:color w:val="111111"/>
          <w:sz w:val="28"/>
          <w:szCs w:val="28"/>
          <w:rtl w:val="true"/>
          <w:lang w:bidi="fa-IR"/>
        </w:rPr>
        <w:t>»</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ينسجم مع أصل خاتمية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أن ذكرنا عبارة الشاه ولي الدهلوي في هذا الشأن حيث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لي أن الإمام في مصطلح الشيعة معصوم ومفترض الطاعة ومنصوب للخلق، ويجوزون عليه الوحي الباطني، وبذلك يكونون في الحقيقة منكرين لخاتمية النبوة</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القول بعصمتهم ووجوب إطاعتهم وامتلاكهم للروح الباطنية لا يختلف عن القول بالنبوة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أشار مؤلف آخر إلى نزول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أثناء الصلاة، وعَدَّ ذلك منافياً للنبوة والخاتمية، وقال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ينزل جبرائيل بالوحي على غير النبي؟</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292" w:name="pg15658_146963"/>
    </w:p>
    <w:p>
      <w:pPr>
        <w:pStyle w:val="BookText"/>
        <w:rPr/>
      </w:pPr>
      <w:bookmarkEnd w:id="292"/>
      <w:r>
        <w:rPr>
          <w:rFonts w:ascii="Amiri" w:hAnsi="Amiri" w:eastAsia="Amiri" w:cs="Amiri"/>
          <w:color w:val="111111"/>
          <w:sz w:val="28"/>
          <w:sz w:val="28"/>
          <w:szCs w:val="28"/>
          <w:rtl w:val="true"/>
          <w:lang w:bidi="ar-SA"/>
        </w:rPr>
        <w:t>وقال الدكتور سروش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يمكن فهم الكلام القائل باعتبار الإمامة شرطا في كمال الدين، واعتبار الأئمة متصلين بالوحي الباطني والقول بعصمتهم، وافتراض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يتنافى مع الخاتمية؟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بنقد هذه الشبهة يجدر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030423_2142443653"/>
      <w:bookmarkStart w:id="294" w:name="_Toc107"/>
      <w:bookmarkEnd w:id="293"/>
      <w:r>
        <w:rPr>
          <w:rtl w:val="true"/>
        </w:rPr>
        <w:t xml:space="preserve">أ </w:t>
      </w:r>
      <w:r>
        <w:rPr>
          <w:rtl w:val="true"/>
        </w:rPr>
        <w:t xml:space="preserve">- </w:t>
      </w:r>
      <w:r>
        <w:rPr>
          <w:rtl w:val="true"/>
        </w:rPr>
        <w:t>تحقق الإلهام والاتصال الغيبي لغير الأنبياء</w:t>
      </w:r>
      <w:r>
        <w:rPr>
          <w:rtl w:val="true"/>
        </w:rPr>
        <w:t>:</w:t>
      </w:r>
      <w:bookmarkEnd w:id="294"/>
    </w:p>
    <w:p>
      <w:pPr>
        <w:pStyle w:val="BookText"/>
        <w:rPr/>
      </w:pPr>
      <w:r>
        <w:rPr>
          <w:rFonts w:ascii="Amiri" w:hAnsi="Amiri" w:eastAsia="Amiri" w:cs="Amiri"/>
          <w:color w:val="111111"/>
          <w:sz w:val="28"/>
          <w:sz w:val="28"/>
          <w:szCs w:val="28"/>
          <w:rtl w:val="true"/>
          <w:lang w:bidi="ar-SA"/>
        </w:rPr>
        <w:t>إن النقطة الأولى التى تستحق الذكر هنا هى أن أصحاب هذه الشبهة لم يلتفتوا إلى العناصر الأساسية للنبوة، وقد تقدم أن النبوة تعني الاتصال بعالم الغيب وبملك الوحي بالتحديد والحصول على الوحي والشريعة، أو في الحد الأدنى دعوى رؤية ملك الوحي في إبلاغ الرسالة الإلهية القائم على تبليغ وحماية الشريعة السابقة والذي يتحقق بالنسبة إلى الأنبياء الرساليين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مجرد الارتباط بعالم الغيب وملائكة الله ومن بينهم جبرائيل لغير الحصول على الوحي والشريعة الجديدة، بل من باب الحصول على العلم الإلهامي أو مجرد التكليم ونزول الفضل والنعمة الإلهية مما لا يعد مصداقاً للنبوة، </w:t>
      </w:r>
    </w:p>
    <w:p>
      <w:pPr>
        <w:pStyle w:val="BookText"/>
        <w:rPr/>
      </w:pPr>
      <w:r>
        <w:rPr>
          <w:rFonts w:ascii="Amiri" w:hAnsi="Amiri" w:eastAsia="Amiri" w:cs="Amiri"/>
          <w:color w:val="111111"/>
          <w:sz w:val="28"/>
          <w:sz w:val="28"/>
          <w:szCs w:val="28"/>
          <w:rtl w:val="true"/>
          <w:lang w:bidi="ar-SA"/>
        </w:rPr>
        <w:t>وإن أصل الخاتمية لا يتنافى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آيات من القرآن الكريم مع تعمم الاتصال الغيبي على غير الأنبياء، وتتحدث عن وقوع ذلك، وفيما يأتي نشير إلى أمثلة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الوحي لأم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تحدّث القرآن عن أم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وأنها بعد ولادته خافت عليه من القتل على يد جلاوزة الطاغية فرعون، فأوحى الله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 من التدقيق هنا إلى أن القرآن قد استعمل مفردة الوحي، وقد حملها المفسرون على 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ترضعه وان تلقيه في النيل، إذ يقول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وَأَوْحَيْنَا إِلَى أُمِّ مُوسَى أَنْ أَرْضِعِيهِ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أَوْحَيْنَا إِلَى أُمِّكَ مَا يُوحَى</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يتضح هنا حصول أم موسى على نوع من الوحي والاتصال الغیبی، وأنها قد امتثلت لنداء هذا الوحي وألقت وليدها في النيل، وعليه يثبت أن الوحى والإلهام لا يختص بالأنبياء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الأشخاص الذين حصلوا على شرف العناية الإلهية الخاصة هو لقمان الحكيم الذي تحدث القرآن عن تزويد الله له بالحكمة، ومن ذلك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لُقْمَانَ الحِكْمَةَ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الخضر طبقاً لبعض الأقوال لم يكن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Amiri" w:hAnsi="Amiri" w:eastAsia="Amiri" w:cs="Amiri"/>
          <w:color w:val="111111"/>
          <w:sz w:val="28"/>
          <w:sz w:val="28"/>
          <w:szCs w:val="28"/>
          <w:rtl w:val="true"/>
          <w:lang w:bidi="ar-SA"/>
        </w:rPr>
        <w:t>أمر وقع فيه النزاع</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وصفه الله بالكثير من الألقاب الرفيعة والعبارات السامية،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وآتيناه رحمة من عندنا، والعلم اللدني، وقد جمعها 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الآية لا تبيّن كيفية الاهتمام الخاص الذي أولاه الله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فى ذلك كيفية إعطائه العلم اللدنى، ولكن حيث أن الله تعالى ينسب تعليم الخضر إلى نفسه، يتضح وجود نوع من الاتصال الغيبي بين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وعالم الغيب، وأن هذا الاتصال الغيبي هو الذي أفضى إلى حصول الخضر على ذلك العلم اللدني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الملائكة على مريم العذراء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الآخر من موارد نزول الملائكة على غير الأنبياء يظهر من خلال نزول الملك على سيدتنا مريم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نزل إليها وكلمها وبشرها بحملها بعيسى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 من دون أب، إذ يقول تعالى</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اقْتُتِي لِرَبِّكِ وَاسْجُدِي وَارْكَعِي مَعَ الرَّاكِعِينَ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رَبِّ أَنَّى يَكُونُ لِي وَلَدٌ وَلَمْ يَمْسَسْنِي</w:t>
      </w:r>
    </w:p>
    <w:p>
      <w:pPr>
        <w:pStyle w:val="BookText"/>
        <w:rPr/>
      </w:pPr>
      <w:r>
        <w:rPr>
          <w:rFonts w:ascii="Amiri" w:hAnsi="Amiri" w:eastAsia="Amiri" w:cs="Amiri"/>
          <w:color w:val="111111"/>
          <w:sz w:val="28"/>
          <w:sz w:val="28"/>
          <w:szCs w:val="28"/>
          <w:rtl w:val="true"/>
          <w:lang w:bidi="ar-SA"/>
        </w:rPr>
        <w:t>بَشَرٌ قَالَ كَذَلِكِ الله يَخْلُقُ مَا يَشَاءُ إِذَا قَضَى أَمْرًا فَإِنَّمَا يَقُولُ لَهُ كُنْ فَيَكُونُ</w:t>
      </w:r>
      <w:r>
        <w:rPr>
          <w:rStyle w:val="FootnoteAnchor"/>
          <w:rtl w:val="true"/>
        </w:rPr>
        <w:footnoteReference w:id="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الآيات الكريمة لا تتحدث عن مجرد نزول الملائكة على السيدة مريم فقط، وإنما تضيف إلى ذلك حصول التحاور بينها وبينهم، مما يؤكد على أن نزول الملائكة على غير الأنبياء وحصول التحاور والتخاطب بينهما أمر ممكن بل واقع، وعليه لا تكون هناك أي غرابة في إمكان نزول الوحي على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ووقوع ذلك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الثاني أن الملائكة أطلقت على حوارها مع السيدة مريم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الوحي، وأن بعض الأخبار المنقولة منهم إلى السيدة مريم هي من أخبار الغيب، مما يدلّ بدوره أيضاً على إمكان نزول أخبار الغيب الإلهي على غير النبي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الثالث أن هذه الآيات تدل على إمكان وجود شخصية يتم اصطفاؤها من قبل الله من غير الأنبياء،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إِنَّ الله اصْطَفَاكِ وَطَهَّرَكِ وَاصْطَفَاكِ عَلَى نِسَاءِ الْعَالَمِينَ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نتساءل هل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التي كان لها والد مثل 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،وزوج مثل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شأناً من السيدة مريم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شك في أن السيدة فاطمة الزهراء إذا لم تكن أعظم شأناً من السيدة مريم العذراء فلا أقل من تساويها معها في الرتبة والمنزلة، وعليه تزول الشبهة ولا يعد نزول الوحي على غير النبي منافياً للخاتمية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الوحي على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الآخر من موارد تأكيد </w:t>
      </w:r>
    </w:p>
    <w:p>
      <w:pPr>
        <w:pStyle w:val="BookText"/>
        <w:rPr/>
      </w:pPr>
      <w:r>
        <w:rPr>
          <w:rFonts w:ascii="IRNazanin" w:hAnsi="IRNazanin" w:eastAsia="IRNazanin"/>
          <w:color w:val="111111"/>
          <w:sz w:val="28"/>
          <w:sz w:val="28"/>
          <w:szCs w:val="28"/>
          <w:rtl w:val="true"/>
          <w:lang w:bidi="fa-IR"/>
        </w:rPr>
        <w:t>القرآن الكريم على نزول الوحي على غير الأنبياء، يكمن في الحديث عن نزول الوحى على المخلصين والأوفياء من أصحاب السيد المسيح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الذين يعرفون بالحواريين؛ إذ يقول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أَوْحَيْتُ إِلَى الْحَوَارِيِّينَ أَنْ آمِنُوا بِي وَبِرَسُولِي قَالُوا آمَنَّا وَاشْهَدْ بِأَنَّنَا مُسْلِمُونَ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النوع من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لتفاسير أهل السنة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الإلهام والإلقاء في القلب والروع</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الملائكة على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الأمثلة القرآنية على نزول الوحي على غير الأنبياء كان يخص أشخاصاً بعينهم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في القرآن الكريم نماذج وأمثلة أخرى تتحدث عن نزول الوحي على جماعات كلية، وهي تثبت بدورها إمكان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الملائكة على بعض الناس، من قبيل قوله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يُنَزِّلُ الْمَلائِكَةَ بِالرُّوحِ مِنْ أَمْرِهِ عَلَى مَنْ يَشَاءُ مِنْ عِبَادِهِ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الشريفة تتحدّث عن نزول الملائكة على مطلق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بطبيعة الحال من أولئك الذين يخلصون العبادة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وعممها عليهم ولم يرد ذكر للأنبياء في البين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w:t>
      </w:r>
    </w:p>
    <w:p>
      <w:pPr>
        <w:pStyle w:val="BookText"/>
        <w:rPr/>
      </w:pPr>
      <w:r>
        <w:rPr>
          <w:rFonts w:ascii="Amiri" w:hAnsi="Amiri" w:eastAsia="Amiri" w:cs="Amiri"/>
          <w:color w:val="111111"/>
          <w:sz w:val="28"/>
          <w:sz w:val="28"/>
          <w:szCs w:val="28"/>
          <w:rtl w:val="true"/>
          <w:lang w:bidi="ar-SA"/>
        </w:rPr>
        <w:t xml:space="preserve">تَخَافُوا وَلَا تَحْزَنُوا وَأَبْشِرُوا بِالجُنَّةِ الَّتِي كُنتُمْ تُوعَدُونَ كُنتُمْ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تؤكد بدورها على تنزل الملائكة على أولئك الذين يستقيمون في سبيل الله، وتذكر بأن الملائكة ينصرون من يستقيم على هذه الطريق فى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 في تفسير كون الملائكة أولياء للمؤمنين في الدنيا والآخرة،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معنى كونهم أولياء للمؤمنين أن للملائكة تأثيرات في الأرواح البشرية بالإلهامات والمكاشفات اليقينية والمقامات الحقيقية</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حوار الملائكة مع المجتبين من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الموارد المتقدمة تؤكد على تصريح القرآن بنزول الوحي والإلهام على غير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القرآن الكريم هناك في السنة النبوية ما يؤكد ذلك أيضاً، من قبيل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فيمن كان قبلكم من بني إسرائيل يكلمون من غير أن يكونوا أنبياء</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هذه الرواية تأكيد على كلام الملائکة مع بعض بني إسرائيل، وهناك تصريح في ذيل الرواية بكونهم من غير الأنبياء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ولوضوح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الارتباط الغيبي لغير الأنبياء بعالم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نكتفي بهذا المقدار، وهناك آيات وروايات أخرى تؤكد على هذا النوع من الارتباط، من قبيل ذي القرنين وصاحب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حيث تحدثت الروايات الكثيرة عنهم بالتفصيل، وتحدثت أيضاً عن كيفية ارتباط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 والملائكة، ونحن هنا نحيل القارئ الكريم إلى المصادر في الهامش فليراجع</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رؤية البعض لعالم 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الارتباط بعالم الغيب ورؤية عالم البرزخ وحالات الجنة والنار ممكنة بل واقعة لبعض الناس الكاملين في 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على ذلك حادثة الحارثة بن مالك الشهيرة في التاريخ، ومجملها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رآه بعد صلاة الفجر وقد ابيض وجهه من خشية الله،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فوصف له ما رآه من حالات اليقين ومشاهد الجنة والنار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صور مولانا البلخي هذه الحادثة في المثنوي بشكل رائع وبديع</w:t>
      </w:r>
      <w:r>
        <w:rPr>
          <w:rStyle w:val="FootnoteAnchor"/>
          <w:rtl w:val="true"/>
        </w:rPr>
        <w:footnoteReference w:id="3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أشخاص كاملين رفع الحجاب عن أبصارهم، وتمكنوا من مشاهدة عالم الغيب والبرزخ</w:t>
      </w:r>
      <w:r>
        <w:rPr>
          <w:rFonts w:eastAsia="IRNazanin" w:cs="IRNazanin"/>
          <w:color w:val="111111"/>
          <w:sz w:val="28"/>
          <w:szCs w:val="28"/>
          <w:rtl w:val="true"/>
          <w:lang w:bidi="fa-IR"/>
        </w:rPr>
        <w:t xml:space="preserve">. </w:t>
      </w:r>
      <w:bookmarkStart w:id="295" w:name="pg15658_146970"/>
    </w:p>
    <w:p>
      <w:pPr>
        <w:pStyle w:val="BookText"/>
        <w:rPr/>
      </w:pPr>
      <w:bookmarkEnd w:id="295"/>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بكونه 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الكثير من المواطن على علمه الغيبي واللدني، كما وصف علمه بكونه من الإلهام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ألهمني الله عزّ وجل علم ما فيه</w:t>
      </w:r>
      <w:r>
        <w:rPr>
          <w:rFonts w:eastAsia="IRNazanin" w:cs="IRNazanin"/>
          <w:color w:val="111111"/>
          <w:sz w:val="28"/>
          <w:szCs w:val="28"/>
          <w:rtl w:val="true"/>
          <w:lang w:bidi="fa-IR"/>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من ذلك في هامش شبهة علم الغيب</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1030425_2142443653"/>
      <w:bookmarkStart w:id="297" w:name="_Toc108"/>
      <w:bookmarkEnd w:id="296"/>
      <w:r>
        <w:rPr>
          <w:rtl w:val="true"/>
        </w:rPr>
        <w:t xml:space="preserve">ب </w:t>
      </w:r>
      <w:r>
        <w:rPr>
          <w:rtl w:val="true"/>
        </w:rPr>
        <w:t>-</w:t>
      </w:r>
      <w:r>
        <w:rPr>
          <w:rtl w:val="true"/>
        </w:rPr>
        <w:t xml:space="preserve">مقام الإمامة والولاية أسمى من مقام النبوة </w:t>
      </w:r>
      <w:r>
        <w:rPr>
          <w:rtl w:val="true"/>
        </w:rPr>
        <w:t>(</w:t>
      </w:r>
      <w:r>
        <w:rPr>
          <w:rtl w:val="true"/>
        </w:rPr>
        <w:t>رؤية عرفانية</w:t>
      </w:r>
      <w:r>
        <w:rPr>
          <w:rtl w:val="true"/>
        </w:rPr>
        <w:t>):</w:t>
      </w:r>
      <w:bookmarkEnd w:id="297"/>
    </w:p>
    <w:p>
      <w:pPr>
        <w:pStyle w:val="BookText"/>
        <w:rPr/>
      </w:pPr>
      <w:r>
        <w:rPr>
          <w:rFonts w:ascii="Amiri" w:hAnsi="Amiri" w:eastAsia="Amiri" w:cs="Amiri"/>
          <w:color w:val="111111"/>
          <w:sz w:val="28"/>
          <w:sz w:val="28"/>
          <w:szCs w:val="28"/>
          <w:rtl w:val="true"/>
          <w:lang w:bidi="ar-SA"/>
        </w:rPr>
        <w:t xml:space="preserve">تقدم أن أشرنا في الصفحات السابقة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نفسه القدسية يتصل بعالم الغيب، ويحصل من طريق الوحى على شريعة سماوية؛ فيقوم بدعوة الناس إليها ، أو في الحد الأدنى يعمل على التبليغ أو الترويج إلى الشريعة السابقة بعد إزالة ما تراكم عليها من آفات التحريف، ويصطلح على القسم الأول بالنبوة التشريعة، وعلى القسم الثاني بالنبوة التبليغية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بين الأنبياء من يتشرف بالإضافة إلى الارتباط الغيبي والحصل على شريعة سماوية، يحظى بارتباط خاص مع مقام الألوهية القدسي، وهو يمثل المقام الأعلى والكامل للمكاشفة ومواجهة التجليات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والمصداق الواضح على ذلك هو إعطاء مقام الإمامة من قبل الله لسيدنا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مضي سنوات من حصوله على مقام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يتضح أن مقام الإمامة يفوق مقام النبوة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يطرح العرفاء المسلمون نظرية أصالة مقام الولاية وجوهريته وتقدمه على مقام النبوة، بحيث أن الأشخاص الذين يتمتعون بمقام الولاية </w:t>
      </w:r>
    </w:p>
    <w:p>
      <w:pPr>
        <w:pStyle w:val="BookText"/>
        <w:rPr/>
      </w:pPr>
      <w:r>
        <w:rPr>
          <w:rFonts w:ascii="Amiri" w:hAnsi="Amiri" w:eastAsia="Amiri" w:cs="Amiri"/>
          <w:color w:val="111111"/>
          <w:sz w:val="28"/>
          <w:sz w:val="28"/>
          <w:szCs w:val="28"/>
          <w:rtl w:val="true"/>
          <w:lang w:bidi="ar-SA"/>
        </w:rPr>
        <w:t>والإمامة من خلال اتصالهم بالملائكة بحسب المصطلح الديني، أو العقل المجرد بحسب المصطلح الفلسفي والعرفاني، يمكنه من خلال ذلك الحصول على الأسرار والأخبار الغيبية والذي يتضمن التعاليم الدينية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النوع من الاتصال بالأمر القدسي رهن بأن يتمتع الشخص بنفس زكية ومتكاملة،</w:t>
      </w:r>
    </w:p>
    <w:p>
      <w:pPr>
        <w:pStyle w:val="BookText"/>
        <w:rPr/>
      </w:pPr>
      <w:r>
        <w:rPr>
          <w:rFonts w:ascii="Amiri" w:hAnsi="Amiri" w:eastAsia="Amiri" w:cs="Amiri"/>
          <w:color w:val="111111"/>
          <w:sz w:val="28"/>
          <w:sz w:val="28"/>
          <w:szCs w:val="28"/>
          <w:rtl w:val="true"/>
          <w:lang w:bidi="ar-SA"/>
        </w:rPr>
        <w:t>ولا يكون ذلك إلا بعناية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النوع من المواجهة مع الأمر القدسي لا يأتي من طريق الوحي الاصطلاحي والحصول على الشريعة، كي يصدق عليه عنوان النبوة وخاصة النبوة التشريعية، ويصطدم مع أصل الخاتمية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العارف الشهير محيي الدين ابن عربي في هذا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الولاية هي الفلك المحيط العام، ولهذا لم ينقطع، ولها الإنباء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نبوة التشريع والرسالة فمنقطعة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انقطعت، فلا ني بعده مشرعاً أو مشرعاً له، ولا رسول وهو المشرع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الله لطيف بعباده، فأبقى لهم النبوة العامة التي لا تشريع فيها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العفيفي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فالخليفة عن الرسول من يأخذ الحكم بالنقل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بالاجتهاد الذي أصله أيضاً منقول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وفينا من لا وفينا من يأخذه عن الله الله، فيكون خليفة عن بعين ذلك الحكم، فتكون المادة له من حيث كانت المادة لرسوله صلى الله عليه وسلم</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98" w:name="pg15658_146972"/>
    </w:p>
    <w:p>
      <w:pPr>
        <w:pStyle w:val="BookText"/>
        <w:rPr/>
      </w:pPr>
      <w:bookmarkEnd w:id="298"/>
      <w:r>
        <w:rPr>
          <w:rFonts w:ascii="IRNazanin" w:hAnsi="IRNazanin" w:eastAsia="IRNazanin"/>
          <w:color w:val="111111"/>
          <w:sz w:val="28"/>
          <w:sz w:val="28"/>
          <w:szCs w:val="28"/>
          <w:rtl w:val="true"/>
          <w:lang w:bidi="fa-IR"/>
        </w:rPr>
        <w:t>وقد أشار ابن عربي إلى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بلغ نقطة الكمال والذروة في كلا المقامين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النبوة والولاية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الآخرين كانوا تابعين له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الأساس من الممكن أن يظهر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مرحلة خاتمية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أناس يبلغون نقطة التكامل المعنوي ومقام الولاية، فيتشرفون بالحصول على العناية الإلهية، وبذلك يرتبطون بعالم الغيب ودرجاته المختلفة، ويحصلون على الأخبار الغيبية من تلك الناحية، وإن وجود أمثال هؤلاء الأشخاص لا يتنافى مع أصل الخاتمية؛ لأنهم لا يدّعون مقام النبوة والحصول على شريعة جديدة أو إبلاغ الوحي، في حين أن أصل الخاتمية إنما يتحقق من خلال هذين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أصل الادعاء القائل بإمكان التواصل مع عالم الغيب لغير الأنبياء ونزول الملائكة عليهم أمر ممكن ومطابق للآيات القرآنية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تطبيق هذا الأمر على مصاديقه فهو بحث آخر يأتي ضمن العنوان الآتي</w:t>
      </w:r>
      <w:r>
        <w:rPr>
          <w:rFonts w:eastAsia="IRNazanin" w:cs="IRNazanin"/>
          <w:color w:val="111111"/>
          <w:sz w:val="28"/>
          <w:szCs w:val="28"/>
          <w:rtl w:val="true"/>
          <w:lang w:bidi="fa-IR"/>
        </w:rPr>
        <w:t>.</w:t>
      </w:r>
    </w:p>
    <w:p>
      <w:pPr>
        <w:pStyle w:val="Heading4"/>
        <w:numPr>
          <w:ilvl w:val="3"/>
          <w:numId w:val="1"/>
        </w:numPr>
        <w:rPr/>
      </w:pPr>
      <w:bookmarkStart w:id="299" w:name="__RefHeading___Toc11030427_2142443653"/>
      <w:bookmarkStart w:id="300" w:name="_Toc109"/>
      <w:bookmarkEnd w:id="299"/>
      <w:r>
        <w:rPr>
          <w:rtl w:val="true"/>
        </w:rPr>
        <w:t xml:space="preserve">ج </w:t>
      </w:r>
      <w:r>
        <w:rPr>
          <w:rtl w:val="true"/>
        </w:rPr>
        <w:t xml:space="preserve">- </w:t>
      </w:r>
      <w:r>
        <w:rPr>
          <w:rtl w:val="true"/>
        </w:rPr>
        <w:t>اعتراف أهل السنة بأصل الإلهام والمكاشفة</w:t>
      </w:r>
      <w:r>
        <w:rPr>
          <w:rtl w:val="true"/>
        </w:rPr>
        <w:t>:</w:t>
      </w:r>
      <w:bookmarkEnd w:id="300"/>
    </w:p>
    <w:p>
      <w:pPr>
        <w:pStyle w:val="BookText"/>
        <w:rPr/>
      </w:pPr>
      <w:r>
        <w:rPr>
          <w:rFonts w:ascii="Amiri" w:hAnsi="Amiri" w:eastAsia="Amiri" w:cs="Amiri"/>
          <w:color w:val="111111"/>
          <w:sz w:val="28"/>
          <w:sz w:val="28"/>
          <w:szCs w:val="28"/>
          <w:rtl w:val="true"/>
          <w:lang w:bidi="ar-SA"/>
        </w:rPr>
        <w:t xml:space="preserve">لقد أقرّ أكثر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المتكلمين والمحدثين والمفسرين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وجود الإلهام والمكاشفة لغير الأنبياء؛ لأن المسألة إذا كانت واردة في نص القرآن، لم تجز مخالفتها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ذهب المفسرون من أهل السنة، مثلما ذهب المفسرون من الشيعة في تفسير آيات الإلهام والوحي لغير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الصفحات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تفسير الوحى إلى غير الأنبياء بالإلهام والإلقاء في القلب ونوع من المكاشفة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مشاهير علماء أهل السنة حيث يعرف </w:t>
      </w:r>
    </w:p>
    <w:p>
      <w:pPr>
        <w:pStyle w:val="BookText"/>
        <w:rPr/>
      </w:pPr>
      <w:r>
        <w:rPr>
          <w:rFonts w:ascii="Amiri" w:hAnsi="Amiri" w:eastAsia="Amiri" w:cs="Amiri"/>
          <w:color w:val="111111"/>
          <w:sz w:val="28"/>
          <w:sz w:val="28"/>
          <w:szCs w:val="28"/>
          <w:rtl w:val="true"/>
          <w:lang w:bidi="ar-SA"/>
        </w:rPr>
        <w:t xml:space="preserve">بمنهجه السلفي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بإمكان الإلهام لآحاد المؤمنين،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الإلهام يكون لآحاد المؤمنين</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 ولكنه يستطرد بعد ذلك انسجاماً مع انتمائه لأهل السنة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 من كان من أهل الإلهام والمكاشفة لم يكن أفضل من عمر</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الفخر الرازى فى تفسير الآية الحادية والثلاثين من سورة فصلت إلى التأكيد على تأثير الملائكة في النفوس البشرية من طريق الإلهام والمكاشفة والمقامات المعنوية، على ما تقدمت عبارته في هامش صفحة سابقة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عبد الوهاب الشعراني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في الولي غايته الإلهام الموافق لشريعة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الفتح، فلا يعمل به مستقلاً لأن نبوة التشريع قد انقطعت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فيصير ملك الإلهام ينبؤهم ذلك الولي شريعة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ويطلعه على أسرارها حتى كأنه أخذها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علاوة على ذلك نجد المصادر الروائية لأهل السنة مفعمة بوصف بعض رجالاتهم مثل عمر بن الخطاب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xml:space="preserve">،ولازم ذلك أنه ملهم وتنزل </w:t>
      </w:r>
      <w:bookmarkStart w:id="301" w:name="pg15658_146974"/>
    </w:p>
    <w:p>
      <w:pPr>
        <w:pStyle w:val="BookText"/>
        <w:rPr/>
      </w:pPr>
      <w:bookmarkEnd w:id="301"/>
      <w:r>
        <w:rPr>
          <w:rFonts w:ascii="IRNazanin" w:hAnsi="IRNazanin" w:eastAsia="IRNazanin"/>
          <w:color w:val="111111"/>
          <w:sz w:val="28"/>
          <w:sz w:val="28"/>
          <w:szCs w:val="28"/>
          <w:rtl w:val="true"/>
          <w:lang w:bidi="fa-IR"/>
        </w:rPr>
        <w:t>عليه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الغزالي رواية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أمتي محدثين، وإن عمر من بينهم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يتبادر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الإلهام ونزول الملائكة والحصول على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 عمر بن الخطاب الذي أمضى عمراً في الكفر وعبادة الأوثان، لا يتنافى أو يتناقض مع مقام النبوة والخاتمية؟ ولكنه ما أن يتم الحديث عن الإلهام لشخصية مثل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 لم يشرك</w:t>
      </w:r>
    </w:p>
    <w:p>
      <w:pPr>
        <w:pStyle w:val="BookText"/>
        <w:rPr/>
      </w:pPr>
      <w:r>
        <w:rPr>
          <w:rFonts w:ascii="IRNazanin" w:hAnsi="IRNazanin" w:eastAsia="IRNazanin"/>
          <w:color w:val="111111"/>
          <w:sz w:val="28"/>
          <w:sz w:val="28"/>
          <w:szCs w:val="28"/>
          <w:rtl w:val="true"/>
          <w:lang w:bidi="fa-IR"/>
        </w:rPr>
        <w:t>صلى الله بالله طرفة عين، وتربى 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ونهل من معين الوحي منذ نعومة أظفاره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تثور ثائرة أمثال الدهلوى والدكتور سروش، ويقلقون بشأن المساس بالخاتمية؟</w:t>
      </w:r>
      <w:r>
        <w:rPr>
          <w:rFonts w:eastAsia="IRNazanin" w:cs="IRNazanin"/>
          <w:color w:val="111111"/>
          <w:sz w:val="28"/>
          <w:szCs w:val="28"/>
          <w:rtl w:val="true"/>
          <w:lang w:bidi="fa-IR"/>
        </w:rPr>
        <w:t>!</w:t>
      </w:r>
    </w:p>
    <w:p>
      <w:pPr>
        <w:pStyle w:val="Heading4"/>
        <w:numPr>
          <w:ilvl w:val="3"/>
          <w:numId w:val="1"/>
        </w:numPr>
        <w:rPr/>
      </w:pPr>
      <w:bookmarkStart w:id="302" w:name="__RefHeading___Toc11030429_2142443653"/>
      <w:bookmarkStart w:id="303" w:name="_Toc110"/>
      <w:bookmarkEnd w:id="302"/>
      <w:r>
        <w:rPr>
          <w:rtl w:val="true"/>
        </w:rPr>
        <w:t xml:space="preserve">د </w:t>
      </w:r>
      <w:r>
        <w:rPr>
          <w:rtl w:val="true"/>
        </w:rPr>
        <w:t xml:space="preserve">- </w:t>
      </w:r>
      <w:r>
        <w:rPr>
          <w:rtl w:val="true"/>
        </w:rPr>
        <w:t>التصريح بالروح الباطنية للأئمة في الروايات النبوية</w:t>
      </w:r>
      <w:r>
        <w:rPr>
          <w:rtl w:val="true"/>
        </w:rPr>
        <w:t>:</w:t>
      </w:r>
      <w:bookmarkEnd w:id="303"/>
    </w:p>
    <w:p>
      <w:pPr>
        <w:pStyle w:val="BookText"/>
        <w:rPr/>
      </w:pPr>
      <w:r>
        <w:rPr>
          <w:rFonts w:ascii="IRNazanin" w:hAnsi="IRNazanin" w:eastAsia="IRNazanin"/>
          <w:color w:val="111111"/>
          <w:sz w:val="28"/>
          <w:sz w:val="28"/>
          <w:szCs w:val="28"/>
          <w:rtl w:val="true"/>
          <w:lang w:bidi="fa-IR"/>
        </w:rPr>
        <w:t>لقد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وأهل بيته في كثير من الروايات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الرسالة، ومختلف الملائكة ومعدن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أمر يدل على العناية الخاصة من قبل الله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نص واحدة من تلك الروايات، يقول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بيت طهرهم الله من شجرة النبوة، وموضع الرسالة، ومختلف الملائكة، وبيت الرحمة، ومعدن العلم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الفيل أَثَرَ أُمِّهِ، يَرْفَعُ لِي فِي كُلِّ يَوْم عَلَا مِنْ أَخْلاقِهِ، وَيَأْمُرُنِي بِالْإِفْتِدَاءِ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روى ابن أبي الحديد المعتزلي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مماثلة للرواية المتقدمة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بيت النبوة، وموضع الرسالة ومختلف الملائكة، وعنصر الرحمة ومعدن العلم والحكمة </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كثير من الروايات المأثورة في المصادر الروائية الشيعية بشأن تمتع الأئمة بالروح الباطنية والحصول على الإلهام من قبل الملائكة، وقد بحثها الشيخ الكليني في الكافي</w:t>
      </w:r>
      <w:r>
        <w:rPr>
          <w:rStyle w:val="FootnoteAnchor"/>
          <w:rtl w:val="true"/>
        </w:rPr>
        <w:footnoteReference w:id="389"/>
      </w:r>
      <w:r>
        <w:rPr>
          <w:rFonts w:ascii="Amiri" w:hAnsi="Amiri" w:eastAsia="Amiri" w:cs="Amiri"/>
          <w:color w:val="111111"/>
          <w:sz w:val="28"/>
          <w:sz w:val="28"/>
          <w:szCs w:val="28"/>
          <w:rtl w:val="true"/>
          <w:lang w:bidi="ar-SA"/>
        </w:rPr>
        <w:t>، والعلامة المجلسي في بحار الأنوار</w:t>
      </w:r>
      <w:r>
        <w:rPr>
          <w:rStyle w:val="FootnoteAnchor"/>
          <w:rtl w:val="true"/>
        </w:rPr>
        <w:footnoteReference w:id="390"/>
      </w:r>
      <w:r>
        <w:rPr>
          <w:rFonts w:ascii="Amiri" w:hAnsi="Amiri" w:eastAsia="Amiri" w:cs="Amiri"/>
          <w:color w:val="111111"/>
          <w:sz w:val="28"/>
          <w:sz w:val="28"/>
          <w:szCs w:val="28"/>
          <w:rtl w:val="true"/>
          <w:lang w:bidi="ar-SA"/>
        </w:rPr>
        <w:t>بالتفصيل</w:t>
      </w:r>
      <w:r>
        <w:rPr>
          <w:rFonts w:eastAsia="Amiri" w:cs="Amiri" w:ascii="Amiri" w:hAnsi="Amiri"/>
          <w:color w:val="111111"/>
          <w:sz w:val="28"/>
          <w:szCs w:val="28"/>
          <w:rtl w:val="true"/>
          <w:lang w:bidi="ar-SA"/>
        </w:rPr>
        <w:t xml:space="preserve">. </w:t>
      </w:r>
      <w:bookmarkStart w:id="304" w:name="pg15658_146976"/>
    </w:p>
    <w:p>
      <w:pPr>
        <w:pStyle w:val="Heading4"/>
        <w:numPr>
          <w:ilvl w:val="3"/>
          <w:numId w:val="1"/>
        </w:numPr>
        <w:rPr/>
      </w:pPr>
      <w:bookmarkStart w:id="305" w:name="__RefHeading___Toc11030431_2142443653"/>
      <w:bookmarkStart w:id="306" w:name="_Toc111"/>
      <w:bookmarkEnd w:id="304"/>
      <w:bookmarkEnd w:id="305"/>
      <w:r>
        <w:rPr>
          <w:rtl w:val="true"/>
        </w:rPr>
        <w:t xml:space="preserve">هـ </w:t>
      </w:r>
      <w:r>
        <w:rPr>
          <w:rtl w:val="true"/>
        </w:rPr>
        <w:t xml:space="preserve">- </w:t>
      </w:r>
      <w:r>
        <w:rPr>
          <w:rtl w:val="true"/>
        </w:rPr>
        <w:t>الجواب النقضي على شبهة الدهلوي والدكتور سروش</w:t>
      </w:r>
      <w:r>
        <w:rPr>
          <w:rtl w:val="true"/>
        </w:rPr>
        <w:t>:</w:t>
      </w:r>
      <w:bookmarkEnd w:id="306"/>
    </w:p>
    <w:p>
      <w:pPr>
        <w:pStyle w:val="BookText"/>
        <w:rPr/>
      </w:pPr>
      <w:r>
        <w:rPr>
          <w:rFonts w:ascii="IRNazanin" w:hAnsi="IRNazanin" w:eastAsia="IRNazanin"/>
          <w:color w:val="111111"/>
          <w:sz w:val="28"/>
          <w:sz w:val="28"/>
          <w:szCs w:val="28"/>
          <w:rtl w:val="true"/>
          <w:lang w:bidi="fa-IR"/>
        </w:rPr>
        <w:t>لقد جهد الشاه ولي الله الدهلوي بمختلف السبل والحيل إلى نقد وجرح الإلهام والوحي الباطني بالنسبة إلى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تقدم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أقام صرح استدلاله على رؤيا شاهدها، وقد ادعى فيها أنه تشرف برؤية روح النبي، وسأله عن مذهب التشيع؛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رأيت روح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المنام فسألته عن مذهب التشيّع ؛ فأجابني بأنه مذهب باطل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الذي يفرض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الرؤيا التي رآها ولي الله الدهلوي من المنامات الصادقة، وأنه قد اتصل حقاً بروح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،ونجح في أن يسأل روح النبي الأكرم وأن يحصل منه على جواب سؤاله؟ أم أنها كانت رؤيا كاذبة، وأن ما رآه الدهلوي كان مجرد وهم وخيال باطل؟</w:t>
      </w:r>
    </w:p>
    <w:p>
      <w:pPr>
        <w:pStyle w:val="BookText"/>
        <w:rPr/>
      </w:pPr>
      <w:r>
        <w:rPr>
          <w:rFonts w:ascii="IRNazanin" w:hAnsi="IRNazanin" w:eastAsia="IRNazanin"/>
          <w:color w:val="111111"/>
          <w:sz w:val="28"/>
          <w:sz w:val="28"/>
          <w:szCs w:val="28"/>
          <w:rtl w:val="true"/>
          <w:lang w:bidi="fa-IR"/>
        </w:rPr>
        <w:t>إن الجواب عن هذا السؤال لا تخلو من إحدى حالتين؛ لإنها إما أن تكون بالإيجاب أو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بالإيجاب وكان الدهلوي حقاً قد نجح في الاتصال بروح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اتضح من خلال ذلك أن الارتباط بعالم الغيب والملكوت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على شكل الارتباط بروح النبي الأكرم ولو من طريق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ممكن، بل واقع لشخص مثل ولي الله الدهلوي، كما نعلم أن الوحي إلى بعض الأنبياء كان يتم من خلال الرؤى والأحلام الصادقة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الفرض نطرح السؤال 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سمح الدهلوي لنفسه أن يثبت إمكان الإلهام والمكاشفة لنفسه، ويمنع حصوله لأئمة الشيعة العلام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 أهل السنة يقرون قطعاً بأفضلية مقام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وسائر الأئمة </w:t>
      </w:r>
    </w:p>
    <w:p>
      <w:pPr>
        <w:pStyle w:val="BookText"/>
        <w:rPr/>
      </w:pPr>
      <w:r>
        <w:rPr>
          <w:rFonts w:ascii="IRNazanin" w:hAnsi="IRNazanin" w:eastAsia="IRNazanin"/>
          <w:color w:val="111111"/>
          <w:sz w:val="28"/>
          <w:sz w:val="28"/>
          <w:szCs w:val="28"/>
          <w:rtl w:val="true"/>
          <w:lang w:bidi="fa-IR"/>
        </w:rPr>
        <w:t>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مقام الدهلوي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يتحمل أن يكون للأئمة ما يبيحه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يتصور الدهلوي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 في العرفان والولاية الباطنية فوق مقام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ومضافاً إلى ذلك فإنه على هذا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إدعاؤه المكاشفة ورفضه حصول الإلهام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ادعاء الرؤيا متهافتاً مع استدلاله،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أخذت أتأمل في لفظ الإمام؛ فاتضح لي أن الإمام في فلما أفقت من نومي مصطلح الشيعة معصوم ومفترض الطاعة ومنصوب للخلق، ويجوزون عليه الوحي الباطني، وبذلك يكونون في الحقيقة منكرين الخاتمية النبوة</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يسعى الدهلوي في هذا الاستدلال إلى اثبات أن كل نوع من أنواع الوحي الباطني يخالف النبوة والخاتمية، في حين أنه يدعي لنفسه الوحي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الثانية فهي القول بأن الرؤيا التي رآها الدهلوي كانت كاذبة، وأن ما تصوره روح النبي الأكرم لم يكن سوى وهم وخيال، ونحن نميل إلى هذا الجواب، وعليه يكون ما رآه مجرد حلم لا قيمة له، ولا تكون هناك من حاجة إلى الإجابة عن الاستدلال الذي رتبه على ذلك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الدكتور سروش فقد ذهب إلى بسط التجربة النبوية في الكثير من مواضعه، وأثبتها لأمثال شمس التبريزي، ومن ذلك قوله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التجربة النبوية مستمرة طبعاً؛ لأن تجليات الله لا تنضب ولا تنتهي، نحن لا نستطيع القول إن الله تجلى للنبي، وبعد ذلك أغلق باب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w:t>
      </w:r>
    </w:p>
    <w:p>
      <w:pPr>
        <w:pStyle w:val="BookText"/>
        <w:rPr/>
      </w:pPr>
      <w:r>
        <w:rPr>
          <w:rFonts w:ascii="IRNazanin" w:hAnsi="IRNazanin" w:eastAsia="IRNazanin"/>
          <w:color w:val="111111"/>
          <w:sz w:val="28"/>
          <w:sz w:val="28"/>
          <w:szCs w:val="28"/>
          <w:rtl w:val="true"/>
          <w:lang w:bidi="fa-IR"/>
        </w:rPr>
        <w:t>التجلي سوف يتواصل، وسوف يستمر من خلال كل شخص بما يتناسب وظرفیته</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لا يكتفى بمجرد بسط التجربة النبوية، وإنما يقول حتى بإمكان النبوة نفسها، وذلك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يمكن لكل شخص أن يكون رسولاً؟ يجب الإذعان بإمكان أن يكون شخص نبياً فيما بينه وبين نفسه، وأن تعرض عليه بعض الحالات الخاصة، وأن يكون واجداً لبعض حالات الوجد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شعوري بالنسبة إلى بعض العظام من أمثال شمس التبريزي تقريباً</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يرد سؤال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يعمد الدكتور سروش من جهة إلى القول بإمكان بسط التجربة النبوية بل وبإمكان الاتصال الباطني بعالم الغيب على شاكلة النبوة بالنسبة إلى أمثال شمس التبريزي، ولكن عندما يتصل الأمر بالأئمة المعصومين من أمثال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يضن عليه بما جاد به على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في ذلك تناقضاً وتهافتاً واضحاً؟ أم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في صنف أولئك الذين يحسدون أهل البيت على ما آتاهم الله من فضله على ما جاء في بعض الروايات؟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 فإن الدكتور سروش ينكر من جهة إمكان الولاية الباطنية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من جهة أخرى يرى إمكان النبوة بعد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يريد بذلك نفس ما يريده العرفاء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بيانه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اتضح أن </w:t>
      </w:r>
    </w:p>
    <w:p>
      <w:pPr>
        <w:pStyle w:val="BookText"/>
        <w:rPr/>
      </w:pPr>
      <w:r>
        <w:rPr>
          <w:rFonts w:ascii="IRNazanin" w:hAnsi="IRNazanin" w:eastAsia="IRNazanin"/>
          <w:color w:val="111111"/>
          <w:sz w:val="28"/>
          <w:sz w:val="28"/>
          <w:szCs w:val="28"/>
          <w:rtl w:val="true"/>
          <w:lang w:bidi="fa-IR"/>
        </w:rPr>
        <w:t>جوهر النبوة هو الولاية والإمامة، وفي هذه الصورة لا ينبغي استكثار الإلهام والولاية الباطنية على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كان إمكان النبوة أمراً آخراً، كان ما قاله متهافتاً ومخالفاً لأصل الخاتمية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الأخرى المتبقية في هذا الشأن هي أن الدكتور سروش ربما اعتقد بأن الإلهام والروح الباطنية ثابتة للأئمة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كلامه لا يوحي بذلك، على ما نقلناه في بداية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يرى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أنه يقصرها على الإمام بوصفه صاحب تجربة فتكون</w:t>
      </w:r>
    </w:p>
    <w:p>
      <w:pPr>
        <w:pStyle w:val="BookText"/>
        <w:rPr/>
      </w:pPr>
      <w:r>
        <w:rPr>
          <w:rFonts w:ascii="Amiri" w:hAnsi="Amiri" w:eastAsia="Amiri" w:cs="Amiri"/>
          <w:color w:val="111111"/>
          <w:sz w:val="28"/>
          <w:sz w:val="28"/>
          <w:szCs w:val="28"/>
          <w:rtl w:val="true"/>
          <w:lang w:bidi="ar-SA"/>
        </w:rPr>
        <w:t>حجة عليه فقط، ولا تتعدى إلى الآخرين</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الصورة يجب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منافاة تفسير الإمامة بامتلاك الوحي الباطني مع أصل الخاتمية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يعود إلى شبهة اعتبار حجية الأئمة والتي تقدم تعرضنا إلى أدلتها ومبانيها في الصفحات السابقة بالتفصيل، فإذا كان يقول بالروح الباطنية للإمام، فإن حجية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بأدلة الحجية التي تقدم ذكرها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الدكتور سروش فيما يتعلق بالتجارب الدينية للعرفاء يقول بالتعدي، ويرى أن هذه التجارب متمّمة للتجربة الدينية التي خاضها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حيث إن الوحي تجربة دينية، وإن التجربة الدينية تحدث بالنسبة إلى غير النبي من الناس، فإن تجارب الآخرين الدينية تعمل </w:t>
      </w:r>
      <w:bookmarkStart w:id="307" w:name="pg15658_146980"/>
    </w:p>
    <w:p>
      <w:pPr>
        <w:pStyle w:val="BookText"/>
        <w:rPr/>
      </w:pPr>
      <w:bookmarkEnd w:id="307"/>
      <w:r>
        <w:rPr>
          <w:rFonts w:ascii="Amiri" w:hAnsi="Amiri" w:eastAsia="Amiri" w:cs="Amiri"/>
          <w:color w:val="111111"/>
          <w:sz w:val="28"/>
          <w:sz w:val="28"/>
          <w:szCs w:val="28"/>
          <w:rtl w:val="true"/>
          <w:lang w:bidi="ar-SA"/>
        </w:rPr>
        <w:t>على إثراء الدين وتطويره، ومع مرور الزمن يزداد الدين اتساعاً من هنا فإن التجارب الدينية للعرفاء تكون متممة ومكملة للتجربة الدينية التي خاضها النبي</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التجارب الدينية للعرفاء متممة ومكملة لتجربة النبی، ألا يتنافى هذا الكلام مع أصل الخاتمية ؟ فلماذا لا تكون التجارب الدينية للأئمة وإلهاماتهم مكملة لتجربة النبي الدينية؟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تكون إمامتهم مكملة لأصل الخاتمية؟ أليس في هذا الكلام تهافتاً وتناقضاً؟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وسيكن لنا هناك مزيد من الكلام بهذا الشأن في الفصل السادس على هامش شبهة إنكار الولاية التكوينية للإئمة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308" w:name="__RefHeading___Toc11030433_2142443653"/>
      <w:bookmarkStart w:id="309" w:name="_Toc112"/>
      <w:bookmarkEnd w:id="308"/>
      <w:r>
        <w:rPr>
          <w:rtl w:val="true"/>
        </w:rPr>
        <w:t>الشبهة السادسة</w:t>
      </w:r>
      <w:r>
        <w:rPr>
          <w:rtl w:val="true"/>
        </w:rPr>
        <w:t xml:space="preserve">: </w:t>
      </w:r>
      <w:r>
        <w:rPr>
          <w:rtl w:val="true"/>
        </w:rPr>
        <w:t>عدم انسجام الولاية التشريعية للإمام مع كمال الدين وخاتميته</w:t>
      </w:r>
      <w:r>
        <w:rPr>
          <w:rtl w:val="true"/>
        </w:rPr>
        <w:t>:</w:t>
      </w:r>
      <w:bookmarkEnd w:id="309"/>
    </w:p>
    <w:p>
      <w:pPr>
        <w:pStyle w:val="Heading4"/>
        <w:numPr>
          <w:ilvl w:val="3"/>
          <w:numId w:val="1"/>
        </w:numPr>
        <w:rPr/>
      </w:pPr>
      <w:bookmarkStart w:id="310" w:name="__RefHeading___Toc11030435_2142443653"/>
      <w:bookmarkStart w:id="311" w:name="_Toc113"/>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إن من بين معاني أو لوازم الخاتمية، انتهاء التشريع والتقنين الإلهي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أغلقت برحيله أبواب السماء، ولم يعد بالإمكان وضع حكم أو أحكام في باب الشريعة أو نسخها، وبحسب تعبير الروايات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لازم القول بجامعية وكمال الدين الخاتم، هو القول بشمولية وجامعية قوانينه، وإذا التزمنا بإمكان التشريع والتقنين بعد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كان ذلك منافياً للقول بكمال الدين وخاتميته، وسوف يلزم من ذلك أن دين الإسلام لم يكن جامعاً وكاملاً في عصر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تم إكماله فيما بعد على يد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القول بأصل التشريع في الدين لا ينسجم مع القول بأصل الخاتمية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ترد هذه الشبهة على لسان أهل السنة وبعض المستنيرين من الشيعة</w:t>
      </w:r>
      <w:r>
        <w:rPr>
          <w:rStyle w:val="FootnoteAnchor"/>
          <w:rtl w:val="true"/>
        </w:rPr>
        <w:footnoteReference w:id="398"/>
      </w:r>
      <w:r>
        <w:rPr>
          <w:rFonts w:ascii="IRNazanin" w:hAnsi="IRNazanin" w:eastAsia="IRNazanin"/>
          <w:color w:val="111111"/>
          <w:sz w:val="28"/>
          <w:sz w:val="28"/>
          <w:szCs w:val="28"/>
          <w:rtl w:val="true"/>
          <w:lang w:bidi="fa-IR"/>
        </w:rPr>
        <w:t>إذ ورد في بعض الروايات الشيعية الحديث عن تفويض أمر الدين إلى النبي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أفرد الكليني في كتاب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الكتب الروائية الأربعة عند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التفويض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الأئمة في أمر الدين</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إن شيخ القميين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الشيخ الكليني في ذلك، حيث فتح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فوّض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فوّض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فوّض الله إلى رسوله، فقد فوّضه إلينا</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رَسُولَهُ حَتَّى قَوَّمَهُ عَلى مَا أَرَادَ، ثُمَّ فَوَّضَ إِلَيْهِ، فَقَالَ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وَما نَهَاكُمْ عَنْهُ فَانْتَهُوا ، فَا فَوَّضَ الله إِلى رَسُولِهِ، فَقَدْ فَوَّضَهُ إِلَيْنَا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الثالثة تؤكد على حصرية تفويض الله تفسير أمر الدين والحكم إلى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فَوَّضَ الله إِلَى أَحَدٍ مِنْ خَلْقِهِ إِلَّا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الْأَئِمَّةِ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حين يقول الدكتور سروش في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يمكن أن يأتى بعد النبي الخاتم أناس، يتحدثون عن الوحي والشهود بكلام لا أثر له في القرآن والسنة النبوية، ومع ذلك يتم التعامل التعامل معه معه على أنه من التعاليم الدينية والتشريعية التي توجب تحليلاً وتحريماً، وتحل في المرتبة محل الوحى النبوي وتكتسب عصمة وحجية كلام النبي، ومع ذلك لا يكون ذلك منافياً للخاتمية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إلزامية التجربة الدينية لشخص بالنسبة إلى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تعني ذات الولاية التشريعية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تنتهي برحيل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12" w:name="pg15658_146983"/>
    </w:p>
    <w:p>
      <w:pPr>
        <w:pStyle w:val="BookText"/>
        <w:rPr/>
      </w:pPr>
      <w:bookmarkEnd w:id="312"/>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مفهوم الخاتمية في التشيّع مفهوم مهلهل وضعيف؛ إذ يمنح الأئمة حق التشريع، في حين أن هذا الحق هو من الحقوق المقصورة على النبي</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چالش مردم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بيان منزلة الأئمة وتحليلها بعد رحيل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وتوضيح الولاية التشريعية لغير الله، تجدر الإشارة إلى الأمور الآتية</w:t>
      </w:r>
      <w:r>
        <w:rPr>
          <w:rFonts w:eastAsia="IRNazanin" w:cs="IRNazanin"/>
          <w:color w:val="111111"/>
          <w:sz w:val="28"/>
          <w:szCs w:val="28"/>
          <w:rtl w:val="true"/>
          <w:lang w:bidi="fa-IR"/>
        </w:rPr>
        <w:t>:</w:t>
      </w:r>
    </w:p>
    <w:p>
      <w:pPr>
        <w:pStyle w:val="Heading4"/>
        <w:numPr>
          <w:ilvl w:val="3"/>
          <w:numId w:val="1"/>
        </w:numPr>
        <w:rPr/>
      </w:pPr>
      <w:bookmarkStart w:id="313" w:name="__RefHeading___Toc11030437_2142443653"/>
      <w:bookmarkStart w:id="314" w:name="_Toc114"/>
      <w:bookmarkEnd w:id="313"/>
      <w:r>
        <w:rPr>
          <w:rtl w:val="true"/>
        </w:rPr>
        <w:t xml:space="preserve">أ </w:t>
      </w:r>
      <w:r>
        <w:rPr>
          <w:rtl w:val="true"/>
        </w:rPr>
        <w:t xml:space="preserve">- </w:t>
      </w:r>
      <w:r>
        <w:rPr>
          <w:rtl w:val="true"/>
        </w:rPr>
        <w:t>توضيح أصل التشريع والتخطئة</w:t>
      </w:r>
      <w:r>
        <w:rPr>
          <w:rtl w:val="true"/>
        </w:rPr>
        <w:t>:</w:t>
      </w:r>
      <w:bookmarkEnd w:id="314"/>
    </w:p>
    <w:p>
      <w:pPr>
        <w:pStyle w:val="BookText"/>
        <w:rPr/>
      </w:pPr>
      <w:r>
        <w:rPr>
          <w:rFonts w:ascii="Amiri" w:hAnsi="Amiri" w:eastAsia="Amiri" w:cs="Amiri"/>
          <w:color w:val="111111"/>
          <w:sz w:val="28"/>
          <w:sz w:val="28"/>
          <w:szCs w:val="28"/>
          <w:rtl w:val="true"/>
          <w:lang w:bidi="ar-SA"/>
        </w:rPr>
        <w:t xml:space="preserve">الأمر الأول الالتفات إلى مفهوم أصل التشريع، وما معنى اختصاص وضع القانون والشريعة وحصره بالله ؟ وما هي حدود وضع القانون والشريعة الإلهية؟ وهل تشمل الأحكام العقائدية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والعبادية والدنيوية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 والسياسة والاجتماع أيضاً؟</w:t>
      </w:r>
    </w:p>
    <w:p>
      <w:pPr>
        <w:pStyle w:val="BookText"/>
        <w:rPr/>
      </w:pPr>
      <w:r>
        <w:rPr>
          <w:rFonts w:ascii="Amiri" w:hAnsi="Amiri" w:eastAsia="Amiri" w:cs="Amiri"/>
          <w:color w:val="111111"/>
          <w:sz w:val="28"/>
          <w:sz w:val="28"/>
          <w:szCs w:val="28"/>
          <w:rtl w:val="true"/>
          <w:lang w:bidi="ar-SA"/>
        </w:rPr>
        <w:t xml:space="preserve">إن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الوجوب والحرمة والاستحباب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للأصول والقواعد الثابتة في الفقه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والمفاسد، بمعنى أن الحكمة من وضع حكم الوجوب وجود مصلحة لازمة وملزمة في ذلك الفعل، وهكذا الأمر بالنسبة إلى وضع الحرمة فإنه يدل على وجود مفسدة في ذلك الفعل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المنوال في الحكم الاستحبابي أو المكروه، غاية الأمر أن </w:t>
      </w:r>
    </w:p>
    <w:p>
      <w:pPr>
        <w:pStyle w:val="BookText"/>
        <w:rPr/>
      </w:pPr>
      <w:r>
        <w:rPr>
          <w:rFonts w:ascii="Amiri" w:hAnsi="Amiri" w:eastAsia="Amiri" w:cs="Amiri"/>
          <w:color w:val="111111"/>
          <w:sz w:val="28"/>
          <w:sz w:val="28"/>
          <w:szCs w:val="28"/>
          <w:rtl w:val="true"/>
          <w:lang w:bidi="ar-SA"/>
        </w:rPr>
        <w:t>المصلحة والمفسدة هنا تكون بدرجة أخفّ منها في الوجوب والحرمة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والملفت للانتباه فيما يتعلق بالمصلحة والمفسدة الدنيوية والأخروية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الأساس يكون لكل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حقيقة الأمر ونفس الأمر، وبحسب التعبير الكلامي العلم الأزلي واللوح الإلهي 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خاص، حيث أن الله قد أبلغ إلى الناس أحكام الأفعال بشكل كلي وبشكل جزئي من طريق الوحي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تشير إليه أو تدل عليه الروايات التي تتحدث عن شمولية وجامعية الإسلام وأن لكل شيء يحتاج إليه الناس حكماً في القرآن الكريم أو السنة المطهرة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القول بأن لكل فعل حكماً إلهياً في واقع الأمر ونفسه، فهو من الأصول المسلمة في فقه الإمامية، وهو ما يعبر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 الفقيه إذا أخطأ واشتبه عليه الأمر في استنباط الحكم، يكون قد أخطأ الحكم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أن المصيب واحد وأن الله تعالى في كل واقعة حكماً معيناً، وأن عليه دليلاً ظاهراً لا قطعياً</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فى فقه أهل السنة فهناك اختلاف في الآراء بين موافق لرأي الإمامية، ورأي آخر ينكر وجود حكم إلهي واقعي لكل فعل، ويرى أن حكم الفعل هو المجتهد والفقيه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ونتيجة ذلك ستكون عدم الخطأ في الحكم، وإصابة الواقع على كل حال حتى في الأحكام المتعارضة، والذين يتبنون هذا الرأي يعبّر عنهم في المصطلح الفقهي </w:t>
      </w:r>
      <w:bookmarkStart w:id="315" w:name="pg15658_146985"/>
    </w:p>
    <w:p>
      <w:pPr>
        <w:pStyle w:val="BookText"/>
        <w:rPr/>
      </w:pPr>
      <w:bookmarkEnd w:id="315"/>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11030439_2142443653"/>
      <w:bookmarkStart w:id="317" w:name="_Toc115"/>
      <w:bookmarkEnd w:id="316"/>
      <w:r>
        <w:rPr>
          <w:rtl w:val="true"/>
        </w:rPr>
        <w:t xml:space="preserve">ب </w:t>
      </w:r>
      <w:r>
        <w:rPr>
          <w:rtl w:val="true"/>
        </w:rPr>
        <w:t xml:space="preserve">- </w:t>
      </w:r>
      <w:r>
        <w:rPr>
          <w:rtl w:val="true"/>
        </w:rPr>
        <w:t>تشريع النبي الأكرم</w:t>
      </w:r>
      <w:r>
        <w:rPr>
          <w:rtl w:val="true"/>
        </w:rPr>
        <w:t>(</w:t>
      </w:r>
      <w:r>
        <w:rPr>
          <w:rtl w:val="true"/>
        </w:rPr>
        <w:t>صلی الله علیه و آله و سلم</w:t>
      </w:r>
      <w:r>
        <w:rPr>
          <w:rtl w:val="true"/>
        </w:rPr>
        <w:t>)</w:t>
      </w:r>
      <w:r>
        <w:rPr>
          <w:rtl w:val="true"/>
        </w:rPr>
        <w:t>كاشف عن الواقع</w:t>
      </w:r>
      <w:r>
        <w:rPr>
          <w:rtl w:val="true"/>
        </w:rPr>
        <w:t>:</w:t>
      </w:r>
      <w:bookmarkEnd w:id="3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جميع أحكام الدين الواردة في القرآن الكريم والسنة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لفقه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تعبّر عن حكم نفسي في اللوح المحفوظ، وإن الله تعالى في الحقيقة هو الشارع الوحيد، وإن الأحكام التي وضعها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 لبعض الروايات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ركعتين على كل صلاة، واستحباب صيام ثلاثة أيام في كل شهر وتحريم جميع المسكرات بالإضافة إلى الخمر ودية النفس والأنف</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تكشف بأجمعها عن الحكم الإلهي، إذ إنّ جميع هذه الأمور في نفسها ذات أحكام، ولا يوجد هناك خلل حكمي حتى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واضعاً ومشرعاً لتلك الأحكام غاية ما في الأمر أن الله يبين الأحكام مرة في القرآن الكريم، ثمّ يفوّض إلى نبيه في مرتبة أخرى بيان الأحكام، وهذا ما تمّ التأكيد عليه في القرآن القرآن الكريم أيضاً، 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فوّضت هذه الآية تبيين القرآن إلى رسول الله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التبيين والبيان يختلف عن التلاوة والقراءة، إذ إن التبيين يشمل بيان الجزئيات، ورفع الغموض والتفسير، وقد تمت الإشارة إلى هذا التفاوت في آية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عَلَيْهِمْ آيَاتِهِ وَيُزَكِّيهِمْ وَيُعَلِّمُهُمْ الْكِتَابَ وَالْحِكْمَةَ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الآيات يتمّ ذكر تلاوة الآيات، وتعليم الكتاب، والحكمة بشكل مستقل، بوصفها من شؤون ومسؤوليات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وضع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الأحكام لم يكن استقلالياً، وإنما هو في طول الوضع الإلهي، وأن ذلك طبقاً للروايات التي تدل على وضع النبي الأكرم للأحكام، كان بإذن من الله عزّ وجل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وطبقاً لهذه الرؤية إلى النبوة وجعل الأحكام النبوية، لا يكون هناك أيّ تعارض بين نسبة الشارعية إلى الله أو النبي، ومن هنا ذهب بعض فقهاء </w:t>
      </w:r>
      <w:bookmarkStart w:id="318" w:name="pg15658_146987"/>
    </w:p>
    <w:p>
      <w:pPr>
        <w:pStyle w:val="BookText"/>
        <w:rPr/>
      </w:pPr>
      <w:bookmarkEnd w:id="318"/>
      <w:r>
        <w:rPr>
          <w:rFonts w:ascii="IRNazanin" w:hAnsi="IRNazanin" w:eastAsia="IRNazanin"/>
          <w:color w:val="111111"/>
          <w:sz w:val="28"/>
          <w:sz w:val="28"/>
          <w:szCs w:val="28"/>
          <w:rtl w:val="true"/>
          <w:lang w:bidi="fa-IR"/>
        </w:rPr>
        <w:t>الإمامية إلى اعتبار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بعض الأحكام شارعاً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الجملة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1030441_2142443653"/>
      <w:bookmarkStart w:id="320" w:name="_Toc116"/>
      <w:bookmarkEnd w:id="319"/>
      <w:r>
        <w:rPr>
          <w:rtl w:val="true"/>
        </w:rPr>
        <w:t xml:space="preserve">ج </w:t>
      </w:r>
      <w:r>
        <w:rPr>
          <w:rtl w:val="true"/>
        </w:rPr>
        <w:t xml:space="preserve">- </w:t>
      </w:r>
      <w:r>
        <w:rPr>
          <w:rtl w:val="true"/>
        </w:rPr>
        <w:t>تشريع الأئمة</w:t>
      </w:r>
      <w:r>
        <w:rPr>
          <w:rtl w:val="true"/>
        </w:rPr>
        <w:t>(</w:t>
      </w:r>
      <w:r>
        <w:rPr>
          <w:rtl w:val="true"/>
        </w:rPr>
        <w:t>علیهم السّلام</w:t>
      </w:r>
      <w:r>
        <w:rPr>
          <w:rtl w:val="true"/>
        </w:rPr>
        <w:t>)</w:t>
      </w:r>
      <w:r>
        <w:rPr>
          <w:rtl w:val="true"/>
        </w:rPr>
        <w:t xml:space="preserve">في طول التشريع النبوي ومكمل له </w:t>
      </w:r>
      <w:r>
        <w:rPr>
          <w:rtl w:val="true"/>
        </w:rPr>
        <w:t>:</w:t>
      </w:r>
      <w:bookmarkEnd w:id="320"/>
    </w:p>
    <w:p>
      <w:pPr>
        <w:pStyle w:val="BookText"/>
        <w:rPr/>
      </w:pPr>
      <w:r>
        <w:rPr>
          <w:rFonts w:ascii="IRNazanin" w:hAnsi="IRNazanin" w:eastAsia="IRNazanin"/>
          <w:color w:val="111111"/>
          <w:sz w:val="28"/>
          <w:sz w:val="28"/>
          <w:szCs w:val="28"/>
          <w:rtl w:val="true"/>
          <w:lang w:bidi="fa-IR"/>
        </w:rPr>
        <w:t>من خلال هذه النظرة والرؤية إلى أحكام الدين وكيفية التشريع، يمكن لنا الخوض في تبيين تشريع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تفويض أمر الدين وإمكان جعل أحكام الدين أو وضعها، من قبيل تشريعات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 استقلالية، وإنما هي في الواقع كاشفة ومبيّنة لأحكام الله الواقعية التي لم يتم الكشف عنها من قبل الله أو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،لأسباب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حلول وقتها، أو لمصلحة، أو لعدم الابتلاء بها، وإن 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لبعض الآيات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من قبل الشارع نفسه إلى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صرّح الأئمة الأطهار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كانوا يبينون أحكام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بيانهم إذا كان مستقلاً ومن عندهم لكان ضلالة، إلا أن أحاديثهم تستند إلى النبي الأكرم وإلى الله سبحانه وتعالى، وفي ذلك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حدثنا برأينا ضللنا كما ضل من كان قبلنا، ولكنا </w:t>
      </w:r>
      <w:bookmarkStart w:id="321" w:name="pg15658_146988"/>
    </w:p>
    <w:p>
      <w:pPr>
        <w:pStyle w:val="BookText"/>
        <w:rPr/>
      </w:pPr>
      <w:bookmarkEnd w:id="321"/>
      <w:r>
        <w:rPr>
          <w:rFonts w:ascii="Amiri" w:hAnsi="Amiri" w:eastAsia="Amiri" w:cs="Amiri"/>
          <w:color w:val="111111"/>
          <w:sz w:val="28"/>
          <w:sz w:val="28"/>
          <w:szCs w:val="28"/>
          <w:rtl w:val="true"/>
          <w:lang w:bidi="ar-SA"/>
        </w:rPr>
        <w:t>حدثنا ببينة من ربنا بينها لرسوله فبيّنها لنا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عنه في حديث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أجبتكم فيه بشيء فهو عن رسول الله، لسنا نقول برأينا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دليل المخالفين القائم على انحصار التشريع والتقنين بالله أو رسوله لا يتنافى مع هذا النوع من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يذهب بعض المفكرين من الإمامية إلى القول بحق الأئمة في التشريع في الجملة، ومن بين هؤلاء من القدماء صاحب البصائر والكليني وبعض العرفاء والمعاصرين على ما ستأتى الإشارة إليهم</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030443_2142443653"/>
      <w:bookmarkStart w:id="323" w:name="_Toc117"/>
      <w:bookmarkEnd w:id="322"/>
      <w:r>
        <w:rPr>
          <w:rtl w:val="true"/>
        </w:rPr>
        <w:t xml:space="preserve">د </w:t>
      </w:r>
      <w:r>
        <w:rPr>
          <w:rtl w:val="true"/>
        </w:rPr>
        <w:t xml:space="preserve">- </w:t>
      </w:r>
      <w:r>
        <w:rPr>
          <w:rtl w:val="true"/>
        </w:rPr>
        <w:t>تشريع الأئمة</w:t>
      </w:r>
      <w:r>
        <w:rPr>
          <w:rtl w:val="true"/>
        </w:rPr>
        <w:t>(</w:t>
      </w:r>
      <w:r>
        <w:rPr>
          <w:rtl w:val="true"/>
        </w:rPr>
        <w:t>علیهم السّلام</w:t>
      </w:r>
      <w:r>
        <w:rPr>
          <w:rtl w:val="true"/>
        </w:rPr>
        <w:t>)</w:t>
      </w:r>
      <w:r>
        <w:rPr>
          <w:rtl w:val="true"/>
        </w:rPr>
        <w:t>في طول التشريع الإلهي</w:t>
      </w:r>
      <w:r>
        <w:rPr>
          <w:rtl w:val="true"/>
        </w:rPr>
        <w:t>:</w:t>
      </w:r>
      <w:bookmarkEnd w:id="323"/>
    </w:p>
    <w:p>
      <w:pPr>
        <w:pStyle w:val="BookText"/>
        <w:rPr/>
      </w:pPr>
      <w:r>
        <w:rPr>
          <w:rFonts w:ascii="IRNazanin" w:hAnsi="IRNazanin" w:eastAsia="IRNazanin"/>
          <w:color w:val="111111"/>
          <w:sz w:val="28"/>
          <w:sz w:val="28"/>
          <w:szCs w:val="28"/>
          <w:rtl w:val="true"/>
          <w:lang w:bidi="fa-IR"/>
        </w:rPr>
        <w:t>إن المعنى الظاهري للنظرية السابقة هو أن روايات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تكون حجة لانتهائها إلى السنة النبوية، وهو ما يدل عليه ظاهر بعض الروايات المروية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والتي تقدم ذكرها، وفى هذه الحالة ستكون حجية روايات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الوثاقة والكشف عن السنة النبوية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بالالتفات إلى موقع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واتصالهم بالعوالم الغيبية والأحكام الواقعية، والذي يتم التعبير عنه في المصطلح الروائي</w:t>
      </w:r>
      <w:r>
        <w:rPr>
          <w:rStyle w:val="FootnoteAnchor"/>
          <w:rtl w:val="true"/>
        </w:rPr>
        <w:footnoteReference w:id="414"/>
      </w:r>
      <w:r>
        <w:rPr>
          <w:rFonts w:ascii="Amiri" w:hAnsi="Amiri" w:eastAsia="Amiri" w:cs="Amiri"/>
          <w:color w:val="111111"/>
          <w:sz w:val="28"/>
          <w:sz w:val="28"/>
          <w:szCs w:val="28"/>
          <w:rtl w:val="true"/>
          <w:lang w:bidi="ar-SA"/>
        </w:rPr>
        <w:t xml:space="preserve">والكلامي </w:t>
      </w:r>
    </w:p>
    <w:p>
      <w:pPr>
        <w:pStyle w:val="BookText"/>
        <w:rPr/>
      </w:pPr>
      <w:r>
        <w:rPr>
          <w:rFonts w:ascii="Amiri" w:hAnsi="Amiri" w:eastAsia="Amiri" w:cs="Amiri"/>
          <w:color w:val="111111"/>
          <w:sz w:val="28"/>
          <w:sz w:val="28"/>
          <w:szCs w:val="28"/>
          <w:rtl w:val="true"/>
          <w:lang w:bidi="ar-SA"/>
        </w:rPr>
        <w:t>لا بوصفه وحياً، وإنما إلهاماً وتحديثاً،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الأحكام من قبلهم يكون أحياناً من طريق العلم النبوي وهو ما عليه ظاهر بعض الروايات، وأحياناً أخرى يكون بيان الأحكام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يشمل الأحكام الجديدة والتخصيص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علمهم اللدني والإلهامي ومشاهداتهم الشخصية للعوالم الغيبية، وفي هذه الحالة تكون حجية أحكامهم لا من باب الرواية والكشف عن السنة النبوية، وإنما بسبب مواجهتهم المباشرة للعوالم الغيبية، وهو ما يمكن أن نعبّر عنه بمصدر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هذه النظرية على روايات تدل على العلم الإلهامي واللدني الذي يتمتع به الإمام وكونه محدثاً ومؤيداً من قبل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التعبير في بعض الروايات عن علم الأئمة بالحوادث بالقذف، وهو من العلم الإلهامي، ومن ذلك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التعبير في بعض الروايات الأخرى بالمحدث، من قبيل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الأخرى تم التعبير عن ذلك بتأييد روح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إلى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 المسدّد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 الرواية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مع الأئمة يُسدّدهم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الروايات في باب علم الأئمة واتصالهم بعوالم الغيب من الكثرة بحيث تصل في الحد الأدنى إلى التواتر المعنوي، وإن حدود بعضها يصل حتى إلى الأمور الدنيوية أيضاً إلا أن القدر المتيقن منها هو علمهم ومعرفتهم بالأحكام الواقعية من طريق العلم بالغيب ومن نتائجه بيان الأحكام الشرعية في المسائل الجديدة التي لم ترد في كتاب الله وسنة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تسمية ذلك تشريعاً أو ولاية تشريعية أو بياناً للشريعة وتفسيرها بالنسبة إلى أصل المسألة، وعلى كلا الفرضين تكون روايات الأئمة حجة ولازمة الاتباع على نحو 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أجاب صاحب الحدائق عن بعض الإشكالات على الروايات المثبتة لأحكام خاصة من قبيل الخمس والزكاة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يكون الجواب من الأخبار من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 إليهم كما فوّض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الإصفهاني بهذا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والنبي والأئمة لهم الولاية المعنوية والتشريعية والسلطنة الباطنية على جميع الأمور التكوينية والتشريعية، فكما أنهم مجاري الفيوضات التكوينية، كذلك مجاري الفيوضات التشريعية لهم، فهم وسائط التكوين والتشريع</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سماحة الإمام الخميني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مانع من تفويض أمر العباد إلى روحانية كاملة تكون مشيئته فانية في مشيئة الحق، وإرادته ظلال لإرادة الحق، ولا يروم إلا ما يريده الحق، ولا يتحرك إلا إذا كان موافقاً للنظام الأصلح، </w:t>
      </w:r>
    </w:p>
    <w:p>
      <w:pPr>
        <w:pStyle w:val="BookText"/>
        <w:rPr/>
      </w:pPr>
      <w:r>
        <w:rPr>
          <w:rFonts w:ascii="Amiri" w:hAnsi="Amiri" w:eastAsia="Amiri" w:cs="Amiri"/>
          <w:color w:val="111111"/>
          <w:sz w:val="28"/>
          <w:sz w:val="28"/>
          <w:szCs w:val="28"/>
          <w:rtl w:val="true"/>
          <w:lang w:bidi="ar-SA"/>
        </w:rPr>
        <w:t>سواء كان فى الخلق والتكوين أو التشريع والتربية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العلامة محمد رضا المظفر في باب الحجية الاستقلالية لروايات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الأئمة من آل البيت ليسوا هم من قبيل الرواة عن النبي والمحدثين عنه؛ ليكون قولهم حجة من جهة أنهم ثقاة في الرواية، بل لأنهم هم المنصوبون من الله تعالى، تدلّ على لسان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التبليغ الأحكام الواقعية، فلا يحكمون إلا عن الأحكام الواقعية عند الله تعالى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من طريق الإلهام كالنبي من طريق الوحي أو من طريق التلقي من المعصوم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فليس بيانهم للأحكام من نوع رواية السنة وحكايتها، ولا من نوع الاجتهاد في الرأي والاستنباط من مصادر التشريع، بل هم أنفسهم مصدر للتشريع، فقولهم سنة لا حكاية السنة</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توجيه الروايات التي ترى أن دليل حجية روايات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تكمن في روايتهم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إما تخص تلك لم الروايات التي نقلوها عن النبي، أو أن هذا النوع من الروايات إنما صدر عنهم لإقناع المخاطب وإقامة الحجة على أولئك الذين لم يدركوا في حينها مكانة الأئمة ومنزلتهم كما هي وإليك نص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يجيء على لسانهم أحياناً من روايات وأحاديث عن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فهي إما لأجل نقل النص </w:t>
      </w:r>
    </w:p>
    <w:p>
      <w:pPr>
        <w:pStyle w:val="BookText"/>
        <w:rPr/>
      </w:pPr>
      <w:r>
        <w:rPr>
          <w:rFonts w:ascii="Amiri" w:hAnsi="Amiri" w:eastAsia="Amiri" w:cs="Amiri"/>
          <w:color w:val="111111"/>
          <w:sz w:val="28"/>
          <w:sz w:val="28"/>
          <w:szCs w:val="28"/>
          <w:rtl w:val="true"/>
          <w:lang w:bidi="ar-SA"/>
        </w:rPr>
        <w:t>عنه كما يتفق في نقلهم الجوامع كلمه، وأما لأجل إقامة الحجة على الغير، وأما لغير ذلك من الدواعي الدواعي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ذهب العلامة الشعراني إلى الاعتقاد بتكميل الشريعة من قبل الأئمة من طريق الارتباط بالله والمبادئ العالية على ما سوف تأتي الإشارة إليه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الأستاذ الشهيد مرتضى المطهري في الجملة إلى القول بالولاية التشريعية للنبي والإمام، وقال في بيان انسجام ذلك مع كمال الدين وأصل الخاتمية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أبلغ الله النبي، ولكن حيث لم يحن وقت بيان ما أبلغه الله، فقد قام النبي بتعليمه إلى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الناس يسألون النبي عن الأحكام التي لم ترد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كل ما أراد الإسلام بيانه من الأحكام والقوانين والتعاليم هو ما جاء في القرآن، ونقله النبي إلى عامة المسلمين؟ أم أن ما نزل على رسول الله لم تتسع الفترة الزمنية إلى بيانه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لم يتم تبليغه إلى الناس إلا من طريق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الله قد أبلغ النبي بما يجب أن يبلغه من الإسلام فليس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بأن يكون هناك شيء لم ينزل، وقام النبي بإكماله من عنده، ولكن هل هناك من الأحكام الإسلامية ما نزل على رسول الله ولم يتم بيانه إلى عامة الناس؟ يرى الشيعة أن الله لم ينزل على رسول الله وحياً ناقصاً، ولم يعمد النبي إلى تبليغه للناس ناقصاً، فالنبي قد بين الإسلام للناس كاملاً، إلا أن الذي قام النبي ببيانه إلى الناس كاملا، لم يكن هو كل ما قاله لعامة الناس، فقد كان هناك الكثير من التعاليم والأحكام التي لم يتحقق موضوعها في عصر النبي، وقد ظهرت فيما بعد وتم السؤال عنها، وإنما بلغ </w:t>
      </w:r>
      <w:bookmarkStart w:id="324" w:name="pg15658_146993"/>
    </w:p>
    <w:p>
      <w:pPr>
        <w:pStyle w:val="BookText"/>
        <w:rPr/>
      </w:pPr>
      <w:bookmarkEnd w:id="324"/>
      <w:r>
        <w:rPr>
          <w:rFonts w:ascii="Amiri" w:hAnsi="Amiri" w:eastAsia="Amiri" w:cs="Amiri"/>
          <w:color w:val="111111"/>
          <w:sz w:val="28"/>
          <w:sz w:val="28"/>
          <w:szCs w:val="28"/>
          <w:rtl w:val="true"/>
          <w:lang w:bidi="ar-SA"/>
        </w:rPr>
        <w:t>تلميذه الخاص جميع التعاليم التي نزلت عليه من جانب الله، وأمره ببيانها إلى الناس</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والنقطة الجديرة بالتأمل في نسبة تشريع الأئمة إلى الله وعالم الغيب من دون توسيط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يراد منه العلم وحذف توسيط النبي في الدنيا، وأما من الناحية العرفانية حيث يكون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الصادر الأول، وإن أرواح الأئمة تقع في ضوء وجود النبي، فإن العلوم الغيبية في واقع الأمر وتبعاً لها التشريع الجزئي سيكون شعاعاً وظلاً للعلم النبوي والحقيقة المحمدية</w:t>
      </w:r>
      <w:r>
        <w:rPr>
          <w:rFonts w:eastAsia="IRNazanin" w:cs="IRNazanin"/>
          <w:color w:val="111111"/>
          <w:sz w:val="28"/>
          <w:szCs w:val="28"/>
          <w:rtl w:val="true"/>
          <w:lang w:bidi="fa-IR"/>
        </w:rPr>
        <w:t>.</w:t>
      </w:r>
    </w:p>
    <w:p>
      <w:pPr>
        <w:pStyle w:val="Heading4"/>
        <w:numPr>
          <w:ilvl w:val="3"/>
          <w:numId w:val="1"/>
        </w:numPr>
        <w:rPr/>
      </w:pPr>
      <w:bookmarkStart w:id="325" w:name="__RefHeading___Toc11030445_2142443653"/>
      <w:bookmarkStart w:id="326" w:name="_Toc118"/>
      <w:bookmarkEnd w:id="325"/>
      <w:r>
        <w:rPr>
          <w:rtl w:val="true"/>
        </w:rPr>
        <w:t>هـ تشريع الأئمة</w:t>
      </w:r>
      <w:r>
        <w:rPr>
          <w:rtl w:val="true"/>
        </w:rPr>
        <w:t>(</w:t>
      </w:r>
      <w:r>
        <w:rPr>
          <w:rtl w:val="true"/>
        </w:rPr>
        <w:t>علیهم السّلام</w:t>
      </w:r>
      <w:r>
        <w:rPr>
          <w:rtl w:val="true"/>
        </w:rPr>
        <w:t>)</w:t>
      </w:r>
      <w:r>
        <w:rPr>
          <w:rtl w:val="true"/>
        </w:rPr>
        <w:t>مكمل للدين في الجزئيات</w:t>
      </w:r>
      <w:r>
        <w:rPr>
          <w:rtl w:val="true"/>
        </w:rPr>
        <w:t>:</w:t>
      </w:r>
      <w:bookmarkEnd w:id="326"/>
    </w:p>
    <w:p>
      <w:pPr>
        <w:pStyle w:val="BookText"/>
        <w:rPr/>
      </w:pPr>
      <w:r>
        <w:rPr>
          <w:rFonts w:ascii="IRNazanin" w:hAnsi="IRNazanin" w:eastAsia="IRNazanin"/>
          <w:color w:val="111111"/>
          <w:sz w:val="28"/>
          <w:sz w:val="28"/>
          <w:szCs w:val="28"/>
          <w:rtl w:val="true"/>
          <w:lang w:bidi="fa-IR"/>
        </w:rPr>
        <w:t>سبق أن ذكرنا أن القرآن الكريم والسنة النبوية تشتمل على الأصول والجهات العامة الضرورية لهداية الإنسان في حقل العقائد والأخلاق والأحكام، إلا أن بيان الأمور العامة وكذلك الجزئيات لم يكن ميسوراً بسبب عدم حلول وقتها أو عدم ابتلاء المسلمين بها، ولذلك لم يشتمل القرآن الكريم ولا السنة النبوية على جميع هذه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في القرآن الكريم بيان بعض المباني والأصول العامة وبعض جزئيات أحكام الدين، كما ورد بعضها الآخر في سنة النبي الأكرم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ترك بيان جزئيات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تحتوي بطبيعة الحال على أصول وفروع أدق طبقاً للآيات وروايات الإمامة التي تقدم ذكرها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كمال الدين الإسلامي وخلوده رهن بأصل الإمامة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تدل الرواية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عدم بيان فروع </w:t>
      </w:r>
    </w:p>
    <w:p>
      <w:pPr>
        <w:pStyle w:val="BookText"/>
        <w:rPr/>
      </w:pPr>
      <w:r>
        <w:rPr>
          <w:rFonts w:ascii="Amiri" w:hAnsi="Amiri" w:eastAsia="Amiri" w:cs="Amiri"/>
          <w:color w:val="111111"/>
          <w:sz w:val="28"/>
          <w:sz w:val="28"/>
          <w:szCs w:val="28"/>
          <w:rtl w:val="true"/>
          <w:lang w:bidi="ar-SA"/>
        </w:rPr>
        <w:t>وجزئيات جميع الأحكام، إذ يقول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الحلال والحرام أكثر من أن أحصيهما وأعرفهما ، فأمر بالحلال والحرام في مقام واحد</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يصرح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 بعدم بيان جميع الأحكام، وأما أن يكون ذلك منافياً لخاتمية الدين وشموليته وكماله، فقد التفت إليه النبي بالمناسبة في صدر الحديث، وقد تدارك ذلك بتعريفه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المرجع والمفسّر لكتاب الله، وبذلك يكون صلوات الله عليه قد أجاب عن هذا الإشكال المفترض،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تفسير كتاب الله والداعي إليه</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توسّل الحمصي الرازي لتبرير ضرورة الإمامة لبيان جزئيات الدين،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الكتاب فمعلوم أن جميع تفاصيل الشرع ليست مبينة فيه، وأما السنة المقطوع بها والإجماع فمن المعلوم الظاهر أيضاً أن جميع الشرع ليس مبيناً فيهما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العلامة الشعراني في تفسير عبارة 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دلالة على علمه بالدين الإلهي والارتباط بالله تعالى من جهة الباطن وعلى العصمة أيضاً؛ إذ لا يمكن للإنسان أن يصل إلى تفصيل أحكام الشرع على نحو القطع واليقين إلا من طريق الارتباط بالله، فإن ذكرت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لم يأت بتفصيل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فالإمام بالإضافة إلى العصمة يجب أن يكون عالماً بالشرع من خلال الارتباط بالله والمبادئ العالية ليقوم برفع النقص وتفسير المجمل</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327" w:name="pg15658_146995"/>
    </w:p>
    <w:p>
      <w:pPr>
        <w:pStyle w:val="BookText"/>
        <w:rPr/>
      </w:pPr>
      <w:bookmarkEnd w:id="327"/>
      <w:r>
        <w:rPr>
          <w:rFonts w:ascii="IRNazanin" w:hAnsi="IRNazanin" w:eastAsia="IRNazanin"/>
          <w:color w:val="111111"/>
          <w:sz w:val="28"/>
          <w:sz w:val="28"/>
          <w:szCs w:val="28"/>
          <w:rtl w:val="true"/>
          <w:lang w:bidi="fa-IR"/>
        </w:rPr>
        <w:t>كما أرجع العلامة الطباطبائي عملية التشريع وبيان تفاصيل الأحكام وجزئياتها وقوانين الشريعة إلى 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اتضاح تفاصيل الأحكام وقوانين الشريعة،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أحكام الصلاة والصوم والتجارات وسائر العبادات والمعاملات، يتوقف على الرجوع إلى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وروايات أهل البيت</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بين المعاصرين يصرّح سماحة الأستاذ مصباح اليزدي بعدم إمكان بیان جميع الجزئيات في الكتاب الكريم والسنة النبوية المطهرة، وسيأتي بيان ذلک فی القسم الثاني من هذا الكتاب، في البحث الخاص بالجامعية والشمولية إن شاء الله</w:t>
      </w:r>
      <w:r>
        <w:rPr>
          <w:rStyle w:val="FootnoteAnchor"/>
          <w:rtl w:val="true"/>
        </w:rPr>
        <w:footnoteReference w:id="429"/>
      </w:r>
    </w:p>
    <w:p>
      <w:pPr>
        <w:pStyle w:val="Heading4"/>
        <w:numPr>
          <w:ilvl w:val="3"/>
          <w:numId w:val="1"/>
        </w:numPr>
        <w:rPr/>
      </w:pPr>
      <w:bookmarkStart w:id="328" w:name="__RefHeading___Toc11030447_2142443653"/>
      <w:bookmarkStart w:id="329" w:name="_Toc119"/>
      <w:bookmarkEnd w:id="328"/>
      <w:r>
        <w:rPr>
          <w:rtl w:val="true"/>
        </w:rPr>
        <w:t xml:space="preserve">و </w:t>
      </w:r>
      <w:r>
        <w:rPr>
          <w:rtl w:val="true"/>
        </w:rPr>
        <w:t xml:space="preserve">- </w:t>
      </w:r>
      <w:r>
        <w:rPr>
          <w:rtl w:val="true"/>
        </w:rPr>
        <w:t>الجمع بين نظرية الموافقين والمخالفين</w:t>
      </w:r>
      <w:r>
        <w:rPr>
          <w:rtl w:val="true"/>
        </w:rPr>
        <w:t>:</w:t>
      </w:r>
      <w:bookmarkEnd w:id="32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حصيلة الكلام أنه يبدو أن الاختلاف بين القائلين بحق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التشريع والمخالفين لذلك يندرج تحت الخلاف اللفظي، وعليه يمكن الجمع بينهما من خلال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 المخالفين هو المعنى الأكرم الحقيقي للتشريع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حين أن مراد القائلين بهذا الحق للنبي والأئمة الأطهار هو التشريع الطولي والكشفي، ببيان أن جميع الأحكام لم يرد ذكرها في القرآن الكريم بشكل تفصيلي وجزئي، وذلك لأسباب وعلل تقدّم ذكرها، وقد ترك بيانها للنبي الأكرم والأئمة المعصومين لاتصافهم بالعلم اللدني، وبذلك يكون بيان الأحكام من قبلهم بإذن وتأييد من الله، كما أن هذا البيان </w:t>
      </w:r>
    </w:p>
    <w:p>
      <w:pPr>
        <w:pStyle w:val="BookText"/>
        <w:rPr/>
      </w:pPr>
      <w:r>
        <w:rPr>
          <w:rFonts w:ascii="Amiri" w:hAnsi="Amiri" w:eastAsia="Amiri" w:cs="Amiri"/>
          <w:color w:val="111111"/>
          <w:sz w:val="28"/>
          <w:sz w:val="28"/>
          <w:szCs w:val="28"/>
          <w:rtl w:val="true"/>
          <w:lang w:bidi="ar-SA"/>
        </w:rPr>
        <w:t>يكشف عن الأحكام الواقعية التي لا يلعب المعصوم فيها دور الواضع والشارع، وإنما يقتصر دوره على الكشف والبيان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بيان حدود هذا الإذن الإلهي للمعصوم بالتشريع الظاهري فيحتاج إلى مجال مستقل، والذي يجدر التذكير به في هذه العجالة هو ما تقدم من أن هذه التشريعات الظاهرية من قبل الأئمة حيث كانت بإذن من الله سبحانه وتعالى ورسوله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لا تنافي أصل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الإصرار على النفي المطلق لأي نوع من التقنين والتشريع، والاكتفاء بالأحكام الموجودة في القرآن الكريم وسنة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ذريعة جامعية وتمامية وكمال الدين، هو الذي يتنافى مع جوهر الدين الخاتم والكامل الذي يدعي الخلود والإجابة عن جميع المسائل الدينية عبر العصور، بل ربما أدى ذلك إلى الركود والجمود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التفت المخالفون لحق النبي الأكرم والأئمة المعصومين في التشريع إلى هذه النقطة، وإنما جاء منهم النفي لهذا الحق من باب الاحتياط في الدين، أو من باب القول ببيان الأحكام الدينية عن النبي والأحكام الجزئية الولائية، وتطبيق العناوين الثانوية على مصاديقها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التشريع من قبل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بمعنى تغيير الأحكام الدينية الثابتة بأي نحو من الأنحاء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النسخ والتقييد والتخصيص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بل لا يمكن تصور هذا المعنى بحق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الأساس</w:t>
      </w:r>
      <w:r>
        <w:rPr>
          <w:rFonts w:eastAsia="IRNazanin" w:cs="IRNazanin"/>
          <w:color w:val="111111"/>
          <w:sz w:val="28"/>
          <w:szCs w:val="28"/>
          <w:rtl w:val="true"/>
          <w:lang w:bidi="fa-IR"/>
        </w:rPr>
        <w:t xml:space="preserve">. </w:t>
      </w:r>
      <w:bookmarkStart w:id="330" w:name="pg15658_146997"/>
    </w:p>
    <w:p>
      <w:pPr>
        <w:pStyle w:val="Heading3"/>
        <w:numPr>
          <w:ilvl w:val="2"/>
          <w:numId w:val="1"/>
        </w:numPr>
        <w:rPr/>
      </w:pPr>
      <w:bookmarkStart w:id="331" w:name="__RefHeading___Toc11030449_2142443653"/>
      <w:bookmarkStart w:id="332" w:name="_Toc120"/>
      <w:bookmarkEnd w:id="330"/>
      <w:bookmarkEnd w:id="331"/>
      <w:r>
        <w:rPr>
          <w:rtl w:val="true"/>
        </w:rPr>
        <w:t>الشبهة السابعة</w:t>
      </w:r>
      <w:r>
        <w:rPr>
          <w:rtl w:val="true"/>
        </w:rPr>
        <w:t xml:space="preserve">: </w:t>
      </w:r>
      <w:r>
        <w:rPr>
          <w:rtl w:val="true"/>
        </w:rPr>
        <w:t>تعارض علم الإمام اللدني مع الخاتمية</w:t>
      </w:r>
      <w:r>
        <w:rPr>
          <w:rtl w:val="true"/>
        </w:rPr>
        <w:t>:</w:t>
      </w:r>
      <w:bookmarkEnd w:id="332"/>
    </w:p>
    <w:p>
      <w:pPr>
        <w:pStyle w:val="Heading4"/>
        <w:numPr>
          <w:ilvl w:val="3"/>
          <w:numId w:val="1"/>
        </w:numPr>
        <w:rPr/>
      </w:pPr>
      <w:bookmarkStart w:id="333" w:name="__RefHeading___Toc11030451_2142443653"/>
      <w:bookmarkStart w:id="334" w:name="_Toc121"/>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يذهب الشيعة إلى الاعتقاد بأن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علاوة على صفة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يتمتعون بعلم الغيب والعلم اللدني أيضاً، بمعنى أن علومهم ومعارفهم ليست مثل علوم البشر التى يحصلون عليها بالطرق المألوفة من قبيل الدراسة والتعلم، بل إن علمهم من قبيل علم الأنبياء يحصل من خلال القنوات غير العادية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الإلهام، والملائكة، ومواجهة العقول المجرّدة بحسب المصطلح العرفاني، وهو ما يعبّر عنه في لسان الروايات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 في الصفحات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أهل السنة وبعض من يصطلح عليهم بالمستنيرين إلى القول بأن العلم اللدني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يتنافى مع القول بأصل الخاتمية، ويرون أن العلم اللدني من مختصات الأنبياء، وعليه لن يكون بإمكان أحد الحصول على هذا العلم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فإن هؤلاء يعمدون إلى وضع الأئمة الأطهار في منازل ومراتب عادية لا تتجاوز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ذلك يقول سماحة الشيخ محسن كديور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يفتقرون إلى العلم الاكتسابي أو علم الغيب وبعبارة أخرى إن الأئمة يحصلون على علومهم بطريقة اكتسابية حيث يحصل اللاحق علمه من الإمام السابق، ويتوصلون إلى النتائج والأحكام الشرعية من خلال إعمال الرأي والاجتهاد والاستنباط</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ولازم هذه الرؤية إلى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اعتبار منشأ علمهم عائداً إلى </w:t>
      </w:r>
      <w:bookmarkStart w:id="335" w:name="pg15658_146998"/>
    </w:p>
    <w:p>
      <w:pPr>
        <w:pStyle w:val="BookText"/>
        <w:rPr/>
      </w:pPr>
      <w:bookmarkEnd w:id="335"/>
      <w:r>
        <w:rPr>
          <w:rFonts w:ascii="IRNazanin" w:hAnsi="IRNazanin" w:eastAsia="IRNazanin"/>
          <w:color w:val="111111"/>
          <w:sz w:val="28"/>
          <w:sz w:val="28"/>
          <w:szCs w:val="28"/>
          <w:rtl w:val="true"/>
          <w:lang w:bidi="fa-IR"/>
        </w:rPr>
        <w:t>القنوات والمنافذ العادية،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والاجتهاد مما تكون نتيجته إمكان الخطأ وسلب الحجية عن أقوالهم، كما هو الحال بالنسبة إلى كل معرفة دينية 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الدكتور سروش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رسالة الخاتمية تقول بضرورة أن نعتبر أي فهم للدين بوصفه فهماً نهائياً للدين، صحيح أن هناك خاتماً للنبيين، ولكن ليس هناك خاتم للشارحين والمفسرين، ولا يرقى تفسير أو كلام أي شخص في مقام الشرح والتفسير إلى مستوى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كانت هناك أدلة مقنعة على الادعاء قبلنا بذلك الادعاء، وإن لم يكن الدليل مقنعاً لا يكون هناك فرق بين أن يكون المستدل هو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فالدليل هو مناط قبول الكلمة وليس صاحب الكلمة</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تحليل هذه الشبهة تجدر الإشارة إلى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1030453_2142443653"/>
      <w:bookmarkStart w:id="337" w:name="_Toc122"/>
      <w:bookmarkEnd w:id="336"/>
      <w:r>
        <w:rPr>
          <w:rtl w:val="true"/>
        </w:rPr>
        <w:t xml:space="preserve">أ </w:t>
      </w:r>
      <w:r>
        <w:rPr>
          <w:rtl w:val="true"/>
        </w:rPr>
        <w:t xml:space="preserve">- </w:t>
      </w:r>
      <w:r>
        <w:rPr>
          <w:rtl w:val="true"/>
        </w:rPr>
        <w:t>عدم اختصاص العلم اللدني بالأنبياء</w:t>
      </w:r>
      <w:r>
        <w:rPr>
          <w:rtl w:val="true"/>
        </w:rPr>
        <w:t>:</w:t>
      </w:r>
      <w:bookmarkEnd w:id="33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 في تحليل صفة الإلهام والعصمة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هاتين الصفتين من جملة شروط النبوة، ولكنهما ليستا من الشروط الخاصة بالأنبياء، بل يحدثنا القرآن الكريم عن بعض الأشخاص من غير الأنبياء من الذين اتصفوا بصفة العصمة والإلهام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يتعلق بمورد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الأمر كذلك أيضاً، فالعلم اللدني وإن كان شرطاً في النبوة، ولكنه ليس من الصفات اللازمة والخاصة بالأنبياء فقط، وفيما يأتي نشير إلى بعض الأولياء الذين اتصفوا بهذه الصفة ولم يكونوا من الأنبياء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سيدنا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يخبرنا القرآن الكريم عن إعطاء الله للخضر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رحمته الخاصة، وتزويده بالعلم اللدني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 مِنْ عِبَادِنَا آتَيْنَاهُ رَحْمَةً مِنْ عِنْدِنَا وَعَلَّمْنَاهُ مِنْ لَدُنَّا عِلْمًا</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صاحب النبي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أراد النبي سليمان من أصحابه أن يحضروا له عرش الملكة بلقيس من مسافة تقدر بمئات الكيلومترات، حدّد كل واحد منهم فترة زمنية قصيرة لإحضاره، ولكن آصف بن برخيا عبر عن قدرته على إحضاره برمشة عين؛ إذ يقول تعالى حكاية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 عِلْمٌ مِنْ الْكِتَابِ أَنَا آتِيكَ بِهِ قَبْلَ أَنْ يَرْتَدَّ إِلَيْكَ طَرْفُكَ</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الكريم لم يصرح بعلم آصف بن برخيا، ولكنه أشار إلى السر في امتلاكه لهذه القدرة وهو علمه بالكتاب، ولا شك في أنه لم يكن علماً عادياً، وإنما هو من العلوم الخاصة التي لا ينالها شخص إلا بعناية 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والشاهد على ذلك يتجلى في اقتراح عفريت من الجن؛ إذ قال على ما يحكيه القرآن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قَبْلَ أَنْ تَقُومَ مِنْ مَقَامِكَ وَإِنِّي عَلَيْهِ لَقَوِيٌّ أَمِينٌ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الذي يمتلك علماً من الكتاب، وتكون قدرته أكبر من قدرة عفريت من الجن يجب أن يكون علمه من نوع العلوم الإلهية، وإلا فإنّ العلوم الاعتيادية لا تمنح الشخص مثل هذه القدرة، والدليل على ذلك أنه على الرغم من مضي آلاف السنين، ورغم التقدم الصناعي الهائل لم يوجد حتى الآن 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يمتلك مثل هذه القدرة</w:t>
      </w:r>
      <w:r>
        <w:rPr>
          <w:rFonts w:eastAsia="Amiri" w:cs="Amiri" w:ascii="Amiri" w:hAnsi="Amiri"/>
          <w:color w:val="111111"/>
          <w:sz w:val="28"/>
          <w:szCs w:val="28"/>
          <w:rtl w:val="true"/>
          <w:lang w:bidi="ar-SA"/>
        </w:rPr>
        <w:t xml:space="preserve">. </w:t>
      </w:r>
      <w:bookmarkStart w:id="338" w:name="pg15658_147000"/>
    </w:p>
    <w:p>
      <w:pPr>
        <w:pStyle w:val="BookText"/>
        <w:rPr/>
      </w:pPr>
      <w:bookmarkEnd w:id="338"/>
      <w:r>
        <w:rPr>
          <w:rFonts w:ascii="Amiri" w:hAnsi="Amiri" w:eastAsia="Amiri" w:cs="Amiri"/>
          <w:color w:val="111111"/>
          <w:sz w:val="28"/>
          <w:sz w:val="28"/>
          <w:szCs w:val="28"/>
          <w:rtl w:val="true"/>
          <w:lang w:bidi="ar-SA"/>
        </w:rPr>
        <w:t xml:space="preserve">الشاهد الآخر هو الملاك المذكور فى ذات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إلى علوم الكتاب المقدس والمعارف الدينية، التي بسببها كان مورداً لعناية الله واهتمامه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السيدة مريم العذراء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وهب الله السيدة مريم العذراء القدرة على تحصيل علوم الغيب من خلال تعهد الملائكة لها ونزولها عليها، من قبيل إخبارها بولادة المسيح عيسى من دون أب، وبشارتها بنبوته، 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مِنْ أَنْبَاءِ الْغَيْبِ نُوحِيهِ إِلَيْكَ</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تحدث القرآن الكريم عن شخصية لقمان بوصفه صاحب علم وحكمة إلهية، وفي ذلك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لُقْمَانَ الْحِكْمَةَ</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1030455_2142443653"/>
      <w:bookmarkStart w:id="340" w:name="_Toc123"/>
      <w:bookmarkEnd w:id="339"/>
      <w:r>
        <w:rPr>
          <w:rtl w:val="true"/>
        </w:rPr>
        <w:t xml:space="preserve">ب </w:t>
      </w:r>
      <w:r>
        <w:rPr>
          <w:rtl w:val="true"/>
        </w:rPr>
        <w:t xml:space="preserve">- </w:t>
      </w:r>
      <w:r>
        <w:rPr>
          <w:rtl w:val="true"/>
        </w:rPr>
        <w:t>تصريح النبي الأكرم</w:t>
      </w:r>
      <w:r>
        <w:rPr>
          <w:rtl w:val="true"/>
        </w:rPr>
        <w:t>(</w:t>
      </w:r>
      <w:r>
        <w:rPr>
          <w:rtl w:val="true"/>
        </w:rPr>
        <w:t>صلی الله علیه و آله و سلم</w:t>
      </w:r>
      <w:r>
        <w:rPr>
          <w:rtl w:val="true"/>
        </w:rPr>
        <w:t>)</w:t>
      </w:r>
      <w:r>
        <w:rPr>
          <w:rtl w:val="true"/>
        </w:rPr>
        <w:t>بالعلم اللدنى للأئمة</w:t>
      </w:r>
      <w:r>
        <w:rPr>
          <w:rtl w:val="true"/>
        </w:rPr>
        <w:t>(</w:t>
      </w:r>
      <w:r>
        <w:rPr>
          <w:rtl w:val="true"/>
        </w:rPr>
        <w:t>علیهم السّلام</w:t>
      </w:r>
      <w:r>
        <w:rPr>
          <w:rtl w:val="true"/>
        </w:rPr>
        <w:t>) :</w:t>
      </w:r>
      <w:bookmarkEnd w:id="340"/>
    </w:p>
    <w:p>
      <w:pPr>
        <w:pStyle w:val="BookText"/>
        <w:rPr/>
      </w:pPr>
      <w:r>
        <w:rPr>
          <w:rFonts w:ascii="IRNazanin" w:hAnsi="IRNazanin" w:eastAsia="IRNazanin"/>
          <w:color w:val="111111"/>
          <w:sz w:val="28"/>
          <w:sz w:val="28"/>
          <w:szCs w:val="28"/>
          <w:rtl w:val="true"/>
          <w:lang w:bidi="fa-IR"/>
        </w:rPr>
        <w:t>لقد صرّح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الكثير من المواطن بامتلاك الأئمة من أهل البيت بعلم الغيب والعلم اللدني، ولو كان إثبات مثل هذا العلم للأئمة الأطهار منافياً لخاتمية النبي لما صدر عنه مثل هذا الكلام؛ لأن مفاده نقض صفة من صفاته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نستعرض بعض النصوص المأثورة عن النبي الأكرم بهذا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آل محمد شجرة النبوة، وآل بيت الرحمة، وموضع الرسالة،</w:t>
      </w:r>
      <w:bookmarkStart w:id="341" w:name="pg15658_147001"/>
    </w:p>
    <w:p>
      <w:pPr>
        <w:pStyle w:val="BookText"/>
        <w:rPr/>
      </w:pPr>
      <w:bookmarkEnd w:id="341"/>
      <w:r>
        <w:rPr>
          <w:rFonts w:ascii="Amiri" w:hAnsi="Amiri" w:eastAsia="Amiri" w:cs="Amiri"/>
          <w:color w:val="111111"/>
          <w:sz w:val="28"/>
          <w:sz w:val="28"/>
          <w:szCs w:val="28"/>
          <w:rtl w:val="true"/>
          <w:lang w:bidi="ar-SA"/>
        </w:rPr>
        <w:t>ومختلف الملائكة، ومعدن العلم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كثير من الروايات الأخرى المروية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ذكر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سياق صفات أخرى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الرسالة ومختلف الملائكة يثبت أن اتصاف الأئمة بكونهم معدن العلم لا يعني مجرد حصولهم على العلم الكثير ، وإنما هو ظاهر في العلم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 أهل البيت بكونهم معدن الرسالة من نتائج اتصافهم بأنهم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الرسالة ومختلف الملائكة</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030457_2142443653"/>
      <w:bookmarkStart w:id="343" w:name="_Toc124"/>
      <w:bookmarkEnd w:id="342"/>
      <w:r>
        <w:rPr>
          <w:rtl w:val="true"/>
        </w:rPr>
        <w:t xml:space="preserve">ج </w:t>
      </w:r>
      <w:r>
        <w:rPr>
          <w:rtl w:val="true"/>
        </w:rPr>
        <w:t xml:space="preserve">- </w:t>
      </w:r>
      <w:r>
        <w:rPr>
          <w:rtl w:val="true"/>
        </w:rPr>
        <w:t>تصريح الإمام علي</w:t>
      </w:r>
      <w:r>
        <w:rPr>
          <w:rtl w:val="true"/>
        </w:rPr>
        <w:t>(</w:t>
      </w:r>
      <w:r>
        <w:rPr>
          <w:rtl w:val="true"/>
        </w:rPr>
        <w:t>علیه السّلام</w:t>
      </w:r>
      <w:r>
        <w:rPr>
          <w:rtl w:val="true"/>
        </w:rPr>
        <w:t>)</w:t>
      </w:r>
      <w:r>
        <w:rPr>
          <w:rtl w:val="true"/>
        </w:rPr>
        <w:t>بعلمه للغيب</w:t>
      </w:r>
      <w:r>
        <w:rPr>
          <w:rtl w:val="true"/>
        </w:rPr>
        <w:t>:</w:t>
      </w:r>
      <w:bookmarkEnd w:id="343"/>
    </w:p>
    <w:p>
      <w:pPr>
        <w:pStyle w:val="BookText"/>
        <w:rPr/>
      </w:pPr>
      <w:r>
        <w:rPr>
          <w:rFonts w:ascii="IRNazanin" w:hAnsi="IRNazanin" w:eastAsia="IRNazanin"/>
          <w:color w:val="111111"/>
          <w:sz w:val="28"/>
          <w:sz w:val="28"/>
          <w:szCs w:val="28"/>
          <w:rtl w:val="true"/>
          <w:lang w:bidi="fa-IR"/>
        </w:rPr>
        <w:t>لقد 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بامتلاكه لعلم الغيب في الكثير من المواطن، ومن 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وإنا أهل البيت من علم الله علمنا، وبحكم الله حكمنا، ومن قول صادق سمعنا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الحديث يبيّن الإمام بشكل صريح أن علم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عند الله، ويؤكد أنه صادر عن صادق لا يحتمل فيه الخطأ أبداً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ألهمني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عنه أنه قال في خطبة أخرى مؤكداً أنه يعلم بما أخفي علمه عن الناس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تعلمون ما أعلم مما طوي عنكم غيبه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النص يصرح الإمام بأمور كامنة خلف حجب الغيب، من قبيل إخباره بظهور الحجاج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بالاستناد إلى علمه الغيبي يسأل الناس أن يستثمروا وجوده وأن يسألوه قبل أن يفقدوه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فاسألوني قبل أن تفقدوني فوالله الذي نفسي بيده لا تسألوني عن شيء فيما بينكم وبين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أنبأتكم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الإمام في خطبة أخرى بعد مطالبته الناس أن يسألوه عن كل شيء،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الكثير من الموارد يخبر عن أحداث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عرف بالملاحم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لا يمكن أن يصدر من أي شخص إلا أذا كان من الذين يمتلكون العلم اللدني، وفيما يأتي يمكن لنا الإشارة إلى الموارد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بخراب الكوفة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بالهجوم على البصرة وخرابها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344" w:name="pg15658_147003"/>
    </w:p>
    <w:p>
      <w:pPr>
        <w:pStyle w:val="BookText"/>
        <w:rPr/>
      </w:pPr>
      <w:bookmarkEnd w:id="34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التنبؤ بسلطان بني أمية وانقراض دولتهم</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التنبؤ بظهور الحجاج بن يوسف الثقفي، والإشارة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ثقیف</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تحديد عدد قتلى الجانبين قبل احتدام معركة النهروان</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التنبؤ بهجمة المغول وجرائمهم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ولربما عرضت هنا شبهة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بجميع هذه المغيبات يتنافى مع الآيات التي تحصر علم الغيب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أننا سنجيب عن هذه الشبهة في الفصول اللاحقة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بشأن علم الأئمة للغيب</w:t>
      </w:r>
      <w:r>
        <w:rPr>
          <w:rFonts w:eastAsia="IRNazanin" w:cs="IRNazanin"/>
          <w:color w:val="111111"/>
          <w:sz w:val="28"/>
          <w:szCs w:val="28"/>
          <w:rtl w:val="true"/>
          <w:lang w:bidi="fa-IR"/>
        </w:rPr>
        <w:t>».</w:t>
      </w:r>
    </w:p>
    <w:p>
      <w:pPr>
        <w:pStyle w:val="Heading4"/>
        <w:numPr>
          <w:ilvl w:val="3"/>
          <w:numId w:val="1"/>
        </w:numPr>
        <w:rPr/>
      </w:pPr>
      <w:bookmarkStart w:id="345" w:name="__RefHeading___Toc11030459_2142443653"/>
      <w:bookmarkStart w:id="346" w:name="_Toc125"/>
      <w:bookmarkEnd w:id="345"/>
      <w:r>
        <w:rPr>
          <w:rtl w:val="true"/>
        </w:rPr>
        <w:t xml:space="preserve">د </w:t>
      </w:r>
      <w:r>
        <w:rPr>
          <w:rtl w:val="true"/>
        </w:rPr>
        <w:t xml:space="preserve">- </w:t>
      </w:r>
      <w:r>
        <w:rPr>
          <w:rtl w:val="true"/>
        </w:rPr>
        <w:t>اعتراف بعض أهل السنة بعلم الإمام للغيب</w:t>
      </w:r>
      <w:r>
        <w:rPr>
          <w:rtl w:val="true"/>
        </w:rPr>
        <w:t>:</w:t>
      </w:r>
      <w:bookmarkEnd w:id="3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ذهب بعض المنصفين من علماء أهل السنة من أمثال ابن أبي الحديد المعتزلي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إنكارهم لإمامة الأئمة الأطهار بمن فيهم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اعترافهم بفضل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وكماله الروحي إلى القول بأن الإخبار الغيبي المنقول عنه مثل إخباره بمقتل عشرة من أصحابه في حرب النهروان وعدم بقاء غير عشرة من الأعداء</w:t>
      </w:r>
      <w:r>
        <w:rPr>
          <w:rStyle w:val="FootnoteAnchor"/>
          <w:rtl w:val="true"/>
        </w:rPr>
        <w:footnoteReference w:id="446"/>
      </w:r>
      <w:r>
        <w:rPr>
          <w:rFonts w:ascii="Amiri" w:hAnsi="Amiri" w:eastAsia="Amiri" w:cs="Amiri"/>
          <w:color w:val="111111"/>
          <w:sz w:val="28"/>
          <w:sz w:val="28"/>
          <w:szCs w:val="28"/>
          <w:rtl w:val="true"/>
          <w:lang w:bidi="ar-SA"/>
        </w:rPr>
        <w:t xml:space="preserve">، هو من جملة معجزاته، وقال </w:t>
      </w:r>
      <w:bookmarkStart w:id="347" w:name="pg15658_147004"/>
    </w:p>
    <w:p>
      <w:pPr>
        <w:pStyle w:val="BookText"/>
        <w:rPr/>
      </w:pPr>
      <w:bookmarkEnd w:id="347"/>
      <w:r>
        <w:rPr>
          <w:rFonts w:ascii="Amiri" w:hAnsi="Amiri" w:eastAsia="Amiri" w:cs="Amiri"/>
          <w:color w:val="111111"/>
          <w:sz w:val="28"/>
          <w:sz w:val="28"/>
          <w:szCs w:val="28"/>
          <w:rtl w:val="true"/>
          <w:lang w:bidi="ar-SA"/>
        </w:rPr>
        <w:t xml:space="preserve">في شرح هذه الخطبة عند بلوغ تنبؤ الإمام بعدد القتلى من الطرفين قبل التحام الجيشين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الخبر من الأخبار التي تكاد تكون متواترة؛ لاشتهاره ونقل الناس كافة له وهو من معجزاته وأخباره المفصلة عن الغيوب</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وأكد أن هذا الأمر الإلهي وضعه الله عند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طريق رسوله الكريم، أما الإنسان الاعتيادي فعاجز عن إدراك مثل هذه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أمر إلهي عرفه من جهة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الله سبحانه والقوة البشرية تقصر عن إدراك مثل هذا</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بإمكان أن يحصل الإنسان على قدرة الإخبار عن الغيب، ولكن ذلك بإقدار من الله سبحانه وتعالى،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أنا لا ننكر أن يكون في نوع البشر أشخاص يخبرون عن الغيوب، ولكن كل ذلك مستند إلى البارئ سبحانه بإقداره وتمكينه وتهيئة أسبابه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ذهب ابن عربي إلى إمكان العلم اللدني وأسرار السر الإلهي لأمثال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عباس وسلمان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1030461_2142443653"/>
      <w:bookmarkStart w:id="349" w:name="_Toc126"/>
      <w:bookmarkEnd w:id="348"/>
      <w:r>
        <w:rPr>
          <w:rtl w:val="true"/>
        </w:rPr>
        <w:t xml:space="preserve">هـ </w:t>
      </w:r>
      <w:r>
        <w:rPr>
          <w:rtl w:val="true"/>
        </w:rPr>
        <w:t xml:space="preserve">- </w:t>
      </w:r>
      <w:r>
        <w:rPr>
          <w:rtl w:val="true"/>
        </w:rPr>
        <w:t>علم الغيب من نتائج الولاية الباطنية</w:t>
      </w:r>
      <w:r>
        <w:rPr>
          <w:rtl w:val="true"/>
        </w:rPr>
        <w:t>:</w:t>
      </w:r>
      <w:bookmarkEnd w:id="34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ذكرنا في بحث الولاية الباطنية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بالتفصيل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يمتلكون الولاية الباطنية والمعنوية بفضل الله وعنايته وإنهم يتمكنون في ضوء </w:t>
      </w:r>
    </w:p>
    <w:p>
      <w:pPr>
        <w:pStyle w:val="BookText"/>
        <w:rPr/>
      </w:pPr>
      <w:r>
        <w:rPr>
          <w:rFonts w:ascii="IRNazanin" w:hAnsi="IRNazanin" w:eastAsia="IRNazanin"/>
          <w:color w:val="111111"/>
          <w:sz w:val="28"/>
          <w:sz w:val="28"/>
          <w:szCs w:val="28"/>
          <w:rtl w:val="true"/>
          <w:lang w:bidi="fa-IR"/>
        </w:rPr>
        <w:t>ذلك من الارتباط بعالم الغيب، وبذلك يحيطون علماً بالماضي والمستقبل، وحيث تقدم البحث التفصيلي بهذا الشأن، فإننا نحيل القارئ الكريم إلى ذلك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هنا فنكتفي بذكر بعض الروايات التي تثبت وجود أسئلة أو شبهة بشأن نوع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تفسير الدين حتى في عصر الأئمة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مصدر علم الأئمة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عِلْمِنَا عَلَى ثَلَاثَةِ وُجُوهِ مَاضٍ وَغَابِرٍ وَحَادِثٍ، فَأَمَّا الْمَاضِي فَمُفَسَّرْ ، وَأَمَّا الْغَابِرُ فَمَزْبُورٌ، وَأَمَّا الْحَادِثُ فَقَذْفٌ فِي الْقُلُوبِ وَنَقْرٌ فِي الْأَسْمَاعِ، وَهُوَ أَفْضَلُ عِلْمِنَا وَلَا نَبِيَّ بَعْدَ نَبِيِّنَا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الحديث الشريف يصف الإمام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بالماضي والمستقبل بأنه من سنخ العلم المفسّر والمزبور، وهو ظاهر في التعلم من أمثال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علمهم الراهن والحاضر فهو من سنخ الإلهام، وقد وصف الإمام الكاظم هذا النوع من العلم أنه من أفضل علومهم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كان من الممكن أن يتبادر إلى ذهن المخاطب أن الأئمة حيث يمتلكون علماً من سنخ الإلهام أنهم من الأنبياء أيضاً، ولذلك سيارع الإمام إلى دفع هذه الشبهة في صلب الحديث قائلاً إن علمنا كان من سنخ الإلهام، إلا أن هذا لا يعني النبوة، وبرحيل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يغلق باب النبوات إلى الأبد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 سورة بن كليب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عليه بمنى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الإمام بأي شئ يحكم ؟ قال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ليس في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ليس في السنة ولا في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أعرف الذى تريد، يسدّد ويوفق، وليس كما تظن</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ومراد الإمام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يُسدّد ويوفق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الإلهام والتأييد من قبل الملك وروح القدس، وقد تم التعبير بذلك في روايات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والنقطة التي أشار إليها الإمام في نهاية الحديث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تظن قد يريد بها ظن السائل بأن علم الإمام يكون من طريق الاجتهاد وسلوك القنوات العادية</w:t>
      </w:r>
      <w:r>
        <w:rPr>
          <w:rStyle w:val="FootnoteAnchor"/>
          <w:rtl w:val="true"/>
        </w:rPr>
        <w:footnoteReference w:id="453"/>
      </w:r>
      <w:r>
        <w:rPr>
          <w:rFonts w:ascii="IRNazanin" w:hAnsi="IRNazanin" w:eastAsia="IRNazanin"/>
          <w:color w:val="111111"/>
          <w:sz w:val="28"/>
          <w:sz w:val="28"/>
          <w:szCs w:val="28"/>
          <w:rtl w:val="true"/>
          <w:lang w:bidi="fa-IR"/>
        </w:rPr>
        <w:t>، أو شبهة قياس الإمامة على النبوة؛ فبادر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نفى هذا 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جواب من سأله عن كيفية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بحكم الله وحكم داود، فإذا ورد علينا شيء ليس عندنا تلقانا به الروح القدس</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وفي رواية أخرى ورد التعبير بذات الألفاظ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ألهمنا الله إلهاماً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الكلام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 ادعاء العلم اللدني وعلم الغيب لا صلة له بالنبوة والخاتمية أبداً؛ لأن العلم اللدني وعلم الغيب يشمل غير الأنبياء أيضاً، وهناك</w:t>
      </w:r>
      <w:bookmarkStart w:id="350" w:name="pg15658_147007"/>
    </w:p>
    <w:p>
      <w:pPr>
        <w:pStyle w:val="BookText"/>
        <w:rPr/>
      </w:pPr>
      <w:bookmarkEnd w:id="350"/>
      <w:r>
        <w:rPr>
          <w:rFonts w:ascii="IRNazanin" w:hAnsi="IRNazanin" w:eastAsia="IRNazanin"/>
          <w:color w:val="111111"/>
          <w:sz w:val="28"/>
          <w:sz w:val="28"/>
          <w:szCs w:val="28"/>
          <w:rtl w:val="true"/>
          <w:lang w:bidi="fa-IR"/>
        </w:rPr>
        <w:t>كثير من المصاديق التاريخية على ذلك، وقد أشار القرآن الكريم إلى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نفس علم الغيب وإثباته للأئمة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يتنافى مع أصل النبوة والخاتمية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أن الذي يدعي علم الغيب والعلم اللدني ادعى أنه يتلقى رسالة جديدة من السماء خارج إطار شريعة الإسلام، كان ذلك منه منافياً لأصل الخاتمية، بيد أنه ليس هناك شيعي ينسب مثل هذا الادعاء للأئمة، بل إن الأئمة أنفسهم بعد إثبات صفة الإلهام إلى علمهم تصدوا لإزالة هذه الشبهة، وصرحوا</w:t>
      </w:r>
    </w:p>
    <w:p>
      <w:pPr>
        <w:pStyle w:val="BookText"/>
        <w:rPr/>
      </w:pPr>
      <w:r>
        <w:rPr>
          <w:rFonts w:ascii="IRNazanin" w:hAnsi="IRNazanin" w:eastAsia="IRNazanin"/>
          <w:color w:val="111111"/>
          <w:sz w:val="28"/>
          <w:sz w:val="28"/>
          <w:szCs w:val="28"/>
          <w:rtl w:val="true"/>
          <w:lang w:bidi="fa-IR"/>
        </w:rPr>
        <w:t>بعدم وجود نبي بعد النبي الأكر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تقدمت الرواية في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مراد من يدعي التهافت بين العلم اللدني والخاتمية هو أن الأئمة في ضوء علمهم الغيبي يدعون العصمة وحجية القول والتشريع في بعض أحكام الإسلام، فيجب القول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أصل ادعاء علم الغيب والعلم اللدني لا يتنافى مع الخاتمية، إلا أن الذي يبدو للمستشكل منافياً للخاتمية هو ادعاء الحجية والتشريع، وقد تقدم تحليل هذه الشبهة والجواب عنها فى الصفحات السابقة، وقد ذكرنا هناك أن حجيتهم وتشريعهم إنما هو بإذن من الله الذي هو المشرع الحقيقي لأحكام الإسلام، وتفويض من النبي الأكرم، وهذا في الحقيقة لا يتنافى مع الخاتمية، بل هو متمم ومكمّل لها</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11030463_2142443653"/>
      <w:bookmarkStart w:id="352" w:name="_Toc127"/>
      <w:bookmarkEnd w:id="351"/>
      <w:r>
        <w:rPr>
          <w:rtl w:val="true"/>
        </w:rPr>
        <w:t>الشبهة الثامنة</w:t>
      </w:r>
      <w:r>
        <w:rPr>
          <w:rtl w:val="true"/>
        </w:rPr>
        <w:t xml:space="preserve">: </w:t>
      </w:r>
      <w:r>
        <w:rPr>
          <w:rtl w:val="true"/>
        </w:rPr>
        <w:t>تفويض أمور النبوة للإمام نقض للخاتمية</w:t>
      </w:r>
      <w:r>
        <w:rPr>
          <w:rtl w:val="true"/>
        </w:rPr>
        <w:t>:</w:t>
      </w:r>
      <w:bookmarkEnd w:id="35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في الصفحات السابقة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يتصفون بصفات كمالية خاصة،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وعلم الغيب والإلهام والحجة الإلهية والتنصيب في مقام الإمام من قبل الله عز وجل والنبي الأكرم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من المستشكلين من </w:t>
      </w:r>
      <w:bookmarkStart w:id="353" w:name="pg15658_147008"/>
    </w:p>
    <w:p>
      <w:pPr>
        <w:pStyle w:val="BookText"/>
        <w:rPr/>
      </w:pPr>
      <w:bookmarkEnd w:id="353"/>
      <w:r>
        <w:rPr>
          <w:rFonts w:ascii="IRNazanin" w:hAnsi="IRNazanin" w:eastAsia="IRNazanin"/>
          <w:color w:val="111111"/>
          <w:sz w:val="28"/>
          <w:sz w:val="28"/>
          <w:szCs w:val="28"/>
          <w:rtl w:val="true"/>
          <w:lang w:bidi="fa-IR"/>
        </w:rPr>
        <w:t>رأى في إثبات هذه الصفات للأئمة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نقضاً لأصل الخاتمية، ومن هنا أنكر اتصاف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الدكتور سروش في عدد من المواطن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لعين التناقض أن يهب الرسول الخاتم شخصاً أو أشخاصاً حقوقاً تنقض خاتميته</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11030465_2142443653"/>
      <w:bookmarkStart w:id="355" w:name="_Toc128"/>
      <w:bookmarkEnd w:id="354"/>
      <w:r>
        <w:rPr>
          <w:rtl w:val="true"/>
        </w:rPr>
        <w:t>مناقشة وتحليل</w:t>
      </w:r>
      <w:r>
        <w:rPr>
          <w:rtl w:val="true"/>
        </w:rPr>
        <w:t>:</w:t>
      </w:r>
      <w:bookmarkEnd w:id="355"/>
    </w:p>
    <w:p>
      <w:pPr>
        <w:pStyle w:val="BookText"/>
        <w:rPr/>
      </w:pPr>
      <w:r>
        <w:rPr>
          <w:rFonts w:ascii="IRNazanin" w:hAnsi="IRNazanin" w:eastAsia="IRNazanin"/>
          <w:color w:val="111111"/>
          <w:sz w:val="28"/>
          <w:sz w:val="28"/>
          <w:szCs w:val="28"/>
          <w:rtl w:val="true"/>
          <w:lang w:bidi="fa-IR"/>
        </w:rPr>
        <w:t>إن المشكلة الأساسية التي يعاني منها هذا الأشكال تكمن في تعريفه الخاص لمعنى الخاتمية ومفهومها، إذ إن المستشكل في إشكاله هذا يفسّر الخاتمية بشكل عام، معتبراً كل صفة كمالية يتصف بها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 خواص النبوة، ويرى في تعميمها على غير النبي نقضاً للنبوة وأصل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أن معنى الخاتمية ومفهومها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في الصفات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يكمن في حصر صفة العصمة والإلهام وعلم الغيب والحجية بالنبي وعدم بسطها وتعميمها على الإمام، بل إن معنى الخاتمية هو عدم ظهور نبي جديد يحمل شريعة 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القائلين بأصل الإمامة لا يدعون وجود شريعة ونبي جديد، وإنما غاية ما يرونه أن الأئمة منصوبون من قبل خاتم الأنبياء وآخرهم، وأنه فوّض إليهم</w:t>
      </w:r>
    </w:p>
    <w:p>
      <w:pPr>
        <w:pStyle w:val="BookText"/>
        <w:rPr/>
      </w:pPr>
      <w:r>
        <w:rPr>
          <w:rFonts w:ascii="Amiri" w:hAnsi="Amiri" w:eastAsia="Amiri" w:cs="Amiri"/>
          <w:color w:val="111111"/>
          <w:sz w:val="28"/>
          <w:sz w:val="28"/>
          <w:szCs w:val="28"/>
          <w:rtl w:val="true"/>
          <w:lang w:bidi="ar-SA"/>
        </w:rPr>
        <w:t>مختلف الشؤون من قبيل الحجية والعصمة في القول والعمل، بمقتضى خلافتهم للنبي في مجال تفسير الدين والدنيا من قبل نفس النبي الأكرم والخالق سبحانه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المعنى من الخاتمية وعدم تنافيها مع أصل النبوة والخاتمية في كلام النبي تماماً، ذلك حيث 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أَتَّبِعُهُ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اتِّبَاعَ الْفَصِيلِ أَثَرَ أُمِّهِ، يَرْفَعُ لِي فِي كُلِّ يَوْمِ عَلَمَا مِنْ أَخْلاقِهِ، وَيَأْمُرُني بِالْإِقْتِدَاءِ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 يُجَاوِرُ فِي كُلِّ سَنَة بِحِرَاءً فَأَرَاهُ، وَلَا يَرَاهُ غَيْرِي، وَلَمْ يَجْمَعْ بَيْتٌ وَاحِدٌ يَوْمَئِذٍ فِي الْإِسْلامِ غَيْرَ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وَخَدِيجَةَ وَأَنَا ثَالِثُهُمَا، أَرَى نُورَ الْوَحْيِ وَالرِّسَالَةِ، وَأَهُمُّ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سَمِعْتُ رَنَّةَ الشَّيْطَانِ حِينَ نَزَلَ الْوَحْيُ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مَا هَذِهِ الرَّئَةُ؟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نجد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الحديث لا ينفي أصل صفة الإلهام ورؤية ملك الوحي وسماع صوته، وإنما يثبت ذلك كله ولا ينفي إلا صفة النبوة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روايات أخرى يثبت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الصفات الكمالية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والحجية ووجوب الإطاعة على ما مر في معرض الجواب عن الشبهات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يتعلق بمعنى ومفهوم الخاتمية أعلم من جميع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فيهم الدكتور سروش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لو كان إثبات الصفات المذكور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منافياً لأصل الخاتمية، لما فوّضها لغيره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أراد شخص أن يدعي أنه يقدم لرسول الله دروساً في معنى الخاتمية والعياذ بالله، أو أن يعتقد بعدم عصمته في هذه المسألة، وإذا كان كذلك تعيّن على هذا الشخص قبل كل شيء أن يوضح مراده بشكل شفاف كي نقدم له الجواب المناسب</w:t>
      </w:r>
      <w:r>
        <w:rPr>
          <w:rFonts w:eastAsia="IRNazanin" w:cs="IRNazanin"/>
          <w:color w:val="111111"/>
          <w:sz w:val="28"/>
          <w:szCs w:val="28"/>
          <w:rtl w:val="true"/>
          <w:lang w:bidi="fa-IR"/>
        </w:rPr>
        <w:t xml:space="preserve">. </w:t>
      </w:r>
      <w:bookmarkStart w:id="356" w:name="pg15658_147010"/>
    </w:p>
    <w:p>
      <w:pPr>
        <w:pStyle w:val="Heading2"/>
        <w:numPr>
          <w:ilvl w:val="1"/>
          <w:numId w:val="1"/>
        </w:numPr>
        <w:rPr/>
      </w:pPr>
      <w:bookmarkStart w:id="357" w:name="__RefHeading___Toc11030467_2142443653"/>
      <w:bookmarkStart w:id="358" w:name="_Toc129"/>
      <w:bookmarkEnd w:id="356"/>
      <w:bookmarkEnd w:id="357"/>
      <w:r>
        <w:rPr>
          <w:rtl w:val="true"/>
        </w:rPr>
        <w:t>الفصل الرابع</w:t>
      </w:r>
      <w:bookmarkEnd w:id="35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11030469_2142443653"/>
      <w:bookmarkStart w:id="360" w:name="_Toc130"/>
      <w:bookmarkEnd w:id="359"/>
      <w:r>
        <w:rPr>
          <w:rtl w:val="true"/>
        </w:rPr>
        <w:t>شبهات حول أصل التنصيب ونقدها</w:t>
      </w:r>
      <w:bookmarkEnd w:id="36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5658_147012"/>
      <w:bookmarkStart w:id="362" w:name="pg15658_147012"/>
      <w:bookmarkEnd w:id="362"/>
    </w:p>
    <w:p>
      <w:pPr>
        <w:pStyle w:val="Heading3"/>
        <w:numPr>
          <w:ilvl w:val="2"/>
          <w:numId w:val="1"/>
        </w:numPr>
        <w:rPr/>
      </w:pPr>
      <w:bookmarkStart w:id="363" w:name="pg15658_147012"/>
      <w:bookmarkStart w:id="364" w:name="__RefHeading___Toc11030471_2142443653"/>
      <w:bookmarkStart w:id="365" w:name="_Toc131"/>
      <w:bookmarkEnd w:id="363"/>
      <w:bookmarkEnd w:id="364"/>
      <w:r>
        <w:rPr>
          <w:rtl w:val="true"/>
        </w:rPr>
        <w:t>الشبهة الأولى</w:t>
      </w:r>
      <w:r>
        <w:rPr>
          <w:rtl w:val="true"/>
        </w:rPr>
        <w:t xml:space="preserve">: </w:t>
      </w:r>
      <w:r>
        <w:rPr>
          <w:rtl w:val="true"/>
        </w:rPr>
        <w:t xml:space="preserve">عدم ذكر التنصيب في القرآن الكريم </w:t>
      </w:r>
      <w:r>
        <w:rPr>
          <w:rtl w:val="true"/>
        </w:rPr>
        <w:t>:</w:t>
      </w:r>
      <w:bookmarkEnd w:id="365"/>
    </w:p>
    <w:p>
      <w:pPr>
        <w:pStyle w:val="Heading4"/>
        <w:numPr>
          <w:ilvl w:val="3"/>
          <w:numId w:val="1"/>
        </w:numPr>
        <w:rPr/>
      </w:pPr>
      <w:bookmarkStart w:id="366" w:name="__RefHeading___Toc11030473_2142443653"/>
      <w:bookmarkStart w:id="367" w:name="_Toc132"/>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تعرضنا في الفصل السابق إلى الشبهات العامة والانتقادات الناظرة إلى أصل الإمامة بالنقد والتحليل وفي هذا الفصل سوف نتناول بالنقد الشبهات التي تسعى بشتى المفاهيم والطرق إلى إنكار العناصر الأساسية للإمامة، أى وجود النص الإلهي على إمامة الإمام على والأئمة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الشبهة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وهى في الوقت نفسه من الشبهات القديمة والمعروفة المطروحة من قبل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تكمن في ادعاء عدم ذكر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حيث يدعون أن إمامته لو كانت بأمر من الله لوجب التأكيد عليها في الآيات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ادعى بشكل عام أن أصل التنصيب مجعول من قبل المتكلمين في القرن الثاني والثالث</w:t>
      </w:r>
      <w:r>
        <w:rPr>
          <w:rStyle w:val="FootnoteAnchor"/>
          <w:rtl w:val="true"/>
        </w:rPr>
        <w:footnoteReference w:id="458"/>
      </w:r>
      <w:r>
        <w:rPr>
          <w:rFonts w:ascii="Amiri" w:hAnsi="Amiri" w:eastAsia="Amiri" w:cs="Amiri"/>
          <w:color w:val="111111"/>
          <w:sz w:val="28"/>
          <w:sz w:val="28"/>
          <w:szCs w:val="28"/>
          <w:rtl w:val="true"/>
          <w:lang w:bidi="ar-SA"/>
        </w:rPr>
        <w:t>، ولازم ذلك عدم وجود النص في القرآن والسنة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تحليل هذه الشبهة تجدر الإشارة إلى النقاط الآتية </w:t>
      </w:r>
      <w:r>
        <w:rPr>
          <w:rFonts w:eastAsia="Amiri" w:cs="Amiri" w:ascii="Amiri" w:hAnsi="Amiri"/>
          <w:color w:val="111111"/>
          <w:sz w:val="28"/>
          <w:szCs w:val="28"/>
          <w:rtl w:val="true"/>
          <w:lang w:bidi="ar-SA"/>
        </w:rPr>
        <w:t xml:space="preserve">: </w:t>
      </w:r>
      <w:bookmarkStart w:id="368" w:name="pg15658_147013"/>
    </w:p>
    <w:p>
      <w:pPr>
        <w:pStyle w:val="Heading4"/>
        <w:numPr>
          <w:ilvl w:val="3"/>
          <w:numId w:val="1"/>
        </w:numPr>
        <w:rPr/>
      </w:pPr>
      <w:bookmarkStart w:id="369" w:name="__RefHeading___Toc11030475_2142443653"/>
      <w:bookmarkStart w:id="370" w:name="_Toc133"/>
      <w:bookmarkEnd w:id="368"/>
      <w:bookmarkEnd w:id="369"/>
      <w:r>
        <w:rPr>
          <w:rtl w:val="true"/>
        </w:rPr>
        <w:t xml:space="preserve">وجود الآيات الظاهرة في التنصيب </w:t>
      </w:r>
      <w:r>
        <w:rPr>
          <w:rtl w:val="true"/>
        </w:rPr>
        <w:t>:</w:t>
      </w:r>
      <w:bookmarkEnd w:id="370"/>
    </w:p>
    <w:p>
      <w:pPr>
        <w:pStyle w:val="BookText"/>
        <w:rPr/>
      </w:pPr>
      <w:r>
        <w:rPr>
          <w:rFonts w:ascii="IRNazanin" w:hAnsi="IRNazanin" w:eastAsia="IRNazanin"/>
          <w:color w:val="111111"/>
          <w:sz w:val="28"/>
          <w:sz w:val="28"/>
          <w:szCs w:val="28"/>
          <w:rtl w:val="true"/>
          <w:lang w:bidi="fa-IR"/>
        </w:rPr>
        <w:t>هناك كثير من آيات القرآن الكريم تدل على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منصب الإمامة، نشير فيما يأتي إلى بعضها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 التطهير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الآيات المعروفة النازلة بشأن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آية التطهير التي طهر الله فيها أهل بيت النبي من جميع أنواع الرجس، إذ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المالية</w:t>
      </w:r>
    </w:p>
    <w:p>
      <w:pPr>
        <w:pStyle w:val="BookText"/>
        <w:rPr/>
      </w:pPr>
      <w:r>
        <w:rPr>
          <w:rFonts w:ascii="IRNazanin" w:hAnsi="IRNazanin" w:eastAsia="IRNazanin"/>
          <w:color w:val="111111"/>
          <w:sz w:val="28"/>
          <w:sz w:val="28"/>
          <w:szCs w:val="28"/>
          <w:rtl w:val="true"/>
          <w:lang w:bidi="fa-IR"/>
        </w:rPr>
        <w:t>إن هذه الآية تثبت عصمة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وفاطمة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نزول هذه الآية في هؤلاء عدد من الصحابة يبلغ حد التواتر وقد تم التأكيد على هذا المعنى في المصادر السنية والشيعية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الترمذي مثلاً يقرّ بأن آية التطهير نزلت في بيت أم سلمة، وقال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علياً وفاطمة والحسن والحسين ثم ألقى عليهم عباءة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يستند إلى هذه الآية الكريمة في كثير من المواطن في مقام إثبات مقامه الشامخ والاحتجاج بها على المخالفين كما صدر ذلك عنه مع أهل السقيفة</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ورد في مصادر أهل السنة بصيغ مختلفة أن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استشهاد أبيه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طبق آية التطهير في بعض خطبه على نفسه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البيت الذين أذهب الله عنهم الرجس وطهرهم تطهيراً</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لازم تطهير وطهارة أهل البيت من جميع أنواع الرجس هو عصمتهم من جميع أنواع الذنوب والمعاصي، وهذا يثبت بدوره حجيتهم ولزوم إطاعتهم مطلقاً؛ وذلك لانتفاء صدور الخطأ والمعصية عنهم في القول والعمل طبقاً لهذه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صفة المنذر والهادي من صفات الأنبياء التي تم التأكيد عليها في القرآن الكريم أيضاً؛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في كثير من الروايات المأثورة في كتب الفريقين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يصف نفسه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لأمته من بعده، ومن ذلك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الهادي يا علي بك يهتدى من بعدي</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استعمل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بينها هذه الآية </w:t>
      </w:r>
    </w:p>
    <w:p>
      <w:pPr>
        <w:pStyle w:val="BookText"/>
        <w:rPr/>
      </w:pPr>
      <w:r>
        <w:rPr>
          <w:rFonts w:ascii="IRNazanin" w:hAnsi="IRNazanin" w:eastAsia="IRNazanin"/>
          <w:color w:val="111111"/>
          <w:sz w:val="28"/>
          <w:sz w:val="28"/>
          <w:szCs w:val="28"/>
          <w:rtl w:val="true"/>
          <w:lang w:bidi="fa-IR"/>
        </w:rPr>
        <w:t xml:space="preserve">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المقامات السامية من قبيل مقامات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لمّا كان الإسلام هو خاتم الأديان،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يكن نبياً ينزل عليه الوحي، ولكنه طبقاً لصريح هذه الآية وتفسير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وتطبيقها على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،يثبت أن الإمام علياً كان متصفاً بصفة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معرض الاستدلال بهذه الآية لابد من الالتفات إلى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مختلفاً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والقريب، بيد أنه بالالتفات إلى استعمال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الشريفة، دلّ ذلك على أن الآية بصدد حصر أولياء المؤمنين بعدد محدد من المصاديق، وإن هذه المصاديق عبارة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والنبي والذي يعطي الزكاة راكعاً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ولازم ذلك إرادة معنى الحاكم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حصر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 آنفاً لا يكون له من معنى، إذ لا معنى لحصر الحب بالله والنبي والذي يتزكى أثناء الركوع، أو الدعوة إلى إقامة التواصل معهم أو نصرتهم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يكون معنى الحاكم والقيم منسجماً مع الحصر بشكل كامل؛ لأن الآية الشريفة بصدد بيان من هو حاكم المسلمين، وتقول إنه هو الله بالدرجة الأولى، ثم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الذي يتصدق أثناء الركوع، وسوف نرى أن هذا الوصف لا ينطبق إلا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النقطة الثانية حيث أن ولاية الله ورسوله تعني الزعامة وامتلاك زمام الأمور والاختيار، يكون معنى ولاية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أيضاً لورودها في الآية الشريفة معطوفة على ولاية الله ورسوله، وسياق الآية يقتضى أن تكون ولاية المصاديق الثلاثة في هذه الآية الشريفة بمعنى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اعتبرنا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هذه الآية معنى غير معنى الإمامة والحكومة، فإننا سنواجه مشكلة في تفسير هذه الآية فيما يتعلق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يحبكم أو ناصركم هو الله ورسوله وذلك الصنف من المؤمنين الذي يتصدق أثناء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يرد السؤال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يمنع المؤمن من نصرة المسلمين في غير حالة التصدق أثناء الركوع، وأساساً ما هو السرّ في تقييد الآية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بحالة خاصة من حالات الركوع؟</w:t>
      </w:r>
      <w:r>
        <w:rPr>
          <w:rStyle w:val="FootnoteAnchor"/>
          <w:rtl w:val="true"/>
        </w:rPr>
        <w:footnoteReference w:id="46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كثير من الروايات المأثورة في كتب الفريقين أن هذه الآية قد نزلت في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عندما دخل مسكين إلى المسجد وسأل المسلمين أن يتصدقوا عليه فلم يعطه أحد منهم شيئاً؛وكان الإمام علي قائماً يصلي فأومأ إلى الفقير بأن يأخذ خاتمه، وهكذا تصدق به على ذلك المسكين؛ فنزلت هذه الآية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هناك من يشكك في المسائل المتقدمة، ولذلك فإننا لتكميل استدلالنا نشير إلى الرواية النبوية الناظرة إلى مورد البحث كي تزول جميع أنواع الشك والترديد في استفادة الإمامة والحكومة من الآية الشريفة، وذلك من خلال سرد الرواية الآتية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الثعلبي القصة مسندة إلى أبي ذر الغفاري،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يوماً صلاة الظهر في المسجد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فقام سائل فسأل فلم يعطه أحد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ركع فأومى إلى السائل بخنصره؛ فأخذ الخاتم من خنصره،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يعاين ذلك؛ فرفع رأسه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أخى موسی سألك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اشْرَحْ لِي صَدْرِي وَيَسِّرْ لِي أَمْرِي الآية إلى قوله وَأَشْرِكْهُ فِي أَمْرِي؛ فأنزل عليه قرآناً ناطقاً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 بِأَخِيكَ وَنَجْعَلُ لَكُم سُلْطاناً فَلا يَصِلُّونَ إِلَيْكُما</w:t>
      </w:r>
      <w:r>
        <w:rPr>
          <w:rFonts w:ascii="IRNazanin" w:hAnsi="IRNazanin" w:eastAsia="IRNazanin"/>
          <w:color w:val="111111"/>
          <w:sz w:val="28"/>
          <w:sz w:val="28"/>
          <w:szCs w:val="28"/>
          <w:rtl w:val="true"/>
          <w:lang w:bidi="fa-IR"/>
        </w:rPr>
        <w:t xml:space="preserve"> اللهم وأنا محمد صفيك ونبيك فاشرح لي صدري ويسر لي أمري واجعل لي وزيراً من أهلى علياً اشدد به أزرى أو قال ظهري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الكلمة، حتى نزل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 الَّذِينَ آمَنُوا</w:t>
      </w:r>
      <w:r>
        <w:rPr>
          <w:rFonts w:ascii="IRNazanin" w:hAnsi="IRNazanin" w:eastAsia="IRNazanin"/>
          <w:color w:val="111111"/>
          <w:sz w:val="28"/>
          <w:sz w:val="28"/>
          <w:szCs w:val="28"/>
          <w:rtl w:val="true"/>
          <w:lang w:bidi="fa-IR"/>
        </w:rPr>
        <w:t xml:space="preserve">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رَاكِعُونَ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وردت رواية مشابهة لهذه الرواية في المصادر الشيعية، ولكن لا يسع المجال إلى ذكرها هنا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سورة المائدة في مختلف التفاسير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هذه الآية الشريفة في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 بأيام قلائل 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تتحدث عن المهمة الأساسية والجوهرية الملقاة على عاتق النبي الأكرم في الأيام الأخيرة من حياته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تلخصت هذه المهمة بإبلاغ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توضحه النقاط الآتية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فيما رصده التاريخ من التعاليم الدينية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أواخر أيام حياته الشريفة ما هو أهم من حادثة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لا يكون قد قام بواجبه تجاه الأمة في حادثة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نقول بأن حادثة الغدير قد انطوت على أمر في غاية الأهية للإسلام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كانت الفرضية الأولى لا تتناسب مع شأن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وعصمته، تتعين الفرضية الثانية، فضلاً عن أن هذه الآية تخبر عن إكمال الدين الذي هو من أهم الأمور المتعلقة بالرسالة السماوية على ما سيأتي بيانه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تكون الفرضية الثانية القائلة بأمر الله لنبيه بتنصيب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من بعده على المسلمين في يوم غدير خم هي المتعينة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المهم والأساسي لا يمكن أن يكون مجرد الأمر بمحبة </w:t>
      </w:r>
    </w:p>
    <w:p>
      <w:pPr>
        <w:pStyle w:val="BookText"/>
        <w:rPr/>
      </w:pPr>
      <w:r>
        <w:rPr>
          <w:rFonts w:ascii="IRNazanin" w:hAnsi="IRNazanin" w:eastAsia="IRNazanin"/>
          <w:color w:val="111111"/>
          <w:sz w:val="28"/>
          <w:sz w:val="28"/>
          <w:szCs w:val="28"/>
          <w:rtl w:val="true"/>
          <w:lang w:bidi="fa-IR"/>
        </w:rPr>
        <w:t>علي أو 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ناصراً ومعيناً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سنخية ومناسبة بين هذا المفهوم ومحتوى الآية بحيث يعد عدم إبلاغه تركاً للرسالة الإلهية وعدم إبلاغها من 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صريح الآية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يعيش صراعاً وخوفاً من إبلاغ محتوى رسالة الآية، وكأنه حدث نوع من الإبطاء في إبلاغ ذلك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محتوى الآية من الأهمية والخطورة بالنسبة إلى البعض بحيث كان النبي يستشعر صدور نوع من الخطر عنهم يمس جوهر الدین والمجتمع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هذا النوع من الخطاب لا يتناسب مع مجرد 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ناصراً للرسول أو دعوة المؤمنين إلى مجرد محبّته، ومعه لا يبقى هناك معنى لافتراض مخاوف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فسرنا محتوى الآية ومضمونها بإمامة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الفرضية منسجمة مع الواقع تمام الانسجام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لا يبدو معقولاً أن يجمع النبي النبي علي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يقرب من مئة ألف حاج في يوم شديد الحرارة في صحراء مقفرة لا لشيء إلا لمطالبتهم بأن يحبّوا علياً، أو إخبارهم بأنه كان ناصراً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ما يربو على العقدين من الزمن، كما عليه قراءة أهل السنة لواقعة غدير خم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الاستدلال بالنص الذي تلاه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بوصفه ناظراً إلى هذا الأمر، وذلك حيث يمهد له بحقيقة أولويته وولايته على الناس وتقدم نفسه على أنفسهم،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 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سيأتي توضيحه في الصفحات القادمة عند وقوفنا على حديث الغدير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أكثر علماء أهل السنة بنزول هذه الآية في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ذكر المصادر على ذلك، مع ذكر القرائن الأخرى حول دلالة الآية وحديث الغدير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التعرض لحديث الغدير في الفقرة المخصصة للروايات في الصفحات القادمة إن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يَئِسَ الَّذِينَ كَفَرُوا مِنْ دِينِكُمْ فَلَا تَخْشَوْهُمْ وَاخْشَوْنِي الْيَوْمَ أَكْمَلْتُ لَكُمْ دِينَكُمْ وَأَقْمْتُ عَلَيْكُمْ نِعْمَتِي وَرَضِيتُ لَكُمُ الإِسْلَامَ دِينًا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الآية الشريفة تتميماً للآية السابقة ناظرة إلى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يتعلق بواقعة غدير خم أيضاً، وظاهر الآية على تأييدها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لا بد من الإشارة في تقريرها إلى الأمور الآتية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الكثير من علماء أهل السنة إلى القول بأن هذه الآية ناظرة إلى حادثة غدير خم</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الآية لمضمون ما يجب إبلاغه بيأس الكفار وإكمال الدين وإتمام النعمة، لا ينسجم مع حمل خطاب الغدير على مجرد الدعوة إلى حب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الإخبار عن أنه ناصر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هذه الصفات يجب أن تقوم على أمر أساسي وجوهري، والفرضية الوحيدة التي يمكن افتراض وجودها في أخريات حياة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مسألة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قرائن وشواهد أخرى في تأييد نظرية الشيعة، وسيأتي تفصيلها عند البحث في حديث الغدير في الصفحات القادمة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يذهب الشيعة إلى القول بدلالة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عصمة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وإمامته، حيث يمكن استنتاج ذلك من خلال الالتفات إلى الأمور الآتية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تم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 إطاعة أولي الأمر من قبيل إطاعة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يتضح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يكونوا مثل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عصمته، كي يصح من الله أن يأمر بإطا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التفت الفخر الرازي في تفسيره إلى هذه المسألة، ولكنه لم يثبت العصمة لأشخاص بعينهم، وإنما طبقها على الأمة بأسرها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الشأن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رواية العصمة أنه طبقاً لها لم تتوفر في عصر النبي </w:t>
      </w:r>
    </w:p>
    <w:p>
      <w:pPr>
        <w:pStyle w:val="BookText"/>
        <w:rPr/>
      </w:pP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شخص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أهل السنة لا يذهبون إلى الاعتقاد بوجود تنصيب لأحد، فعليهم إما القول بتطبيق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وأبنائه المعصومين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القول بعدم وجود مصداق لهذا المفهوم ؛ فيلزم من ذلك اللغوية والعياذ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يتعلق بذهاب الفخر الرازي إلى تطبيق العصمة على الأمة، يجب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لمنطوق الآية ونصها ليس جميع الأمة، وإنما بعضها، كما يفهم ذلك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 الأمر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الأمر والحكم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يتناسب مع تفسير العبارة بالأمة لكي يصح تطبيق الآية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تريد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أن يطاعوا بشكل مطلق، وعليه يجب على الأمة أن 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تفسير الفخر الرازي تتحول الأمة من مطيعة إلى مطاعة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التحليل المفهومي للآية، فإن الروايات النبوية تذهب إلى تحديد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 الحديث النبوي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شركائي الذين قرنهم الله بنفسه وبي، وأنزل فيهم </w:t>
      </w:r>
      <w:r>
        <w:rPr>
          <w:rFonts w:ascii="Amiri" w:hAnsi="Amiri" w:eastAsia="Amiri" w:cs="Amiri"/>
          <w:color w:val="111111"/>
          <w:sz w:val="28"/>
          <w:sz w:val="28"/>
          <w:szCs w:val="28"/>
          <w:rtl w:val="true"/>
          <w:lang w:bidi="ar-SA"/>
        </w:rPr>
        <w:t xml:space="preserve">يَا أَيُّهَا الَّذِينَ آمَنُوا أَطِيعُوا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هؤلاء الشركاء؛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أولهم</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bookmarkStart w:id="371" w:name="pg15658_147023"/>
    </w:p>
    <w:p>
      <w:pPr>
        <w:pStyle w:val="BookText"/>
        <w:rPr/>
      </w:pPr>
      <w:bookmarkEnd w:id="371"/>
      <w:r>
        <w:rPr>
          <w:rFonts w:ascii="IRNazanin" w:hAnsi="IRNazanin" w:eastAsia="IRNazanin"/>
          <w:color w:val="111111"/>
          <w:sz w:val="28"/>
          <w:sz w:val="28"/>
          <w:szCs w:val="28"/>
          <w:rtl w:val="true"/>
          <w:lang w:bidi="fa-IR"/>
        </w:rPr>
        <w:t>وفى بداية خلافة عثمان طلب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حضور جماعة من الصحابة أن يشهدوا ويعترفوا في حق من نزلت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أفهل نزلت هذه الآيات في حق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أبو بكر وعمر قد سألا رسول الله بعد نزول هذه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هؤلاء الآيات خاصة في على؟</w:t>
      </w:r>
      <w:r>
        <w:rPr>
          <w:rStyle w:val="FootnoteAnchor"/>
          <w:rtl w:val="true"/>
        </w:rPr>
        <w:footnoteReference w:id="476"/>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فيه وفي أوصيائي إلى يوم القيامة</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الحسكاني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نزلت في حق علي بن أبي طالب</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ما يشبه هذه الرواية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2" w:name="__RefHeading___Toc11030477_2142443653"/>
      <w:bookmarkStart w:id="373" w:name="_Toc134"/>
      <w:bookmarkEnd w:id="372"/>
      <w:r>
        <w:rPr>
          <w:rtl w:val="true"/>
        </w:rPr>
        <w:t>الشبهة الثانية</w:t>
      </w:r>
      <w:r>
        <w:rPr>
          <w:rtl w:val="true"/>
        </w:rPr>
        <w:t xml:space="preserve">: </w:t>
      </w:r>
      <w:r>
        <w:rPr>
          <w:rtl w:val="true"/>
        </w:rPr>
        <w:t>عدم ذكر اسم الإمام علي</w:t>
      </w:r>
      <w:r>
        <w:rPr>
          <w:rtl w:val="true"/>
        </w:rPr>
        <w:t>(</w:t>
      </w:r>
      <w:r>
        <w:rPr>
          <w:rtl w:val="true"/>
        </w:rPr>
        <w:t>علیه السّلام</w:t>
      </w:r>
      <w:r>
        <w:rPr>
          <w:rtl w:val="true"/>
        </w:rPr>
        <w:t>)</w:t>
      </w:r>
      <w:r>
        <w:rPr>
          <w:rtl w:val="true"/>
        </w:rPr>
        <w:t xml:space="preserve">في القرآن الكريم </w:t>
      </w:r>
      <w:r>
        <w:rPr>
          <w:rtl w:val="true"/>
        </w:rPr>
        <w:t>:</w:t>
      </w:r>
      <w:bookmarkEnd w:id="3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خلال الصفحات السابقة أن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يذكر صراحة في آيات القرآن الكريم، ولكن نزلت في شأنه كثير من الآيات، وكان المسلمون في صدر الإسلام يعلمون جيداً أن المعنى بها هو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تقدم أن ذكرنا بعض الآيات التي تدل على إمامة الإمام علي </w:t>
      </w:r>
    </w:p>
    <w:p>
      <w:pPr>
        <w:pStyle w:val="BookText"/>
        <w:rPr/>
      </w:pPr>
      <w:r>
        <w:rPr>
          <w:rFonts w:ascii="IRNazanin" w:hAnsi="IRNazanin" w:eastAsia="IRNazanin"/>
          <w:color w:val="111111"/>
          <w:sz w:val="28"/>
          <w:sz w:val="28"/>
          <w:szCs w:val="28"/>
          <w:rtl w:val="true"/>
          <w:lang w:bidi="fa-IR"/>
        </w:rPr>
        <w:t>بشكل صريح، وتقدم أن قلنا إنها موضع تسليم واعتراف من قبل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اختلافهم يكمن في تفسير الآيات، وفي مفهوم الآيات، ودلالتها على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مر بيانه وتوضيحه في الصفحات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الدلالة الواضحة للآيات السابقة، يطرح بعض أهل السنة شبهة عدم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بشكل خاص، ببيان أنه لو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لكان على الله أن يذكره في القرآن باسمه حسماً للنزاع ومنعاً للخلاف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هذه الشبهة مطروحة حتى في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0"/>
      </w:r>
      <w:r>
        <w:rPr>
          <w:rFonts w:ascii="Amiri" w:hAnsi="Amiri" w:eastAsia="Amiri" w:cs="Amiri"/>
          <w:color w:val="111111"/>
          <w:sz w:val="28"/>
          <w:sz w:val="28"/>
          <w:szCs w:val="28"/>
          <w:rtl w:val="true"/>
          <w:lang w:bidi="ar-SA"/>
        </w:rPr>
        <w:t>، وقد خاض فيها بعض المعاصرين أيضاً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الإجابة عن هذه الشبهة يجدر التدبر في الأمور الآتية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الصفات الخاصة يغني عن التصريح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من الآيات السابقة أن الله سبحانه وتعالى أراد من خلال إنزالها التعريف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إماماً وخليفة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ذكر هذا العدد من الآيات لا تعود هناك من حاجة إلى التصريح بالاسم الخاص؛ إذ إن بعض الآيات تشتمل على خصائص حصرية ومتعينة في شخص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يشاركه فيها غيره،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الولاية، وإيتاء الزكاة أثناء الركوع، وهناك من الآيات ما يعرف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إماماً وولياً ومولى وهادياً في دلالة واضحة </w:t>
      </w:r>
    </w:p>
    <w:p>
      <w:pPr>
        <w:pStyle w:val="BookText"/>
        <w:rPr/>
      </w:pPr>
      <w:r>
        <w:rPr>
          <w:rFonts w:ascii="Amiri" w:hAnsi="Amiri" w:eastAsia="Amiri" w:cs="Amiri"/>
          <w:color w:val="111111"/>
          <w:sz w:val="28"/>
          <w:sz w:val="28"/>
          <w:szCs w:val="28"/>
          <w:rtl w:val="true"/>
          <w:lang w:bidi="ar-SA"/>
        </w:rPr>
        <w:t xml:space="preserve">وصريحة يتفق في فهمها جميع الصحابة أو أغلبهم في الحد الأدنى، على ما تقدّم 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ليس هناك أي مشكلة أو سوء فهم فيما يتعلق بأصل تطبيق آيات الولاية وأهل البيت وأولى الأمر والهادي والمولى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تكون هناك حاجة إلى التصريح باسم علي في القرآن بشكل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لو كان لدى والد كثير من الأولاد وكان هناك واحد من أولاده حافظاً للقرآن فقط، وقال الأب عند احتضاره إن وصيي من بين جميع أولادي هو الحافظ للقرآن منهم، وحيث أن الجميع يعرفون من هو الحافظ للقرآن من بينهم؛ لأنه واحد لا غير، لا يشعرون بوجود حاجة أو ضرورة لتسميته، ولا يرد إشكال حقوقي على الأب من هذه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إذا كان الأب قد اهتم شخصياً بمسألة حفظ هذا الابن للقرآن أو كونه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الشيء نفسه ينطبق على ما نحن فيه من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وإمامته وزيادة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الشبهة إلى شبهة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يشكك شخص أو يشتبه لا في تطبيق هذه الآيات والصفات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في تفسير هذه المفاهيم والمعاني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القرآن قد وصف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الكلام 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هو الإمام والحاكم والخليفة أو مجرد المحب والناصر؟ وفي هذه الصورة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يعود أصل الشبهة إلى عدم ذكر اسم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إذ حتى لو فرضنا أن القرآن ذكر اسم الإمام علي صراحة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علي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سيرد السؤال أيضاً عن معنى الولي في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الشبهة تعود إلى تفسير معنى صفات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الواردة في القرآن، وليس في انطباقها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الشبهة تتحول من موضوعها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ذكر اسم الإمام علي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شبهة أخرى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إجمال صفات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وإبهامها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شبهة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حل هذه الشبهة سوف نثبت من خلال القرائن والشواهد المختلفة في الآيات وكذلك التمسك بالروايات النبوية أن أصل دلالة صفات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مسألة الحكم والإمامة واضحة وصريحة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الروايات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المراد من ذكر الاسم الخاص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التعرف على إمامته في الإسلام ومن قبل الله سبحانه وتعالى، وجب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الغاية غاية عقلانية ودينية، إلا أن تحصيلها لا ينحصر بذكر الاسم الخاص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فقط، بل هناك قنوات أخرى يمكن لها أن تفي بالغرض، ومن بينها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حامل الوحي ومفسر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الصفحات القادمة سوف نشير إلى مجموعة من الروايات النبوية المتعددة والمتواترة التي يسعى النبي من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وبمختلف الأساليب والطرق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التعريف بالإمام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له من بعده وعليه فإن الغاية المتمثلة بمعرفة خليفة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 بالرجوع إلى الروايات النبوية، ومعها لا حاجة إلى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قال شخص إنه لا يؤمن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 على ضرورة أن يذكر اسم الإمام علي في القرآن حصرياً، وجب القول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لا يؤمن بمن أنزل عليه القرآن، كيف يمكنه تحصيل العلم بأن ما جاء به إنما نزل عليه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هذا الشخص لا يمكن أن يكون </w:t>
      </w:r>
    </w:p>
    <w:p>
      <w:pPr>
        <w:pStyle w:val="BookText"/>
        <w:rPr/>
      </w:pPr>
      <w:r>
        <w:rPr>
          <w:rFonts w:ascii="IRNazanin" w:hAnsi="IRNazanin" w:eastAsia="IRNazanin"/>
          <w:color w:val="111111"/>
          <w:sz w:val="28"/>
          <w:sz w:val="28"/>
          <w:szCs w:val="28"/>
          <w:rtl w:val="true"/>
          <w:lang w:bidi="fa-IR"/>
        </w:rPr>
        <w:t>مسلماً، ولحسن الحظ فإننا لم نعثر على مثل هذا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الأمور الدينية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الكريم هو الذي فوض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تفسير الأمور والتعاليم الدينية الضرورية وبيانها، إذ يقول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يَتْلُوا عَلَيْهِمْ آيَاتِهِ وَيُزَكِّيهِمْ وَيُعَلِّمُهُمْ الْكِتَابَ وَالحِكْمَةَ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ترك الله سبحانه وتعالى في هذه الآيات أمر بيان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وتعليمه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الأحكام التشريعية للنبي التي لم يرد ذكرها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ركعات الصلاة اليومية، والطواف حول البيت في الحج سبعا عند الفريقين، تعد حجة 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حيث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للآيات المتقدمة والروايات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سنأتي على ذكرها في الصفحات القادمة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أمر تعيين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الله سبحانه وتعالى، تعدّ إمامته مسألة سماوية وإلهية، وتكون حجة شرعية على جميع المسلمين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مضمون ما تقدم في رواية مأثورة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على رسوله الصلاة ولم يسم ثلاثاً أو أربعاً، حتى كان رسول الله هو الذي يفسّر ذلك، وأنزل الحج فلم ينزل طوفوا سبعاً حتی فسّر ذلك لهم رسول الله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بعبارة أخرى لمّا كان القرآن الكريم كتاب محدود، والأمور الجزئية والتفصيلية غير متناهية، واضح أن الكتاب المحدود يجب أن يقتصر على بيان الأمور الكلية والعامة، فإن القرآن قد ترك بيان الأمور الجزئية ومن بينها تسمية من يتولى الإمامة بعد النبي إلى رسوله الكريم</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الجزئية غير محدودة وتشمل أهم المسائل الدينية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وجود الله، وما إذا كان جسماً أم لا؟ وصفات الله وما إذا كانت متحدة مع الذات أم لا؟ ففي هذه المسائل التي تعد من الأركان الأساسية في العقيدة لم يدخل القرآن في بيان الأمور الجزئية، فكانت مورد اختلاف بين المتكلمين والمفسّرين، ولو كان لابد من خوض القرآن في الجزئيات لكان عليه بيان هذه الأمور الخلافية أيضاً، وفي هذه الصورة كنا سنواجه عشرات بل مئات المجلدات من المصاحف السماوية والقرآنية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تحريف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التبريرات المطروحة لتفسير عدم ذكر اسم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w:t>
      </w:r>
      <w:r>
        <w:rPr>
          <w:rStyle w:val="FootnoteAnchor"/>
          <w:rtl w:val="true"/>
        </w:rPr>
        <w:footnoteReference w:id="486"/>
      </w:r>
      <w:r>
        <w:rPr>
          <w:rFonts w:ascii="IRNazanin" w:hAnsi="IRNazanin" w:eastAsia="IRNazanin"/>
          <w:color w:val="111111"/>
          <w:sz w:val="28"/>
          <w:sz w:val="28"/>
          <w:szCs w:val="28"/>
          <w:rtl w:val="true"/>
          <w:lang w:bidi="fa-IR"/>
        </w:rPr>
        <w:t>، هي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كثير من المخالفين والأعداء الألداء والحاسدين الذين لا يتورعون عن </w:t>
      </w:r>
    </w:p>
    <w:p>
      <w:pPr>
        <w:pStyle w:val="BookText"/>
        <w:rPr/>
      </w:pPr>
      <w:r>
        <w:rPr>
          <w:rFonts w:ascii="IRNazanin" w:hAnsi="IRNazanin" w:eastAsia="IRNazanin"/>
          <w:color w:val="111111"/>
          <w:sz w:val="28"/>
          <w:sz w:val="28"/>
          <w:szCs w:val="28"/>
          <w:rtl w:val="true"/>
          <w:lang w:bidi="fa-IR"/>
        </w:rPr>
        <w:t>ارتكاب أي موبقة من أجل طمس حقه واغتصاب الخلافة منه، وقد سبق أن أشرنا إلى أن الخليفة الثاني لم يتورع حتى عن نسبة الجنون والهجر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طلب منهم قرطاساً وقلماً ليكتب لهم كتاباً يضمن لهم الأمان من الضلال والانحراف؛ لمجرد أنه أحس أن النبي يريد أن يسمي علياً في وصيته</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الاحتمال وسيادة المناخ المتشنّج في صدر الإسلام لو ذكر اسم صلى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لتعرض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الاتهام والإساءة التي تعرض لها في آخر لحظات حياته الشريفة، أو لتم السعي من قبل بعضهم إلى حذف الآية المتضمنة لذكر الاسم، وهذا سيؤدي بدوره إلى تحريف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لأجل الحفاظ على القرآن الكريم من التحريف لم يذكر الله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واكتفى بذكر الصفات التي لا تنطبق على غيره، كما اكتفى بالروايات النبوية ليجمع بذلك بين أصل الغاية والغرض من تعريف وتنصيب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وإماماً على المسلمين، والمحافظة على القرآن الكريم من التحريف</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الوقاية من الآفات السياسية والأمنية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الأخرى التی خطرت في ذهني هي أن الله سبحانه وتعالى قد تعمد عدم ذكر اسم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وإماماً وحاكماً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لا علي لكي يقوم الله من هذا الطريق بتمييز المؤمن الحقيقى من غيره وفصل الغث عن السمين، وإنما لأن الله يعلم بعلمه الأزلي أن بحث الحكومة والسياسة ساحة للنقاش والمنافسات، بل حتى الحروب السياسية الدامية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لو ذكر اسم </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وإماماً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والوحي بشكل خاص وبوصفه أصلاً وركناً من أركان الإسلام، سوف يكون هناك اصطفاف بين جماعة تتذرّع بالدفاع عن الأصل القرآني وجماعة بمختلف الذرائع الأخرى من قبيل تفسير منزلة الإمامة ،والخلافة، أو الاستيلاء على هرم الحكم والسلطة، ويحتدم النزاع بين الطرفين، ولا يخفى على أحد ما في ذلك من الخطر على شجرة الإسلام الفتية، بل قد يشكل ذلك تهديداً لأصل بقاء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ذكرنا في بداية الفصل السابق في بحث شبهة التكفير بعض مشاهد اتهام المتعصبين من أهل السنة للشيعة والعكس أيضاً بالكفر والخروج عن الإسلام والعمل على اغتيال وقتل بعضهم بعضاً، وقد رصد التاريخ المئات بل الآلاف من هذه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الإسلام والقرآن لا يتضمن أي بيان واختلاف لمن يخالف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افترضنا وجود مثل هذا النص في القرآن فإن نسبة الصراع ستكون أكبر، ولأخذت وتيرة القتل والتكفير منحى تصاعدياً، وسوف يشكل هذا الأمر أكبر تهديد للإسلام والمسلمين ولمّا كان الهدف من الإمامة هو تعزيز الإسلام والقيادة، فإن ذكر اسم الإمام في القرآن سيكون نقضاً لهذا الغرض</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مصلحة المسلمين بنظر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الأخرى التي تبدو لنا هي أنه لو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بوصفه أصلاً أو مفردة دينية على غرار المفردات والتعاليم الدينية الأخرى،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النبوة والمعاد، أو الأحكام الفقهية،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والصوم، لكان إنكاره أو الشك فيه بمنزلة إنكار </w:t>
      </w:r>
    </w:p>
    <w:p>
      <w:pPr>
        <w:pStyle w:val="BookText"/>
        <w:rPr/>
      </w:pPr>
      <w:r>
        <w:rPr>
          <w:rFonts w:ascii="IRNazanin" w:hAnsi="IRNazanin" w:eastAsia="IRNazanin"/>
          <w:color w:val="111111"/>
          <w:sz w:val="28"/>
          <w:sz w:val="28"/>
          <w:szCs w:val="28"/>
          <w:rtl w:val="true"/>
          <w:lang w:bidi="fa-IR"/>
        </w:rPr>
        <w:t>الله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ولكان ذلك مساوقاً للكفر والإلحاد والارتداد، ولازم ذلك هو الخروج عن ربقة الإسلام والانحراف عن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لو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لتوسل المخالفون للإمام علي بمختلف أنواع السبل والحيل لإنكار وتكذيب هذا الأصل، ولعملوا على استقطاب كثير من الناس نحو أهدافهم، وهو أمر يؤدي إلى خروج الكثير من الناس عن الإسلام، ولا يخفى ما في ذلك من مخالفة للغاية والحكمة والرحمة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يذهب علماء الشيعة إلى اعتبار الإمامة أصلاً من أصول المذهب، ولا يرونها أصلاً من أصول الدين، ولذلك لا يرون إخوتهم السنة بإنكارهم لأصل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خارجين من الدين، وإنما خارجين من مذهب التشيع فقط</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لو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بوصفه إماماً وخليفة مباشراً، لما بقي هناك من مجال لهذه الرؤية والقراءة للإمامة؛ لأن منكر إمامة الإمام علي في مثل هذه الحالة سيكون مثل الذي ينكر أصل النبوة أو الصلاة، وسوف تجري عليه أحكام المرتد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فإن الله إنما تعمد عدم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القرآن الكريم باللحاظ السابق من باب اللطف وأخذ مصلحة المسلمين بنظر الاعتبار</w:t>
      </w:r>
      <w:r>
        <w:rPr>
          <w:rFonts w:eastAsia="IRNazanin" w:cs="IRNazanin"/>
          <w:color w:val="111111"/>
          <w:sz w:val="28"/>
          <w:szCs w:val="28"/>
          <w:rtl w:val="true"/>
          <w:lang w:bidi="fa-IR"/>
        </w:rPr>
        <w:t xml:space="preserve">. </w:t>
      </w:r>
      <w:bookmarkStart w:id="374" w:name="pg15658_147032"/>
    </w:p>
    <w:p>
      <w:pPr>
        <w:pStyle w:val="Heading3"/>
        <w:numPr>
          <w:ilvl w:val="2"/>
          <w:numId w:val="1"/>
        </w:numPr>
        <w:rPr/>
      </w:pPr>
      <w:bookmarkStart w:id="375" w:name="__RefHeading___Toc11030479_2142443653"/>
      <w:bookmarkStart w:id="376" w:name="_Toc135"/>
      <w:bookmarkEnd w:id="374"/>
      <w:bookmarkEnd w:id="375"/>
      <w:r>
        <w:rPr>
          <w:rtl w:val="true"/>
        </w:rPr>
        <w:t xml:space="preserve">الشبهة الثالثة </w:t>
      </w:r>
      <w:r>
        <w:rPr>
          <w:rtl w:val="true"/>
        </w:rPr>
        <w:t xml:space="preserve">: </w:t>
      </w:r>
      <w:r>
        <w:rPr>
          <w:rtl w:val="true"/>
        </w:rPr>
        <w:t>عدم وجود التنصيب في الروايات النبوية</w:t>
      </w:r>
      <w:r>
        <w:rPr>
          <w:rtl w:val="true"/>
        </w:rPr>
        <w:t>:</w:t>
      </w:r>
      <w:bookmarkEnd w:id="376"/>
    </w:p>
    <w:p>
      <w:pPr>
        <w:pStyle w:val="Heading4"/>
        <w:numPr>
          <w:ilvl w:val="3"/>
          <w:numId w:val="1"/>
        </w:numPr>
        <w:rPr/>
      </w:pPr>
      <w:bookmarkStart w:id="377" w:name="__RefHeading___Toc11030481_2142443653"/>
      <w:bookmarkStart w:id="378" w:name="_Toc136"/>
      <w:bookmarkEnd w:id="377"/>
      <w:r>
        <w:rPr>
          <w:rtl w:val="true"/>
        </w:rPr>
        <w:t>اشارة</w:t>
      </w:r>
      <w:bookmarkEnd w:id="378"/>
    </w:p>
    <w:p>
      <w:pPr>
        <w:pStyle w:val="BookText"/>
        <w:rPr/>
      </w:pPr>
      <w:r>
        <w:rPr>
          <w:rFonts w:ascii="IRNazanin" w:hAnsi="IRNazanin" w:eastAsia="IRNazanin"/>
          <w:color w:val="111111"/>
          <w:sz w:val="28"/>
          <w:sz w:val="28"/>
          <w:szCs w:val="28"/>
          <w:rtl w:val="true"/>
          <w:lang w:bidi="fa-IR"/>
        </w:rPr>
        <w:t>إن من بين الشبهات المعروفة والهامة لمخالفي الإمامة وتعيين الإمام بالتنصيب دعوى فقدان وعدم وجود النص على إمامة الإمام علي اللا في الروايات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يدعون أنه لو كان هناك تنصيب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لوصل إلينا</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سبق لعلماء الشيعة منذ مرحلة الإمامة أن ألفوا كتباً تفصيلية في إثبات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وإثبات إمامته وإمامة 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سجل ذلك في المصادر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يأتي نشير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المؤلفات المفردة لأصحاب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رئاب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والخليل بن أحمد الفراهيدى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199</w:t>
      </w:r>
      <w:r>
        <w:rPr>
          <w:rFonts w:eastAsia="IRNazanin" w:cs="IRNazanin"/>
          <w:color w:val="111111"/>
          <w:sz w:val="28"/>
          <w:szCs w:val="28"/>
          <w:rtl w:val="true"/>
          <w:lang w:bidi="fa-IR"/>
        </w:rPr>
        <w:t>)</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يوجد كثير من المصادر في هذا الشأن فإننا سنكتفي بنقل الأدلة النقلية المثبتة لنظرية أصل التنصيب لدى الشيعة باختصار</w:t>
      </w:r>
      <w:r>
        <w:rPr>
          <w:rFonts w:eastAsia="Amiri" w:cs="Amiri" w:ascii="Amiri" w:hAnsi="Amiri"/>
          <w:color w:val="111111"/>
          <w:sz w:val="28"/>
          <w:szCs w:val="28"/>
          <w:rtl w:val="true"/>
          <w:lang w:bidi="ar-SA"/>
        </w:rPr>
        <w:t xml:space="preserve">: </w:t>
      </w:r>
      <w:bookmarkStart w:id="379" w:name="pg15658_147033"/>
    </w:p>
    <w:p>
      <w:pPr>
        <w:pStyle w:val="Heading4"/>
        <w:numPr>
          <w:ilvl w:val="3"/>
          <w:numId w:val="1"/>
        </w:numPr>
        <w:rPr/>
      </w:pPr>
      <w:bookmarkStart w:id="380" w:name="__RefHeading___Toc11030483_2142443653"/>
      <w:bookmarkStart w:id="381" w:name="_Toc137"/>
      <w:bookmarkEnd w:id="379"/>
      <w:bookmarkEnd w:id="380"/>
      <w:r>
        <w:rPr>
          <w:rtl w:val="true"/>
        </w:rPr>
        <w:t>أولاً</w:t>
      </w:r>
      <w:r>
        <w:rPr>
          <w:rtl w:val="true"/>
        </w:rPr>
        <w:t xml:space="preserve">: </w:t>
      </w:r>
      <w:r>
        <w:rPr>
          <w:rtl w:val="true"/>
        </w:rPr>
        <w:t>أحاديث الخلافة</w:t>
      </w:r>
      <w:r>
        <w:rPr>
          <w:rtl w:val="true"/>
        </w:rPr>
        <w:t>:</w:t>
      </w:r>
      <w:bookmarkEnd w:id="381"/>
    </w:p>
    <w:p>
      <w:pPr>
        <w:pStyle w:val="Heading5"/>
        <w:numPr>
          <w:ilvl w:val="4"/>
          <w:numId w:val="1"/>
        </w:numPr>
        <w:rPr/>
      </w:pPr>
      <w:bookmarkStart w:id="382" w:name="__RefHeading___Toc11030485_2142443653"/>
      <w:bookmarkStart w:id="383" w:name="_Toc138"/>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لقد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بداية رسالته يمارس الدعوة السرية إلى الإيمان بالله الواحد القهار ، واستمر الأمر على سريته مدة ثلاث سنوات مكتفياً بدعوة أهله والأقربين من أفراد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الرواية الواردة في كتب الفريقين من الشيعة والسنة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الْأَقْرَبِيْنَ</w:t>
      </w:r>
      <w:r>
        <w:rPr>
          <w:rStyle w:val="FootnoteAnchor"/>
          <w:rtl w:val="true"/>
        </w:rPr>
        <w:footnoteReference w:id="492"/>
      </w:r>
      <w:r>
        <w:rPr>
          <w:rFonts w:ascii="IRNazanin" w:hAnsi="IRNazanin" w:eastAsia="IRNazanin"/>
          <w:color w:val="111111"/>
          <w:sz w:val="28"/>
          <w:sz w:val="28"/>
          <w:szCs w:val="28"/>
          <w:rtl w:val="true"/>
          <w:lang w:bidi="fa-IR"/>
        </w:rPr>
        <w:t>دعاني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أمرني أن أنذر عشيرتي الأقربين، فضقت ذرعاً وعلمت أني متى أبادرهم بهذا الأمر أر منهم ما أكره، فصمت عليه حتى جاءني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إلا تفعل ما تؤمر به يعذبك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 لنا صاعاً من طعام، واجعل عليه رجل شاة، واملأ لنا عساً من لبن، واجمع لي بني عبد المطلب حتى أكلمهم وأبلغهم ما أمرت به ففعلت ما أمرني به ثم دعوتهم، وهم يومئذ أربعون رجلاً يزيدون رجلاً أو ينقصونه، فيهم أعمامه أبو طالب وحمزة والعباس وأبو لهب، فلما اجتمعوا إليه دعاني بالطعام الذي صنعته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وضعته 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حزة من اللحم فنتفها بأسنانه ثم ألقاها في نواحي الصحفة،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باسم الله ، فأكل القوم حتى ما لهم بشيء من حاجة، وما أرى إلا مواضع أيديهم، وأيم الله الذي نفس علي بيده إن كان الرجل الواحد منهم ليأكل ما قدمت الجميعهم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القوم، فجئتهم بذلك العس فشربوا منه حتى رووا جميعاً، وأيم الله إن كان الرجل الواحد ليشرب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يكلمهم بدره أبو لهب إلى الكلام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لقدماً سحركم به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القوم ولم يكلمهم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 يا علي، إن هذا الرجل سبقني إلى ما سمعت </w:t>
      </w:r>
    </w:p>
    <w:p>
      <w:pPr>
        <w:pStyle w:val="BookText"/>
        <w:rPr/>
      </w:pPr>
      <w:r>
        <w:rPr>
          <w:rFonts w:ascii="IRNazanin" w:hAnsi="IRNazanin" w:eastAsia="IRNazanin"/>
          <w:color w:val="111111"/>
          <w:sz w:val="28"/>
          <w:sz w:val="28"/>
          <w:szCs w:val="28"/>
          <w:rtl w:val="true"/>
          <w:lang w:bidi="fa-IR"/>
        </w:rPr>
        <w:t>من القول، فتفرقوا قبل أن أكلمهم، فعدّ لنا من الطعام بمثل ما صنعت ثم اجمعهم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مثل ما فعل بالأمس، فأكلوا، وسقيتهم ذلك العس، فشربوا حتى رووا جميعاً وشبعوا، ثم تكلم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 المطلب إني والله رسول ما أعلم شاباً في العرب جاء قومه بأفضل مما قد جئتكم به، قد جئتكم بخير الدنيا والآخرة، وقد أمرني الله تعالى أن أدعوكم إليه، فأيكم يؤازرني على هذا الأمر على أن يكون أخي ووصيّي وخليفتي فيكم؟ فأحجم القوم عنها جميعاً،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لأحدثهم سناً، وأرمصهم عيناً، وأعظمهم بطناً وأحمشهم ساقاً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وزيرك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ووصيي وخليفتي فيكم، فاسمعوا له وأطيعوا</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كلام في سند هذا الحديث، فجميع رواته ثقاة طبقاً لمذهب أهل السنة، باستثناء أبي مريم عبد الغفارحيث ضعفه بعض أهل السنة، ويأتي سبب تضعيفه من تشيعه، أما الآخرون من أهل السنة فقد مدحوه</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دلالة نص الحديث ومتنه واضحة أيضاً، وفيما يأتي نشير إلى بعض المسائل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تحدّث النبي الأكرم في هذه الرواية بشكل مطلق عن الخلافة في أمر نبوته، وهي تشمل الخلافة في الحقل السياسي والعلمي والديني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الآخر على وضوح وصراحة دلالة الحديث ما قام به بعض المؤرخين من أهل السنة من التحريف والحذف في مضامينه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الطبري </w:t>
      </w:r>
      <w:bookmarkStart w:id="384" w:name="pg15658_147035"/>
    </w:p>
    <w:p>
      <w:pPr>
        <w:pStyle w:val="BookText"/>
        <w:rPr/>
      </w:pPr>
      <w:bookmarkEnd w:id="384"/>
      <w:r>
        <w:rPr>
          <w:rFonts w:ascii="Amiri" w:hAnsi="Amiri" w:eastAsia="Amiri" w:cs="Amiri"/>
          <w:color w:val="111111"/>
          <w:sz w:val="28"/>
          <w:sz w:val="28"/>
          <w:szCs w:val="28"/>
          <w:rtl w:val="true"/>
          <w:lang w:bidi="ar-SA"/>
        </w:rPr>
        <w:t xml:space="preserve">مثلاً رغم روايته لواقعة الغدير في تاريخه لجأ في تفسيرها وبيانها إلى التقطيع، حيث حذف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وخليفتي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وكذا</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وقام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التاريخى المعروف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أنه يذكر عين عبارة تاريخ الطبري، إلا أنه في تقرير حديث الدعوة يعمد إلى اقتباسها من تفسير الطبري، ويقوم للأسف الشديد بحذف الكلام الناظر إلى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قام محمد حسين هيكل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جملة سؤال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حذف كلام النبي في التعريف بالإمام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عمد ناشر الكتاب في الطبعات اللاحقة إلى حذف كل ما يشير إلى فضيلة من فضائل الإمام علي بالكامل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الأخرى تكمن في فهم المخاطبين والحاضرين حيث استفادوا من كلام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والإمرة والولاية، كما يلوح ذلك من رفضهم وسخريتهم واستهزائهم بأبي طالب وقولهم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rtl w:val="true"/>
          <w:lang w:bidi="fa-IR"/>
        </w:rPr>
        <w:t>».</w:t>
      </w:r>
    </w:p>
    <w:p>
      <w:pPr>
        <w:pStyle w:val="Heading5"/>
        <w:numPr>
          <w:ilvl w:val="4"/>
          <w:numId w:val="1"/>
        </w:numPr>
        <w:rPr/>
      </w:pPr>
      <w:bookmarkStart w:id="385" w:name="__RefHeading___Toc11030487_2142443653"/>
      <w:bookmarkStart w:id="386" w:name="_Toc139"/>
      <w:bookmarkEnd w:id="385"/>
      <w:r>
        <w:rPr>
          <w:rtl w:val="true"/>
        </w:rPr>
        <w:t>التصريح بخلافة الإمام علي</w:t>
      </w:r>
      <w:r>
        <w:rPr>
          <w:rtl w:val="true"/>
        </w:rPr>
        <w:t>(</w:t>
      </w:r>
      <w:r>
        <w:rPr>
          <w:rtl w:val="true"/>
        </w:rPr>
        <w:t>علیه السّلام</w:t>
      </w:r>
      <w:r>
        <w:rPr>
          <w:rtl w:val="true"/>
        </w:rPr>
        <w:t>) :</w:t>
      </w:r>
      <w:bookmarkEnd w:id="38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عمد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حياته المباركة إلى التصريح مراراً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يأتي نشير إلى بعض هذه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استتبعني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الجن فانطلقت معه حتى بلغنا أعلى مكة فخط علي خطة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ثم انصاع في أجبال فرأيت الرجال ينحدرون عليه من رؤوس الجبال حتى حالوا بيني وبينه فاخترطت السيف وقلت لأضر بن حتى استنقذ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ذكرت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آتيك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كذلك حتى أمنا الفجر فجاء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قائم فقال كما زلت على حالك؟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لبثت شهراً ما برحت حتى تأتيني ثم أخبرته بما أردت أن أصنع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خرجت ما التقيت أنا ولا أنت إلى يوم القيامة ثم شبك أصابعه في أصابعي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وعدت أن يؤمن بي الجن والإنس، فأما الإنس فقد آمنت بي وأما الجن فقد رأيت قال وما أظن أجلي إلا قد اقترب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ألا تستخلف أبا بكر؟ فأعرض عني فرأيت أنه لم يوافقه،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تستخلف عمر؟ فأعرض عنى فرأيت أنه لم يوافقه،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ألا تستخلف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والذي لا إله غيره لو بايعتموه وأطعتموه أدخلكم الجنة أكتعين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ثم من السماء، إلى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السماء، إلى سدرة المنتهى، وقفت بين يدي ربي عزّ 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قلت لبيك وسعديك،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خلقى فأيهم رأيت أطوع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ربی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محمد فهل اتخذت لنفسك خليفة يؤدي عنك يعلّم عبادي من كتابي ما لا يعلمون؟ قال قلت يا ربِّ اختر لي فإن خيرتك خيرتي، </w:t>
      </w:r>
      <w:bookmarkStart w:id="387" w:name="pg15658_147037"/>
    </w:p>
    <w:p>
      <w:pPr>
        <w:pStyle w:val="BookText"/>
        <w:rPr/>
      </w:pPr>
      <w:bookmarkEnd w:id="3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لك علياً؛ فاتخذه خليفة ووصياً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عباس أنه رأى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ممسكاً بيد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فاروق هذه الأمة، يفرق بين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خليفتي من بعدي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يصرّح الحديث الآتي بمسألة الإمامة والخلافة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 بعدي، وأنت أولى بالمؤمنين منأنفسهم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 w:name="__RefHeading___Toc11030489_2142443653"/>
      <w:bookmarkStart w:id="389" w:name="_Toc140"/>
      <w:bookmarkEnd w:id="388"/>
      <w:r>
        <w:rPr>
          <w:rtl w:val="true"/>
        </w:rPr>
        <w:t xml:space="preserve">حديث خاصف النعل </w:t>
      </w:r>
      <w:r>
        <w:rPr>
          <w:rtl w:val="true"/>
        </w:rPr>
        <w:t>:</w:t>
      </w:r>
      <w:bookmarkEnd w:id="38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بين الروايات الدالة صراحة على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حديث أم سلمة الذي تقول فيه لعائشة ضمن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وأذكرك أيضاً كنت أنا وأنت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سفر له وكان علي يتعاهد نعلي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فيخصفها، ويتعاهد أثوابه فيغسلها، فنقبت له نعل فأخذها يومئذ يخصفها وقعد في ظل سمرة، وجاء أبوك ومعه عمر فاستأذنا عليه؛ فقمنا إلى الحجاب ودخلا يحادثانه فيما أراد،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إنا لا ندري قدر ما تصحبنا، فلو أعلمتنا من يستخلف علينا ليكون لنا بعدك مفزعاً؛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قد أرى مكانه ولو فعلت لتفرقتم عنه كما تفرقت بنو إسرائيل عن هارون بن عمران، فسكتا ثم 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وكنتِ أجرأ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يا رسول الله مستخلفاً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w:t>
      </w:r>
      <w:bookmarkStart w:id="390" w:name="pg15658_147038"/>
    </w:p>
    <w:p>
      <w:pPr>
        <w:pStyle w:val="BookText"/>
        <w:rPr/>
      </w:pPr>
      <w:bookmarkEnd w:id="390"/>
      <w:r>
        <w:rPr>
          <w:rFonts w:ascii="Amiri" w:hAnsi="Amiri" w:eastAsia="Amiri" w:cs="Amiri"/>
          <w:color w:val="111111"/>
          <w:sz w:val="28"/>
          <w:sz w:val="28"/>
          <w:szCs w:val="28"/>
          <w:rtl w:val="true"/>
          <w:lang w:bidi="ar-SA"/>
        </w:rPr>
        <w:t>النعل فنظرنا فلم نرَ أحداً إلا علياً؛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إلا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يتضح من هذا الحديث أن الخليفة الحقيقي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شخصاً آخر 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لحظ مصلحة ما، فلم يصرح باسمه لأبي بكر وعمر، ولكنه صرّح به لزوجتيه أم سلمة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فيما بعد صرّح باسمه لجميع المسلمين في عددٍ من المواطن ومن أشهرها غدير خم</w:t>
      </w:r>
      <w:r>
        <w:rPr>
          <w:rFonts w:eastAsia="IRNazanin" w:cs="IRNazanin"/>
          <w:color w:val="111111"/>
          <w:sz w:val="28"/>
          <w:szCs w:val="28"/>
          <w:rtl w:val="true"/>
          <w:lang w:bidi="fa-IR"/>
        </w:rPr>
        <w:t>.</w:t>
      </w:r>
    </w:p>
    <w:p>
      <w:pPr>
        <w:pStyle w:val="Heading4"/>
        <w:numPr>
          <w:ilvl w:val="3"/>
          <w:numId w:val="1"/>
        </w:numPr>
        <w:rPr/>
      </w:pPr>
      <w:bookmarkStart w:id="391" w:name="__RefHeading___Toc11030491_2142443653"/>
      <w:bookmarkStart w:id="392" w:name="_Toc141"/>
      <w:bookmarkEnd w:id="391"/>
      <w:r>
        <w:rPr>
          <w:rtl w:val="true"/>
        </w:rPr>
        <w:t xml:space="preserve">ثانياً </w:t>
      </w:r>
      <w:r>
        <w:rPr>
          <w:rtl w:val="true"/>
        </w:rPr>
        <w:t xml:space="preserve">: </w:t>
      </w:r>
      <w:r>
        <w:rPr>
          <w:rtl w:val="true"/>
        </w:rPr>
        <w:t>أحاديث إمامة أمير المؤمنين واستيزاره</w:t>
      </w:r>
      <w:r>
        <w:rPr>
          <w:rtl w:val="true"/>
        </w:rPr>
        <w:t>:</w:t>
      </w:r>
      <w:bookmarkEnd w:id="392"/>
    </w:p>
    <w:p>
      <w:pPr>
        <w:pStyle w:val="BookText"/>
        <w:rPr/>
      </w:pPr>
      <w:r>
        <w:rPr>
          <w:rFonts w:ascii="IRNazanin" w:hAnsi="IRNazanin" w:eastAsia="IRNazanin"/>
          <w:color w:val="111111"/>
          <w:sz w:val="28"/>
          <w:sz w:val="28"/>
          <w:szCs w:val="28"/>
          <w:rtl w:val="true"/>
          <w:lang w:bidi="fa-IR"/>
        </w:rPr>
        <w:t>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البداية يسعى إلى التعريف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 حاكماً وأميراً للمؤمنين، وبذلك كان يعمل على تمهيد الطريق إلى إمامته في المستقبل، ومن هنا كان يوصي أصحابه بأنهم إذا أرادوا التسليم على أمير المؤمنين أن لا يسلموا عليه بسلام مجرّد من المحتوى، وإنما عليهم أن يضيفوا إلى سلامهم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الشأن يروي صاحب تاريخ مدينة دمشق عن بريدة الأسلمي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سبعة فأمرنا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نسلم على علي بأمير المؤمنین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قام رسول الله في موضع آخر بتعريف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اماماً ونسب ذلك إلى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أدلكم على ما إن </w:t>
      </w:r>
    </w:p>
    <w:p>
      <w:pPr>
        <w:pStyle w:val="BookText"/>
        <w:rPr/>
      </w:pPr>
      <w:r>
        <w:rPr>
          <w:rFonts w:ascii="Amiri" w:hAnsi="Amiri" w:eastAsia="Amiri" w:cs="Amiri"/>
          <w:color w:val="111111"/>
          <w:sz w:val="28"/>
          <w:sz w:val="28"/>
          <w:szCs w:val="28"/>
          <w:rtl w:val="true"/>
          <w:lang w:bidi="ar-SA"/>
        </w:rPr>
        <w:t>تساءلتم عليه لم تهلكوا، إن وليكم الله، وإن إمامكم علي بن أبي طالب، فناصحوه وصدقوه، فإن جبريل أخبرني بذلك</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هذا النوع من الأحاديث في المصادر الشيعية بكثرة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المواطن يذكر النبي الأكرم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وزيراً له وإماماً للمسلمين من بعده، وينسب ذلك إلى الله سبحانه وتعالى، ومن 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أمرني أن أنصب لكم إماماً يكون وصبي فيكم وخليفتي في أهل بيتي وفي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قد أعلمتكم مفزعكم بعدي وإمامكم ووليكم وهاديكم بعدي، وهو علي بن أبي طالب</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استعمل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الرواية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خليفته، وهي تدل بأجمعها على المرجعية العلمية والسياسية والمعنوية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يضيف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الصفات الآنفة صفات أخرى من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ونهيه هو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ونهيه، وأنه حجة الله على الناس، وأنه أمين الله على سره، إذ يقول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قتلك فقد قتلني، ومن أبغضك فقد أبغضني، ومن سبك فقد سبني؛ لأنك مني كنفسي، روحك من روحي، وطينتك من طينتي، إن الله تبارك </w:t>
      </w:r>
      <w:bookmarkStart w:id="393" w:name="pg15658_147040"/>
    </w:p>
    <w:p>
      <w:pPr>
        <w:pStyle w:val="BookText"/>
        <w:rPr/>
      </w:pPr>
      <w:bookmarkEnd w:id="393"/>
      <w:r>
        <w:rPr>
          <w:rFonts w:ascii="Amiri" w:hAnsi="Amiri" w:eastAsia="Amiri" w:cs="Amiri"/>
          <w:color w:val="111111"/>
          <w:sz w:val="28"/>
          <w:sz w:val="28"/>
          <w:szCs w:val="28"/>
          <w:rtl w:val="true"/>
          <w:lang w:bidi="ar-SA"/>
        </w:rPr>
        <w:t>وتعالى خلقني وإياك، واصطفاني وإياك، واختارني للنبوة واختارك للإمامة؛ فمن أنكر إمامتك فقد أنكر نبوتي، يا علي أنت وصيي، وأبو ولدي، وزوج ابنتي، وخليفتي على أمتي في حياتي وبعد موتي، أمرك أمري، ونهيك نهيي، أقسم بالذي بعثني بالنبوة وجعلني خير البريه إنك لحجه الله على خلقه، وأمينه</w:t>
      </w:r>
    </w:p>
    <w:p>
      <w:pPr>
        <w:pStyle w:val="BookText"/>
        <w:rPr/>
      </w:pPr>
      <w:r>
        <w:rPr>
          <w:rFonts w:ascii="Amiri" w:hAnsi="Amiri" w:eastAsia="Amiri" w:cs="Amiri"/>
          <w:color w:val="111111"/>
          <w:sz w:val="28"/>
          <w:sz w:val="28"/>
          <w:szCs w:val="28"/>
          <w:rtl w:val="true"/>
          <w:lang w:bidi="ar-SA"/>
        </w:rPr>
        <w:t>على سره، وخليفته على عباده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يضيف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على، وهو عنوان ناظر إلى مسألة الحكم وإدارة الدولة، وذلك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المسلمين وأمير المؤمنين ومولاهم من بعدي علي بن أبي طالب</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11030493_2142443653"/>
      <w:bookmarkStart w:id="395" w:name="_Toc142"/>
      <w:bookmarkEnd w:id="394"/>
      <w:r>
        <w:rPr>
          <w:rtl w:val="true"/>
        </w:rPr>
        <w:t>ثالثاً</w:t>
      </w:r>
      <w:r>
        <w:rPr>
          <w:rtl w:val="true"/>
        </w:rPr>
        <w:t xml:space="preserve">: </w:t>
      </w:r>
      <w:r>
        <w:rPr>
          <w:rtl w:val="true"/>
        </w:rPr>
        <w:t>حديث الغدير</w:t>
      </w:r>
      <w:r>
        <w:rPr>
          <w:rtl w:val="true"/>
        </w:rPr>
        <w:t>:</w:t>
      </w:r>
      <w:bookmarkEnd w:id="395"/>
    </w:p>
    <w:p>
      <w:pPr>
        <w:pStyle w:val="BookText"/>
        <w:rPr/>
      </w:pPr>
      <w:r>
        <w:rPr>
          <w:rFonts w:ascii="IRNazanin" w:hAnsi="IRNazanin" w:eastAsia="IRNazanin"/>
          <w:color w:val="111111"/>
          <w:sz w:val="28"/>
          <w:sz w:val="28"/>
          <w:szCs w:val="28"/>
          <w:rtl w:val="true"/>
          <w:lang w:bidi="fa-IR"/>
        </w:rPr>
        <w:t>إن أشهر حديث في هذا الموضوع هو حديث الغدير، الذي صدر عن رسول الله عند عودته من حجة الوداع في موضع يقال له غدير خم، عندما نزل عليه الوحي يأمر بتنصيب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 لجميع المسلمين،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أولى الناس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مولى المؤمنين، وأنا أولى بهم من أنفسهم؛ فمن كنت مولاه فعلي مولاه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هذا الحديث الشريف موضع اتفاق من قبل الشيعة وأهل السنة، </w:t>
      </w:r>
    </w:p>
    <w:p>
      <w:pPr>
        <w:pStyle w:val="BookText"/>
        <w:rPr/>
      </w:pPr>
      <w:r>
        <w:rPr>
          <w:rFonts w:ascii="Amiri" w:hAnsi="Amiri" w:eastAsia="Amiri" w:cs="Amiri"/>
          <w:color w:val="111111"/>
          <w:sz w:val="28"/>
          <w:sz w:val="28"/>
          <w:szCs w:val="28"/>
          <w:rtl w:val="true"/>
          <w:lang w:bidi="ar-SA"/>
        </w:rPr>
        <w:t xml:space="preserve">بحيث رواه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صحابياً،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تابعياً</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بعضهم حاول التشكيك في دلالة الحديث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وحكمه من خلال حذف صدر الحديث وعبارة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أولى الناس بالمؤمنين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مصادر أهل السنة الأخرى ذكرت صدر الحديث</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البحث يدور حول مفهوم الحديث ودلالته، حيث ذهب أكثر علماء أهل السنة إلى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بالمحب، وهكذا فإنهم لا يرون فيه دلالة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الأدلة والشواهد على دلالة المولى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يتعلق بتفسير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الكلمة وإن كانت ذات معاني كثيرة ومختلفة، إلا أننا إذا أخذنا القرائن الآتية بنظر الاعتبار فسوف ندرك أنها في هذا الحديث تعنى الإمامة والحكومة حصراً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عمد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قبل وصف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بالمولى، إلى تفسير المولى بقوله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الأولى بالمؤمنين من أنفسهم</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الأولية لا تعني النصرة أو المحبة، بل تعني تقدّم المولّى</w:t>
      </w:r>
    </w:p>
    <w:p>
      <w:pPr>
        <w:pStyle w:val="BookText"/>
        <w:rPr/>
      </w:pPr>
      <w:r>
        <w:rPr>
          <w:rFonts w:ascii="IRNazanin" w:hAnsi="IRNazanin" w:eastAsia="IRNazanin"/>
          <w:color w:val="111111"/>
          <w:sz w:val="28"/>
          <w:sz w:val="28"/>
          <w:szCs w:val="28"/>
          <w:rtl w:val="true"/>
          <w:lang w:bidi="fa-IR"/>
        </w:rPr>
        <w:t>وسلطته على المولّى عليه بحيث يكون المولى أحق بالمولى عليه من نفسه؛ وهو أمر يعنى أن مولوية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تعني أنه أولى من المؤمنين في كل شيء، بل هو أولى بهم حتى فيما يتعلق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النبي من إبلاغ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 لروايات الفريقين فإن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أمره الوحي الإلهي بإبلاغ أمر استدعى خوفه وخشيته من إبلاغه، ولما أبطأ في إبلاغه لذلك، أنزل الله عليه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أكد له الوحي أنه سيكون في مأمن من إساءة المخالفين، وأن عدم إبلاغه ذلك الأمر الخاص مهما كانت الأسباب يساوق عدم إبلاغ الرسالة الإلهية برمتها، وقد أجمع العلماء من الفريقين أن هذه الآية نزلت في سياق غدير خم</w:t>
      </w:r>
      <w:r>
        <w:rPr>
          <w:rStyle w:val="FootnoteAnchor"/>
          <w:rtl w:val="true"/>
        </w:rPr>
        <w:footnoteReference w:id="51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أنه لو كان مراد الآية من إبلاغ الرسالة الإلهية مجرد إضمار المحبة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اعتباره مجرد ناصر، لا يستدعي خوف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يكون عدم إبلاغ مثل هذا الأمر مساوقاً لعدم إبلاغ الرسالة الإسلامية أصلاً؛ إذن لابد من أن يكون المراد أمراً أكبر من مجرد محبّة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ويجب أن يكون ذلك الأمر هو إمامته، ومن الطبيعي أن يكون </w:t>
      </w:r>
    </w:p>
    <w:p>
      <w:pPr>
        <w:pStyle w:val="BookText"/>
        <w:rPr/>
      </w:pPr>
      <w:r>
        <w:rPr>
          <w:rFonts w:ascii="Amiri" w:hAnsi="Amiri" w:eastAsia="Amiri" w:cs="Amiri"/>
          <w:color w:val="111111"/>
          <w:sz w:val="28"/>
          <w:sz w:val="28"/>
          <w:szCs w:val="28"/>
          <w:rtl w:val="true"/>
          <w:lang w:bidi="ar-SA"/>
        </w:rPr>
        <w:t>هناك خوف من هذه الناحية؛ إذ كان من الوارد أن يثقل هذا البلاغ على بعض المسلمين لمختلف السباب، من قبيل الأسباب القبلية والثأرية، واعتبار الإمام على صغير السن، وأنه قد قتل بعض المقربين من هؤلاء المسلمين في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شأن هذه الأسباب أن تزعزع وحدة المسلمين وتلاحمهم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الكفار وإكمال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القرينة الثالثة على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 الآية التي نزلت بعد إبلاغ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عليه من ربه، وهي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وَاخْشَوْنِي الْيَوْمَ أَكْمَلْتُ لَكُمْ دِينَكُمْ وَأَتْمَمْتُ عَلَيْكُمْ نِعْمَتِي وَرَضِيتُ لَكُمُ الإِسْلَامَ دِينًا</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لرواية المفسرين من أهل السنة</w:t>
      </w:r>
      <w:r>
        <w:rPr>
          <w:rStyle w:val="FootnoteAnchor"/>
          <w:rtl w:val="true"/>
        </w:rPr>
        <w:footnoteReference w:id="513"/>
      </w:r>
      <w:r>
        <w:rPr>
          <w:rFonts w:ascii="IRNazanin" w:hAnsi="IRNazanin" w:eastAsia="IRNazanin"/>
          <w:color w:val="111111"/>
          <w:sz w:val="28"/>
          <w:sz w:val="28"/>
          <w:szCs w:val="28"/>
          <w:rtl w:val="true"/>
          <w:lang w:bidi="fa-IR"/>
        </w:rPr>
        <w:t>والشيعة كان نزول هذه الآية الشريفة بعد حادثة غدير خم، وتنصيب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الولاية، حيث اعتبر الله هذا اليوم يوم يأس الكفار من القضاء على الدين الإسلامي، كما اعتبر هذا اليوم يوم إكمال الإسلام وإتمام النعمة ورضا الله باختيار الناس للإسلام بوصفه ديناً وشريعة للمسلمين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أن الآية لم تكن بصدد نصح الناس بمجرد حبّ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كان صادراً في مواطن سابقة بما فيه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ملازمة بين الأمر بمحبة الإمام وبين إكمال الدين وإتمام النعمة ويأس الكفار، </w:t>
      </w:r>
    </w:p>
    <w:p>
      <w:pPr>
        <w:pStyle w:val="BookText"/>
        <w:rPr/>
      </w:pPr>
      <w:r>
        <w:rPr>
          <w:rFonts w:ascii="Amiri" w:hAnsi="Amiri" w:eastAsia="Amiri" w:cs="Amiri"/>
          <w:color w:val="111111"/>
          <w:sz w:val="28"/>
          <w:sz w:val="28"/>
          <w:szCs w:val="28"/>
          <w:rtl w:val="true"/>
          <w:lang w:bidi="ar-SA"/>
        </w:rPr>
        <w:t xml:space="preserve">بل يتضح من نتيجة إبلاغ نداء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 وإتمام النعمة والرضا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وهو أمر تم إبلاغه في غدير خم كان أمراً في غاية الأهمية والخطورة ويلعب دوراً محورياً في مجمل حركة الإسلام، ولا يمكن أن يكون ذلك مجرد الأمر بمحبة الإمام علي، بل هو القول بإمامته ومرجعيته العلمية والدينية وممارسة الحكم والسلطة على جميع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مبادرة وجوه القوم إلى تهنئة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الأخرى على ذلك ما قام به كبار الصحابة والشخصيات السياسية والاجتماعية بعد إبلاغ النبي الأكرم لذلك الأمر الإلهي الخاص بالتهنئة والتبريك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فهاهو عمر بن الخطاب بعد فراغ النبي من خطبته يتقدم للإمام علي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هنيئاً يا 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وأمسيت مولى كل مؤمن ومؤمنة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الروايات أضيفت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لمستهل عبارة عمر بن الخطاب، وهي تدل على المبالغة في الفخر والاعتزاز</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هناك من داع لكل هذه المبالغة من وجوه القوم في تهنئة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الأمر مجرد الأمر بالمحبة والنصرة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 مراد عمر من المولى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هنيئاً يا ابن أبي طالب، أصبحت وأمسيت مولى كل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المحبّة، أم أنها إشارة إلى مقام الإمامة والخلافة التى تم الإعلان عنها والمصادقة عليها من قبل </w:t>
      </w:r>
    </w:p>
    <w:p>
      <w:pPr>
        <w:pStyle w:val="BookText"/>
        <w:rPr/>
      </w:pP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غدير خم؟</w:t>
      </w:r>
    </w:p>
    <w:p>
      <w:pPr>
        <w:pStyle w:val="BookText"/>
        <w:rPr/>
      </w:pPr>
      <w:r>
        <w:rPr>
          <w:rFonts w:ascii="IRNazanin" w:hAnsi="IRNazanin" w:eastAsia="IRNazanin"/>
          <w:color w:val="111111"/>
          <w:sz w:val="28"/>
          <w:sz w:val="28"/>
          <w:szCs w:val="28"/>
          <w:rtl w:val="true"/>
          <w:lang w:bidi="fa-IR"/>
        </w:rPr>
        <w:t>هـ فهم الحضور والشعراء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الأخرى قرينة أدبية؛ حيث كان بإمكان الحاضرين في يوم الغدير أن يدركوا المعنى الحقيقي من كلام النبي الأكرم، وكان من بين الحاضرين الشاعر المعروف حسان بن ثابت، وقد طلب من النبي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الفراغ من خطبته أن يقول شعراً في المناسبة؛ فأذن له النبي فقال قصيدة، نذكر منها البيتين الآتيين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إلهك مولانا وأنت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تلق منا في الولاية عاصيا</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إن حسّان بن ثابت فى شعره هذا لا يعتبر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شخصاً يستحق الحب فقط، بل يصفه بأنه إمام وهاد، وقد قرأ شعره هذه بحضور النبي الأكرم وجميع الصحابة، من دون أن يصدر عنهم أي اعتراض على مضمون شعره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القرائن الأخرى التي تعد من أقوى القرائن وأكثرها اعتباراً فهم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وتفسيره، حيث فسر حديث الغدير بأنه ناظر إلى إمامته وحكومته، وكان يتمسك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بهذا الحديث للاستدلال على أحقيته بالخلافة والحكم، ولم ينكر الخصوم عليه دلالة هذا </w:t>
      </w:r>
    </w:p>
    <w:p>
      <w:pPr>
        <w:pStyle w:val="BookText"/>
        <w:rPr/>
      </w:pPr>
      <w:r>
        <w:rPr>
          <w:rFonts w:ascii="IRNazanin" w:hAnsi="IRNazanin" w:eastAsia="IRNazanin"/>
          <w:color w:val="111111"/>
          <w:sz w:val="28"/>
          <w:sz w:val="28"/>
          <w:szCs w:val="28"/>
          <w:rtl w:val="true"/>
          <w:lang w:bidi="fa-IR"/>
        </w:rPr>
        <w:t>الحديث على الإمامة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تفصيل الأحاديث والاحتجاجات التي احتج بها الإمام علي على أصل تنصيبه في الصفحات القادمة في معرض نقد الشبهة القائلة بعدم تمسك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بأصل التنصيب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علماء أهل السنة،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الجوزى والحافظ أبو الفرج يحيى الثقفي، إلى الاعتراف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الأولى بالتصرف</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بعض نصوص حديث الغدير في روايات أهل السنة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فإن علياً بعدي مولاه مولاه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ذكر هذه المفردة في شعر حسان بن ثابت، فيكون تأييداً لهذا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واضح أن الأمر من قبل النبي بالولاية لعلي إذا كان بمعنى المحبة فإنه يكون بشكل مطلق، ولا معنى لتقييد هذه المحبة بأن تبقى معلقة إلى ما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حيث أنه قيد الولاية بلفظ بعدي يتضح أن مراده هو الحكم والخلافة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المحققون من أمثال العلامة الأميني قرائن وشواهد كثيرة على دلالة حديث الغدير على خلاف مدعى الشبهة، وعليه فإننا نحيل القارئ الكريم إلى موسوعة الغدير القيمة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396" w:name="pg15658_147047"/>
    </w:p>
    <w:p>
      <w:pPr>
        <w:pStyle w:val="Heading4"/>
        <w:numPr>
          <w:ilvl w:val="3"/>
          <w:numId w:val="1"/>
        </w:numPr>
        <w:rPr/>
      </w:pPr>
      <w:bookmarkStart w:id="397" w:name="__RefHeading___Toc11030495_2142443653"/>
      <w:bookmarkStart w:id="398" w:name="_Toc143"/>
      <w:bookmarkEnd w:id="396"/>
      <w:bookmarkEnd w:id="397"/>
      <w:r>
        <w:rPr>
          <w:rtl w:val="true"/>
        </w:rPr>
        <w:t>رابعاً</w:t>
      </w:r>
      <w:r>
        <w:rPr>
          <w:rtl w:val="true"/>
        </w:rPr>
        <w:t xml:space="preserve">: </w:t>
      </w:r>
      <w:r>
        <w:rPr>
          <w:rtl w:val="true"/>
        </w:rPr>
        <w:t>أحاديث المنزلة</w:t>
      </w:r>
      <w:r>
        <w:rPr>
          <w:rtl w:val="true"/>
        </w:rPr>
        <w:t>:</w:t>
      </w:r>
      <w:bookmarkEnd w:id="398"/>
    </w:p>
    <w:p>
      <w:pPr>
        <w:pStyle w:val="BookText"/>
        <w:rPr/>
      </w:pPr>
      <w:r>
        <w:rPr>
          <w:rFonts w:ascii="IRNazanin" w:hAnsi="IRNazanin" w:eastAsia="IRNazanin"/>
          <w:color w:val="111111"/>
          <w:sz w:val="28"/>
          <w:sz w:val="28"/>
          <w:szCs w:val="28"/>
          <w:rtl w:val="true"/>
          <w:lang w:bidi="fa-IR"/>
        </w:rPr>
        <w:t>في واقعة تبوك قام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بتعيين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له على المدينة المنورة، وتوجّه هو إلى القتال بسائر المسلمين؛ فاغتنم المنافقون هذا الأمر لتشويه 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غامزين من قناة أن النبي لم يُشركه في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فسارع الإمام علي بعد سماع هذا الإرجاف إلى إيصال نفسه إلى جيش النبي وسأله الموافقة على انضمامه إلى الجيش وعدم إبقائه في المدينة، إلا أن النبي الأكرم كذب مقالة المنافقين، وأضاف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ترضى أن تكون مني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يكون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بمنزلة هارون من موسى في كل الأمور ولم يستثن من ذلك إلا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منزلة هارون من موسى فيبينها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هذه الآية تثبت لهارون صفة الوزارة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الناصر والمؤازر له في تبليغ الرسالة السماوية، وهو ما فوّضه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النبوة</w:t>
      </w:r>
      <w:r>
        <w:rPr>
          <w:rFonts w:eastAsia="IRNazanin" w:cs="IRNazanin"/>
          <w:color w:val="111111"/>
          <w:sz w:val="28"/>
          <w:szCs w:val="28"/>
          <w:rtl w:val="true"/>
          <w:lang w:bidi="fa-IR"/>
        </w:rPr>
        <w:t xml:space="preserve">. </w:t>
      </w:r>
      <w:bookmarkStart w:id="399" w:name="pg15658_147048"/>
    </w:p>
    <w:p>
      <w:pPr>
        <w:pStyle w:val="BookText"/>
        <w:rPr/>
      </w:pPr>
      <w:bookmarkEnd w:id="399"/>
      <w:r>
        <w:rPr>
          <w:rFonts w:ascii="IRNazanin" w:hAnsi="IRNazanin" w:eastAsia="IRNazanin"/>
          <w:color w:val="111111"/>
          <w:sz w:val="28"/>
          <w:sz w:val="28"/>
          <w:szCs w:val="28"/>
          <w:rtl w:val="true"/>
          <w:lang w:bidi="fa-IR"/>
        </w:rPr>
        <w:t>وعليه فإن هذا الحديث من الناحية المفهومية يدلّ على إمامة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من الناحية السندية حظي بتأييد أكثر العلماء من أهل السنة، ولم يشكك فيه سوى الآمدي</w:t>
      </w:r>
      <w:r>
        <w:rPr>
          <w:rStyle w:val="FootnoteAnchor"/>
          <w:rtl w:val="true"/>
        </w:rPr>
        <w:footnoteReference w:id="523"/>
      </w:r>
      <w:r>
        <w:rPr>
          <w:rFonts w:ascii="Amiri" w:hAnsi="Amiri" w:eastAsia="Amiri" w:cs="Amiri"/>
          <w:color w:val="111111"/>
          <w:sz w:val="28"/>
          <w:sz w:val="28"/>
          <w:szCs w:val="28"/>
          <w:rtl w:val="true"/>
          <w:lang w:bidi="ar-SA"/>
        </w:rPr>
        <w:t>، وشكه بالمقارنة إلى الأغلبية الغالبة من أهل السنة لا يؤثر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الذي تبين لأمتي ما يختلفون فيه بعدي، وتقوم فيهم مقامي، قولك قولي، وأمرك أمري، وطاعتك طاعتي، وطاعتي طاعة الله، ومعصيتك معصيتي، ومعصيتي معصية الله عز وجل</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هذا الحديث يبين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فرق بينه وبين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حل المسائل الخلافية، ولزوم إطاعة الناس له وللإمام علي، ويصرح بأن 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القانونية مثل الشخصية القانونية والحقوقية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الأمور، وبذلك تكون هذه الرواية خير جواب لأولئك الذين يرون خاتمية النبي خاتمية لجميع مسؤولياته ومهامه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الآخر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أكد على مفهوم حديث المنزلة مراراً وفي مختلف المواضع من قبيل مستهل الدعوة، ويوم المؤاخاة، ويوم إغلاق أبواب المسجد في المدينة المنوّرة، ويوم فتح خيبر، وفي واقعة تبوك</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1030497_2142443653"/>
      <w:bookmarkStart w:id="401" w:name="_Toc144"/>
      <w:bookmarkEnd w:id="400"/>
      <w:r>
        <w:rPr>
          <w:rtl w:val="true"/>
        </w:rPr>
        <w:t>خامساً</w:t>
      </w:r>
      <w:r>
        <w:rPr>
          <w:rtl w:val="true"/>
        </w:rPr>
        <w:t xml:space="preserve">: </w:t>
      </w:r>
      <w:r>
        <w:rPr>
          <w:rtl w:val="true"/>
        </w:rPr>
        <w:t xml:space="preserve">حديث الدواة والقلم </w:t>
      </w:r>
      <w:r>
        <w:rPr>
          <w:rtl w:val="true"/>
        </w:rPr>
        <w:t>(</w:t>
      </w:r>
      <w:r>
        <w:rPr>
          <w:rtl w:val="true"/>
        </w:rPr>
        <w:t>الوصية غير المكتوبة</w:t>
      </w:r>
      <w:r>
        <w:rPr>
          <w:rtl w:val="true"/>
        </w:rPr>
        <w:t>):</w:t>
      </w:r>
      <w:bookmarkEnd w:id="4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بين الأدلة التى يمكن التمسك بها بوصفها دليلاً على تنصيب </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على المسلمين، الحديث المعروف بحديث الدواة والقلم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ببيان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في الأيام الأخيرة من حياته الشريفة أن ينصب الإمام علي خليفة له على المسلمين وأن يوثق ذلك في سند مكتوب، فطالب بإحضار دواة وقلم وقرطاس؛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ائتوني بكتاب أكتب لكم كتاباً لن تضلوا بعده أبداً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حيث أدرك بعضهم ما أراد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كتابته، فقد أثار اللغط واتهم النبي باشتداد المرض عليه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 ولا يعي ما يقول، واختلف الحاضرون بين من قال بمقالة الرجل وبين من أصر على الاستجابة لطلب الرسول؛ فخاف النبي أن تتفرّق وحدة المسلمين، وبان على وجهه الغضب وأمرهم بالخروج من عنده وعدم التنازع في حضرته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القرائن والشواهد الآتية تثبت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يروم أن يثبت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وصية مكتوبة له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التعبير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النبي تعيين خليفة وإمام يقوم مقامه بعد رحيله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صدرت منه عبارات مشابهة لهذه العبارة مراراً فيما يتعلق بالوصية لأهل بيته وعترته، 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فقد أدرك المخاطبون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أولئك الذين يمتلكون حاسة شم سياسية قوية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يرمي إليه الرسول؛ ولذلك سارع من فوره </w:t>
      </w:r>
    </w:p>
    <w:p>
      <w:pPr>
        <w:pStyle w:val="BookText"/>
        <w:rPr/>
      </w:pPr>
      <w:r>
        <w:rPr>
          <w:rFonts w:ascii="Amiri" w:hAnsi="Amiri" w:eastAsia="Amiri" w:cs="Amiri"/>
          <w:color w:val="111111"/>
          <w:sz w:val="28"/>
          <w:sz w:val="28"/>
          <w:szCs w:val="28"/>
          <w:rtl w:val="true"/>
          <w:lang w:bidi="ar-SA"/>
        </w:rPr>
        <w:t xml:space="preserve">إلى الحيلولة دون كتابة الرسول لذلك الكتاب، فأثار تلك الضجة المفتعلة في حضرة النبي رغم ما به من العلة والمرض، بل ذهب إلى أبعد من ذلك عندما اتهم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يهذي ويهجر، وقد صرحت المصادر السنية والشيعية بأن من تجرأ على رسول الله بهذه الكلمات هو عمر بن الخطاب،</w:t>
      </w:r>
    </w:p>
    <w:p>
      <w:pPr>
        <w:pStyle w:val="BookText"/>
        <w:rPr/>
      </w:pPr>
      <w:r>
        <w:rPr>
          <w:rFonts w:ascii="Amiri" w:hAnsi="Amiri" w:eastAsia="Amiri" w:cs="Amiri"/>
          <w:color w:val="111111"/>
          <w:sz w:val="28"/>
          <w:sz w:val="28"/>
          <w:szCs w:val="28"/>
          <w:rtl w:val="true"/>
          <w:lang w:bidi="ar-SA"/>
        </w:rPr>
        <w:t>حيث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 عليه الوجع، وعندكم القرآن، حسبنا كتاب الله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المقالة لا تنطوي على جرأة من قبل عمر بن الخطاب في نسبة الهجر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وهو الذي يقول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ذهب إلى حد اعتبار نفسه فوق النبي الأكرم؛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وصية النبي، وإن القرآن يكفينا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تكليف المسلمين؟ هل عليهم اتباع أمثال عمر أم عليهم اتباع تعاليم رسول الله ؟ نترك الإجابة عن هذا السؤال لأصحاب الضمائر الحية من بني البشر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اعترف عمر بن الخطاب نفسه فيما بعد بأن النبي كان ينوي تنصيب الإمام علي خليفة من بعده فمنعته من ذلك، وذلك في حديث له ابن عباس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أن يذكره للأمر في مرضه </w:t>
      </w:r>
    </w:p>
    <w:p>
      <w:pPr>
        <w:pStyle w:val="BookText"/>
        <w:rPr/>
      </w:pPr>
      <w:r>
        <w:rPr>
          <w:rFonts w:ascii="Amiri" w:hAnsi="Amiri" w:eastAsia="Amiri" w:cs="Amiri"/>
          <w:color w:val="111111"/>
          <w:sz w:val="28"/>
          <w:sz w:val="28"/>
          <w:szCs w:val="28"/>
          <w:rtl w:val="true"/>
          <w:lang w:bidi="ar-SA"/>
        </w:rPr>
        <w:t>فصددته عنه خوفاً خوفاً من الفتنة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روى ابن أبي الحديد عن عمر بن الخطاب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عباس وأراد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له فكان ماذا إذا لم يرد الله تعالى ذلك؟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أمرا وأراد الله غيره</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وبطبيعة الحال فإن عمر بن الخطاب عمد إلى تبرير موقفه في منع رسول الله من كتابة وصيته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فصددته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منالفتنة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هذاالتبرير يرى عمر بن الخطاب نفسه فوق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يتهمه بعدم لحاظ مصلحة الإسلام والأمة الإسلامية، أو أنه عاجز عن إدراكها، وأنه بحاجة إلى توجيه وهداية 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النبي الذي هو أشرف الكائنات وأعظم الأنبياء والمسدد بالوحي يعجز عن تشخيص مصلحة الدين والمجتمع، ولم يكن يمتلك من الإدراك والوعي ما يملكه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نترك </w:t>
      </w:r>
    </w:p>
    <w:p>
      <w:pPr>
        <w:pStyle w:val="BookText"/>
        <w:rPr/>
      </w:pPr>
      <w:r>
        <w:rPr>
          <w:rFonts w:ascii="Amiri" w:hAnsi="Amiri" w:eastAsia="Amiri" w:cs="Amiri"/>
          <w:color w:val="111111"/>
          <w:sz w:val="28"/>
          <w:sz w:val="28"/>
          <w:szCs w:val="28"/>
          <w:rtl w:val="true"/>
          <w:lang w:bidi="ar-SA"/>
        </w:rPr>
        <w:t>الإجابة مرة أخرى عن هذا السؤال إلى أصحاب الضمائر الحية والحرة المنزهة عن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أن أبا بكر عندما كان على فراش الموت تنتابه الإغماءات بين الحين والآخر أوصى لعمر بن الخطاب فكان هو الذي يملي وعثمان يكتب، بل إن عثمان هو الذي أدرج اسم عمر بن الخطاب في لحظة إغماءة أبي بكر اعتماداً منه على حدسه في ذلك، تقول الوثيقة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أبو بكر عثمان وهو يجود بنفسه فأمره أن يكتب عهداً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أكتب بسم الله الرحمن الرحيم هذا ما عهد عبد الله بن عثمان إلى المسلمين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عثمان قد استخلفت عليكم عمر بن الخطاب، وأفاق أبو بكر </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لم يصدر من عمر ولا غيره معارضة، ولم يتهمه عمر بغلبة الوجع أو أثقل عليه المرض أو أنه يهجر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فالحقيقة إذن هي أن أمثال عمر بن الخطاب كانوا يرون في تطبيق وصية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ضرباً لمصالحهم، والدليل على ذلك منع النبي من كتابة وصيته مهما كلف الأمر، بل حتى إذا بلغ الأمر حدّ اتهام النبي في عقله واتزانه الذهنى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مصير هذه الوصية التي تصب في مصلحة غريم عمر بن الخطاب وهو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تخنق في مهدها، بل وحتى قبل أن تولد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القرينة الأخرى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يعلم مسبقاً أن بعض الصحابة لا يطيق أن يتولى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أعباء السلطة والإمامة، ولذلك </w:t>
      </w:r>
    </w:p>
    <w:p>
      <w:pPr>
        <w:pStyle w:val="BookText"/>
        <w:rPr/>
      </w:pPr>
      <w:r>
        <w:rPr>
          <w:rFonts w:ascii="IRNazanin" w:hAnsi="IRNazanin" w:eastAsia="IRNazanin"/>
          <w:color w:val="111111"/>
          <w:sz w:val="28"/>
          <w:sz w:val="28"/>
          <w:szCs w:val="28"/>
          <w:rtl w:val="true"/>
          <w:lang w:bidi="fa-IR"/>
        </w:rPr>
        <w:t>أمر وهو على فراش المرض أن يُسيّر جيش بقيادة أسامة بن زيد وهو شاب لم يتجاوز الثمان عشرة سنة، رغم أنه لم تكن هناك حاجة ملحة إلى إنفاذ ذلك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النبي من وراء ذلك إبعاد العناصر المؤثرة في المشهد السياسي والاجتماعي من أمثال أبي بكر وعمر بن الخطاب وأبو عبيدة بن الجراح وسعد بن أبي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 من العناصر المؤثرة في حادثة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الشخصيات امتنعت عن امتثال أمر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بشتى الذرائع والحجج، رغم أن النبي لعن من يتخلف عن جيش أسامة</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لو أن الصحابة قد امتثلوا لأمر النبي في الالتحاق بجيش أسامة، لتمت عملية انتقال السلطة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بانسيابية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يبدو أن هؤلاء الأشخاص أدركوا بحاسة شمهم السياسية، المغزى الذي كان يرمي إليه النبي من وراء عقد اللواء لهذا الجيش وإلزامهم بالالتحاق به، وإبعادهم عن المشهد السياسي المقبل، وعندها لن يحصلوا على شيء من السلطة التي كانوا يمنون أنفسهم بها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والمغزى الآخر الذي أراد النبي التلويح به للصحابة من خلال تأمير أسامة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كبار القوم بمن فيهم المخضرمين من قادة الجيوش، قطع الطريق عليهم إذا أرادوا الاعتراض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لجميع الأمة وهو في شرخ الشباب حيث كان في الرابعة والثلاثين من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يثبت لهم عملياً أن ملاك القيادة والإمامة هو الكفاءة الذاتية التي لا صلة لها بالأعمار وصغر السن أو كبره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402" w:name="pg15658_147054"/>
    </w:p>
    <w:p>
      <w:pPr>
        <w:pStyle w:val="Heading4"/>
        <w:numPr>
          <w:ilvl w:val="3"/>
          <w:numId w:val="1"/>
        </w:numPr>
        <w:rPr/>
      </w:pPr>
      <w:bookmarkStart w:id="403" w:name="__RefHeading___Toc11030499_2142443653"/>
      <w:bookmarkStart w:id="404" w:name="_Toc145"/>
      <w:bookmarkEnd w:id="402"/>
      <w:bookmarkEnd w:id="403"/>
      <w:r>
        <w:rPr>
          <w:rtl w:val="true"/>
        </w:rPr>
        <w:t>سادساً</w:t>
      </w:r>
      <w:r>
        <w:rPr>
          <w:rtl w:val="true"/>
        </w:rPr>
        <w:t xml:space="preserve">: </w:t>
      </w:r>
      <w:r>
        <w:rPr>
          <w:rtl w:val="true"/>
        </w:rPr>
        <w:t>أحاديث الحجة</w:t>
      </w:r>
      <w:r>
        <w:rPr>
          <w:rtl w:val="true"/>
        </w:rPr>
        <w:t>:</w:t>
      </w:r>
      <w:bookmarkEnd w:id="404"/>
    </w:p>
    <w:p>
      <w:pPr>
        <w:pStyle w:val="BookText"/>
        <w:rPr/>
      </w:pPr>
      <w:r>
        <w:rPr>
          <w:rFonts w:ascii="IRNazanin" w:hAnsi="IRNazanin" w:eastAsia="IRNazanin"/>
          <w:color w:val="111111"/>
          <w:sz w:val="28"/>
          <w:sz w:val="28"/>
          <w:szCs w:val="28"/>
          <w:rtl w:val="true"/>
          <w:lang w:bidi="fa-IR"/>
        </w:rPr>
        <w:t>ورد التعريف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الروايات النبوية بوصفه حجة الله، فقد روي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صبيحة يوم فرحاً مستبشراً،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مالي أراك فرحاً مستبشراً؟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وكيف لا أكون كذلك وقد قرّت عيني بما أكرم الله به أخاك ووصيك وإمام أمتك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أكرم الله أخي وإمام أمّتي؟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باهى بعبادته البارحة ملائكته وحملة عرشه،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ملائكتي انظروا إلى حجتي في أرضي على عبادي بعد نبيي، فقد عفر خده في التراب تواضعاً لعظمتي، أشهدكم أنه إمام خلقي ومولى بريتي</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أخرى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أنت إمام المسلمين، وأمير المؤمنين، وقائد الغر المحجلين، وحجة الله بعدي على الخلق أجمعين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لحجة الله على خلقي، وأمينه على سره، وخليفته على عباده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الأحاديث تمثل الجواب الواضح والشافي لأولئك الذين يتذرعون بمفهوم الخاتمية لحصر الحجة الإلهية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وأنكروا لذلك إمكان أن يكون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bookmarkStart w:id="405" w:name="pg15658_147055"/>
    </w:p>
    <w:p>
      <w:pPr>
        <w:pStyle w:val="Heading4"/>
        <w:numPr>
          <w:ilvl w:val="3"/>
          <w:numId w:val="1"/>
        </w:numPr>
        <w:rPr/>
      </w:pPr>
      <w:bookmarkStart w:id="406" w:name="__RefHeading___Toc11030501_2142443653"/>
      <w:bookmarkStart w:id="407" w:name="_Toc146"/>
      <w:bookmarkEnd w:id="405"/>
      <w:bookmarkEnd w:id="406"/>
      <w:r>
        <w:rPr>
          <w:rtl w:val="true"/>
        </w:rPr>
        <w:t>سابعاً</w:t>
      </w:r>
      <w:r>
        <w:rPr>
          <w:rtl w:val="true"/>
        </w:rPr>
        <w:t xml:space="preserve">: </w:t>
      </w:r>
      <w:r>
        <w:rPr>
          <w:rtl w:val="true"/>
        </w:rPr>
        <w:t>أحاديث العصمة</w:t>
      </w:r>
      <w:r>
        <w:rPr>
          <w:rtl w:val="true"/>
        </w:rPr>
        <w:t>:</w:t>
      </w:r>
      <w:bookmarkEnd w:id="407"/>
    </w:p>
    <w:p>
      <w:pPr>
        <w:pStyle w:val="BookText"/>
        <w:rPr/>
      </w:pPr>
      <w:r>
        <w:rPr>
          <w:rFonts w:ascii="IRNazanin" w:hAnsi="IRNazanin" w:eastAsia="IRNazanin"/>
          <w:color w:val="111111"/>
          <w:sz w:val="28"/>
          <w:sz w:val="28"/>
          <w:szCs w:val="28"/>
          <w:rtl w:val="true"/>
          <w:lang w:bidi="fa-IR"/>
        </w:rPr>
        <w:t>تقدّمت الإشارة إلى أن للإمامة ثلاثة شؤون ومنازل،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الحكومة،والمرجعية العلمية والدينية، والولاية المعنوية والباطنية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دلت الروايات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مقتضى حال المخاطب والظرف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إثبات شأن من هذه الشؤون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هنا روايات كثيرة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عصمة الأئمة 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 ذلك مرجعيتهم العلمية والدينية وحجيتهم الذاتية على مستوى سيرته النظرية والعملية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ولحسن الحظ فقد تم الالتفات إلى هذه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الإطاعة المطلقة للأئمة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لمكان وجود العصمة، وقد تقدمت الروايات على ذلك في 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هامش الشبهة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 العصمة مع الخاتمية</w:t>
      </w:r>
      <w:r>
        <w:rPr>
          <w:rFonts w:eastAsia="IRNazanin" w:cs="IRNazanin"/>
          <w:color w:val="111111"/>
          <w:sz w:val="28"/>
          <w:szCs w:val="28"/>
          <w:rtl w:val="true"/>
          <w:lang w:bidi="fa-IR"/>
        </w:rPr>
        <w:t>).</w:t>
      </w:r>
    </w:p>
    <w:p>
      <w:pPr>
        <w:pStyle w:val="Heading4"/>
        <w:numPr>
          <w:ilvl w:val="3"/>
          <w:numId w:val="1"/>
        </w:numPr>
        <w:rPr/>
      </w:pPr>
      <w:bookmarkStart w:id="408" w:name="__RefHeading___Toc11030503_2142443653"/>
      <w:bookmarkStart w:id="409" w:name="_Toc147"/>
      <w:bookmarkEnd w:id="408"/>
      <w:r>
        <w:rPr>
          <w:rtl w:val="true"/>
        </w:rPr>
        <w:t>ثامناً</w:t>
      </w:r>
      <w:r>
        <w:rPr>
          <w:rtl w:val="true"/>
        </w:rPr>
        <w:t xml:space="preserve">: </w:t>
      </w:r>
      <w:r>
        <w:rPr>
          <w:rtl w:val="true"/>
        </w:rPr>
        <w:t>روايات المرجعية العلمية والدينية</w:t>
      </w:r>
      <w:r>
        <w:rPr>
          <w:rtl w:val="true"/>
        </w:rPr>
        <w:t>:</w:t>
      </w:r>
      <w:bookmarkEnd w:id="409"/>
    </w:p>
    <w:p>
      <w:pPr>
        <w:pStyle w:val="BookText"/>
        <w:rPr/>
      </w:pPr>
      <w:r>
        <w:rPr>
          <w:rFonts w:ascii="IRNazanin" w:hAnsi="IRNazanin" w:eastAsia="IRNazanin"/>
          <w:color w:val="111111"/>
          <w:sz w:val="28"/>
          <w:sz w:val="28"/>
          <w:szCs w:val="28"/>
          <w:rtl w:val="true"/>
          <w:lang w:bidi="fa-IR"/>
        </w:rPr>
        <w:t>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كثير من رواياته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مرجعاً علمياً ودينياً، وأنه نصب في هذا المنصب من قبل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 أنس مالك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لأبي ذر الأسلمي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 العالمين عهد إلى عهداً في على بن أبي طالب أنه راية الهدى، ومنار الإيمان، وإمام أوليائي، ونور جميع من أطاعني</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أخرى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السبيل الجنة، وراية الهدى، وعلم الحق، وإمام من آمن بي، وولي من </w:t>
      </w:r>
    </w:p>
    <w:p>
      <w:pPr>
        <w:pStyle w:val="BookText"/>
        <w:rPr/>
      </w:pPr>
      <w:r>
        <w:rPr>
          <w:rFonts w:ascii="Amiri" w:hAnsi="Amiri" w:eastAsia="Amiri" w:cs="Amiri"/>
          <w:color w:val="111111"/>
          <w:sz w:val="28"/>
          <w:sz w:val="28"/>
          <w:szCs w:val="28"/>
          <w:rtl w:val="true"/>
          <w:lang w:bidi="ar-SA"/>
        </w:rPr>
        <w:t>تولاني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أن الإمام علي يمثل الفيصل</w:t>
      </w:r>
    </w:p>
    <w:p>
      <w:pPr>
        <w:pStyle w:val="BookText"/>
        <w:rPr/>
      </w:pPr>
      <w:r>
        <w:rPr>
          <w:rFonts w:ascii="Amiri" w:hAnsi="Amiri" w:eastAsia="Amiri" w:cs="Amiri"/>
          <w:color w:val="111111"/>
          <w:sz w:val="28"/>
          <w:sz w:val="28"/>
          <w:szCs w:val="28"/>
          <w:rtl w:val="true"/>
          <w:lang w:bidi="ar-SA"/>
        </w:rPr>
        <w:t>والمرجع الأخير عند الاختلاف، كما قال لعبد الرحمن بن سمرة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سمرة إذا اختلفت الأهواء وتفرقت الآراء فعليك بعلي بن أبي طالب؛ فإنه إمام أمتي، وخليفتي عليهم من بعدي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 على ما إن تساءلتم عليه لم تهلكوا؟ إن وليكم الله، وإن إمامكم علي بن أبي طالب؛ فناصحوه وصدقوه، فإن جبريل أخبرني بذلك</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قد بينت لكم مفزعكم بعدي وإمامكم بعدي ووليكم وهاديكم، وهو أخي علي بن أبي طالب وهو فيكم بمنزلتي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فقلدوه دينكم وأطيعوه في جميع أموركم، فإن عنده جميع ما علمني الله من علمه وحكمته فسلوه وتعلموا منه ومن أوصيائه بعده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نزول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 مُنذِرٌ وَلِكُلِّ قَوْمٍ هَادٍ</w:t>
      </w:r>
      <w:r>
        <w:rPr>
          <w:rStyle w:val="FootnoteAnchor"/>
          <w:rtl w:val="true"/>
        </w:rPr>
        <w:footnoteReference w:id="542"/>
      </w:r>
      <w:r>
        <w:rPr>
          <w:rFonts w:ascii="IRNazanin" w:hAnsi="IRNazanin" w:eastAsia="IRNazanin"/>
          <w:color w:val="111111"/>
          <w:sz w:val="28"/>
          <w:sz w:val="28"/>
          <w:szCs w:val="28"/>
          <w:rtl w:val="true"/>
          <w:lang w:bidi="fa-IR"/>
        </w:rPr>
        <w:t>، عرف صَلَى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بأنه هو المنذر، ثم أشار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يا على، بك يهتدي المهتدون بعدي</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قضية المعراج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طرقت هذه الآية سمعي؛ فسألت الله عن الهادي؟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على بن أبي طالب غاية المهتدين وإمام المتقين وقائد الغر المحجلين</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عرف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مبيناً للدين ومرجعاً لحلّ اختلاف الأمة الإسلامية، ومن ذلك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تبين لأمتي ما اختلفوا فيه من بعدي</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علي أنت الذي تبين لأمتي ما يختلفون فيه بعدي، وتقوم فيهم مقامي، قولك قولي، وأمرك أمري، وطاعتك طاعتي، وطاعتي طاعة الله، ومعصيتك معصيتي، ومعصيتي معصية الله عز وجل</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يتعلق بعلم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وردت كثير من الروايات في مصادر الفريقين، حيث يقول رسول الله لعل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يتعلق بعلم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نكتفى بذكر هذه النقطة وهي أن علم الإمام لم يكن علماً اعتيادياً، بل هو مؤيد من قبل الله ومن جنس الإلهام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 هذا العلم لا يتطرق إليه الخطأ، ولا يكون هناك شك في الإجابة عن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تقدم البحث عن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والإلهام في الشبهة السابعة من هذا الفصل فإننا نحيل القارئ الكريم إلى ذلك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هنا فنشير إلى أن المرجعية العلمية والدينية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وتفوقه في هذا المجال على الخلفاء الثلاثة كان من الوضوح والبداهة بحيث نقل عن الخليفة الثاني مراراً أنه قال معترفاً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على هلك عمر</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عرّف عمر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مرجعاً لحل الخلافات،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إذا اختلفنا في شيء أن نحكم عليا</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مصادر أهل السنة المعتبرة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أقضاكم، علي أفقهكم، وأعلم أمتي بكتاب الله، وعلي مع الحق والحق مع علي حيثما دار، وأنا مدينة العلم وعلي بابها</w:t>
      </w:r>
      <w:r>
        <w:rPr>
          <w:rFonts w:eastAsia="IRNazanin" w:cs="IRNazanin"/>
          <w:color w:val="111111"/>
          <w:sz w:val="28"/>
          <w:szCs w:val="28"/>
          <w:rtl w:val="true"/>
          <w:lang w:bidi="fa-IR"/>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سجل التاريخ ورصد كثيراً من الأمثلة على خطأ الخلفاء الثلاثة في المسائل القضائية، ومبادرة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إصلاح هذه الأخطاء، وإن استقراء تلك الأمثلة يحتاج إلى تأليف كتاب مستق</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روايتين مختلفتين </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يعسوب المؤمنين</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واليعسوب لغة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أو ملكة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الحديد المعتزلي في شرح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جعله رئيس المؤمنين وسيدهم أو جعل الدين يتبعه ويقفو أثره حيث سلك كما يتبع النحل اليعسوب</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إلى الشيعة حجة وإماماً إلهياً، وقوله وفعله وتقرير معتبر عندهم ودليل يُستدل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مقبول من قبل أهل السنة بوصفه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كبار الصحابة الذين يستدلون بأقوالهم وأحاديثهم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لو رويت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أو روايات تدل على أصل تنصيبه، كانت هذه الروية المأثورة عنه حجّة ومعتبرة ويجب الأخذ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ولحسن الحظ هناك روايات صريحة وواضحة مروية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الشأن، وسوف نأتي على ذكرها إن شاء الله تعالى عند التعرض إلى شبهة عدم تمسك الإمام على بأصل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وسنكتفى هنا بذكر روايتين يشكو فيهما الإمام علي من المسلمين في صدر الإسلام بسبب عدم معرفتهم بمكانته قائلاً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مِنْ شِيعَتِيَ الَّذِينَ عَرَفُوا فَضْلِي وَفَرْضَ إِمَامَتِي مِنْ كِتَابِ اللَّهِ عَزَّ وَجَلَّ وَسُنَّةِ رَسُولِ الله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كما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إطار اختيار عثمان بن عفان بوصفه خليفة ثالثاً، وإبعاد الإمام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حق الحاكمية على المسلمين من حقوقه الحصرية،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بيت النبوة ومعدن الحكمة، وأمان أهل الأرض، ونجاة لمن طلب، لنا حق إن نُعطه نأخذه، وإن نُمنعه نركب أعجاز الإبل ولو طال السرى</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روايات سيدي شباب أهل الجنة ينظر أهل السنة إلى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احترام وتبجيل لما صح عندهم من الروايات الكثيرة التى يروونها عن رسول الله في فضلهما، بل ربما فضلوهما على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ذلك أنهم إذا أرادوا وصف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سيدي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الأساس يجب على أهل السنة أن يأخذوا بجميع الروايات المروية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بوصفهما راويين تقتين وبوصفهما سبطي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فإن أخذهم ببعض رواياتهما ونبذ رواياتها الأخرى سيكون من قبيل الإيمان ببعض الكتاب والكفر ببعضه الآخر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هذه المقدمة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عندما نطالع سيرة هذين الإمامين الهمامين ندرك بوضوح أنهما يذهبان إلى القول بأن الإمامة تكون بالتنصيب الإلهي، ومن ذلك تنصيب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ما روي عنهمافي هذا الشأن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أشار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إلى السنة الإلهية القائمة على تعيين الخليفة والإمام بعد النبي، وعرف مصداق ذلك في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يبعث نبياً إلا اختار له نقيباً ورَهْطاً وبيتاً، فو الذي بعث محمداً بالحق نبياً لا ينتقص من حقنا أهل البيت أحد إلا نقصه الله من عَمَله مثله، ولا تكون علينا دولة إلا وتكون لنا العاقبة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أيضاً أن الإمام الحسن الله قد اعتلى المنبر بعد شهادة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وصرّح بأن إمامته كانت بتنصيب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نصبه رسول الله</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أشار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الأمانتين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اللتين استودعهما الله عند المسلمين وقال إنهما تعنيان القرآن وأهل البيت، وأكد أن طاعتهم قد فرضت على المسلمين في القرآن الكريم وسنة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حزب الله المفلحون، وَعِتْرَة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الأقربون، وأهل بيته الطاهرون الطيبون ، وأحد الثقلين اللذين خَلَّفهما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والثاني كتاب الله فيه تفصيل كل شيء، لا يأتيه الباطل من بين يديه، ولا من خَلْفِه والمعول عليه في كل شيء، لا يخطئنا تأويله، بل نتيقن حقائقه، فأطيعونا، فإن طاعتنا مفروضة إذ كانت بطاعة الله والرسول وأولي الأمر مقرونة</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له فى مسجد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فينا فإنا ،أمراؤكم وإنا أضيافكم ونحن أهل البيت الذين قال الله فيهم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w:t>
      </w:r>
    </w:p>
    <w:p>
      <w:pPr>
        <w:pStyle w:val="BookText"/>
        <w:rPr/>
      </w:pPr>
      <w:r>
        <w:rPr>
          <w:rFonts w:ascii="Amiri" w:hAnsi="Amiri" w:eastAsia="Amiri" w:cs="Amiri"/>
          <w:color w:val="111111"/>
          <w:sz w:val="28"/>
          <w:sz w:val="28"/>
          <w:szCs w:val="28"/>
          <w:rtl w:val="true"/>
          <w:lang w:bidi="ar-SA"/>
        </w:rPr>
        <w:t>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يعلم أسباب وجود النفاق في معسكره فقد اضطر إلى الصلح مع معاوية بن أبي سفيان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معاوية زعم أني رأيته للخلافة أهلاً ولم أرَ نفسي لها أهلاً، وكذب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الناس بالناس في كتاب الله وعلى لسان نبي الله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دعا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كبار قومه في منى وطلب منهم الشهادة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الولاية بغدير خم،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نصبه يوم غدیر خم فنادی</w:t>
      </w:r>
    </w:p>
    <w:p>
      <w:pPr>
        <w:pStyle w:val="BookText"/>
        <w:rPr/>
      </w:pPr>
      <w:r>
        <w:rPr>
          <w:rFonts w:ascii="Amiri" w:hAnsi="Amiri" w:eastAsia="Amiri" w:cs="Amiri"/>
          <w:color w:val="111111"/>
          <w:sz w:val="28"/>
          <w:sz w:val="28"/>
          <w:szCs w:val="28"/>
          <w:rtl w:val="true"/>
          <w:lang w:bidi="ar-SA"/>
        </w:rPr>
        <w:t>له بالولاية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عنه أنه وقف خطيباً في كربلاء، 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 فإنكم إن تتقوا الله وتعرفوا الحق لأهله يكن أرضى الله، ونحن أهل البيت أولى بولاية هذا الأمر من هؤلاء المدعين ما ليس لهم والسائرين فيكم بالجور والعدوان، فإن أنتم كرهتمونا وجهلتم حقنا وكان رأيكم غير ما أتتني به كتبكم ورسلكم انصرفت عنكم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410" w:name="pg15658_147063"/>
    </w:p>
    <w:p>
      <w:pPr>
        <w:pStyle w:val="Heading3"/>
        <w:numPr>
          <w:ilvl w:val="2"/>
          <w:numId w:val="1"/>
        </w:numPr>
        <w:rPr/>
      </w:pPr>
      <w:bookmarkStart w:id="411" w:name="__RefHeading___Toc11030505_2142443653"/>
      <w:bookmarkStart w:id="412" w:name="_Toc148"/>
      <w:bookmarkEnd w:id="410"/>
      <w:bookmarkEnd w:id="411"/>
      <w:r>
        <w:rPr>
          <w:rtl w:val="true"/>
        </w:rPr>
        <w:t>الشبهة الرابعة</w:t>
      </w:r>
      <w:r>
        <w:rPr>
          <w:rtl w:val="true"/>
        </w:rPr>
        <w:t xml:space="preserve">: </w:t>
      </w:r>
      <w:r>
        <w:rPr>
          <w:rtl w:val="true"/>
        </w:rPr>
        <w:t>التنصيب عنصر تفرقة</w:t>
      </w:r>
      <w:r>
        <w:rPr>
          <w:rtl w:val="true"/>
        </w:rPr>
        <w:t>:</w:t>
      </w:r>
      <w:bookmarkEnd w:id="412"/>
    </w:p>
    <w:p>
      <w:pPr>
        <w:pStyle w:val="Heading4"/>
        <w:numPr>
          <w:ilvl w:val="3"/>
          <w:numId w:val="1"/>
        </w:numPr>
        <w:rPr/>
      </w:pPr>
      <w:bookmarkStart w:id="413" w:name="__RefHeading___Toc11030507_2142443653"/>
      <w:bookmarkStart w:id="414" w:name="_Toc149"/>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إن من بين الأدلة والشبهات التي يطرحها أهل السنة على إنكار أصل التنصيب، هو ما ينطوى عليه التنصيب من الأضرار والآفات بزعمهم بمعنى أنه لو كان هناك نص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الإمامة والحكم فإن هذا النص سيؤدي إلى استقطاب جماعة من المسلمين معه، وجماعة أخرى من المسلمين ضده، ولا يخفى ما في ذلك من الخلاف والفرقة وشق وحدة المجتمع الإسلامي، وهذا لا ينسجم مع مصالح الإسلام والمسلمين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عمد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كيفية لزوم الفرقة والضرر الذي يتسبب به التنصيب 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كراهة بعض من الناس للإمام والخليفة المنصوب، يتعرض المجتمع للفتنة والاختلاف، وهذا إضرار بالآخرين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المنصوب هو واحد من الناس، وإن رئاسة فرد على الآخرين من أمثاله هو من التحكّم والظلم، ولا يخفى ما في ذلك من الإضرار بالغير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المنصوب لا يخلو أمره، فهو إما أن يكون معصوماً أو غير معصوم، والأول ممتنع طبقاً لمتبنيات أهل السنة، وفي مورد غير المعصوم يحتمل كفر الإمام وفسقه، فإن لم يتم عزله في مثل هذه الحالة فإن ضرر كفره وفسقه سيطال المجتمع، وإن عزل لا يخفى ما في عزله من الفتنة والاختلاف أيضاً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15" w:name="pg15658_147064"/>
    </w:p>
    <w:p>
      <w:pPr>
        <w:pStyle w:val="BookText"/>
        <w:rPr/>
      </w:pPr>
      <w:bookmarkEnd w:id="415"/>
      <w:r>
        <w:rPr>
          <w:rFonts w:ascii="Amiri" w:hAnsi="Amiri" w:eastAsia="Amiri" w:cs="Amiri"/>
          <w:color w:val="111111"/>
          <w:sz w:val="28"/>
          <w:sz w:val="28"/>
          <w:szCs w:val="28"/>
          <w:rtl w:val="true"/>
          <w:lang w:bidi="ar-SA"/>
        </w:rPr>
        <w:t>وقد عمد بعض علماء أهل السنة إلى المقاربة والموازنة بين ضرر التنصيب من جهة، وضرر عدم التنصيب من جهة أخرى؛ ليصل إلى القول بأن الضرر المترتب على التنصيب أكبر من الضرر المترتب على عدم التنصيب، وبذلك مال إلى القول بترجيح عدم التنصيب</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عرضنا في الفصل الأول من هذا الكتاب إلى إثبات نظرية التنصيب بالأدلة والشواهد الوافية والكافية، وهو أمرٌ يثبت ضعف هذه الشبهة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نقاط أخرى في ردّ هذه الشبهة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030509_2142443653"/>
      <w:bookmarkStart w:id="417" w:name="_Toc150"/>
      <w:bookmarkEnd w:id="416"/>
      <w:r>
        <w:rPr>
          <w:rtl w:val="true"/>
        </w:rPr>
        <w:t xml:space="preserve">أ </w:t>
      </w:r>
      <w:r>
        <w:rPr>
          <w:rtl w:val="true"/>
        </w:rPr>
        <w:t xml:space="preserve">- </w:t>
      </w:r>
      <w:r>
        <w:rPr>
          <w:rtl w:val="true"/>
        </w:rPr>
        <w:t>لزوم التبعية للحكم الشرعي</w:t>
      </w:r>
      <w:r>
        <w:rPr>
          <w:rtl w:val="true"/>
        </w:rPr>
        <w:t>:</w:t>
      </w:r>
      <w:bookmarkEnd w:id="417"/>
    </w:p>
    <w:p>
      <w:pPr>
        <w:pStyle w:val="BookText"/>
        <w:rPr/>
      </w:pPr>
      <w:r>
        <w:rPr>
          <w:rFonts w:ascii="Amiri" w:hAnsi="Amiri" w:eastAsia="Amiri" w:cs="Amiri"/>
          <w:color w:val="111111"/>
          <w:sz w:val="28"/>
          <w:sz w:val="28"/>
          <w:szCs w:val="28"/>
          <w:rtl w:val="true"/>
          <w:lang w:bidi="ar-SA"/>
        </w:rPr>
        <w:t xml:space="preserve">قبل الدخول في تفاصيل تحليل هذا المدعى ونقده لابد من التذكير بأن المسلم الحقيقى يجب أن يكون ملتزماً ومنقاداً وممتثلاً لتكاليفه الدينية والشرعية، وأن لا يكون بصدد الموازنة بين أداء تكاليفه وترجيح مصالحه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إذا ثبت لنا بالأدلة الشرعية والدينية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نصب للخلافة والإمامة شخصاً مثل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علينا الالتزام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ادعاء أهل السنة بأن التنصيب يؤدى إلى الضرر والإضرار بالآخرين، مضافاً إلى عدم واقعيته، خارج في حد ذاته عن دائرة أهل السنة، بمعنى أن السني الحقيقي هو الذي يلتزم بكل ما يقوله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18" w:name="pg15658_147065"/>
    </w:p>
    <w:p>
      <w:pPr>
        <w:pStyle w:val="Heading4"/>
        <w:numPr>
          <w:ilvl w:val="3"/>
          <w:numId w:val="1"/>
        </w:numPr>
        <w:rPr/>
      </w:pPr>
      <w:bookmarkStart w:id="419" w:name="__RefHeading___Toc11030511_2142443653"/>
      <w:bookmarkStart w:id="420" w:name="_Toc151"/>
      <w:bookmarkEnd w:id="418"/>
      <w:bookmarkEnd w:id="419"/>
      <w:r>
        <w:rPr>
          <w:rtl w:val="true"/>
        </w:rPr>
        <w:t xml:space="preserve">ب </w:t>
      </w:r>
      <w:r>
        <w:rPr>
          <w:rtl w:val="true"/>
        </w:rPr>
        <w:t xml:space="preserve">- </w:t>
      </w:r>
      <w:r>
        <w:rPr>
          <w:rtl w:val="true"/>
        </w:rPr>
        <w:t>التنصيب الخاص أفضل خيار</w:t>
      </w:r>
      <w:r>
        <w:rPr>
          <w:rtl w:val="true"/>
        </w:rPr>
        <w:t>:</w:t>
      </w:r>
      <w:bookmarkEnd w:id="420"/>
    </w:p>
    <w:p>
      <w:pPr>
        <w:pStyle w:val="BookText"/>
        <w:rPr/>
      </w:pPr>
      <w:r>
        <w:rPr>
          <w:rFonts w:ascii="Amiri" w:hAnsi="Amiri" w:eastAsia="Amiri" w:cs="Amiri"/>
          <w:color w:val="111111"/>
          <w:sz w:val="28"/>
          <w:sz w:val="28"/>
          <w:szCs w:val="28"/>
          <w:rtl w:val="true"/>
          <w:lang w:bidi="ar-SA"/>
        </w:rPr>
        <w:t>إن ما ادعي من أن التعريف بالخليفة وتنصيبه على المجتمع يؤدي إلى الاختلاف، مجرد ادعاء لا يلازم التنصيب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النظر في من يتولى عملية التنصيب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والشخص الذي يتم تتصيبه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الناصب آخذاً بنظر الاعتبار جميع الخيارات والملاكات اللازمة لمنصب الإمامة والخلافة، وكان هذا الناصب عالماً وخبيراً ومخلصاً وحريصاً على المجتمع، وكان المجتمع بدوره مدركاً لهذه الأمور ومؤمناً بحسن اختيار الناصب وحكمته، فإن تنصيبه للإمام والخليفة سيحظى بترحيب 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الفرض يقوم على أنه يحيط بجميع أبعاد مسألة القيادة وحاجة المجتمع، ولا يلاحظ إلا مصلحة المجتمع والدين، فإن مثل هذا التنصيب سيكون بالضرورة نافعاً للمجتمع، بل يجب تطبيقه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أصل التنصيب لا يشتمل على ضرر يطال المجتمع، بل على العكس من ذلك يمكن القول على الفرض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الجامعة للناصب والمنصوب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مصلحة المجتمع في التمسك بهذا التنصيب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أن شخص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لحاظ مصالح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إلى تغليب مصلحته الشخصية ومصالح أسرته وقبيلته، فإن الشخص الذي سيتم تنصيبه لن يكون هو الخيار 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هذا الفرض هناك إمكان الاختلاف والفرقة والنقاش، ولو تم إجبار الناس وإكراهههم على القبول بهذا التنصيب، أو جرى في غيابهم، فإن مثل هذا الأمر سيؤدي إلى الإضرار في حقوق المواطنين بل وتشويه الدين نفسه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المقدمة نتوجه بالسؤال إلى أهل السنة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اختار النبي </w:t>
      </w:r>
    </w:p>
    <w:p>
      <w:pPr>
        <w:pStyle w:val="BookText"/>
        <w:rPr/>
      </w:pP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شخصاً بعينه لمنصب الإمامة والخلافة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ما حصل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سيلاحظ في ذلك اختيار الفرد والجامع والكفوء والمتصف بأفضل الصفات والشروط المناسبة؟ أم أنه بدلاً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سيلاحظ المصالح الفردية والقبلية ؟</w:t>
      </w:r>
    </w:p>
    <w:p>
      <w:pPr>
        <w:pStyle w:val="BookText"/>
        <w:rPr/>
      </w:pPr>
      <w:r>
        <w:rPr>
          <w:rFonts w:ascii="Amiri" w:hAnsi="Amiri" w:eastAsia="Amiri" w:cs="Amiri"/>
          <w:color w:val="111111"/>
          <w:sz w:val="28"/>
          <w:sz w:val="28"/>
          <w:szCs w:val="28"/>
          <w:rtl w:val="true"/>
          <w:lang w:bidi="ar-SA"/>
        </w:rPr>
        <w:t>إن جواب كل مسلم عن هذا السؤال سيتم عبر اختيار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هل سيؤدي اختيار هذا الشخص الذي هو وحده الصالح لإدارة وقيادة المجتمع إلى الإضرار بالمجتمع ، أم أن المجتمع سيرى فيه الخيار الأفضل، لعلمه بحرص النبي وحكمته في هذا الخيار، ويتصدى للدفاع عنه بكل ما أوتي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يخرج علينا بعض الأشخاص الذين يخالفون شخص المنصوب، ويسعون إلى تشويه سمعته واغتيال شخصيته من خلال التذرّع بمختلف الأدلة الواهية ، كما حصل ذلك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حديث السن ا، ولا خبرة له بالقيادة ولا يصلح لها، أو أنه شخص به دعابة، أو أن قريشاً لن ترضى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أشرنا إلى هذه الذرائع في الصفحات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الحالة قد يؤدي عزل الشخص المنصوب إلى تسنم غير الصالحين سدة حكم المجتمع، أو يؤدي ذلك إلى ظهور النزاع والاختلاف في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الآفة لا تنشأ بسبب أصل التنصيب، وإنما تنشأ من جهة التآمر والتخطيط من قبل أصحاب المصالح الشخصية الضيقة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بهذه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تنصيب الشخص الأفضل، واقتران عدم من أمثال الشيخ تنصيبه بلوازم سلبية من قبيل التشتت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فلاسفة الرئيس ابن سينا، حيث قال بعد الإشارة إلى خيار التنصيب والانتخاب</w:t>
      </w:r>
      <w:r>
        <w:rPr>
          <w:rFonts w:eastAsia="Amiri" w:cs="Amiri" w:ascii="Amiri" w:hAnsi="Amiri"/>
          <w:color w:val="111111"/>
          <w:sz w:val="28"/>
          <w:szCs w:val="28"/>
          <w:rtl w:val="true"/>
          <w:lang w:bidi="ar-SA"/>
        </w:rPr>
        <w:t xml:space="preserve">: </w:t>
      </w:r>
      <w:bookmarkStart w:id="421" w:name="pg15658_147067"/>
    </w:p>
    <w:p>
      <w:pPr>
        <w:pStyle w:val="BookText"/>
        <w:rPr/>
      </w:pPr>
      <w:bookmarkEnd w:id="4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الاستخلاف بالنص أصوب، فإن ذلك لا يؤدي إلى التشعب والتشاغب والاختلاف</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1030513_2142443653"/>
      <w:bookmarkStart w:id="423" w:name="_Toc152"/>
      <w:bookmarkEnd w:id="422"/>
      <w:r>
        <w:rPr>
          <w:rtl w:val="true"/>
        </w:rPr>
        <w:t xml:space="preserve">ج </w:t>
      </w:r>
      <w:r>
        <w:rPr>
          <w:rtl w:val="true"/>
        </w:rPr>
        <w:t xml:space="preserve">- </w:t>
      </w:r>
      <w:r>
        <w:rPr>
          <w:rtl w:val="true"/>
        </w:rPr>
        <w:t>إمكان الخطأ في الانتخاب</w:t>
      </w:r>
      <w:r>
        <w:rPr>
          <w:rtl w:val="true"/>
        </w:rPr>
        <w:t>:</w:t>
      </w:r>
      <w:bookmarkEnd w:id="423"/>
    </w:p>
    <w:p>
      <w:pPr>
        <w:pStyle w:val="BookText"/>
        <w:rPr/>
      </w:pPr>
      <w:r>
        <w:rPr>
          <w:rFonts w:ascii="IRNazanin" w:hAnsi="IRNazanin" w:eastAsia="IRNazanin"/>
          <w:color w:val="111111"/>
          <w:sz w:val="28"/>
          <w:sz w:val="28"/>
          <w:szCs w:val="28"/>
          <w:rtl w:val="true"/>
          <w:lang w:bidi="fa-IR"/>
        </w:rPr>
        <w:t>اتضح أن الشخص الناصب إذا كان فرداً جامعاً وعالماً بجمیع الأمور وحريصاً ومؤثراً على المستوى الاجتماعي، فإن الناس سوف ينتفعون بالشخص الذي ينصبه خليفة وإماماً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اختيار القائد من قبل الناس مباشرة أو الجماعات أو الشورى، ينطوي على احتمال أن يخطئوا في اختيارهم لمختلف الأسباب عمداً أو سهواً، ولا يخفى ما في اختيار الناس للشخص غير الكفوء من الأضرار والمخاطر الجسيمة على مستوى النزاعات السياسية والاجتماعية والاقتصادية، والأهم من ذلك الجانب الديني والقيمي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تفصيل البحث حول المحاذير المترتبة على اختيار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الديمقراطية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p>
    <w:p>
      <w:pPr>
        <w:pStyle w:val="BookText"/>
        <w:rPr/>
      </w:pPr>
      <w:r>
        <w:rPr>
          <w:rFonts w:ascii="Amiri" w:hAnsi="Amiri" w:eastAsia="Amiri" w:cs="Amiri"/>
          <w:color w:val="111111"/>
          <w:sz w:val="28"/>
          <w:sz w:val="28"/>
          <w:szCs w:val="28"/>
          <w:rtl w:val="true"/>
          <w:lang w:bidi="ar-SA"/>
        </w:rPr>
        <w:t>الفصل الثاني على هامش تعاريف الإمامة والديمقراطية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أجرينا مقارنة بين اختيار الناس والنصب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الشخصية الجامعة للفرد الناصب والمنصوب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سندرك أن أرضية الوقوع في الأخطاء السياسية والاجتماعية فيما يتعلق بالنسبة إلى الشخص المنتخب من قبل الناس أكثر بكثير من الفرد الذي ينصبه الفرد الأكمل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كل قوم أو قبيلة تميل إلى تقليد فرد منها، مضافاً إلى أن ملاكات تحديد الفرد الأصلح للقيادة والإمامة هي الأخرى عرضة للخلافات والنزاعات، في حين لا وجود لهذه المحاذير فيما يتعلق بالتنصيب الخاص؛ إذ الفرض أن الجميع مؤمن ومعتقد بشخصية الفرد الناصب، وإن الجميع سيذعن لاختياره</w:t>
      </w:r>
      <w:r>
        <w:rPr>
          <w:rFonts w:eastAsia="Amiri" w:cs="Amiri" w:ascii="Amiri" w:hAnsi="Amiri"/>
          <w:color w:val="111111"/>
          <w:sz w:val="28"/>
          <w:szCs w:val="28"/>
          <w:rtl w:val="true"/>
          <w:lang w:bidi="ar-SA"/>
        </w:rPr>
        <w:t xml:space="preserve">. </w:t>
      </w:r>
      <w:bookmarkStart w:id="424" w:name="pg15658_147068"/>
    </w:p>
    <w:p>
      <w:pPr>
        <w:pStyle w:val="Heading4"/>
        <w:numPr>
          <w:ilvl w:val="3"/>
          <w:numId w:val="1"/>
        </w:numPr>
        <w:rPr/>
      </w:pPr>
      <w:bookmarkStart w:id="425" w:name="__RefHeading___Toc11030515_2142443653"/>
      <w:bookmarkStart w:id="426" w:name="_Toc153"/>
      <w:bookmarkEnd w:id="424"/>
      <w:bookmarkEnd w:id="425"/>
      <w:r>
        <w:rPr>
          <w:rtl w:val="true"/>
        </w:rPr>
        <w:t xml:space="preserve">د </w:t>
      </w:r>
      <w:r>
        <w:rPr>
          <w:rtl w:val="true"/>
        </w:rPr>
        <w:t xml:space="preserve">- </w:t>
      </w:r>
      <w:r>
        <w:rPr>
          <w:rtl w:val="true"/>
        </w:rPr>
        <w:t>صفح علي</w:t>
      </w:r>
      <w:r>
        <w:rPr>
          <w:rtl w:val="true"/>
        </w:rPr>
        <w:t>(</w:t>
      </w:r>
      <w:r>
        <w:rPr>
          <w:rtl w:val="true"/>
        </w:rPr>
        <w:t>علیه السّلام</w:t>
      </w:r>
      <w:r>
        <w:rPr>
          <w:rtl w:val="true"/>
        </w:rPr>
        <w:t>)</w:t>
      </w:r>
      <w:r>
        <w:rPr>
          <w:rtl w:val="true"/>
        </w:rPr>
        <w:t>محور المحافظة على وحدة الأمة</w:t>
      </w:r>
      <w:r>
        <w:rPr>
          <w:rtl w:val="true"/>
        </w:rPr>
        <w:t>:</w:t>
      </w:r>
      <w:bookmarkEnd w:id="426"/>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الاختلاف في أصل التنصيب أقل منها في الانتخاب الديمقراطي، وربما خطر على الذهن تساؤلاً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اختيار الخليفة الأول بعد رحيل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بتنصيب منه، وإنما تم ذلك عبر شورى السقيفة، ومع ذلك لم يحدث أي خلاف أو نزاع يهدّد المجتمع الإسلامي وبيضة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الجواب عن هذه الشبهة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 قد احتدم منذ اللحظة الأولى من تشكيل شورى السقيفة، حيث كان الأنصار يريدون الخليفة منهم، وفي المقابل أصر المهاجرون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يكون الخليفة منهم، ثم صار بعضهم إلى القول أن يكون لكل فصيل أميره وخليفته، وبعد الأدلة التي ساقها أبو بكر بادر بعض الأنصار إلى مبايعته، في حين ذهب آخرون منهم إلى الالتحاق بشيعة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وطالبوا بخلافته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الأنصار ذهب جماعة من الصحابة إلى البقاء في صفّ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والمقداد وسلمان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هذا الخضم كان هناك احتمال أن يؤدي هذا الاختلاف إلى حرب طاحنة داخل المجتمع الإسلامي بين أبي بكر وأنصاره من جهة، وبين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منصباً للإمامة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أن ذكرنا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البساط من تحت اقدام المنافقين والأعداء الخارجيين، حفاظاً على الوحدة الإسلامية، فغض الطرف عن هضم حقه، وقدم مصلحة المسلمين العامة على مصلحته الخاصة</w:t>
      </w:r>
      <w:r>
        <w:rPr>
          <w:rFonts w:eastAsia="IRNazanin" w:cs="IRNazanin"/>
          <w:color w:val="111111"/>
          <w:sz w:val="28"/>
          <w:szCs w:val="28"/>
          <w:rtl w:val="true"/>
          <w:lang w:bidi="fa-IR"/>
        </w:rPr>
        <w:t xml:space="preserve">. </w:t>
      </w:r>
      <w:bookmarkStart w:id="427" w:name="pg15658_147069"/>
    </w:p>
    <w:p>
      <w:pPr>
        <w:pStyle w:val="BookText"/>
        <w:rPr/>
      </w:pPr>
      <w:bookmarkEnd w:id="427"/>
      <w:r>
        <w:rPr>
          <w:rFonts w:ascii="IRNazanin" w:hAnsi="IRNazanin" w:eastAsia="IRNazanin"/>
          <w:color w:val="111111"/>
          <w:sz w:val="28"/>
          <w:sz w:val="28"/>
          <w:szCs w:val="28"/>
          <w:rtl w:val="true"/>
          <w:lang w:bidi="fa-IR"/>
        </w:rPr>
        <w:t>ولذلك حالت حكمة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يتعرض الخلفاء الثلاثة طوال ربع قرن من حكمهم لأي حرب داخلية، فشكل الإمام علي بموقفه هذا صمّام أمان حال دون اندلاع الحروب الداخلية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وعلاوة على ذلك فإن الإمام لم يتنازل عن حقه فحسب، بل بادر في بعض المواطن حيث كان الخطر محدقاً بالإسلام إلى مساندة الخلفاء لتعزيز جبهة الإسلام ورفد المجتمع الإسلامي والحفاظ على وحدته وتماسكه</w:t>
      </w:r>
      <w:r>
        <w:rPr>
          <w:rFonts w:eastAsia="IRNazanin" w:cs="IRNazanin"/>
          <w:color w:val="111111"/>
          <w:sz w:val="28"/>
          <w:szCs w:val="28"/>
          <w:rtl w:val="true"/>
          <w:lang w:bidi="fa-IR"/>
        </w:rPr>
        <w:t>.</w:t>
      </w:r>
    </w:p>
    <w:p>
      <w:pPr>
        <w:pStyle w:val="Heading4"/>
        <w:numPr>
          <w:ilvl w:val="3"/>
          <w:numId w:val="1"/>
        </w:numPr>
        <w:rPr/>
      </w:pPr>
      <w:bookmarkStart w:id="428" w:name="__RefHeading___Toc11030517_2142443653"/>
      <w:bookmarkStart w:id="429" w:name="_Toc154"/>
      <w:bookmarkEnd w:id="428"/>
      <w:r>
        <w:rPr>
          <w:rtl w:val="true"/>
        </w:rPr>
        <w:t xml:space="preserve">هـ </w:t>
      </w:r>
      <w:r>
        <w:rPr>
          <w:rtl w:val="true"/>
        </w:rPr>
        <w:t xml:space="preserve">- </w:t>
      </w:r>
      <w:r>
        <w:rPr>
          <w:rtl w:val="true"/>
        </w:rPr>
        <w:t xml:space="preserve">جواب نقضي </w:t>
      </w:r>
      <w:r>
        <w:rPr>
          <w:rtl w:val="true"/>
        </w:rPr>
        <w:t>(</w:t>
      </w:r>
      <w:r>
        <w:rPr>
          <w:rtl w:val="true"/>
        </w:rPr>
        <w:t>تنصيب الخليفة الأول والثاني</w:t>
      </w:r>
      <w:r>
        <w:rPr>
          <w:rtl w:val="true"/>
        </w:rPr>
        <w:t>):</w:t>
      </w:r>
      <w:bookmarkEnd w:id="429"/>
    </w:p>
    <w:p>
      <w:pPr>
        <w:pStyle w:val="BookText"/>
        <w:rPr/>
      </w:pPr>
      <w:r>
        <w:rPr>
          <w:rFonts w:ascii="IRNazanin" w:hAnsi="IRNazanin" w:eastAsia="IRNazanin"/>
          <w:color w:val="111111"/>
          <w:sz w:val="28"/>
          <w:sz w:val="28"/>
          <w:szCs w:val="28"/>
          <w:rtl w:val="true"/>
          <w:lang w:bidi="fa-IR"/>
        </w:rPr>
        <w:t>تذرّع أهل السنة بالآفات والأضرار والمحاذير المترتبة على تنصيب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للخليفة بعده، لإثبات عدم حصول التنصيب، والقول بمشروعية خلافة الخليفة الأول بانتخاب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هذا المبنى لم يتم تطبيقه بعد ذلك، حيث نقض من قبل الخليفة الأول والثاني، فقد عمد أبو بكر إلى تنصيب عمر بن الخطاب، كما قام عمر بتشكيل شورى من ستة أشخاص ووضع عليها شروطاً تؤدي تلقائياً إلى اختيار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بيان الأدلة على ذلك في البحث عن أسباب مشاركة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تذرّع أهل السنة بالمحاذير التي صوروها للتنصيب من أجل إنكار تنصيب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 عليهم الإجابة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يواصل الخليفة الأول والخليفة الثاني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الشأن؟ ولماذا أصرًا على تنصيب من يخلفهما رغم الآفات والمحاذير المترتبة على التنصيب طبقاً لمنهج أهل السنة؟</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من السهل على أهل السنة الإجابة عن هذه الأسئلة، إلا إذا التزموا بأن الخليفة الأول والثاني كانا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30" w:name="pg15658_147070"/>
    </w:p>
    <w:p>
      <w:pPr>
        <w:pStyle w:val="BookText"/>
        <w:rPr/>
      </w:pPr>
      <w:bookmarkEnd w:id="430"/>
      <w:r>
        <w:rPr>
          <w:rFonts w:ascii="IRNazanin" w:hAnsi="IRNazanin" w:eastAsia="IRNazanin"/>
          <w:color w:val="111111"/>
          <w:sz w:val="28"/>
          <w:sz w:val="28"/>
          <w:szCs w:val="28"/>
          <w:rtl w:val="true"/>
          <w:lang w:bidi="fa-IR"/>
        </w:rPr>
        <w:t>على تحديد من هو الأجدر والأصلح لقيادة الأمة، وجاز لهما لذلك ما لم يجز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لا يبدو أن السنة يلتزمون بذلك، إذ ليس فيهم من يعتبر الخلفاء أفضل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ذلك يستفاد منه أن أصل التنصيب لا يستوجب الضرر والخلاف في حد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أنهم اعتبروا أول الأمر أن مطلق التنصيب يساوق الضرر</w:t>
      </w:r>
      <w:r>
        <w:rPr>
          <w:rFonts w:eastAsia="IRNazanin" w:cs="IRNazanin"/>
          <w:color w:val="111111"/>
          <w:sz w:val="28"/>
          <w:szCs w:val="28"/>
          <w:rtl w:val="true"/>
          <w:lang w:bidi="fa-IR"/>
        </w:rPr>
        <w:t>.</w:t>
      </w:r>
    </w:p>
    <w:p>
      <w:pPr>
        <w:pStyle w:val="Heading4"/>
        <w:numPr>
          <w:ilvl w:val="3"/>
          <w:numId w:val="1"/>
        </w:numPr>
        <w:rPr/>
      </w:pPr>
      <w:bookmarkStart w:id="431" w:name="__RefHeading___Toc11030519_2142443653"/>
      <w:bookmarkStart w:id="432" w:name="_Toc155"/>
      <w:bookmarkEnd w:id="431"/>
      <w:r>
        <w:rPr>
          <w:rtl w:val="true"/>
        </w:rPr>
        <w:t xml:space="preserve">و </w:t>
      </w:r>
      <w:r>
        <w:rPr>
          <w:rtl w:val="true"/>
        </w:rPr>
        <w:t xml:space="preserve">- </w:t>
      </w:r>
      <w:r>
        <w:rPr>
          <w:rtl w:val="true"/>
        </w:rPr>
        <w:t>جواب الآمدي</w:t>
      </w:r>
      <w:r>
        <w:rPr>
          <w:rtl w:val="true"/>
        </w:rPr>
        <w:t>:</w:t>
      </w:r>
      <w:bookmarkEnd w:id="432"/>
    </w:p>
    <w:p>
      <w:pPr>
        <w:pStyle w:val="BookText"/>
        <w:rPr/>
      </w:pPr>
      <w:r>
        <w:rPr>
          <w:rFonts w:ascii="Amiri" w:hAnsi="Amiri" w:eastAsia="Amiri" w:cs="Amiri"/>
          <w:color w:val="111111"/>
          <w:sz w:val="28"/>
          <w:sz w:val="28"/>
          <w:szCs w:val="28"/>
          <w:rtl w:val="true"/>
          <w:lang w:bidi="ar-SA"/>
        </w:rPr>
        <w:t xml:space="preserve">يتضح مما تقدّم ضعف وفساد الفرضيات الثلاثة التي ساقها سيف الدين الآمدي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القائم على أن كراهة البعض للإمام المنصوب سوف تؤدي إلى حدوث الفتنة في المجتمع، فقد تقدم بيان الإجابة عنه بالتفصيل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الفرض الثاني القائل بأن تنصيب الإمام والخليفة على الناس الذين هم مثله، تحكّم وتعسف، فيجب القول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تنصيب الإمام من 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 في واقع الأمر إلى تنصيب الله وهو خالق الناس، ويمكن للخالق أن يعيّن حاكماً أو يفرض قانوناً على مخلوقاته، وهذا يعود إلى التوحيد في الحاكمية والتشريع، وليس هناك أي خدشة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على الفرضية الأخرى القائلة باختيار الحاكم من طريق البيعة، فيجب القول،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اتفاق الأكثرية على حاكمية شخص واحد لا يكتب له التحقق حتى في أكثر المجتمعات ديمقراطية، بل لا يشارك في الانتخابات إلا ما يقرب من نصف المجتمع الذي تتوفر فيه الشرائط، وعلى هذا النصف تتوزع النسبة المئوية من الآراء، ومن ثَمَّ لا يحصل الفائز في الانتخابات إلا على أقل من نصف الآراء؛ </w:t>
      </w:r>
      <w:bookmarkStart w:id="433" w:name="pg15658_147071"/>
    </w:p>
    <w:p>
      <w:pPr>
        <w:pStyle w:val="BookText"/>
        <w:rPr/>
      </w:pPr>
      <w:bookmarkEnd w:id="433"/>
      <w:r>
        <w:rPr>
          <w:rFonts w:ascii="Amiri" w:hAnsi="Amiri" w:eastAsia="Amiri" w:cs="Amiri"/>
          <w:color w:val="111111"/>
          <w:sz w:val="28"/>
          <w:sz w:val="28"/>
          <w:szCs w:val="28"/>
          <w:rtl w:val="true"/>
          <w:lang w:bidi="ar-SA"/>
        </w:rPr>
        <w:t>فكيف يمكن لهذا الحاكم أن يحكم أكثرية الناس أو جميعهم؟ ألا يكون في ذلك تحكم وتعسف؟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حصول المرشح على أكثرية الآراء، فما هو الدليل يبيح له الحكم على الأقلية التي لم تنتخبه؟</w:t>
      </w:r>
    </w:p>
    <w:p>
      <w:pPr>
        <w:pStyle w:val="BookText"/>
        <w:rPr/>
      </w:pPr>
      <w:r>
        <w:rPr>
          <w:rFonts w:ascii="Amiri" w:hAnsi="Amiri" w:eastAsia="Amiri" w:cs="Amiri"/>
          <w:color w:val="111111"/>
          <w:sz w:val="28"/>
          <w:sz w:val="28"/>
          <w:szCs w:val="28"/>
          <w:rtl w:val="true"/>
          <w:lang w:bidi="ar-SA"/>
        </w:rPr>
        <w:t>وقد سبق لنا أن ذكرنا نقاط ضعف الديمقراطية ونقصها في بحث الإمامة والديمقراطية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يتعلق بالفرضية الثالثة التي ساقها الآمدي، فيجب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يذهبون إلى القول بعصمة الإمام، ويثبتون ذلك بالأدلة القطعية على ما سيأتي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على فرض عدم عصمة الإمام، فيجب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الإشكال من قبل الآمدي يرتد على أهل السنة أيضاً، حيث لا يرون اشتراط العصمة بالنسبة إلى الخليفة والإمام، ولو ألقينا نظرة على تاريخ الخلفاء فسوف ندرك حجم البدع والانحرافات في الدين بسبب عدم عصمتهم؛ وقد 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هذه البدع والانحرافات، وسوف نأتي على ذكرها فى الصفحات القادمة إن شاء الله تعالى</w:t>
      </w:r>
      <w:r>
        <w:rPr>
          <w:rFonts w:eastAsia="IRNazanin" w:cs="IRNazanin"/>
          <w:color w:val="111111"/>
          <w:sz w:val="28"/>
          <w:szCs w:val="28"/>
          <w:rtl w:val="true"/>
          <w:lang w:bidi="fa-IR"/>
        </w:rPr>
        <w:t>.</w:t>
      </w:r>
    </w:p>
    <w:p>
      <w:pPr>
        <w:pStyle w:val="Heading3"/>
        <w:numPr>
          <w:ilvl w:val="2"/>
          <w:numId w:val="1"/>
        </w:numPr>
        <w:rPr/>
      </w:pPr>
      <w:bookmarkStart w:id="434" w:name="__RefHeading___Toc11030521_2142443653"/>
      <w:bookmarkStart w:id="435" w:name="_Toc156"/>
      <w:bookmarkEnd w:id="434"/>
      <w:r>
        <w:rPr>
          <w:rtl w:val="true"/>
        </w:rPr>
        <w:t>الشبهة الخامسة</w:t>
      </w:r>
      <w:r>
        <w:rPr>
          <w:rtl w:val="true"/>
        </w:rPr>
        <w:t xml:space="preserve">: </w:t>
      </w:r>
      <w:r>
        <w:rPr>
          <w:rtl w:val="true"/>
        </w:rPr>
        <w:t>عدم اشتهار التنصيب</w:t>
      </w:r>
      <w:r>
        <w:rPr>
          <w:rtl w:val="true"/>
        </w:rPr>
        <w:t>:</w:t>
      </w:r>
      <w:bookmarkEnd w:id="435"/>
    </w:p>
    <w:p>
      <w:pPr>
        <w:pStyle w:val="Heading4"/>
        <w:numPr>
          <w:ilvl w:val="3"/>
          <w:numId w:val="1"/>
        </w:numPr>
        <w:rPr/>
      </w:pPr>
      <w:bookmarkStart w:id="436" w:name="__RefHeading___Toc11030523_2142443653"/>
      <w:bookmarkStart w:id="437" w:name="_Toc157"/>
      <w:bookmarkEnd w:id="436"/>
      <w:r>
        <w:rPr>
          <w:rtl w:val="true"/>
        </w:rPr>
        <w:t>اشارة</w:t>
      </w:r>
      <w:bookmarkEnd w:id="43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الشبهات القديمة والمعروفة بين أهل السنة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كان هناك حديث على التنصيب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لكان ذلك النصّ معروفاً لدى المسلمين في صدر الإسلام ومشتهراً بينهم، ولنقلوه إلى الأجيال اللاحقة، في حين لا وجود لمثل هذا النص والشهرة، أو ما يعبّر عنه بين القدماء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فيستنتج من ذلك عدم وجود </w:t>
      </w:r>
      <w:bookmarkStart w:id="438" w:name="pg15658_147072"/>
    </w:p>
    <w:p>
      <w:pPr>
        <w:pStyle w:val="BookText"/>
        <w:rPr/>
      </w:pPr>
      <w:bookmarkEnd w:id="438"/>
      <w:r>
        <w:rPr>
          <w:rFonts w:ascii="IRNazanin" w:hAnsi="IRNazanin" w:eastAsia="IRNazanin"/>
          <w:color w:val="111111"/>
          <w:sz w:val="28"/>
          <w:sz w:val="28"/>
          <w:szCs w:val="28"/>
          <w:rtl w:val="true"/>
          <w:lang w:bidi="fa-IR"/>
        </w:rPr>
        <w:t>مثل هذا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ويضيف مقرّرو هذه الشبهة لتأييد عدم وجود النص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افتراض وجود مثل هذا النص يستلزم كفر منكره، وسيؤدي تبعاً لذلك تكفير جميع أصحاب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تحليل هذه الشبهة يجدر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030525_2142443653"/>
      <w:bookmarkStart w:id="440" w:name="_Toc158"/>
      <w:bookmarkEnd w:id="439"/>
      <w:r>
        <w:rPr>
          <w:rtl w:val="true"/>
        </w:rPr>
        <w:t xml:space="preserve">أ </w:t>
      </w:r>
      <w:r>
        <w:rPr>
          <w:rtl w:val="true"/>
        </w:rPr>
        <w:t xml:space="preserve">- </w:t>
      </w:r>
      <w:r>
        <w:rPr>
          <w:rtl w:val="true"/>
        </w:rPr>
        <w:t>تأويل النص من قبل بعض الصحابة</w:t>
      </w:r>
      <w:r>
        <w:rPr>
          <w:rtl w:val="true"/>
        </w:rPr>
        <w:t>:</w:t>
      </w:r>
      <w:bookmarkEnd w:id="440"/>
    </w:p>
    <w:p>
      <w:pPr>
        <w:pStyle w:val="BookText"/>
        <w:rPr/>
      </w:pPr>
      <w:r>
        <w:rPr>
          <w:rFonts w:ascii="IRNazanin" w:hAnsi="IRNazanin" w:eastAsia="IRNazanin"/>
          <w:color w:val="111111"/>
          <w:sz w:val="28"/>
          <w:sz w:val="28"/>
          <w:szCs w:val="28"/>
          <w:rtl w:val="true"/>
          <w:lang w:bidi="fa-IR"/>
        </w:rPr>
        <w:t>لو التزمنا بصحة هذا الادعاء، وقلنا بأنه لو ورد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بشكل متكرر؛ 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القول إن الشيعة يدعون علم الصحابة بأصل التنصيب ووجود هذه النصوص ولا ينكرونها أبداً، ولكنهم يقومون بتأويلها، وقد تقدم تفصيل هذه التأويلات وتحليلها ونقدها فلا نعيد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هذا النص بالتنصيب موجود، وقد بلغت معرفة الصحابة له حدّ الاشتهار، ولكن أهل السنة عمدوا إلى تأويله</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030527_2142443653"/>
      <w:bookmarkStart w:id="442" w:name="_Toc159"/>
      <w:bookmarkEnd w:id="441"/>
      <w:r>
        <w:rPr>
          <w:rtl w:val="true"/>
        </w:rPr>
        <w:t xml:space="preserve">ب </w:t>
      </w:r>
      <w:r>
        <w:rPr>
          <w:rtl w:val="true"/>
        </w:rPr>
        <w:t xml:space="preserve">- </w:t>
      </w:r>
      <w:r>
        <w:rPr>
          <w:rtl w:val="true"/>
        </w:rPr>
        <w:t>إمكان الاختفاء</w:t>
      </w:r>
      <w:r>
        <w:rPr>
          <w:rtl w:val="true"/>
        </w:rPr>
        <w:t>:</w:t>
      </w:r>
      <w:bookmarkEnd w:id="44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وجود النص على إمامة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قبل النبي </w:t>
      </w:r>
    </w:p>
    <w:p>
      <w:pPr>
        <w:pStyle w:val="BookText"/>
        <w:rPr/>
      </w:pP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يحتمل أن يكون هذا النص قد خفي على أكثر المسلمين في صدر الإسلام، وليس هذا بالأمر المحال ؛ إذ له نظائر، كما هو الحال بالنسبة إلى كيفية وضوء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الأحكام الفقهية الأخرى التي اختلف فيها السنة والشيعة، فكان لكل منهما رأيه الخاص، أو الاختلاف فيما بين أهل السنة أنفسهم عندما نطالع الكتب الفقهية للفقهاء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يدعم رأينا هذا توجه الخليفة الأول ومن تلاه من الخلفاء الذين منعوا من تدوين الحديث النبوي، فقد صار الخليفة الأول إلى منع رواية أحاديث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لمختلف الأسباب والحجج، وكان شعارهم الأهم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هذا الكتاب نفسه قد فوّض للنبي أمر شرح الدين وبيانه للناس، إذ يقول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الذِّكْرَ لِتُبَيِّنَ لِلنَّاسِ مَا نُزِّلَ إِلَيْهِمْ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أمر الخليفة الثاني بجمع المكتوب من أحاديث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وحرقه، وقد بلغ تشدّده في هذا الأمر حداً حبس معه بعض الرواة من أمثال عبد الله بن مسعود وأبي الدرداء وأبي مسعود الأنصاري</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استمر هذا النهج على وتيرة أشد في المراحل اللاحقة، فها هو معاوية بن أبي سفيان يكتب إلى عامله بإهدار دم كل من يروي فضيلة في علي بن أبي طالب وأهل البيت</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443" w:name="pg15658_147074"/>
    </w:p>
    <w:p>
      <w:pPr>
        <w:pStyle w:val="BookText"/>
        <w:rPr/>
      </w:pPr>
      <w:bookmarkEnd w:id="443"/>
      <w:r>
        <w:rPr>
          <w:rFonts w:ascii="IRNazanin" w:hAnsi="IRNazanin" w:eastAsia="IRNazanin"/>
          <w:color w:val="111111"/>
          <w:sz w:val="28"/>
          <w:sz w:val="28"/>
          <w:szCs w:val="28"/>
          <w:rtl w:val="true"/>
          <w:lang w:bidi="fa-IR"/>
        </w:rPr>
        <w:t>وعليه مع أخذ هذه الحقائق بنظر الاعتبار، هل يمكن لنا أن نتوقع شیوع و انتشار روايات الإمامة والخلافة في مصادر أهل السنة؟</w:t>
      </w:r>
    </w:p>
    <w:p>
      <w:pPr>
        <w:pStyle w:val="BookText"/>
        <w:rPr/>
      </w:pPr>
      <w:r>
        <w:rPr>
          <w:rFonts w:ascii="Amiri" w:hAnsi="Amiri" w:eastAsia="Amiri" w:cs="Amiri"/>
          <w:color w:val="111111"/>
          <w:sz w:val="28"/>
          <w:sz w:val="28"/>
          <w:szCs w:val="28"/>
          <w:rtl w:val="true"/>
          <w:lang w:bidi="ar-SA"/>
        </w:rPr>
        <w:t>إذن خفاء أمر على أكثر الناس وعدم شيوعه بينهم لا يدل على عدم وجوده من الناحية المنطقية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وبالعودة إلى التاريخ يتعزز هذا الاحتمال ويظهر ذلك من خلال تذكير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الأنصار بعد حادثة السقيفة، حيث أعاد على بشير بن سعد نصوص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إمامته وخلافته، وطالبهم بمبايعته؛ فقال بشير في جواب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ذكرتنا بهذه النصوص قبل بيعتنا لأبي بكر لما عدوناك، ولكن الأمر قد مضى</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1030529_2142443653"/>
      <w:bookmarkStart w:id="445" w:name="_Toc160"/>
      <w:bookmarkEnd w:id="444"/>
      <w:r>
        <w:rPr>
          <w:rtl w:val="true"/>
        </w:rPr>
        <w:t xml:space="preserve">ج </w:t>
      </w:r>
      <w:r>
        <w:rPr>
          <w:rtl w:val="true"/>
        </w:rPr>
        <w:t xml:space="preserve">- </w:t>
      </w:r>
      <w:r>
        <w:rPr>
          <w:rtl w:val="true"/>
        </w:rPr>
        <w:t>وجود الدوافع السياسية في مسألة الإمامة</w:t>
      </w:r>
      <w:r>
        <w:rPr>
          <w:rtl w:val="true"/>
        </w:rPr>
        <w:t>:</w:t>
      </w:r>
      <w:bookmarkEnd w:id="445"/>
    </w:p>
    <w:p>
      <w:pPr>
        <w:pStyle w:val="BookText"/>
        <w:rPr/>
      </w:pPr>
      <w:r>
        <w:rPr>
          <w:rFonts w:ascii="IRNazanin" w:hAnsi="IRNazanin" w:eastAsia="IRNazanin"/>
          <w:color w:val="111111"/>
          <w:sz w:val="28"/>
          <w:sz w:val="28"/>
          <w:szCs w:val="28"/>
          <w:rtl w:val="true"/>
          <w:lang w:bidi="fa-IR"/>
        </w:rPr>
        <w:t>ذكرنا أن هناك اختلافاً بين المسلمين حتى في المسائل العبادية صلى الله والتعبدية،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كيفية وضوء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 وضوء النبي كان يتم بشكل يومي وعلى مرأى ومسمع من 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أن نضيف هنا إلى احتمال الخفاء أن المسألة المتنازع عليها إذا كانت من المسائل السياسية والدنيوية وكانت تتصل بالمصالح السياسية والاجتماعية الجوهري والحيوية، بل والقبلية أو المناطقية، فإن الدوافع إلى إخفائها والتحفظ عليها ستكون أشدّ وأقوى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أن مسألة الخلافة والسلطة وما هي المنطقة أو العشيرة التي ينتمي إليها الخليفة، ينطوي على ما لا يحصى من المصالح والمنافع لهذا الطيف </w:t>
      </w:r>
      <w:bookmarkStart w:id="446" w:name="pg15658_147075"/>
    </w:p>
    <w:p>
      <w:pPr>
        <w:pStyle w:val="BookText"/>
        <w:rPr/>
      </w:pPr>
      <w:bookmarkEnd w:id="446"/>
      <w:r>
        <w:rPr>
          <w:rFonts w:ascii="Amiri" w:hAnsi="Amiri" w:eastAsia="Amiri" w:cs="Amiri"/>
          <w:color w:val="111111"/>
          <w:sz w:val="28"/>
          <w:sz w:val="28"/>
          <w:szCs w:val="28"/>
          <w:rtl w:val="true"/>
          <w:lang w:bidi="ar-SA"/>
        </w:rPr>
        <w:t>الخاص من الناس، ولذلك يكون احتمال إنكار النص أو تأويله لمصلحة فئة دون فئة أخرى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أنه بعد سيطرة الحكومة الفاقدة لدعامة شرعية وتدعي عدم وجود نص على أحد أو تنصيب لأحد، فإن أكثر الرواة لن يتمكنوا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خوفهم من بطش الحكومة القائمة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الحقائق ونقلها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يكون لاختفاء النص كثير من الدواعي والدوافع</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030531_2142443653"/>
      <w:bookmarkStart w:id="448" w:name="_Toc161"/>
      <w:bookmarkEnd w:id="447"/>
      <w:r>
        <w:rPr>
          <w:rtl w:val="true"/>
        </w:rPr>
        <w:t xml:space="preserve">د </w:t>
      </w:r>
      <w:r>
        <w:rPr>
          <w:rtl w:val="true"/>
        </w:rPr>
        <w:t xml:space="preserve">- </w:t>
      </w:r>
      <w:r>
        <w:rPr>
          <w:rtl w:val="true"/>
        </w:rPr>
        <w:t>تصريح الإمام علي</w:t>
      </w:r>
      <w:r>
        <w:rPr>
          <w:rtl w:val="true"/>
        </w:rPr>
        <w:t>(</w:t>
      </w:r>
      <w:r>
        <w:rPr>
          <w:rtl w:val="true"/>
        </w:rPr>
        <w:t>علیه السّلام</w:t>
      </w:r>
      <w:r>
        <w:rPr>
          <w:rtl w:val="true"/>
        </w:rPr>
        <w:t>)</w:t>
      </w:r>
      <w:r>
        <w:rPr>
          <w:rtl w:val="true"/>
        </w:rPr>
        <w:t>وبعض الصحابة بوجود النص</w:t>
      </w:r>
      <w:r>
        <w:rPr>
          <w:rtl w:val="true"/>
        </w:rPr>
        <w:t>:</w:t>
      </w:r>
      <w:bookmarkEnd w:id="448"/>
    </w:p>
    <w:p>
      <w:pPr>
        <w:pStyle w:val="BookText"/>
        <w:rPr/>
      </w:pPr>
      <w:r>
        <w:rPr>
          <w:rFonts w:ascii="IRNazanin" w:hAnsi="IRNazanin" w:eastAsia="IRNazanin"/>
          <w:color w:val="111111"/>
          <w:sz w:val="28"/>
          <w:sz w:val="28"/>
          <w:szCs w:val="28"/>
          <w:rtl w:val="true"/>
          <w:lang w:bidi="fa-IR"/>
        </w:rPr>
        <w:t>الأمر الآخر هو أن أهل السنة حيث يؤمنون بعدالة جميع الصحابة كيف يتعاملون مع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الصحابة الآخرين،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ذر الغفاري وسلمان الفارسي وعبد الله بن عباس وأبي أيوب الأنصاري وعمار بن ياسر وخزيمة بن ثابت وأبي بن كعب وعثمان بن حنيف وغيرهم، وقد صدر عنهم التأكيد مراراً وتكراراً بوجود النص على التنصيب والإمامة؟ وقد تقدم ذكر كثير من الروايات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أنه معيار الحق فيما يتعلق بالنص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وسنأتي على ذكر نصوص الصحابة على أصل التنصيب في الصفحات القادمة إن شاء الله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أهل السنة أن يحسموا أمرهم، فهل ما يدعيه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من الصحابة بشأن وجود النص، أمر واقعي وحقيقي أم لا؟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ما يدعيه هؤلاء حقاً، ثبت ما يدعيه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يعني ذلك أنهم كانوا يكذبون والعياذ بالله؟ وعليه كيف يتم التوفيق بين هذا الكلام وبين قولهم بعدالة جميع الصحابة ؟</w:t>
      </w:r>
      <w:r>
        <w:rPr>
          <w:rFonts w:eastAsia="Amiri" w:cs="Amiri" w:ascii="Amiri" w:hAnsi="Amiri"/>
          <w:color w:val="111111"/>
          <w:sz w:val="28"/>
          <w:szCs w:val="28"/>
          <w:rtl w:val="true"/>
          <w:lang w:bidi="ar-SA"/>
        </w:rPr>
        <w:t xml:space="preserve">! </w:t>
      </w:r>
      <w:bookmarkStart w:id="449" w:name="pg15658_147076"/>
    </w:p>
    <w:p>
      <w:pPr>
        <w:pStyle w:val="BookText"/>
        <w:rPr/>
      </w:pPr>
      <w:bookmarkEnd w:id="449"/>
      <w:r>
        <w:rPr>
          <w:rFonts w:ascii="Amiri" w:hAnsi="Amiri" w:eastAsia="Amiri" w:cs="Amiri"/>
          <w:color w:val="111111"/>
          <w:sz w:val="28"/>
          <w:sz w:val="28"/>
          <w:szCs w:val="28"/>
          <w:rtl w:val="true"/>
          <w:lang w:bidi="ar-SA"/>
        </w:rPr>
        <w:t>غاية ما يقوم به أهل السنة في معرض الإجابة عن هذه الأسئلة هي اللجوء إلى التأويل، وقد ذكرنا في نقد هذه التأويلات أنها لا تمثل حلاً للمشكلة، فهي في أغلبها اجتهاد في مقابل النص، وإنما تأتي في سياق الجمع بين الخلفاء الأربعة، فهي تنفعهم لإقناع أنفسهم، من دون أن تنطوي على أسس علمية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1030533_2142443653"/>
      <w:bookmarkStart w:id="451" w:name="_Toc162"/>
      <w:bookmarkEnd w:id="450"/>
      <w:r>
        <w:rPr>
          <w:rtl w:val="true"/>
        </w:rPr>
        <w:t xml:space="preserve">هـ </w:t>
      </w:r>
      <w:r>
        <w:rPr>
          <w:rtl w:val="true"/>
        </w:rPr>
        <w:t xml:space="preserve">- </w:t>
      </w:r>
      <w:r>
        <w:rPr>
          <w:rtl w:val="true"/>
        </w:rPr>
        <w:t>الفصل بين الإمامة والخلافة</w:t>
      </w:r>
      <w:r>
        <w:rPr>
          <w:rtl w:val="true"/>
        </w:rPr>
        <w:t>:</w:t>
      </w:r>
      <w:bookmarkEnd w:id="451"/>
    </w:p>
    <w:p>
      <w:pPr>
        <w:pStyle w:val="BookText"/>
        <w:rPr/>
      </w:pPr>
      <w:r>
        <w:rPr>
          <w:rFonts w:ascii="Amiri" w:hAnsi="Amiri" w:eastAsia="Amiri" w:cs="Amiri"/>
          <w:color w:val="111111"/>
          <w:sz w:val="28"/>
          <w:sz w:val="28"/>
          <w:szCs w:val="28"/>
          <w:rtl w:val="true"/>
          <w:lang w:bidi="ar-SA"/>
        </w:rPr>
        <w:t>إن النقطة الدقيقة التي تجب علينا ملاحظتها بدقة وعناية خاصة هي البحث في أبعاد الإمامة وقد تقدم في بحث تعريف الإمامة أن أشرنا إلى مختلف أبعادها،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المرجعية العلمية والدينية والولاية المعنوية والسياسية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النص على التنصيب، فإن هذا يقتصر على الدائرة السياسية والاجتماعية من الإمامة، بمعنى أنه سينحصر بمسألة الحكم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فيما يتعلق بالبعد الآخر من الإمامة والذي يتمثل بالمرجعية العلمية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طرحه حالياً، ويمكن الاستناد إليه من قبلعموم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نصوص متعددة ومتواترة في مصادر الفريقين، من قبيل حديث الثقلين، مما لا مجال إلى إنكاره أو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ذكر أصل روايات المرجعية العلمية والدينية وحجيتها في الصفحات السابقة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فإن أقصى ما ينكره أهل السنة وغيرهم من الذين ينكرون وجود النص، إنما ينكرونه في دائرة التنصيب بمعنى 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الإمامة بمعنى المرجعية العلمية والدينية والولاية المعنوية فيجب عدم إنكارها، وعليهم اعتبار السيرة النظرية والعملية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معياراً للحق والحجة الإلهية، وأن يلتزموا بها؛ ذلك لأن مصادرهم مفعمة بأمثال هذه النصوص</w:t>
      </w:r>
      <w:r>
        <w:rPr>
          <w:rFonts w:eastAsia="IRNazanin" w:cs="IRNazanin"/>
          <w:color w:val="111111"/>
          <w:sz w:val="28"/>
          <w:szCs w:val="28"/>
          <w:rtl w:val="true"/>
          <w:lang w:bidi="fa-IR"/>
        </w:rPr>
        <w:t xml:space="preserve">. </w:t>
      </w:r>
      <w:bookmarkStart w:id="452" w:name="pg15658_147077"/>
    </w:p>
    <w:p>
      <w:pPr>
        <w:pStyle w:val="BookText"/>
        <w:rPr/>
      </w:pPr>
      <w:bookmarkEnd w:id="452"/>
      <w:r>
        <w:rPr>
          <w:rFonts w:ascii="IRNazanin" w:hAnsi="IRNazanin" w:eastAsia="IRNazanin"/>
          <w:color w:val="111111"/>
          <w:sz w:val="28"/>
          <w:sz w:val="28"/>
          <w:szCs w:val="28"/>
          <w:rtl w:val="true"/>
          <w:lang w:bidi="fa-IR"/>
        </w:rPr>
        <w:t>وعندما ننظر إلى الإمامة من هذه الزاوية يجب أن يكون هناك إجماع بين الشيعة والسنة في التمسك بسيرة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حجيتها، وإن الاختلاف بينهما يقتصر على حكومة الإمام علي وغيره من الخلفاء مما لا ثمرة عملية له حالياً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كان بعض مراجع الشيعة من أمثال آية الله السيد البروجردي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لرواية بعض تلاميذه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يتمسك بحديث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مبنى المرجعية العلمية والدينية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حديث الغدير</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1030535_2142443653"/>
      <w:bookmarkStart w:id="454" w:name="_Toc163"/>
      <w:bookmarkEnd w:id="453"/>
      <w:r>
        <w:rPr>
          <w:rtl w:val="true"/>
        </w:rPr>
        <w:t xml:space="preserve">و </w:t>
      </w:r>
      <w:r>
        <w:rPr>
          <w:rtl w:val="true"/>
        </w:rPr>
        <w:t xml:space="preserve">- </w:t>
      </w:r>
      <w:r>
        <w:rPr>
          <w:rtl w:val="true"/>
        </w:rPr>
        <w:t>عدم دلالة عدم الاشتهار على العدم</w:t>
      </w:r>
      <w:r>
        <w:rPr>
          <w:rtl w:val="true"/>
        </w:rPr>
        <w:t>:</w:t>
      </w:r>
      <w:bookmarkEnd w:id="45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سلمنا بفقدان اشتهار النص وتنصيب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للإمامة، مع ذلك لا يستفاد من ذلك إثبات عدم إمامته، وذلك لأننا إذا اعتبرنا الآيات والروايات النبوية حجة ومعتبرة، وجب الأخذ بها بوصفها حجة شرعية معتبرة حتى لو اقتصرت على آية أو رواية واحدة غير مدعومة بروايات أخرى أو لم تبلغ حدّ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يقوله أهل السنة من عدم بلوغ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الشهرة ليس سوى ذريعة، فإنهم يعملون بالروايات النبوية الضعيفة ويأخذون بخبر الواحد في المجالات الأخرى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المستحبّات، ولكن ما أن يصل الأمر إلى الإمامة تراهم يختلقون المعاذير اختلاقاً من أجل التنصل عن العمل بها، في حين يجب عدم التفريق بين الروايات في مقام العمل</w:t>
      </w:r>
      <w:r>
        <w:rPr>
          <w:rFonts w:eastAsia="IRNazanin" w:cs="IRNazanin"/>
          <w:color w:val="111111"/>
          <w:sz w:val="28"/>
          <w:szCs w:val="28"/>
          <w:rtl w:val="true"/>
          <w:lang w:bidi="fa-IR"/>
        </w:rPr>
        <w:t xml:space="preserve">. </w:t>
      </w:r>
      <w:bookmarkStart w:id="455" w:name="pg15658_147078"/>
    </w:p>
    <w:p>
      <w:pPr>
        <w:pStyle w:val="Heading4"/>
        <w:numPr>
          <w:ilvl w:val="3"/>
          <w:numId w:val="1"/>
        </w:numPr>
        <w:rPr/>
      </w:pPr>
      <w:bookmarkStart w:id="456" w:name="__RefHeading___Toc11030537_2142443653"/>
      <w:bookmarkStart w:id="457" w:name="_Toc164"/>
      <w:bookmarkEnd w:id="455"/>
      <w:bookmarkEnd w:id="456"/>
      <w:r>
        <w:rPr>
          <w:rtl w:val="true"/>
        </w:rPr>
        <w:t xml:space="preserve">ز </w:t>
      </w:r>
      <w:r>
        <w:rPr>
          <w:rtl w:val="true"/>
        </w:rPr>
        <w:t xml:space="preserve">- </w:t>
      </w:r>
      <w:r>
        <w:rPr>
          <w:rtl w:val="true"/>
        </w:rPr>
        <w:t>عدم الملازمة بين ترك النص والكفر</w:t>
      </w:r>
      <w:r>
        <w:rPr>
          <w:rtl w:val="true"/>
        </w:rPr>
        <w:t>:</w:t>
      </w:r>
      <w:bookmarkEnd w:id="457"/>
    </w:p>
    <w:p>
      <w:pPr>
        <w:pStyle w:val="BookText"/>
        <w:rPr/>
      </w:pPr>
      <w:r>
        <w:rPr>
          <w:rFonts w:ascii="Amiri" w:hAnsi="Amiri" w:eastAsia="Amiri" w:cs="Amiri"/>
          <w:color w:val="111111"/>
          <w:sz w:val="28"/>
          <w:sz w:val="28"/>
          <w:szCs w:val="28"/>
          <w:rtl w:val="true"/>
          <w:lang w:bidi="ar-SA"/>
        </w:rPr>
        <w:t>إن من بين الأدلة الهامة التي تمسك بها أهل السنة لإنكار النص والشهرة، هى الفرار من محذور تكفير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هذا الشأن يجب القول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هناك من وجود لأصل النص على التنصيب، فيجب عدم التهرب من الواقع بدفن الرؤوس في الرمال كما تصنع النعامة، بل يجب مواجهة الحقيقة والإقرار بلوازمها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التزام البعض بالنص لا يمكنه أن ينهض دليلاً على عدم وجود النص أو عدم اشتهاره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هذين الأمرين بالالتزام بوجود النص وشهرته، وكذلك عدم تكفير الصحابة، وذلك من خلال القول بأن الصحابة رغم علمهم بوجود النص، لم ينكروه وإنما قاموا بتأويله، وقد تقدّم أن أشرنا إلى جانب من ذلك في الصفحات السابقة، وأما تفصيل تلك التأويلات فسوف نأتي على ذكرها في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أصل التنصيب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الشيعة وجود نصوص من الآيات والروايات العديدة والمتواترة بمختلف الأسانيد من طرق الفريقين، وهو أمر يبطل دعوى عدم اشتهار النص، وقد تقدم أن ذكرنا ذلك بالتفصيل</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1030539_2142443653"/>
      <w:bookmarkStart w:id="459" w:name="_Toc165"/>
      <w:bookmarkEnd w:id="458"/>
      <w:r>
        <w:rPr>
          <w:rtl w:val="true"/>
        </w:rPr>
        <w:t xml:space="preserve">الشبهة السادسة مبايعة الصحابة لمرشح السقيفة </w:t>
      </w:r>
      <w:r>
        <w:rPr>
          <w:rtl w:val="true"/>
        </w:rPr>
        <w:t>(</w:t>
      </w:r>
      <w:r>
        <w:rPr>
          <w:rtl w:val="true"/>
        </w:rPr>
        <w:t>أبي بكر</w:t>
      </w:r>
      <w:r>
        <w:rPr>
          <w:rtl w:val="true"/>
        </w:rPr>
        <w:t>):</w:t>
      </w:r>
      <w:bookmarkEnd w:id="459"/>
    </w:p>
    <w:p>
      <w:pPr>
        <w:pStyle w:val="Heading4"/>
        <w:numPr>
          <w:ilvl w:val="3"/>
          <w:numId w:val="1"/>
        </w:numPr>
        <w:rPr/>
      </w:pPr>
      <w:bookmarkStart w:id="460" w:name="__RefHeading___Toc11030541_2142443653"/>
      <w:bookmarkStart w:id="461" w:name="_Toc166"/>
      <w:bookmarkEnd w:id="460"/>
      <w:r>
        <w:rPr>
          <w:rtl w:val="true"/>
        </w:rPr>
        <w:t>اشارة</w:t>
      </w:r>
      <w:bookmarkEnd w:id="4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بين الأدلة أو الشواهد التي يقيمها أهل السنة على مذهبهم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أصل النص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تنصيب أحدٍ إماماً على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دعوى الإجماع من قبل المسلمين من المهاجرين والأنصار </w:t>
      </w:r>
    </w:p>
    <w:p>
      <w:pPr>
        <w:pStyle w:val="BookText"/>
        <w:rPr/>
      </w:pPr>
      <w:r>
        <w:rPr>
          <w:rFonts w:ascii="IRNazanin" w:hAnsi="IRNazanin" w:eastAsia="IRNazanin"/>
          <w:color w:val="111111"/>
          <w:sz w:val="28"/>
          <w:sz w:val="28"/>
          <w:szCs w:val="28"/>
          <w:rtl w:val="true"/>
          <w:lang w:bidi="fa-IR"/>
        </w:rPr>
        <w:t>على ترشيح أبي بكر في يوم السقيفة بتقرير أنه لو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نص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 والخلافة من بعده، بحيث يطلع عليه جميع المسلمين، فلماذا لم يلتزم المسلمون بهذا النص، وصاروا إلى دعم أبي بكر وبايعوه؟ ويضيف أهل السنة أن هذا الأمر يدعم ويقوّي عدم وجود النص</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هل يعدُّ تحقق مثل هذا الإجماع والتوافق حجة ومعتبراً؟ يذهب أهل السنة إلى اعتبار حجية هذا الإجماع استناداً إلى حديث ينسبونه إلى الرسول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 هذه الشبهة بنحو ما إلى شبهة عدم اشتهار التنصيب؛ إذ تذهب كلتا الشبهتين إلى عدم اشتهار النص، وقد أشرنا في معرض نقد شبهة عدم اشتهار التنصيب إلى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العلم بالنص والعمل على تأويله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إمكان الاختفاء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الدوافع السياسية وراء حذف النص أو إخفائه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الصحابة بوجود النص، والاحتجاج به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دعوى دلالة بيعة الناس لخليفة خاص على عدم النص، </w:t>
      </w:r>
      <w:bookmarkStart w:id="462" w:name="pg15658_147080"/>
    </w:p>
    <w:p>
      <w:pPr>
        <w:pStyle w:val="BookText"/>
        <w:rPr/>
      </w:pPr>
      <w:bookmarkEnd w:id="462"/>
      <w:r>
        <w:rPr>
          <w:rFonts w:ascii="IRNazanin" w:hAnsi="IRNazanin" w:eastAsia="IRNazanin"/>
          <w:color w:val="111111"/>
          <w:sz w:val="28"/>
          <w:sz w:val="28"/>
          <w:szCs w:val="28"/>
          <w:rtl w:val="true"/>
          <w:lang w:bidi="fa-IR"/>
        </w:rPr>
        <w:t>غير ثابتة لا من الناحية المنطقية، ولا من حيث الحقائق الخارجية، فلا تلازم بين الأمرين؛ إذ من الممكن أن يكون هناك نص على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يذهب الناس أو طائفة أخرى لأسباب خاصة إلى دعم ترشيح شخص ،آخر، وفيما يأتي نشير إلى جانب من هذه الأسباب</w:t>
      </w:r>
      <w:r>
        <w:rPr>
          <w:rFonts w:eastAsia="IRNazanin" w:cs="IRNazanin"/>
          <w:color w:val="111111"/>
          <w:sz w:val="28"/>
          <w:szCs w:val="28"/>
          <w:rtl w:val="true"/>
          <w:lang w:bidi="fa-IR"/>
        </w:rPr>
        <w:t>:</w:t>
      </w:r>
    </w:p>
    <w:p>
      <w:pPr>
        <w:pStyle w:val="Heading4"/>
        <w:numPr>
          <w:ilvl w:val="3"/>
          <w:numId w:val="1"/>
        </w:numPr>
        <w:rPr/>
      </w:pPr>
      <w:bookmarkStart w:id="463" w:name="__RefHeading___Toc11030543_2142443653"/>
      <w:bookmarkStart w:id="464" w:name="_Toc167"/>
      <w:bookmarkEnd w:id="463"/>
      <w:r>
        <w:rPr>
          <w:rtl w:val="true"/>
        </w:rPr>
        <w:t xml:space="preserve">أ </w:t>
      </w:r>
      <w:r>
        <w:rPr>
          <w:rtl w:val="true"/>
        </w:rPr>
        <w:t xml:space="preserve">- </w:t>
      </w:r>
      <w:r>
        <w:rPr>
          <w:rtl w:val="true"/>
        </w:rPr>
        <w:t>استعجال تشكيل السقيفة وعدم مشروعيتها</w:t>
      </w:r>
      <w:r>
        <w:rPr>
          <w:rtl w:val="true"/>
        </w:rPr>
        <w:t>:</w:t>
      </w:r>
      <w:bookmarkEnd w:id="464"/>
    </w:p>
    <w:p>
      <w:pPr>
        <w:pStyle w:val="BookText"/>
        <w:rPr/>
      </w:pPr>
      <w:r>
        <w:rPr>
          <w:rFonts w:ascii="Amiri" w:hAnsi="Amiri" w:eastAsia="Amiri" w:cs="Amiri"/>
          <w:color w:val="111111"/>
          <w:sz w:val="28"/>
          <w:sz w:val="28"/>
          <w:szCs w:val="28"/>
          <w:rtl w:val="true"/>
          <w:lang w:bidi="ar-SA"/>
        </w:rPr>
        <w:t>إن البيعة والإجماع المقبول والمعتبر هو الاجتماع القائم على أساس التشاور وإعمال الفكر والتأمل من قبل نُخَب المجتمع في مختلف أبعاد الموضوع المجمع عليه وزواياه، أما الإجماع الذي يتخذ بشكل متسرع، فإن اعتباره من ناحية العقل والعقلاء موضع جرح وتساؤل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الإجماع الذي يدعيه أهل السنة فيما يتعلق بانتخاب الخليفة الأول، فهو طبقاً لرواية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الأنصار في سقيفة بني ساعدة ليختاروا خليفة من بينهم، فأنهي الخبر إلى عمر؛ فسارع إلى أبي بكر يخبره باجتماع الأنصار ، فأقبلا مسرعين إلى السقيفة لمواجهة قرار الأنصار، وطبقاً لتقرير المؤرخين لم يتواجد في هذه السقيفة من المهاجرين سوى أبي بكر وعمر وأبي عبيد بن الجراح، وفي مثل هذه الأجواء المتشنجة تم اتخاذ القرار المتسرع، وتمت مبايعة أبي بكر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اتخاذ مثل هذا القرار الخطير في غياب نُخَب المجتمع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وسلمان، وأبي ذر، والمقداد، وابن عباس، والزبير، انتخاب عقلاني؟ وهل يمكن إطلاق مصطلح الإجماع على مثل هذه البيعة والانتخاب؟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بمبايعة الناس للخليفة الأول فيما بعد بحث آخر، إلا أن </w:t>
      </w:r>
    </w:p>
    <w:p>
      <w:pPr>
        <w:pStyle w:val="BookText"/>
        <w:rPr/>
      </w:pPr>
      <w:r>
        <w:rPr>
          <w:rFonts w:ascii="IRNazanin" w:hAnsi="IRNazanin" w:eastAsia="IRNazanin"/>
          <w:color w:val="111111"/>
          <w:sz w:val="28"/>
          <w:sz w:val="28"/>
          <w:szCs w:val="28"/>
          <w:rtl w:val="true"/>
          <w:lang w:bidi="fa-IR"/>
        </w:rPr>
        <w:t>السؤال يكمن في منطقية أصل السقيفة ومشروعيتها التي تمت من دون حضور النخب الاجتماعية وما يصطلح عليهم بأهل الحل والعقد وعلى وجه التحديد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الذي يشكل الكفّة الأهم بل المحور الأثقل في القضية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مكانة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ومنزلته وعدالته ثابتة عند أهل السنة، كما أن عصمته بالإضافة إلى ما تقدم ثابتة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أكثر من موضع إلى نفي شرعية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قاله لأبي بكر شعراً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كنت بالشورى ملكت أمورهم فكيف بهذا والمشيرون غُيّب</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أنهيت له أَنْبَاءُ السَّقِيفَةِ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قَالَتِ الْأَنْصَارُ؟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مِنَّا أَمِيرٌ وَمِنْكُمْ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اِحْتَجَجْتُمْ عَلَيْهِمْ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 بِأَنْ يُحْسَنَ إِلَى مُحْسِنِهِمْ، وَيُتَجَاوَزَ عَنْ مُسِيئِهِمْ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هَذَا مِنَ الْحُجَّةِ عَلَيْهِمْ؟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لَمْ تَكْنِ الْوَصِيَّةُ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قَالَتْ قُرَيْضٌ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بيعة الناس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تكن بيعتكم إياي فلتة</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 في إشارة منه إلى أن بيعة الناس له لم تكن متسرعة كما حصل </w:t>
      </w:r>
    </w:p>
    <w:p>
      <w:pPr>
        <w:pStyle w:val="BookText"/>
        <w:rPr/>
      </w:pPr>
      <w:r>
        <w:rPr>
          <w:rFonts w:ascii="Amiri" w:hAnsi="Amiri" w:eastAsia="Amiri" w:cs="Amiri"/>
          <w:color w:val="111111"/>
          <w:sz w:val="28"/>
          <w:sz w:val="28"/>
          <w:szCs w:val="28"/>
          <w:rtl w:val="true"/>
          <w:lang w:bidi="ar-SA"/>
        </w:rPr>
        <w:t>في بيعة الخليفة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أكره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مبايعة أبي بكر، قال له بعد رفض مبايعته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أحق بهذا الأمر منكم، لا أبايعكم وأنتم أولى بالبيعة لي، أخذتم هذا الأمر من الأنصار واحتججتم عليهم بالقرابة من رسول الله؛ فأعطوكم المقادة وسلموا إليكم الإمارة، وأنا أحتج عليكم بمثل ما احتججتم به على الأنصار؛ فأنصفونا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كنتم تخافون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أنفسكم، واعرفوا لنا من الأمر مثل ما عرفت الأنصار لكم، وإلا فبوءوا بالظلم وأنتم تعلمون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لست متروكاً حتى تبايع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احلب يا عمر حلباً لك شطره، اشدد له اليوم أمره ليرد عليك غداً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المهاجرين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المهاجرين الله الله لا تخرجوا سلطان محمد عن داره وبيته إلى بيوتكم ودوركم، ولا تدفعوا أهله مقامه في الناس وحقه، فو الله يا معشر المهاجرين لنحن أهل البيت أحق بهذا الأمر منكم ، أما كان منا القارئ لكتاب الله، الفقيه في دين الله، العالم بالسنة، المضطلع بأمر الرعية، والله إنه لفينا؛ فلا تتبعوا الهوى؛ فتزدادوا من الحق بعداً</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المنطق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وصف الحكام في عصره بالعودة إلى الظلم والبعد عن الحق، يشكل دليلا علی أنهم قد اغتصبوا حقه، وارتكبوا ما </w:t>
      </w:r>
      <w:bookmarkStart w:id="465" w:name="pg15658_147083"/>
    </w:p>
    <w:p>
      <w:pPr>
        <w:pStyle w:val="BookText"/>
        <w:rPr/>
      </w:pPr>
      <w:bookmarkEnd w:id="465"/>
      <w:r>
        <w:rPr>
          <w:rFonts w:ascii="Amiri" w:hAnsi="Amiri" w:eastAsia="Amiri" w:cs="Amiri"/>
          <w:color w:val="111111"/>
          <w:sz w:val="28"/>
          <w:sz w:val="28"/>
          <w:szCs w:val="28"/>
          <w:rtl w:val="true"/>
          <w:lang w:bidi="ar-SA"/>
        </w:rPr>
        <w:t>يخالف الشرع، وإلا لم يكن لاستدلاله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النبي بصدد الاستدلال بمجرد الأولوية دون التنصيب، وأن الآخرين لائقون وليسوا هم الأليق، فما معنى وصفه لهم بالبعد عن الحق والتورط في ارتكاب الظلم؟</w:t>
      </w:r>
    </w:p>
    <w:p>
      <w:pPr>
        <w:pStyle w:val="BookText"/>
        <w:rPr/>
      </w:pPr>
      <w:r>
        <w:rPr>
          <w:rFonts w:ascii="Amiri" w:hAnsi="Amiri" w:eastAsia="Amiri" w:cs="Amiri"/>
          <w:color w:val="111111"/>
          <w:sz w:val="28"/>
          <w:sz w:val="28"/>
          <w:szCs w:val="28"/>
          <w:rtl w:val="true"/>
          <w:lang w:bidi="ar-SA"/>
        </w:rPr>
        <w:t>اعتراف الخليفة الأول والثاني بالتسرع في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حصيلة مشاورة بين الشخصيات البارزة والنُخَب الاجتماعية، بل كانت عملاً متسرعاً، وهذا ما اعترف به حتى الذين خرجوا منها فائزين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أبو بكر يعترف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بيعتي كانت فلتة وقى الله شرها</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عمر بن الخطاب كثيراً ما يردّد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بيعة أبي بكر فلتة، وقانا الله شرها</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11030545_2142443653"/>
      <w:bookmarkStart w:id="467" w:name="_Toc168"/>
      <w:bookmarkEnd w:id="466"/>
      <w:r>
        <w:rPr>
          <w:rtl w:val="true"/>
        </w:rPr>
        <w:t xml:space="preserve">ب </w:t>
      </w:r>
      <w:r>
        <w:rPr>
          <w:rtl w:val="true"/>
        </w:rPr>
        <w:t xml:space="preserve">- </w:t>
      </w:r>
      <w:r>
        <w:rPr>
          <w:rtl w:val="true"/>
        </w:rPr>
        <w:t>الدوافع الدنيوية في بيعة السقيفة</w:t>
      </w:r>
      <w:r>
        <w:rPr>
          <w:rtl w:val="true"/>
        </w:rPr>
        <w:t>:</w:t>
      </w:r>
      <w:bookmarkEnd w:id="46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تشكلت السقيفة من بضعة من المهاجرين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بكر بن أبي قحافة وعمر بن الخطاب وأبو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وجمع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الأوس والخزرج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الأنصار قد اتفقوا على خلافة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قبيلة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بمجرد وصول هؤلاء الثلاثة من المهاجرين وما ساقه أبو بكر وعمر من الأدلة، حيث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لا يجتمع اثنان في قرن، والله لا ترضى العرب أن يؤمروكم ونبيها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وأقنعهم أبو بكر </w:t>
      </w:r>
    </w:p>
    <w:p>
      <w:pPr>
        <w:pStyle w:val="BookText"/>
        <w:rPr/>
      </w:pPr>
      <w:r>
        <w:rPr>
          <w:rFonts w:ascii="Amiri" w:hAnsi="Amiri" w:eastAsia="Amiri" w:cs="Amiri"/>
          <w:color w:val="111111"/>
          <w:sz w:val="28"/>
          <w:sz w:val="28"/>
          <w:szCs w:val="28"/>
          <w:rtl w:val="true"/>
          <w:lang w:bidi="ar-SA"/>
        </w:rPr>
        <w:t>بالتنازل عن الإمر على أن تكون لهم الوزارة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الأمراء وأنتم الوزراء</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لعب التنافس الداخلي بين الأنصار وقبيلتي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يمتد الصراع التقليدي بينهما إلى ما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هاماً في انحراف الأمر عن مساره الصحيح، إذ كان يعني انتخاب الخليفة من إحدى هاتين القبيلتين اندحاراً وخسارة تسجل على القبيلة الأخرى، ويبدو أن كلا القبيلتين وجدت في دخول المهاجرين على خط النزاع حلاً وسطاً يرضيهما بقبول التعادل في الخسارة، وبذلك اقتنعوا بأن يكون الخليفة من 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 من الأوس والخزرج تنافسا فيما بينهما على مبايعة الخليفة المهاجر، إذ إن القبيلة التي تكون أسرع من أختها في المبادرة إلى مبايعته ستحصل لا محالة على امتياز أكبر وتكون مرضية عند السلطة على حساب أختها، كما اعترف بذلك بعض زعماء الأوس حيث خاطب قبيلته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وليتها الخزرج عليكم مرة لا زالت لهم عليكم بذلك الفضيلة، ولا جعلوا لكم معهم فيها نصيباً أبداً؛ فقوموا فبايعوا أبا بكر ، فقاموا إليه فبايعوه</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الأنصار في قضية السقيفة بدلاً من مراعاة أصل الأصلح والأكفأ في تعيين الخليفة وانتخابه صاروا إلى ملاحظة المصالح القبلية، ومن ثَمَّ إلى الانتخاب أو عدم الانتخاب تحت وطأة التباغض والتحاسد، وهذه الحقيقة مذكورة في مصادر أهل السنة أنفسهم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ذكر أبو بكر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الحقيقة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بشير بن سعد الخزرجي، ما اجتمعت عليه الأنصار من تأمير سعد بن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حاسداً له وكان من سادة الخزرج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الأنصار، إنا وإن كنا ذوي سابقة ، فإنا لم نرد بجهادنا وإسلامنا إلا رضى ربنا وطاعة نبينا، ولا ينبغي لنا أن نستطيل بذلك على الناس، ولا نبتغي به وعوضاً من الدنيا؛ 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من قريش، وقومه أحق بميراثه، وأيم الله لا يراني الله أنازعهم هذا الأمر، فاتقوا الله ولا تنازعوهم، ولا تخالفوهم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رأت الأوس أن رئيساً من رؤساء الخزرج قد بايع، قام أسيد بن 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رئيس الأوس فبايع حسداً لسعد أيضاً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يتضح أن الدافع الأولي للأنصار من وراء عقد اجتماع السقيفة هو الاستيلاء على الحكم والخلافة وأخذها من المهاجرين، وهذا ما يشهد له توافقهم المبدئي على سعد بن عبادة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قضية إخفاقهم في هذا المسعى، وتغلب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فهو بحث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يهمنا هنا هو أن دوافع الأنصار الكامنة وراء هذا الأمر كانت مادية ودنيوية خالصة، ولا يمكن محو هذا الوصمة السيئة من صفحات تاريخهم</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التاريخ يثبت أن الأنصار رغم عظم التضحية التي قاموا بها في نصرة الإسلام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يكونوا معصومين من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باستطاعتهم التغاضي عن مصالحهم الدنيوية والمناطقية في الاستيلاء على الحكم والسلطة، ولم يقوموا بما قام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واجب تجهيز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ورعاية حرمته وكرامته بتغسيله وتكفينه والصلاة على جثمانه </w:t>
      </w:r>
      <w:bookmarkStart w:id="468" w:name="pg15658_147086"/>
    </w:p>
    <w:p>
      <w:pPr>
        <w:pStyle w:val="BookText"/>
        <w:rPr/>
      </w:pPr>
      <w:bookmarkEnd w:id="468"/>
      <w:r>
        <w:rPr>
          <w:rFonts w:ascii="IRNazanin" w:hAnsi="IRNazanin" w:eastAsia="IRNazanin"/>
          <w:color w:val="111111"/>
          <w:sz w:val="28"/>
          <w:sz w:val="28"/>
          <w:szCs w:val="28"/>
          <w:rtl w:val="true"/>
          <w:lang w:bidi="fa-IR"/>
        </w:rPr>
        <w:t>الطاهر وتدفينه مهما كان واقع الأحداث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تخلوا عن هذا الواجب الديني وتكالبوا على السلطة، ولا يمكن أن يبدو هذا الفعل من وجهة نظر التاريخ والمؤمنين وعشاق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عملاً شنيعاً وقبيحاً وسلوكاً غير مشرف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الأخرى هي أن المؤرخين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يصرحون بأن انتخاب الأنصار كان بدافع الحسد، وهو كما نعلم من الكبائر، ومع ذلك لا يتم الحديث هنا من قبلهم عن عدالة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عندما يطرح الشيعة مسألة تجاوز الصحابة للنص النبوي بشأن تنصيب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يستيقظ ضميرهم ويرتفع صوتهم بالاعتراض والدفاع عن مظلومية الصحابة وعدالتهم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ألا يكون أهل السنة في هذا مصداقاً لازدواجية المعايير؟</w:t>
      </w:r>
      <w:r>
        <w:rPr>
          <w:rFonts w:eastAsia="IRNazanin" w:cs="IRNazanin"/>
          <w:color w:val="111111"/>
          <w:sz w:val="28"/>
          <w:szCs w:val="28"/>
          <w:rtl w:val="true"/>
          <w:lang w:bidi="fa-IR"/>
        </w:rPr>
        <w:t>!</w:t>
      </w:r>
    </w:p>
    <w:p>
      <w:pPr>
        <w:pStyle w:val="Heading4"/>
        <w:numPr>
          <w:ilvl w:val="3"/>
          <w:numId w:val="1"/>
        </w:numPr>
        <w:rPr/>
      </w:pPr>
      <w:bookmarkStart w:id="469" w:name="__RefHeading___Toc11030547_2142443653"/>
      <w:bookmarkStart w:id="470" w:name="_Toc169"/>
      <w:bookmarkEnd w:id="469"/>
      <w:r>
        <w:rPr>
          <w:rtl w:val="true"/>
        </w:rPr>
        <w:t xml:space="preserve">ج </w:t>
      </w:r>
      <w:r>
        <w:rPr>
          <w:rtl w:val="true"/>
        </w:rPr>
        <w:t xml:space="preserve">- </w:t>
      </w:r>
      <w:r>
        <w:rPr>
          <w:rtl w:val="true"/>
        </w:rPr>
        <w:t>البيعة بالإكراه والإجبار</w:t>
      </w:r>
      <w:r>
        <w:rPr>
          <w:rtl w:val="true"/>
        </w:rPr>
        <w:t>:</w:t>
      </w:r>
      <w:bookmarkEnd w:id="4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دعوى الإجماع واتفاق الأمة على مبايعة الخليفة الأول ادعاء باطل؛ إذ كان هناك كثير من الذين عارضوا اختيار أبي بكر للخلافة، وهناك من لم يبايع أبداً، وكان من بين هؤلاء سعد بن عبادة المرشح الأول للخلافة في السقيفة، على ما سنأتي على ذكر مصيره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بايع تحت وطأة الضغط والتهديد والإكراه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والنموذج البارز لهذه المعارضة، تحصن بعض أنصار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تم إجبارهم على البيعة بتهديدهم بحرق البيت عليهم</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الرغم من التهديد، إلا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 على موقفه من عدم مبايعة أبي بكر ، لستة أشهر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وفاة زوجته السيدة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ذلك بايع رعاية للمصلحة، وقد تقدم بيان أسباب ذلك في صفحات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فمنذ البداية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لاعتراف المؤرخين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الذين يرفضون بيعة أبي بكر، يدفعون إلى البيعة بالشتم والضرب ووضع أيديهم بيد أبي بكر بالإكراه سواء أكان راغباً أم كارهاً، فعن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البراء بن عازب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أزل لبني هاشم محباً، 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أن تتمالاً قريش على إخراج هذا الأمر عنهم، فأخذني ما يأخذ الوالهة العجول، مع ما في نفسي من الحزن لوفاة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أتردّد الى بني هاشم وهم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الحجرة ، وأتفقد وجوه قريش، فإني كذلك إذ فقدت أبا بكر وعمر، وإذ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في سقيفة بني ساعدة، وإذا قائل 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أبا بكر ، فلم ألبث وإذا أنا بأبي بكر قد أقبل ومعه عمر وأبو عبيدة وجماعة من أصحاب السقيفة وهم محتجزون بالأزر الصنعانية لا يمرون بأحد إلا خبطوه، وقدموه فمدوا يده فمسحوها على يد أبي بكر يبايعه، شاء ذلك أو أبى</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سلمان الفارسي بأن بيعته كانت بعد حبسه والضغط عليه و تعذيبه جسدياً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471" w:name="pg15658_147088"/>
    </w:p>
    <w:p>
      <w:pPr>
        <w:pStyle w:val="BookText"/>
        <w:rPr/>
      </w:pPr>
      <w:bookmarkEnd w:id="471"/>
      <w:r>
        <w:rPr>
          <w:rFonts w:ascii="Amiri" w:hAnsi="Amiri" w:eastAsia="Amiri" w:cs="Amiri"/>
          <w:color w:val="111111"/>
          <w:sz w:val="28"/>
          <w:sz w:val="28"/>
          <w:szCs w:val="28"/>
          <w:rtl w:val="true"/>
          <w:lang w:bidi="ar-SA"/>
        </w:rPr>
        <w:t>وهكذا كان الأمر بالنسبة إلى أبي ذر والمقداد والزبير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1030549_2142443653"/>
      <w:bookmarkStart w:id="473" w:name="_Toc170"/>
      <w:bookmarkEnd w:id="472"/>
      <w:r>
        <w:rPr>
          <w:rtl w:val="true"/>
        </w:rPr>
        <w:t xml:space="preserve">د </w:t>
      </w:r>
      <w:r>
        <w:rPr>
          <w:rtl w:val="true"/>
        </w:rPr>
        <w:t xml:space="preserve">- </w:t>
      </w:r>
      <w:r>
        <w:rPr>
          <w:rtl w:val="true"/>
        </w:rPr>
        <w:t>المخالفون لنتائج السقيفة</w:t>
      </w:r>
      <w:r>
        <w:rPr>
          <w:rtl w:val="true"/>
        </w:rPr>
        <w:t>:</w:t>
      </w:r>
      <w:bookmarkEnd w:id="473"/>
    </w:p>
    <w:p>
      <w:pPr>
        <w:pStyle w:val="BookText"/>
        <w:rPr/>
      </w:pPr>
      <w:r>
        <w:rPr>
          <w:rFonts w:ascii="IRNazanin" w:hAnsi="IRNazanin" w:eastAsia="IRNazanin"/>
          <w:color w:val="111111"/>
          <w:sz w:val="28"/>
          <w:sz w:val="28"/>
          <w:szCs w:val="28"/>
          <w:rtl w:val="true"/>
          <w:lang w:bidi="fa-IR"/>
        </w:rPr>
        <w:t>يقسم المؤرخون والمحققون الصحابة من خلال مواقفهم السياسية والدينية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خمس جماعات أو خمسة 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المصطلح السياسي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على النحو الآتي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سعد بن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قبيلة الخزرج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أبي بكر وعمر وجمع من المهاجرين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وبني هاشم وجمع كثير من الأنصار، وقليل من المهاجرين، من الذين طالبوا بالبيعة للإمام على حصرياً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عثمان بن عفان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سعد بن أبي وقاص وعبد الرحمن بن عوف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رئيس الأنصار ومرشحهم الأول في سقيفة بني ساعدة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امتنع عن مبايعة أبي بكر، وامتنع عن بيعة عمر بعده، بل امتنع حتى عن المشاركة في المناسبات العبادية الجماعية، وكان يتجاهل الخلفاء إلى أن تم اغتياله بسهم في منطقة حوران من بلاد الشام، ونسبوا قتله إلى الجن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الزبير بن بكار كان عامة المهاجرين وجُل الأنصار لا يشكون أن علياً هو صاحب الأمر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نسب ابن واضح اليعقوبي في تاريخه هذا الوصف إلى المهاجرين والأنصار أيضاً،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المهاجرون والأنصار لا يشكون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 المؤرخون أنه لم يبايع أحد من بني هاشم أبا بكر بن أبي قحافة مدة حياة السيدة فاطمة الزهراء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جماعة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اعترضت على خلافة أبي بكر، وذهبت إلى القول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يلي نشير إلى أسماء بعضهم على النحو الآتى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هيثم بن التيهان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حنيف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فروة بن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بن أبي وقاص</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تصريح بعض الصحابة بإمامة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لبعض أصحاب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البداية تعلقاً خاصاً</w:t>
      </w:r>
    </w:p>
    <w:p>
      <w:pPr>
        <w:pStyle w:val="BookText"/>
        <w:rPr/>
      </w:pPr>
      <w:r>
        <w:rPr>
          <w:rFonts w:ascii="IRNazanin" w:hAnsi="IRNazanin" w:eastAsia="IRNazanin"/>
          <w:color w:val="111111"/>
          <w:sz w:val="28"/>
          <w:sz w:val="28"/>
          <w:szCs w:val="28"/>
          <w:rtl w:val="true"/>
          <w:lang w:bidi="fa-IR"/>
        </w:rPr>
        <w:t>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اتباعاً منهم للروايات التي سمعوها من النبي الأكرم في فضل علي؛ ومن هنا يمكن القول إن 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الالتفاف حول الإمام علي باعتبار الخليفة والفرد الأكمل والأفضل والوصي الشرعي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نشأ في حياة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أهل السنة المنصفين من اعترف بهذه الحقيقة ايضاً، مثل الدوري الذي قال بأن وجود المؤيدين والمتحزبين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 إلى ما قبل السقيفة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الشيعة في عصر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أولئك النفر الذي أحبوا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وأبي ذر والمقداد وعمار بن ياسر</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الفارسي كان سلمان الفارسي من خلّص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التفاني والذوبان في أهل البيت حتى عد منهم، حيث قال رسول الله في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سلمان يصف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فصل الخطاب، وأنه يمتلك علم الوصايا وأنه بمنزلة هارون من موسى</w:t>
      </w:r>
      <w:r>
        <w:rPr>
          <w:rStyle w:val="FootnoteAnchor"/>
          <w:rtl w:val="true"/>
        </w:rPr>
        <w:footnoteReference w:id="5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عبّر عن بيعته له بالإمامة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بايعنا رسول الله على النصح للمسلمين، والإئتمام بعلي بن أبي طالب والموالاة له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عم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معروفاً بين الصحابة والمسلمين بوصفه من الصحابة البارزين والمفسرين المرموقين للقرآن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عنه أنه حاوره عمر بن الخطاب يوماً في أمر الخلافة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أتدري ما منع الناس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قريش أن تجتمع لكم النبوة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أيميط أمير المؤمنين عني غضبه فيسمع؟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كرهت، فإن الله تعالى قال لقوم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بِأَنَّهُمْ كَرِهُوا مَا أَنْزَلَ الله فَأَحْبَطَ أَعْماهُمْ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العباس 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يقصد بالرياء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يرشح نفسه بين الناس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بالترشيح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رشحه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فصرفت عنه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خزيمة بن ثابت وهو من الأنصار، وقد لقبه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روي عنه أنه قال بعد 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إنا قد تشاورنا، واخترنا لديننا ودنيانا رجلاً اختاره لنا رسول الله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عدي مدح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قال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لنا المبارك المضيا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خطل الرأي ولا غويا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واحفظه ربي واحفظ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النعمان بن عجلان الأنصاري قال في مدح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التفرّق والوصى إمامنا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إلا حيرة وتخاذلا</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المغيرة بن الحارث بن عبد المطلب قال في مدح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فيكم وصي رسول الله قائدكم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وصهره وكتاب الله قد نشرا</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طوال فترة خلافة الخلفاء الثلاث </w:t>
      </w:r>
    </w:p>
    <w:p>
      <w:pPr>
        <w:pStyle w:val="BookText"/>
        <w:rPr/>
      </w:pPr>
      <w:r>
        <w:rPr>
          <w:rFonts w:ascii="IRNazanin" w:hAnsi="IRNazanin" w:eastAsia="IRNazanin"/>
          <w:color w:val="111111"/>
          <w:sz w:val="28"/>
          <w:sz w:val="28"/>
          <w:szCs w:val="28"/>
          <w:rtl w:val="true"/>
          <w:lang w:bidi="fa-IR"/>
        </w:rPr>
        <w:t>يصف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دلالة هامة ودقيقة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 ذات مرة في موسم الحج وخطب في الناس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الأمة المتحيرة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قدمتم من قدم الله، وأخرتم من أخر الله، وأقررتم الولاية والوراثة في أهل بيت نبيكم لأكلتم من فوق رؤوسكم ومن تحت أقدامكم، ولما عال ولي الله ولا طاش سهم من فرائض الله، ولا اختلفت الأمة بعد نبيها</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استشهد لتأييد كلامه بالأحاديث النبوية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المؤاخاة، وحديث الوزارة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ابن أبي الحديد المعتزلي، شرح نهج البلاغة،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عنه أنه قال مخاطباً قريش عند مبايعة أبي بكر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تركتم قرابة رسول الله، والله ليرتد جماعة من العرب، ولتشكن في هذا الدين، ولو جعلتم الأمر في أهل بيت نبيكم ما اختلف عليكم سيفان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صارت لمن غلب، ولتطمحن إليها عين من ليس بأهلها، إن علياً هو الصديق الأكبر، وهو الفاروق بعد رسول الله، يفرق بين الحق والباطل، وهو يعسوب الدين</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أمرتني لأضر بن بسيفي، وإن أمرتني كففت،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أكفف</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المقداد بشأن خلافة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أجد على قريش أنصاراً، لقاتلتهم كقتالي إياهم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وناظر المقداد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لعب دوراً محورياً في تذليل الخلافة لعثمان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مستغرباً صنيع قريش في انتزاع سلطان النبي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لأعجب من قريش وتطاولهم على الناس بفضل رسول الله ثم انتزاعهم سلطانه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تركت رجلاً من الذين يأمرون بالحق وبه يعدلون، أما والله لو أن لي على قريش أعواناً لقاتلتهم قتالي إياهم ببدر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لا يسمعن هذا الكلام الناس، فإني أخاف أن تكون صاحب فتنة وفرقة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دعا إلى الحق وأهله وولاة الأمر، لا يكون صاحب فتنة، ولكن من أقحم الناس في الباطل وآثر الهوى على الحق فذلك صاحب الفتنة والفرقة</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عمار بن ياسر من طلائع أصحاب النبي الأكرم ومن أشدّهم إخلاصاً وتفانياً في ذات الله، وقد مدحه النبي في الكثير من المواطن، ومما قاله 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تقتله الفئة الباغية، وأن مصير قتلته سيكون </w:t>
      </w:r>
    </w:p>
    <w:p>
      <w:pPr>
        <w:pStyle w:val="BookText"/>
        <w:rPr/>
      </w:pPr>
      <w:r>
        <w:rPr>
          <w:rFonts w:ascii="IRNazanin" w:hAnsi="IRNazanin" w:eastAsia="IRNazanin"/>
          <w:color w:val="111111"/>
          <w:sz w:val="28"/>
          <w:sz w:val="28"/>
          <w:szCs w:val="28"/>
          <w:rtl w:val="true"/>
          <w:lang w:bidi="fa-IR"/>
        </w:rPr>
        <w:t>هو الخلود في جهنم وكان مقتله في حرب صفين على يد معاوية وهو يقاتل في جيش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روي عن عمار بن ياسر بشأن تعيين عثمان بن عفان في إطار الشورى المنتخبة من قبل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أما إذ صرفتم هذا الأمر عن أهل بيت نبيكم ههنا مرة وهنا مرة، فما أنا بآمن من أن ينزعه الله منكم فيضعه في غيركم كما نزعتموه من أهله ووضعتموه في غير أهله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هارون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مذهب الخوارج، حتى سمعت أبا سعيد الخدري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بخمس، فعملوا بأربع، وتركوا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سئل عن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وصوم رمضان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الواحدة التي تركوها؟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وإنها المفروضة معهن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مفروضة معهن</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أسلموا قبل فتح مكة، وكان من خلّص أصحاب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ألقي القبض عليه وحبس من قبل زياد بن أبيه عندما كان والياً لمعاوية على الكوفة، وقام بقتله</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الإسكافي، المعيار والموازنة، 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وقعة صفين،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السيد حيدر الآملي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 فيما جرى على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من مئة صحابي كانوا يدعون الناس إلى ولاية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74" w:name="pg15658_147096"/>
    </w:p>
    <w:p>
      <w:pPr>
        <w:pStyle w:val="BookText"/>
        <w:rPr/>
      </w:pPr>
      <w:bookmarkEnd w:id="474"/>
      <w:r>
        <w:rPr>
          <w:rFonts w:ascii="IRNazanin" w:hAnsi="IRNazanin" w:eastAsia="IRNazanin"/>
          <w:color w:val="111111"/>
          <w:sz w:val="28"/>
          <w:sz w:val="28"/>
          <w:szCs w:val="28"/>
          <w:rtl w:val="true"/>
          <w:lang w:bidi="fa-IR"/>
        </w:rPr>
        <w:t xml:space="preserve">وإمامته في الأمصار كما أورد العلامة عبد الحسين شرف الدين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مئتين من شيعة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ورصد محمد حسين آل كاشف الغطاء أسماء ثلاثمئة صحابي شيعي</w:t>
      </w:r>
      <w:r>
        <w:rPr>
          <w:rFonts w:eastAsia="IRNazanin" w:cs="IRNazanin"/>
          <w:color w:val="111111"/>
          <w:sz w:val="28"/>
          <w:szCs w:val="28"/>
          <w:rtl w:val="true"/>
          <w:lang w:bidi="fa-IR"/>
        </w:rPr>
        <w:t>.</w:t>
      </w:r>
    </w:p>
    <w:p>
      <w:pPr>
        <w:pStyle w:val="Heading4"/>
        <w:numPr>
          <w:ilvl w:val="3"/>
          <w:numId w:val="1"/>
        </w:numPr>
        <w:rPr/>
      </w:pPr>
      <w:bookmarkStart w:id="475" w:name="__RefHeading___Toc11030551_2142443653"/>
      <w:bookmarkStart w:id="476" w:name="_Toc171"/>
      <w:bookmarkEnd w:id="475"/>
      <w:r>
        <w:rPr>
          <w:rtl w:val="true"/>
        </w:rPr>
        <w:t xml:space="preserve">هـ </w:t>
      </w:r>
      <w:r>
        <w:rPr>
          <w:rtl w:val="true"/>
        </w:rPr>
        <w:t xml:space="preserve">- </w:t>
      </w:r>
      <w:r>
        <w:rPr>
          <w:rtl w:val="true"/>
        </w:rPr>
        <w:t xml:space="preserve">وقفة على حديث </w:t>
      </w:r>
      <w:r>
        <w:rPr>
          <w:rtl w:val="true"/>
        </w:rPr>
        <w:t>«</w:t>
      </w:r>
      <w:r>
        <w:rPr>
          <w:rtl w:val="true"/>
        </w:rPr>
        <w:t>لا تجتمع أمتي على خطأ</w:t>
      </w:r>
      <w:r>
        <w:rPr>
          <w:rtl w:val="true"/>
        </w:rPr>
        <w:t>»:</w:t>
      </w:r>
      <w:bookmarkEnd w:id="476"/>
    </w:p>
    <w:p>
      <w:pPr>
        <w:pStyle w:val="BookText"/>
        <w:rPr/>
      </w:pPr>
      <w:r>
        <w:rPr>
          <w:rFonts w:ascii="Amiri" w:hAnsi="Amiri" w:eastAsia="Amiri" w:cs="Amiri"/>
          <w:color w:val="111111"/>
          <w:sz w:val="28"/>
          <w:sz w:val="28"/>
          <w:szCs w:val="28"/>
          <w:rtl w:val="true"/>
          <w:lang w:bidi="ar-SA"/>
        </w:rPr>
        <w:t>قلنا إن أهل السنة كي يضفوا المشروعية على إجماعهم المزعوم استندوا إلى الحديث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تحليلنا لهذا الحديث تجدر الإشارة إلى الأمور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إشكال يثار بشأن هذا الحديث هو أنه من أخبار الآحاد، وقد ثبت ذلك عند أهل السنة أنفسهم، هذا والحال أن المسائل الكلامية والأصول الاعتقادية، وخاصة بالنسبة إلى مسألة على مثل أهمية الإمامة والحكم والخلافة يجب أن يكون هناك دليل قطعي، ولذلك عمد أهل السنة إلى رفض كثير من الروايات الدالة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المروية في مصادرهم بحجة أنها من أخبار الآحاد، وأنها لم ترد في صحاحهم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سمحوا لأنفسهم أن يثبتوا مشروعية خلافة خليفتهم الأول بمثل هذل الحديث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ويتوقعون من الشيعة أن يلتزموا بهذا الدليل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موضوع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أن هذا الحديث يدلّ على أن الأمة الإسلامية إذا اجتمعت على أمر لن يكون ذلك الأمر خاطئاً، وهو ظاهر بل نص في إرادة تحقق الإجماع، وذلك عن اختيار وإرادة ومشورة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بيعة الخليفة الأول على ما تقدم توضيحه مفصلاً لم تستوف شروط</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الإجماع، بل كانت مجرد قرار فردي اتخذه عدد من الصحابة لا يتجاوز الاثنين أو الثلاثة، هذا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القرار قد اتخذ من دون تشاور، بل كان قراراً متسرعاً وصفه نفس من اتخذه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 هذا الأمر </w:t>
      </w:r>
    </w:p>
    <w:p>
      <w:pPr>
        <w:pStyle w:val="BookText"/>
        <w:rPr/>
      </w:pPr>
      <w:r>
        <w:rPr>
          <w:rFonts w:ascii="IRNazanin" w:hAnsi="IRNazanin" w:eastAsia="IRNazanin"/>
          <w:color w:val="111111"/>
          <w:sz w:val="28"/>
          <w:sz w:val="28"/>
          <w:szCs w:val="28"/>
          <w:rtl w:val="true"/>
          <w:lang w:bidi="fa-IR"/>
        </w:rPr>
        <w:t>رؤوس الأمة من الذين تجب استشارتهم فى هذا الشأن، وهم أمثال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 الله بن عباس، وسلمان الفارسي، وأبو 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مقدار الاجماع الذي تحقق فيما بعد، إنما كان بالإكراه والإجبار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من تخلف عن البيعة ولم يبايع حتى آخر لحظة من حياته،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وهو المرشح الأول في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فإن الحديث المذكور بشأن الخلافة للأدلة الخمسة المتقدمة لا يمكن أن يكون معتبراً، ولا يمكن التمسك به لإثبات مشروعية أصل بيعة وخلافة الخليفة الأول</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يعمل المناوئون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تأويل النص النبوي الشريف بشتى الطرائق والسبل، على ما سيأتي تفصيله في الفصل القادم، وفيما يلي نكتفى بذكر العناوين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بيان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الأمر على مجرد الترشيح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اختصاص الأمر بالهداية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أصل الترتب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 الأمر على مبادرة الإمام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توقف الأمر على البيعة </w:t>
      </w:r>
      <w:r>
        <w:rPr>
          <w:rFonts w:eastAsia="Amiri" w:cs="Amiri" w:ascii="Amiri" w:hAnsi="Amiri"/>
          <w:color w:val="111111"/>
          <w:sz w:val="28"/>
          <w:szCs w:val="28"/>
          <w:rtl w:val="true"/>
          <w:lang w:bidi="ar-SA"/>
        </w:rPr>
        <w:t xml:space="preserve">. </w:t>
      </w:r>
      <w:bookmarkStart w:id="477" w:name="pg15658_147098"/>
    </w:p>
    <w:p>
      <w:pPr>
        <w:pStyle w:val="Heading4"/>
        <w:numPr>
          <w:ilvl w:val="3"/>
          <w:numId w:val="1"/>
        </w:numPr>
        <w:rPr/>
      </w:pPr>
      <w:bookmarkStart w:id="478" w:name="__RefHeading___Toc11030553_2142443653"/>
      <w:bookmarkStart w:id="479" w:name="_Toc172"/>
      <w:bookmarkEnd w:id="477"/>
      <w:bookmarkEnd w:id="478"/>
      <w:r>
        <w:rPr>
          <w:rtl w:val="true"/>
        </w:rPr>
        <w:t xml:space="preserve">ز </w:t>
      </w:r>
      <w:r>
        <w:rPr>
          <w:rtl w:val="true"/>
        </w:rPr>
        <w:t xml:space="preserve">- </w:t>
      </w:r>
      <w:r>
        <w:rPr>
          <w:rtl w:val="true"/>
        </w:rPr>
        <w:t>اختفاء النص ونسيانه</w:t>
      </w:r>
      <w:r>
        <w:rPr>
          <w:rtl w:val="true"/>
        </w:rPr>
        <w:t>:</w:t>
      </w:r>
      <w:bookmarkEnd w:id="479"/>
    </w:p>
    <w:p>
      <w:pPr>
        <w:pStyle w:val="BookText"/>
        <w:rPr/>
      </w:pPr>
      <w:r>
        <w:rPr>
          <w:rFonts w:ascii="IRNazanin" w:hAnsi="IRNazanin" w:eastAsia="IRNazanin"/>
          <w:color w:val="111111"/>
          <w:sz w:val="28"/>
          <w:sz w:val="28"/>
          <w:szCs w:val="28"/>
          <w:rtl w:val="true"/>
          <w:lang w:bidi="fa-IR"/>
        </w:rPr>
        <w:t>إن العامل الآخر الذي أدى إلى توجّه الناس إلى الخليفة الأول، وعدم التوجه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جهلهم ونسيانهم لأصل تنصيب النبي للإمام على، ويؤيد هذا الأمر جواب بعض الصحابة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بشير بن سعد على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روى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للمهاجرين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المهاجرين لنحن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بهذا الأمر منكم، أما كان منا القاريء لكتاب الله، الفقيه في دين الله، العالم بالسنة، المضطلع بأمر الرعية، والله إنه لفينا، فلا تتبعوا الهوى، فتزدادوا من الحق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الكلام سمعته منك الأنصار يا علي قبل بيعتهم لأبي بكر، ما اختلف عليك اثنان، ولكنهم قد بايعوا</w:t>
      </w:r>
      <w:r>
        <w:rPr>
          <w:rFonts w:eastAsia="IRNazanin" w:cs="IRNazanin"/>
          <w:color w:val="111111"/>
          <w:sz w:val="28"/>
          <w:szCs w:val="28"/>
          <w:rtl w:val="true"/>
          <w:lang w:bidi="fa-IR"/>
        </w:rPr>
        <w:t>»</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منا بيان هذا الجواب في الصفحات السابقة بالتفصيل</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1030555_2142443653"/>
      <w:bookmarkStart w:id="481" w:name="_Toc173"/>
      <w:bookmarkEnd w:id="480"/>
      <w:r>
        <w:rPr>
          <w:rtl w:val="true"/>
        </w:rPr>
        <w:t xml:space="preserve">ح </w:t>
      </w:r>
      <w:r>
        <w:rPr>
          <w:rtl w:val="true"/>
        </w:rPr>
        <w:t xml:space="preserve">- </w:t>
      </w:r>
      <w:r>
        <w:rPr>
          <w:rtl w:val="true"/>
        </w:rPr>
        <w:t xml:space="preserve">المنع من انتشار نظرية </w:t>
      </w:r>
      <w:r>
        <w:rPr>
          <w:rtl w:val="true"/>
        </w:rPr>
        <w:t>«</w:t>
      </w:r>
      <w:r>
        <w:rPr>
          <w:rtl w:val="true"/>
        </w:rPr>
        <w:t>النص</w:t>
      </w:r>
      <w:r>
        <w:rPr>
          <w:rtl w:val="true"/>
        </w:rPr>
        <w:t>»:</w:t>
      </w:r>
      <w:bookmarkEnd w:id="4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نص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وأكد على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وإمامته في كثير من المواطن، من قبيل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أن المخالفين لخلافة الإمام وأولئك الذين كانوا يخططون للاستيلاء على السلطة، صاروا بصدد المنع من شیوع مسألة النص ورسميتها وتنصيب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وإماماً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البارز على هذه الحقيقة ما عرف برزية الخميس حيث تم منع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كتابة وصيته بشأن الحكم ومستقبل المسلمين، على ما تقدم تفصیله ضمن بیان حديث القلم والدوات</w:t>
      </w:r>
      <w:r>
        <w:rPr>
          <w:rFonts w:eastAsia="IRNazanin" w:cs="IRNazanin"/>
          <w:color w:val="111111"/>
          <w:sz w:val="28"/>
          <w:szCs w:val="28"/>
          <w:rtl w:val="true"/>
          <w:lang w:bidi="fa-IR"/>
        </w:rPr>
        <w:t xml:space="preserve">. </w:t>
      </w:r>
      <w:bookmarkStart w:id="482" w:name="pg15658_147099"/>
    </w:p>
    <w:p>
      <w:pPr>
        <w:pStyle w:val="BookText"/>
        <w:rPr/>
      </w:pPr>
      <w:bookmarkEnd w:id="482"/>
      <w:r>
        <w:rPr>
          <w:rFonts w:ascii="Amiri" w:hAnsi="Amiri" w:eastAsia="Amiri" w:cs="Amiri"/>
          <w:color w:val="111111"/>
          <w:sz w:val="28"/>
          <w:sz w:val="28"/>
          <w:szCs w:val="28"/>
          <w:rtl w:val="true"/>
          <w:lang w:bidi="ar-SA"/>
        </w:rPr>
        <w:t>وعليه عندما يقع زمام الحكم والسلطة بشكل أو بآخر في يد المناوئين للإمام، أو المخالفين لأصل التنصيب، فمن الطبيعي أن يسعوا إلى العمل بشتى الطرق على تضعيف نظرية التنصيب أو تأويلها من أجل مواجهة أزمة مشروعية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تلك الطرق إجبار الناس والصحابة على مبايعة خليفة السقيفة، على ما ثبت تفصيله في المصادر التاريخية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ظل هذه الأجواء كان أنصار أصل التنصيب أو العالمون به لا يجرأون عن التصريح بوجود النص عليه، فضلاً عن التبليغ له ونشره، وهذه الحقيقة سيكون لها تأثير لا على تأييد وصدق هذه النظرية، بل وعلى شيوعها وانتشارها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والشاهد الآخر على هذا الأمر هو نسيان يوم الغدير أو تجاهله طوال فترة خلافة الخلفاء الثلاثة الأوائل، حيث كان إحياء ذلك اليوم منافياً لمصالح تلك الحكومات، وأما عندما آل الأمر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بدأ يولي هذا اليوم أهمية خاصة</w:t>
      </w:r>
      <w:r>
        <w:rPr>
          <w:rFonts w:eastAsia="IRNazanin" w:cs="IRNazanin"/>
          <w:color w:val="111111"/>
          <w:sz w:val="28"/>
          <w:szCs w:val="28"/>
          <w:rtl w:val="true"/>
          <w:lang w:bidi="fa-IR"/>
        </w:rPr>
        <w:t>.</w:t>
      </w:r>
    </w:p>
    <w:p>
      <w:pPr>
        <w:pStyle w:val="Heading4"/>
        <w:numPr>
          <w:ilvl w:val="3"/>
          <w:numId w:val="1"/>
        </w:numPr>
        <w:rPr/>
      </w:pPr>
      <w:bookmarkStart w:id="483" w:name="__RefHeading___Toc11030557_2142443653"/>
      <w:bookmarkStart w:id="484" w:name="_Toc174"/>
      <w:bookmarkEnd w:id="483"/>
      <w:r>
        <w:rPr>
          <w:rtl w:val="true"/>
        </w:rPr>
        <w:t xml:space="preserve">ط </w:t>
      </w:r>
      <w:r>
        <w:rPr>
          <w:rtl w:val="true"/>
        </w:rPr>
        <w:t xml:space="preserve">- </w:t>
      </w:r>
      <w:r>
        <w:rPr>
          <w:rtl w:val="true"/>
        </w:rPr>
        <w:t>القراءة العلمانية للنص</w:t>
      </w:r>
      <w:r>
        <w:rPr>
          <w:rtl w:val="true"/>
        </w:rPr>
        <w:t>:</w:t>
      </w:r>
      <w:bookmarkEnd w:id="484"/>
    </w:p>
    <w:p>
      <w:pPr>
        <w:pStyle w:val="BookText"/>
        <w:rPr/>
      </w:pPr>
      <w:r>
        <w:rPr>
          <w:rFonts w:ascii="IRNazanin" w:hAnsi="IRNazanin" w:eastAsia="IRNazanin"/>
          <w:color w:val="111111"/>
          <w:sz w:val="28"/>
          <w:sz w:val="28"/>
          <w:szCs w:val="28"/>
          <w:rtl w:val="true"/>
          <w:lang w:bidi="fa-IR"/>
        </w:rPr>
        <w:t>إن من بين العناصر الأخرى التي دعت إلى ابتعاد الناس عن أصل تنصيب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وذهابهم إلى خلافة أبي بكر، هو القراءة الدنيوية والعلمانية للنص النبوي في حقل الدنيا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هؤلاء على حد التعبير الدقيق لبعض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قبلوا روايات النبي ونصوصه في الحقل الديني بوصفها وحياً سماوياً، وأما في حقل الدنيا فهناك متسع يتيح لهم العمل بهذه النصوص والروايات أو رفضها، من هنا فإنهم على الرغم من علمهم بوجود النصوص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85" w:name="pg15658_147100"/>
    </w:p>
    <w:p>
      <w:pPr>
        <w:pStyle w:val="BookText"/>
        <w:rPr/>
      </w:pPr>
      <w:bookmarkEnd w:id="485"/>
      <w:r>
        <w:rPr>
          <w:rFonts w:ascii="Amiri" w:hAnsi="Amiri" w:eastAsia="Amiri" w:cs="Amiri"/>
          <w:color w:val="111111"/>
          <w:sz w:val="28"/>
          <w:sz w:val="28"/>
          <w:szCs w:val="28"/>
          <w:rtl w:val="true"/>
          <w:lang w:bidi="ar-SA"/>
        </w:rPr>
        <w:t>وخلافته أباحوا لأنفسهم عدم الالتزام بها، واختيار مرشح آخر</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1030559_2142443653"/>
      <w:bookmarkStart w:id="487" w:name="_Toc175"/>
      <w:bookmarkEnd w:id="486"/>
      <w:r>
        <w:rPr>
          <w:rtl w:val="true"/>
        </w:rPr>
        <w:t xml:space="preserve">ي </w:t>
      </w:r>
      <w:r>
        <w:rPr>
          <w:rtl w:val="true"/>
        </w:rPr>
        <w:t xml:space="preserve">- </w:t>
      </w:r>
      <w:r>
        <w:rPr>
          <w:rtl w:val="true"/>
        </w:rPr>
        <w:t>إبعاد الإمام علي</w:t>
      </w:r>
      <w:r>
        <w:rPr>
          <w:rtl w:val="true"/>
        </w:rPr>
        <w:t>(</w:t>
      </w:r>
      <w:r>
        <w:rPr>
          <w:rtl w:val="true"/>
        </w:rPr>
        <w:t>علیه السّلام</w:t>
      </w:r>
      <w:r>
        <w:rPr>
          <w:rtl w:val="true"/>
        </w:rPr>
        <w:t>)</w:t>
      </w:r>
      <w:r>
        <w:rPr>
          <w:rtl w:val="true"/>
        </w:rPr>
        <w:t>بذرائع واهية</w:t>
      </w:r>
      <w:r>
        <w:rPr>
          <w:rtl w:val="true"/>
        </w:rPr>
        <w:t>:</w:t>
      </w:r>
      <w:bookmarkEnd w:id="487"/>
    </w:p>
    <w:p>
      <w:pPr>
        <w:pStyle w:val="BookText"/>
        <w:rPr/>
      </w:pPr>
      <w:r>
        <w:rPr>
          <w:rFonts w:ascii="IRNazanin" w:hAnsi="IRNazanin" w:eastAsia="IRNazanin"/>
          <w:color w:val="111111"/>
          <w:sz w:val="28"/>
          <w:sz w:val="28"/>
          <w:szCs w:val="28"/>
          <w:rtl w:val="true"/>
          <w:lang w:bidi="fa-IR"/>
        </w:rPr>
        <w:t>على الرغم من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شاباً لا يتجاوز عمره الثالثة والثلاثين سنة، إلا أنه طبقاً لكثير من النصوص كان يرى نفسه جديراً بالحكم، بل يرى نفسه الأكفأ والأقدر والأجدر بالحكم، وهذا ما اعترف به حتى المناوئون لحكومته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يطرح هذا التساؤل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أعرض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وبتعبير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كبار القوم ورؤساؤهم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انتخاب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واختاروا أبا بكر بن أبي قحافة؟</w:t>
      </w:r>
    </w:p>
    <w:p>
      <w:pPr>
        <w:pStyle w:val="BookText"/>
        <w:rPr/>
      </w:pPr>
      <w:r>
        <w:rPr>
          <w:rFonts w:ascii="IRNazanin" w:hAnsi="IRNazanin" w:eastAsia="IRNazanin"/>
          <w:color w:val="111111"/>
          <w:sz w:val="28"/>
          <w:sz w:val="28"/>
          <w:szCs w:val="28"/>
          <w:rtl w:val="true"/>
          <w:lang w:bidi="fa-IR"/>
        </w:rPr>
        <w:t>بأدنى نظرة إلى التاريخ يتضح أن مخالفي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رأسهم عمر بن الخطاب، قد لجأوا إلى مختلف الذرائع والحجج لتبرير فعلتهم وأهم تلك الذرائع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صاحب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دعم القبائل العربية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قبيلته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توضيح هذه الأدلة ونقدها في الفصل الخامس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هامش شبهة رعاية المصلحة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التدبّر في أدلة الخليفة الثاني يتضح أن لا شيء من هذه الأدلة يمكنه أن يبرر ما قام به من إبعاد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الحكم مع </w:t>
      </w:r>
      <w:bookmarkStart w:id="488" w:name="pg15658_147101"/>
    </w:p>
    <w:p>
      <w:pPr>
        <w:pStyle w:val="BookText"/>
        <w:rPr/>
      </w:pPr>
      <w:bookmarkEnd w:id="488"/>
      <w:r>
        <w:rPr>
          <w:rFonts w:ascii="IRNazanin" w:hAnsi="IRNazanin" w:eastAsia="IRNazanin"/>
          <w:color w:val="111111"/>
          <w:sz w:val="28"/>
          <w:sz w:val="28"/>
          <w:szCs w:val="28"/>
          <w:rtl w:val="true"/>
          <w:lang w:bidi="fa-IR"/>
        </w:rPr>
        <w:t>اعترافه بشخصيته الفريدة والفذة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 يتعين على جميع المسلمين في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يسلموا زمام الأمور إلى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ويسيروا في ركابه من أجل بقاء الإسلام، لما يتمتع به من المزايا الشخصية التي لا تتوفر في غيره، مضافاً إلى نصوص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الكلام أن توجّه أو إعراض الناس عن حكومة أو حاكم وإن كان يمكن له أن يشكل أرضية وقاعدة حكومية أو يسقطها، إلا أن هذا لا ينهض دليلاً على صدقها وقانونيتها وأحقيتها ومشروعيتها نفياً وإثباتاً، وإن مقالة القدماء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لا تصدق على نحو الموجبة الكلية، ولكن يبدو أنها ذات مصاديق كثيرة</w:t>
      </w:r>
      <w:r>
        <w:rPr>
          <w:rFonts w:eastAsia="IRNazanin" w:cs="IRNazanin"/>
          <w:color w:val="111111"/>
          <w:sz w:val="28"/>
          <w:szCs w:val="28"/>
          <w:rtl w:val="true"/>
          <w:lang w:bidi="fa-IR"/>
        </w:rPr>
        <w:t>.</w:t>
      </w:r>
    </w:p>
    <w:p>
      <w:pPr>
        <w:pStyle w:val="Heading3"/>
        <w:numPr>
          <w:ilvl w:val="2"/>
          <w:numId w:val="1"/>
        </w:numPr>
        <w:rPr/>
      </w:pPr>
      <w:bookmarkStart w:id="489" w:name="__RefHeading___Toc11030561_2142443653"/>
      <w:bookmarkStart w:id="490" w:name="_Toc176"/>
      <w:bookmarkEnd w:id="489"/>
      <w:r>
        <w:rPr>
          <w:rtl w:val="true"/>
        </w:rPr>
        <w:t>الشبهة السابعة</w:t>
      </w:r>
      <w:r>
        <w:rPr>
          <w:rtl w:val="true"/>
        </w:rPr>
        <w:t xml:space="preserve">: </w:t>
      </w:r>
      <w:r>
        <w:rPr>
          <w:rtl w:val="true"/>
        </w:rPr>
        <w:t>عدم احتجاج الإمام علي</w:t>
      </w:r>
      <w:r>
        <w:rPr>
          <w:rtl w:val="true"/>
        </w:rPr>
        <w:t>(</w:t>
      </w:r>
      <w:r>
        <w:rPr>
          <w:rtl w:val="true"/>
        </w:rPr>
        <w:t>علیه السّلام</w:t>
      </w:r>
      <w:r>
        <w:rPr>
          <w:rtl w:val="true"/>
        </w:rPr>
        <w:t xml:space="preserve">) </w:t>
      </w:r>
      <w:r>
        <w:rPr>
          <w:rtl w:val="true"/>
        </w:rPr>
        <w:t>بأصل التنصيب</w:t>
      </w:r>
      <w:r>
        <w:rPr>
          <w:rtl w:val="true"/>
        </w:rPr>
        <w:t>:</w:t>
      </w:r>
      <w:bookmarkEnd w:id="490"/>
    </w:p>
    <w:p>
      <w:pPr>
        <w:pStyle w:val="Heading4"/>
        <w:numPr>
          <w:ilvl w:val="3"/>
          <w:numId w:val="1"/>
        </w:numPr>
        <w:rPr/>
      </w:pPr>
      <w:bookmarkStart w:id="491" w:name="__RefHeading___Toc11030563_2142443653"/>
      <w:bookmarkStart w:id="492" w:name="_Toc177"/>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إن إحدى الشبهات القديمة لأهل السنة دعوى أن الإمام لم يستند إلى نص نبوي لإثبات إمامته وحكومته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قد ادعوا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استند لإثبات إمامته في احتجاجه على المخالفين بصلاحيته وكمالاته الذاتية فقط، ولو كان هناك نص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إمامته، لكان قد استند إليه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من المعاصرين من ذهب إلى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يستند إلى </w:t>
      </w:r>
    </w:p>
    <w:p>
      <w:pPr>
        <w:pStyle w:val="BookText"/>
        <w:rPr/>
      </w:pPr>
      <w:r>
        <w:rPr>
          <w:rFonts w:ascii="Amiri" w:hAnsi="Amiri" w:eastAsia="Amiri" w:cs="Amiri"/>
          <w:color w:val="111111"/>
          <w:sz w:val="28"/>
          <w:sz w:val="28"/>
          <w:szCs w:val="28"/>
          <w:rtl w:val="true"/>
          <w:lang w:bidi="ar-SA"/>
        </w:rPr>
        <w:t>حديث الغدير في احتجاجه على المخالفين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التزم بذلك بعض القائلين بنظرية التنصيب أيضاً</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أننا في معرض إبطال هذا الظن والوهم سنكتفي بالإشارة إلى بعض الروايات المأثورة عن الإمام علي بهذا الشأن، لبيان كيف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يحتج بالروايات النبوية مراراً وتكراراً لإثبات 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يعمد إلى إثبات مشروعية إمامته وخلافته من خلال حيثيتين، الحيثية الأولى ترتبط بشخصيته الحقيقية والذاتية وصفاته الكمالية التي تستوجب أفضليته وأحقيته على الآخرين للجلوس على مسند الإمامة والحكومة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والحيثية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بشخصيته الحقوقية حيث تم اختياره واصطفاؤه من قبل الله بوصفه إماماً وخليفة بعد رسول الله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يحدث نزاع أو جدل بشأن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الصحابة بشكل جاد، ويمكن القول إن أكثر المناوئين والمخالفين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يذعنون ويعترفون له بالأفضلية، إلا ان النزاع كان يدور بشكل رئيس حول وجود تنصيب من قبل النبي بشأن الإمامة والحكومة، فقد كان النقاش والجدال ولا يزال محتدماً حول هذه المسألة منذ رحيل رسول الله إلى عصرنا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نكتفي بتقرير بعض الروايات وبيانها، ونترك التوسع فيها إلى القارئ المحقق</w:t>
      </w:r>
      <w:r>
        <w:rPr>
          <w:rFonts w:eastAsia="IRNazanin" w:cs="IRNazanin"/>
          <w:color w:val="111111"/>
          <w:sz w:val="28"/>
          <w:szCs w:val="28"/>
          <w:rtl w:val="true"/>
          <w:lang w:bidi="fa-IR"/>
        </w:rPr>
        <w:t xml:space="preserve">. </w:t>
      </w:r>
      <w:bookmarkStart w:id="493" w:name="pg15658_147103"/>
    </w:p>
    <w:p>
      <w:pPr>
        <w:pStyle w:val="Heading4"/>
        <w:numPr>
          <w:ilvl w:val="3"/>
          <w:numId w:val="1"/>
        </w:numPr>
        <w:rPr/>
      </w:pPr>
      <w:bookmarkStart w:id="494" w:name="__RefHeading___Toc11030565_2142443653"/>
      <w:bookmarkStart w:id="495" w:name="_Toc178"/>
      <w:bookmarkEnd w:id="493"/>
      <w:bookmarkEnd w:id="494"/>
      <w:r>
        <w:rPr>
          <w:rtl w:val="true"/>
        </w:rPr>
        <w:t>أولاً</w:t>
      </w:r>
      <w:r>
        <w:rPr>
          <w:rtl w:val="true"/>
        </w:rPr>
        <w:t xml:space="preserve">: </w:t>
      </w:r>
      <w:r>
        <w:rPr>
          <w:rtl w:val="true"/>
        </w:rPr>
        <w:t xml:space="preserve">الروايات الواردة بلفظ النصب والعهد والاختصاص والاصطفاء والاختيار والأخذ </w:t>
      </w:r>
      <w:r>
        <w:rPr>
          <w:rtl w:val="true"/>
        </w:rPr>
        <w:t>:</w:t>
      </w:r>
      <w:bookmarkEnd w:id="495"/>
    </w:p>
    <w:p>
      <w:pPr>
        <w:pStyle w:val="BookText"/>
        <w:rPr/>
      </w:pPr>
      <w:r>
        <w:rPr>
          <w:rFonts w:ascii="IRNazanin" w:hAnsi="IRNazanin" w:eastAsia="IRNazanin"/>
          <w:color w:val="111111"/>
          <w:sz w:val="28"/>
          <w:sz w:val="28"/>
          <w:szCs w:val="28"/>
          <w:rtl w:val="true"/>
          <w:lang w:bidi="fa-IR"/>
        </w:rPr>
        <w:t>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مواطن كثيرة وبشكل متكرر، يستند إلى مختلف النصوص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بعض الموارد يتمسك بشكل مطلق بأصل تنصيبه وتعيينه إماماً من قبل النبي الأكرم والوحي الإلهي، وفيما يأتي نشير إلى ذلك عبر الفقرات الآتية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أشار الإمام علي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كَأَنَّهُمْ بُنيَانٌ مَرْصُوصُ</w:t>
      </w:r>
      <w:r>
        <w:rPr>
          <w:rStyle w:val="FootnoteAnchor"/>
          <w:rtl w:val="true"/>
        </w:rPr>
        <w:footnoteReference w:id="617"/>
      </w:r>
      <w:r>
        <w:rPr>
          <w:rFonts w:ascii="Amiri" w:hAnsi="Amiri" w:eastAsia="Amiri" w:cs="Amiri"/>
          <w:color w:val="111111"/>
          <w:sz w:val="28"/>
          <w:sz w:val="28"/>
          <w:szCs w:val="28"/>
          <w:rtl w:val="true"/>
          <w:lang w:bidi="ar-SA"/>
        </w:rPr>
        <w:t>،ليعرف بنفسه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صراط الله الذي من لم يسلكه بطاعة الله فيه، هوى به إلى النار، وأنا سبيله الذي نصبني للاتباع بعد نبيه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هذا الاستناد يصرّح الإمام أولاً بأصل التنصيب، وثانياً ينسب ذلك إلى الله سبحانه وتعالى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استند الإمام علي في الشورى المقترحة من قبل عمر بن الخطاب في حديث طويل استدل فيه على مدعاه، مذكراً إياهم بوجود أصل التنصيب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 بالله هل فيكم أحد نصبه رسول الله يوم غدير خم بأمر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واضح أنه لو لم يكن هناك أصل على التنصيب، لما استند إليه الإمام،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لكذبه من خاطبهم وهم الستة أعضاء الشورى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الآخر في دلالة هذا الحديث والأحاديث الأخرى التي يستند إليها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مضمونها يرمي إلى الإمامة والخلافة العامة الشاملة للمرجعية العلمية والدينية ومسألة الخلافة والحكومة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لأن الموارد التي يستند فيها الإمام بهذه الأدلة ناظرة إلى مناقشة ومجادلة أمثال أبي بكر وعمر بن الخطاب وعثمان بن عفان، والقدر المتيقن منها هو مسألة الحكومة، وإلا لما استند إليها الإمام، ولكذبها المخاطبون وأنكروا دلالتها على المدعى،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النصوص غير ناظرة إلى مسألة الحكومة، كما توهم ذلك بعض المعاصرين</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بعض الروايات تم استعمال مفردة العهد بما يساوق التنصيب، بمعنى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عهداً وميثاقاً على المسلمين بإمامة الإمام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طالب الإمام على عليه السلام المهاجرين والأنصار في يوم السقيفة عدم تناسي عهد النبي بشأن الإمامة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المهاجرين والأنصار، الله الله لا تنسوا عهد نبيكم في أمري لا تخرجوا سلطان محمد من داره وقعر بيته إلى دوركم وقعر بيوتكم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ذكر الإمام علي عهد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على النحو الآتي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عهد إلى عهداً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طالب، لك ولايتي، فإن ولوك في عافية ورجعوا عليك بالرضا، فقم بأمرهم، وإن اختلفوا عليك فدعهم وما هم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روايات أخرى تم استعمال مفردة الاختصاص والاصطفاء بدلاً من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الوسيلة بعد مرور سبعة أيام على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اختصني بوصيته واصطفاني بخلافته</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المعادل الآخر للنصب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الانتخاب والاصطفاء الحرّ الذي يكون عن علم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بيان مسألة الخلافة إلى نظريتين؛ النظرية الأولى هي نظرية المخالفين القائلة بأن الناس قد اختاروا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والنظرية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بأن رسول الله قد اختار شخصاً بعينه،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وزعموا أن من اختاروا من آل أبي قحافة أولى بمقام رسول الله ممن اختاره رسول الله لمقامه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الرواية يستعرض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الناس، واختيار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لم يذكر الإمام اسمه صريحاً لوضوحه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أطلق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مفردة الاختيار ونسبها إلى الله في تنصيب الخليفة أيضاً، كما روى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bookmarkStart w:id="496" w:name="pg15658_147106"/>
    </w:p>
    <w:p>
      <w:pPr>
        <w:pStyle w:val="BookText"/>
        <w:rPr/>
      </w:pPr>
      <w:bookmarkEnd w:id="4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الله نظر إلى أهل الأرض نظرة؛ فاختار أخي علياً وزيري وخليفتي في أمتي</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بين المفردات المعادلة للتنصيب مفردة الأخذ، حيث روى الإمام في تتمة الحديث السابق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أن اتخذ علياً أخاً ووصياً وخليفة في أمتي بعدي</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11030567_2142443653"/>
      <w:bookmarkStart w:id="498" w:name="_Toc179"/>
      <w:bookmarkEnd w:id="497"/>
      <w:r>
        <w:rPr>
          <w:rtl w:val="true"/>
        </w:rPr>
        <w:t>الثاني</w:t>
      </w:r>
      <w:r>
        <w:rPr>
          <w:rtl w:val="true"/>
        </w:rPr>
        <w:t xml:space="preserve">: </w:t>
      </w:r>
      <w:r>
        <w:rPr>
          <w:rtl w:val="true"/>
        </w:rPr>
        <w:t>حديث الغدير</w:t>
      </w:r>
      <w:r>
        <w:rPr>
          <w:rtl w:val="true"/>
        </w:rPr>
        <w:t>:</w:t>
      </w:r>
      <w:bookmarkEnd w:id="498"/>
    </w:p>
    <w:p>
      <w:pPr>
        <w:pStyle w:val="BookText"/>
        <w:rPr/>
      </w:pPr>
      <w:r>
        <w:rPr>
          <w:rFonts w:ascii="IRNazanin" w:hAnsi="IRNazanin" w:eastAsia="IRNazanin"/>
          <w:color w:val="111111"/>
          <w:sz w:val="28"/>
          <w:sz w:val="28"/>
          <w:szCs w:val="28"/>
          <w:rtl w:val="true"/>
          <w:lang w:bidi="fa-IR"/>
        </w:rPr>
        <w:t>لقد استشهد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مواطن مختلفة بحديث الغدير لإثبات إمامته، وفيما يأتي نشير إلى جانب من تلك المواطن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سبعة أيام على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عُرفت بخطبة الوسيلة، وتعرّض فيها إلى حادثة الغدير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حَجَّةِ الْوَدَاعِ، ثُمَّ صَارَ إِلَى غَدِيرِ خُمِّ، فَأَمَرَ فَأَصْلِحَ لَهُ شِبْهُ الْمِنْبَرِ ، ثُمَّ عَلَاهُ وَأَخَذَ بِعَضُدِي حَتَّى رُنِي بَيَاضُ إِبْطَيْهِ، رَافِعاً صَوْتَهُ قَائِلًا فِي تَحْفِلِهِ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سياق مطالبة بعض أنصار الخليفة الأول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مبايعة أبي بكر، رفض الإمام مبايعته مستنداً في ذلك إلى حديث الغدير قائلاً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معاشر المهاجرين والأنصار، الله الله لا تنسوا عهد نبيكم في أمري، </w:t>
      </w:r>
    </w:p>
    <w:p>
      <w:pPr>
        <w:pStyle w:val="BookText"/>
        <w:rPr/>
      </w:pPr>
      <w:r>
        <w:rPr>
          <w:rFonts w:ascii="Amiri" w:hAnsi="Amiri" w:eastAsia="Amiri" w:cs="Amiri"/>
          <w:color w:val="111111"/>
          <w:sz w:val="28"/>
          <w:sz w:val="28"/>
          <w:szCs w:val="28"/>
          <w:rtl w:val="true"/>
          <w:lang w:bidi="ar-SA"/>
        </w:rPr>
        <w:t>لا تخرجوا سلطان محمد من داره وقعر بيته إلى دوركم وقعر بيوتكم</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وقالت جماعة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لو كان هذا الكلام سمعته الأنصار منك قبل الانضمام لأبي بكر ، ما اختلف فيك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هؤلاء أكنت أدع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مسجى لا أواريه، وأخرج أنازع في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خفت أحداً یسمو له وينازعنا أهل البيت فيه، ويستحل ما استحللتموه ولا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يوم غدير خم لأحد حجة ولا لقائل مقالاً</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طلب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الحضور أن يشهدوا بما سمعوه من كلام رسول الله في حجة الوداع وغدير خم،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فانشد الله رجلاً 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وعاد من عاداه، وانصر من نصره، واخذل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يشهد بما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اثنا عشر رجلاً بدرياً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واصفاً حديث الغدير بشكل صريح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يوم النصوص على أهل الخصوص، هذا يوم شيث، هذا يوم إدريس، هذا يوم هود، هذا يوم يوشع، هذا يوم شمعون</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دلالة ألفاظ هذا الحديث كالنص، وإن سرد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الأسماء أوصياء الأنبياء المنصوبين إلى الحكم والخلافة بعدهم من قبل الله سبحانه </w:t>
      </w:r>
    </w:p>
    <w:p>
      <w:pPr>
        <w:pStyle w:val="BookText"/>
        <w:rPr/>
      </w:pPr>
      <w:r>
        <w:rPr>
          <w:rFonts w:ascii="Amiri" w:hAnsi="Amiri" w:eastAsia="Amiri" w:cs="Amiri"/>
          <w:color w:val="111111"/>
          <w:sz w:val="28"/>
          <w:sz w:val="28"/>
          <w:szCs w:val="28"/>
          <w:rtl w:val="true"/>
          <w:lang w:bidi="ar-SA"/>
        </w:rPr>
        <w:t>وتعالى، لا يبقي حاجة إلى مزيد من التوضيح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عندما اقتحم أبو بكر وعمر دار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لأخذ البيعة منه بالإكراه، أجاب الإمام عن ذلك 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قائلاً بعد حمد الله والثناء عليه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وفلاناً أتياني وطالباني بالبيعة لمن سبيله أن يبايعني،أنا ابن عم النبي وأبو بنيه والصديق الأكبر، وأخو رسول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يقولها أحد غيري إلا كاذب، وأسلمت وصليت قبل كل أحد، وأنا وصيه، وزوج ابنته سيدة نساء العالمين فاطمة بنت محمد، وأبو حسن وحسين سبطي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أهل بيت الرحمة، بنا هداكم الله، وبنا استنقذكم من الضلالة، وأنا صاحب يوم الدوح</w:t>
      </w:r>
      <w:r>
        <w:rPr>
          <w:rStyle w:val="FootnoteAnchor"/>
          <w:rtl w:val="true"/>
        </w:rPr>
        <w:footnoteReference w:id="630"/>
      </w:r>
      <w:r>
        <w:rPr>
          <w:rFonts w:ascii="IRNazanin" w:hAnsi="IRNazanin" w:eastAsia="IRNazanin"/>
          <w:color w:val="111111"/>
          <w:sz w:val="28"/>
          <w:sz w:val="28"/>
          <w:szCs w:val="28"/>
          <w:rtl w:val="true"/>
          <w:lang w:bidi="fa-IR"/>
        </w:rPr>
        <w:t>، وفي نزلت سورة من القرآن، وأنا الوصي على الأموات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بقيته على الأحياء من أمته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إلى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يبايع</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 أبو بكر وعمر إلى دار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ثانية، لأخذ البيعة منه هذه المرة بالإكراه والتهديد والعنف على ما هو مسجل في كتب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فأصرّ الإمام على عدم البيعة؛ فهدّده عمر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 أن العلاج في هذه الظروف لا يتم عبر الاحتكام إلى السلاح، توجه إلى الحاضرين من المهاجرين والأنصار بالخطاب مطالباً إياهم أن يتذكروا يوم الغدير وواقعة تبوك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معشر المسلمين والمهاجرين والأنصار أنشدكم الله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يوم غدير خم كذا وكذا ، وفي غزوة تبوك كذا وكذا، فلم يدع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قاله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علانية للعامة إلا ذكرهم إياه، فقالوا 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تواصل الجدال بين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من جهة، والخليفة الأول والثاني وأتباعهما من جهة ثانية، ويمكن للقارئ الكريم أن يرجع إلى ذلك في المصادر التاريخية المذكورة في الهامش</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احتجاج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مسألة التنصيب وكلماته الخاصة مع الخليفة الأول والثاني وسائر المسلمين من التضافر والتواتر بحيث تغنينا عن ذكرها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يقتصر احتجاج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بحديث الغدير على الأيام الأولى من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استمر إلى عصر الخليفة الثاني والثالث، وفترة إمامته أيضاً، فعلى سبيل المثال قام في عهد عثمان في جمع من بني هاشم و سلمان وأبي ذر وصحابة آخرين في إشارة إلى الأخطاء التي ارتكبها الخليفة الأول والثاني، وحضورهم في يوم غدير خم، قائلاً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يوم غدير خم، إذ قال هو وصاحبه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أبو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حين نصبني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يألو أن يرفع خسيسته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يألو رفعاً بضبع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منصوب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لهي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فقطب صاحبه في وجهه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أسمع له ولا أطيع أبداً ، ثم اتكأ عليه ثم تمطى وانصرفا، فأنزل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أَوْلَى لَكَ فَأَوْلَى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حدّد الخليفة الثاني تعيين الخليفة القادم ضمن إطار من الشورى يضم ستة أشخاص، 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وعثمان بن عفان، وطلحة، والزبير بن العوام، وعبد الرحمن بن عوف، وسعد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الحبكة السياسية لم يتنازل الإمام عن حقه المشروع في أمر الإمام من طريق التنصيب الإلهى، واستند في ذلك علاوة على كفاءاته الذاتية إلى مختلف الأحاديث المروية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تنصيبه إماماً وخليفة على المسلمين، كما طالب الحضور بالاهتمام بمسألة تنصيب النبي وعدم تجاهل ذلك إذ يقول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نشدتكم بالله هل فيكم أحد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بأمر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وعاد من عاداه،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فیالحضر ورفيقة فى السفر، غيرى؟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هل فيكم أحد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فرفعها حتى نظر الناس إلى بياض إبطه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ابن عمي ووزيري فوازروه وناصحوه وصدقوه فإنه وليكم،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عصر خلافة عثمان وكان في جمع من المهاجرين والأنصار، وكان كل واحد منهم يباهي ويفاخر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أن الناس عندما سألوا عن تفسير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أمر الله نبيه أن يعيّن لهم إمامهم؛ فنصبني إماماً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الإمام بعد ذلك بتفصيل</w:t>
      </w:r>
    </w:p>
    <w:p>
      <w:pPr>
        <w:pStyle w:val="BookText"/>
        <w:rPr/>
      </w:pPr>
      <w:r>
        <w:rPr>
          <w:rFonts w:ascii="Amiri" w:hAnsi="Amiri" w:eastAsia="Amiri" w:cs="Amiri"/>
          <w:color w:val="111111"/>
          <w:sz w:val="28"/>
          <w:sz w:val="28"/>
          <w:szCs w:val="28"/>
          <w:rtl w:val="true"/>
          <w:lang w:bidi="ar-SA"/>
        </w:rPr>
        <w:t>روايات النص</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 تمسّك الإمام بحديث الغدير في فترة خلافته وفي أيام الحرب على مخالفيه أيضاً، وفيما يأتي نشير إلى هذه المواطن على النحو الآتي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معركة الجمل كان طلحة في الجيش الذي خرج لقتال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 ليلتقيه، فناشده عند اللقاء أن يتذكر حديث الغدير، 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الإمام بعد تذكيره بذلك</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معركة صفين إلى مشروعية حكومته ومسألة تنصيبه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الغدير، تشجيعاً لجيشه وحتّه على مواصلة القتال،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في ولايتي وموالاتي؟</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يوم من أيام صفين صعد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منبراً، فبيّن للناس فضائله وأكد في ضمن ذلك على مسألة تنصيبه إماماً على المسلمين من </w:t>
      </w:r>
    </w:p>
    <w:p>
      <w:pPr>
        <w:pStyle w:val="BookText"/>
        <w:rPr/>
      </w:pPr>
      <w:r>
        <w:rPr>
          <w:rFonts w:ascii="IRNazanin" w:hAnsi="IRNazanin" w:eastAsia="IRNazanin"/>
          <w:color w:val="111111"/>
          <w:sz w:val="28"/>
          <w:sz w:val="28"/>
          <w:szCs w:val="28"/>
          <w:rtl w:val="true"/>
          <w:lang w:bidi="fa-IR"/>
        </w:rPr>
        <w:t>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بأمر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جيشه من كان حاضراً يوم الغدير؛ فصدقه على ذلك</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على معاوية في إثبات مشروعية الحرب ومشروعية حكمه، مستنداً إلى مسألة التنصيب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فالعجب من معاوية بن أبي سفيان ينازعني الخلافة ويجحدني الإمامة ويزعم أنه أحق بها مني جرأة منه على الله وعلى رسوله بغير حق له فيها ولا حجة، ولم يبايعه عليها المهاجرون ولا سلم له الأنصار والمسلمون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 في ولايتي وموالاتي؟</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يغتنم كل مناسبة وتجمع مهما صغر أو كبر،من أجل تذكير الناس بمسألة الإمامة وأصل التنصيب الإلهي، ويولي هذه المسألة عناية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أحياناً يطلب من بعض الحاضرين أن يقوموا بالشهادة على ما رأوه وسمعوه من رسول الله فى 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على مناشدات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للصحابة والمخاطبين بالشهادة على حادثة الغدير في المصطلح الروائي والتاريخي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هو مسجل في المصادر التاريخية الأعم من الشيعية والسنة، ومن ذلك ما جاء في مسند أحمد بن حنبل روايته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يَوْمَ غَدِيرِ خُمَّ مَا سَمِعَ لَما قَامَ؛ فَقَامَ ثَلَاثُونَ مِنْ النَّاسِ، 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نَاسٌ كَثِيرٌ فَشَهِدُوا حِينَ أَخَذَهُ بِيَدِهِ، فَقَالَ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 قَدْ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اغتنم الإمام علي خطبة صلاة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يشرح أبعاد هذه المسألة ثم وصف الغدير بأنه يوم عيد الدين وإكماله، حيث أوحى الله إلى نبيه أن يبلغ الناس بشأن المنتخبين والمنتجبين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أواخر عمره الشريف بعد رجوعه من حرب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عاد النقاش بشأن حكومة وخلافة الخلفاء الثلاثة 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بيان مواقفه بشكل تفصيلي ضمن رسالة، ومما جاء فيها أن حكم الأمة أولاً كان على عاتق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رحيله انتقلت هذه المسؤولية إليه؛ حيث اعتبر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هو الحجة، واستند لذلك بحديث </w:t>
      </w:r>
      <w:bookmarkStart w:id="499" w:name="pg15658_147114"/>
    </w:p>
    <w:p>
      <w:pPr>
        <w:pStyle w:val="BookText"/>
        <w:rPr/>
      </w:pPr>
      <w:bookmarkEnd w:id="499"/>
      <w:r>
        <w:rPr>
          <w:rFonts w:ascii="Amiri" w:hAnsi="Amiri" w:eastAsia="Amiri" w:cs="Amiri"/>
          <w:color w:val="111111"/>
          <w:sz w:val="28"/>
          <w:sz w:val="28"/>
          <w:szCs w:val="28"/>
          <w:rtl w:val="true"/>
          <w:lang w:bidi="ar-SA"/>
        </w:rPr>
        <w:t xml:space="preserve">الغدير، إذ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 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الرقاب من النار ، وأعتقها من الرق، فكان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هذه الأمة، وكان لي بعده ما كان له، فما جاز لقريش من فضلها عليها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لبني هاشم على قريش، وجاز لي على بني هاشم، بقول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0" w:name="__RefHeading___Toc11030569_2142443653"/>
      <w:bookmarkStart w:id="501" w:name="_Toc180"/>
      <w:bookmarkEnd w:id="500"/>
      <w:r>
        <w:rPr>
          <w:rtl w:val="true"/>
        </w:rPr>
        <w:t>ثالثاً</w:t>
      </w:r>
      <w:r>
        <w:rPr>
          <w:rtl w:val="true"/>
        </w:rPr>
        <w:t xml:space="preserve">: </w:t>
      </w:r>
      <w:r>
        <w:rPr>
          <w:rtl w:val="true"/>
        </w:rPr>
        <w:t>حديث المنزلة</w:t>
      </w:r>
      <w:r>
        <w:rPr>
          <w:rtl w:val="true"/>
        </w:rPr>
        <w:t>:</w:t>
      </w:r>
      <w:bookmarkEnd w:id="501"/>
    </w:p>
    <w:p>
      <w:pPr>
        <w:pStyle w:val="BookText"/>
        <w:rPr/>
      </w:pPr>
      <w:r>
        <w:rPr>
          <w:rFonts w:ascii="IRNazanin" w:hAnsi="IRNazanin" w:eastAsia="IRNazanin"/>
          <w:color w:val="111111"/>
          <w:sz w:val="28"/>
          <w:sz w:val="28"/>
          <w:szCs w:val="28"/>
          <w:rtl w:val="true"/>
          <w:lang w:bidi="fa-IR"/>
        </w:rPr>
        <w:t>لقد طلب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أن يشدّ عضده بأخيه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بينه الله سبحانه وتعالى في قوله حكاية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فيتضح من خلال هذه الآيات أن مسؤوليات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تتلخص في الأمور الخمسة الآتية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الدعم والمؤازرة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المشاركة في أمر تبليغ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وصف النبيالأكرم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علاقته مع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مثل </w:t>
      </w:r>
    </w:p>
    <w:p>
      <w:pPr>
        <w:pStyle w:val="BookText"/>
        <w:rPr/>
      </w:pPr>
      <w:r>
        <w:rPr>
          <w:rFonts w:ascii="IRNazanin" w:hAnsi="IRNazanin" w:eastAsia="IRNazanin"/>
          <w:color w:val="111111"/>
          <w:sz w:val="28"/>
          <w:sz w:val="28"/>
          <w:szCs w:val="28"/>
          <w:rtl w:val="true"/>
          <w:lang w:bidi="fa-IR"/>
        </w:rPr>
        <w:t>العلاقة التي كانت قائمة بين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وأخيه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 هذه العلاقة في الكثير من المواطن،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الأول من أيام الدعوة العامة، ويوم المؤاخاة بين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الأول من وصوله إلى المدينة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إغلاق جميع الأبواب الشارعة إلى مسجد النبي باستثناء باب</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فتح خيبر، وبعد واقعة تبوك، إذ قال لعلي في جميع المواطن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غير أنه لا نبي بعدي</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دلالة هذا الحديث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وخلافته واضحة، فكما تقدم أن ذكرنا فإن لهارون وظائف ومسؤوليات مختلفة تفرعت إليه عن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القيادة الدينية والسياسية والاجتماعية، وبعبارة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في جميع المجالات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عمد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إثبات جميع هذه الوظائف والمسؤوليات لأخيه الإمام علي بن أبي طالب، ولم يستثن منها غير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يستند لإثبات مشروعيته الإلهية في الإمامة بحديث المنزلة، ولا يخفى ما في ذلك من تأكيد على دلالة هذا الحديث على إمامتة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احتجاجاته على أبي بكر بحديث المنزلة، إذ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بالله ألى الوزارة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والمثل من هارون وموسى أم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لك</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بالصهاكي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مثل محمد إلا كمثل نخلة نبتت في كناسة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 مغضباً فأتى المنبر، وفزعت الأنصار فجاءت شاكة في السلاح لما رأت من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يعيرونني بقرابتي؟ وقد سمعوا مني ما قلت في فضلهم، وتفضيل الله إياهم، وما اختصهم الله به من إذهاب الرجس عنهم وتطهير الله إياهم، وقد سمعتم ما قلت في أفضل أهل بيتي وخيرهم مما خصه الله به وأكرمه وفضله من سبقه في الإسلام وبلاؤه فيه وقرابته مني وأنه بمنزلة هارون من موسى، ثم تزعمون أن مثلي في أهل بيتى كمثل نخلة نبتت في كناسة؟</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كما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الوسيلة بعد مرور سبعة أيام على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تذكيره بأن كل نبي كان يعين النبي وخليفته من بعده لهداية الناس وحمايتهم من الضلال، وهكذا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خاتم الأنبياء، وأنه نصبني خليفة من بعده في جميع الأمور باستثناء النبوة إذ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علياً مني كهارون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استطرد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شارحاً معنى هذا الحديث،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ذلك منه استخلافاً لي كما استخلف موسى هارون</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استند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حديث المنزلة في مسألة الشورى بعد موت عمر بن الخطاب، لإثبات إمامته، حيث توجه إلى أعضاء تلك </w:t>
      </w:r>
      <w:bookmarkStart w:id="502" w:name="pg15658_147117"/>
    </w:p>
    <w:p>
      <w:pPr>
        <w:pStyle w:val="BookText"/>
        <w:rPr/>
      </w:pPr>
      <w:bookmarkEnd w:id="502"/>
      <w:r>
        <w:rPr>
          <w:rFonts w:ascii="IRNazanin" w:hAnsi="IRNazanin" w:eastAsia="IRNazanin"/>
          <w:color w:val="111111"/>
          <w:sz w:val="28"/>
          <w:sz w:val="28"/>
          <w:szCs w:val="28"/>
          <w:rtl w:val="true"/>
          <w:lang w:bidi="fa-IR"/>
        </w:rPr>
        <w:t>الشورى وقال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بمنزلةهارون من موسى إلا أنه لا نبي بعدي،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 w:name="__RefHeading___Toc11030571_2142443653"/>
      <w:bookmarkStart w:id="504" w:name="_Toc181"/>
      <w:bookmarkEnd w:id="503"/>
      <w:r>
        <w:rPr>
          <w:rtl w:val="true"/>
        </w:rPr>
        <w:t>رابعاً</w:t>
      </w:r>
      <w:r>
        <w:rPr>
          <w:rtl w:val="true"/>
        </w:rPr>
        <w:t xml:space="preserve">: </w:t>
      </w:r>
      <w:r>
        <w:rPr>
          <w:rtl w:val="true"/>
        </w:rPr>
        <w:t xml:space="preserve">حديث الخلافة </w:t>
      </w:r>
      <w:r>
        <w:rPr>
          <w:rtl w:val="true"/>
        </w:rPr>
        <w:t>:</w:t>
      </w:r>
      <w:bookmarkEnd w:id="504"/>
    </w:p>
    <w:p>
      <w:pPr>
        <w:pStyle w:val="BookText"/>
        <w:rPr/>
      </w:pPr>
      <w:r>
        <w:rPr>
          <w:rFonts w:ascii="IRNazanin" w:hAnsi="IRNazanin" w:eastAsia="IRNazanin"/>
          <w:color w:val="111111"/>
          <w:sz w:val="28"/>
          <w:sz w:val="28"/>
          <w:szCs w:val="28"/>
          <w:rtl w:val="true"/>
          <w:lang w:bidi="fa-IR"/>
        </w:rPr>
        <w:t>يأتي لفظ الخليفة والخلافة بمعنى الحكومة والقيادة السياسية والاجتماعية وكان في تلك العصور يدلّ على القيادة الدينية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المواطن في إثبات إمامته إلى الاستناد لاختياره من قبل رسول الله ليكون خليفة له، وفيما يأتي نشير إلى بعض هذه المواطن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خطبة الوسيلة بعد مرور سبعة أيام على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مسألة تنصيبه من قبل النبي الأكرم خليفة له على الأمة الإسلامية،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تَبَارَكَ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اخْتَصَّنِي بِوَصِيَّتِهِ وَاصْطَفَانِي بِخِلَافَتِهِ فِي أُمَّتِه</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استطرد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ذلك شاكياً من اغتصاب حقه، معتبراً ذلك انحرافاً عن الإسلام، وتمرداً على الرسول ، وظلما وجوراً عليه، حيث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وَاسْتَبْدَلُوا بِمُسْتَخْلَفِهِ بَدِيلًا اتَّخَذُوهُ وَكَانُوا ظَالِمِينَ، وَزَعَمُوا أَنَّ مَن اخْتَارُوا مِنْ آلِ أَبِي قُحَافَةَ أَوْلَى بِمَقَامِ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اخْتَارَ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أَوَّلَ شَهَادَةِ زُورٍ وَقَعَتْ فِي الْإِسْلَامِ، شَهَادَتْهُمْ أَنَّ صَاحِبَهُمْ </w:t>
      </w:r>
    </w:p>
    <w:p>
      <w:pPr>
        <w:pStyle w:val="BookText"/>
        <w:rPr/>
      </w:pPr>
      <w:r>
        <w:rPr>
          <w:rFonts w:ascii="Amiri" w:hAnsi="Amiri" w:eastAsia="Amiri" w:cs="Amiri"/>
          <w:color w:val="111111"/>
          <w:sz w:val="28"/>
          <w:sz w:val="28"/>
          <w:szCs w:val="28"/>
          <w:rtl w:val="true"/>
          <w:lang w:bidi="ar-SA"/>
        </w:rPr>
        <w:t>مُسْتَخْلَفُ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مِنْ أَمْرِ سَعْدِ بْنِ عُبَادَةَ مَا كَانَ، رَجَعُوا عَنْ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وَلَمْ يَسْتَخْلِفْ؛ فَكَانَ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الْمُبَارَكُ أَوَّلَ مَشْهُودٍ عَلَيْهِ بِالنُّورِ فِي الْإِسْلَامِ</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الاستدلال في حادثة الشورى المعينة من قبل 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نشدتكم بالله، هل فيكم أحد 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في الأهل والولد والمسلمين في كل غيبة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خطبة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تعيينه خليفة له في أمته،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الله نظر إلى أهل الأرض نظرة؛ فاختارني منهم، ثم نظر نظرة؛ فاختار أخي علياً ووزيري ووصيي وخليفتي في أمتي، وولي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رسولاً ونبياً ودليلاً، فأوحى إلي أن أتخذ علياً أخاً وولياً ووصياً وخليفة في أمتي بعدي</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المسجد بحضور عدد من بني هاشم، وبعض شيعته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ذر الغفاري، والمقداد بن الأسود، ومحمد بن أبي بكر، عن ادعاء المخالفين عدم استخلاف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وتركه الأمر إلى المسلمين، قائلاً</w:t>
      </w:r>
      <w:r>
        <w:rPr>
          <w:rFonts w:eastAsia="IRNazanin" w:cs="IRNazanin"/>
          <w:color w:val="111111"/>
          <w:sz w:val="28"/>
          <w:szCs w:val="28"/>
          <w:rtl w:val="true"/>
          <w:lang w:bidi="fa-IR"/>
        </w:rPr>
        <w:t xml:space="preserve">: </w:t>
      </w:r>
      <w:bookmarkStart w:id="505" w:name="pg15658_147119"/>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مما أشربت قلوب هذه الأمة من بليتهما وفتنتهما، من عجلها وسامريها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أقروا وادعوا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 أحداً وأنه أمر بالشورى</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بأنهم لم يلتزموا حتى بما ادعوه من أن النبي لم يستخلف،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أنهم أقروا ثم ادعوا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يستخلف أحداً، وأنهم أمروا بالشورى، ثم أقروا أنهم لم يشاوروا في أبي بكر وأن بيعته كانت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ذنب أعظم من الفلتة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استخلف أبو بكر عمر ولم يقتد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فيدعهم بغير استخلاف فقيل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 أمة محمد كالنعل الخلق، أدعهم بغير أحد استخلف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طعناً منه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ورغبة عن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 عمر شيئاً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يدعهم على ما ادعى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يستخلف ولا استخلف كما استخلف أبو بكر، وجاء بشيء ثالث وجعلها شورى بين ستة نفر وأخرج منها جميع العرب</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6" w:name="__RefHeading___Toc11030573_2142443653"/>
      <w:bookmarkStart w:id="507" w:name="_Toc182"/>
      <w:bookmarkEnd w:id="506"/>
      <w:r>
        <w:rPr>
          <w:rtl w:val="true"/>
        </w:rPr>
        <w:t>خامساً</w:t>
      </w:r>
      <w:r>
        <w:rPr>
          <w:rtl w:val="true"/>
        </w:rPr>
        <w:t xml:space="preserve">: </w:t>
      </w:r>
      <w:r>
        <w:rPr>
          <w:rtl w:val="true"/>
        </w:rPr>
        <w:t>حديث الوزارة</w:t>
      </w:r>
      <w:r>
        <w:rPr>
          <w:rtl w:val="true"/>
        </w:rPr>
        <w:t>:</w:t>
      </w:r>
      <w:bookmarkEnd w:id="50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النصوص بتعريف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وزيراً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اختيار الإمام علي لهذا المنصب علاوة على صلاحيته وكماله الذاتي، يحكي عن تنصيبه وتعيينه لهذا المنصب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توهّم شخص هنا بأن وزارة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تختص بفترة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النبي الأكرم ولا تشمل فترة ما بعد رحيله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الجواب عن ذلك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الشأن تعبّر عن أن هذا المنصب إنما خص به الإمام علياً لما يتمتع به من الصفات الذاتية، وليس هناك من داع أو سبب لتغييره وعزله عما ثبت له 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نصوص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مطلقة، بل صريحة في شمولها لما بعد رحيله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والدليل على ذلك استناد الإمام على إلى هذه النصوص واستشهاده بها في معرض الاستدلال على المخالفين، ولم يشكل عليه أحد من هؤلاء المخالفين بإيراد هذه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هذا التوضيح، نشير إلى عدد من الروايات الواردة بهذا الشأن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طلب من أبي بكر بن أبي قحافة أن يجيبه في مقام المحاججة عن حديث الوزارة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بالله ألي الوزارة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والمثل من هارون وموسى، أم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لك</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وبذلك يذعن أبو بكر لدليل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يطرح شبهة اختصاص ذلك بفترة حياة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تقدّم في الصفحات السابقة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يستدل بحديث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تعيينه في منصب الوزارة بأمر من لله في مقام احتجاجه على المخالفين، والملفت للانتباه في هذا الاستدلال هو إسناد اختصاص الوزارة بالإمام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كانت بأمر من الله، وهو أمرٌ يُثبت استمرار هذه الإمامة إلى ما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الله نظر إلى أهل الأرض نظرة؛ فاختار أخي علياً وزيري </w:t>
      </w:r>
    </w:p>
    <w:p>
      <w:pPr>
        <w:pStyle w:val="BookText"/>
        <w:rPr/>
      </w:pPr>
      <w:r>
        <w:rPr>
          <w:rFonts w:ascii="Amiri" w:hAnsi="Amiri" w:eastAsia="Amiri" w:cs="Amiri"/>
          <w:color w:val="111111"/>
          <w:sz w:val="28"/>
          <w:sz w:val="28"/>
          <w:szCs w:val="28"/>
          <w:rtl w:val="true"/>
          <w:lang w:bidi="ar-SA"/>
        </w:rPr>
        <w:t>وخليفتى في أمتي، وولي كل مؤمن بعدي</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استند الإمام علي في معرض الاحتجاج على أصحاب الشورى التي رشحها عمر بن الخطاب إلى فقرة من كلام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حقه، إذ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نشدتكم بالله هل فيكم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ووزيري وصاحبي من أهلي، 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هذا الحديث لو لم يكن يدل على إمامته وحكومته لما استدل به أصلاً، هذا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أعضاء الشورى قد اعترضوا على هذا الاستدلال، في حين أنهم لم يفعلوا ذلك، بل أيدوه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استعمل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بالوزير في حديث غدير خم أيضاً، من هنا نجد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معرض استدلاله على أصحاب الشورى ومناشدته لهم، يشير إلى حديث الغدير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نشدتكم بالله هل فيكم أحد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غدير خم بيده فرفعها حتى نظر الناس إلى بياض إبطه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ابن عمي ووزيري فوازروه وناصحوه وصدقوه فإنه وليكم، غيري؟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تعريف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 وزيراً له في سنوات حياته الأخيرة، ودعوة الناس إلى التعاطي معه بوصفه وزيراً، </w:t>
      </w:r>
      <w:bookmarkStart w:id="508" w:name="pg15658_147122"/>
    </w:p>
    <w:p>
      <w:pPr>
        <w:pStyle w:val="BookText"/>
        <w:rPr/>
      </w:pPr>
      <w:bookmarkEnd w:id="508"/>
      <w:r>
        <w:rPr>
          <w:rFonts w:ascii="Amiri" w:hAnsi="Amiri" w:eastAsia="Amiri" w:cs="Amiri"/>
          <w:color w:val="111111"/>
          <w:sz w:val="28"/>
          <w:sz w:val="28"/>
          <w:szCs w:val="28"/>
          <w:rtl w:val="true"/>
          <w:lang w:bidi="ar-SA"/>
        </w:rPr>
        <w:t xml:space="preserve">ومناصحته وتصديقه وتعريفه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شواهد على قيادته السياسية والمعنوية بعد رحيله ولا تختص بمرجعيته العلمية والدينية؛ لأن تعابير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والدعوة إلى مناصحته، وتعريفه بوصفه ولياً وخليفة له إنما ينسجم مع مرجعيته العلمية والسياسية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1030575_2142443653"/>
      <w:bookmarkStart w:id="510" w:name="_Toc183"/>
      <w:bookmarkEnd w:id="509"/>
      <w:r>
        <w:rPr>
          <w:rtl w:val="true"/>
        </w:rPr>
        <w:t>سادساً</w:t>
      </w:r>
      <w:r>
        <w:rPr>
          <w:rtl w:val="true"/>
        </w:rPr>
        <w:t xml:space="preserve">: </w:t>
      </w:r>
      <w:r>
        <w:rPr>
          <w:rtl w:val="true"/>
        </w:rPr>
        <w:t>حديث أمير المؤمنين</w:t>
      </w:r>
      <w:r>
        <w:rPr>
          <w:rtl w:val="true"/>
        </w:rPr>
        <w:t>:</w:t>
      </w:r>
      <w:bookmarkEnd w:id="510"/>
    </w:p>
    <w:p>
      <w:p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الإسلام كانت تعد من العبارات السياسية والاجتماعية التي تطلق من قبل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بشكل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الحاكم والزعيم السياسي والروحي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 يصف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مختلف المواطن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ينادي عليه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إمرة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يأمر</w:t>
      </w:r>
    </w:p>
    <w:p>
      <w:pPr>
        <w:pStyle w:val="BookText"/>
        <w:rPr/>
      </w:pPr>
      <w:r>
        <w:rPr>
          <w:rFonts w:ascii="Amiri" w:hAnsi="Amiri" w:eastAsia="Amiri" w:cs="Amiri"/>
          <w:color w:val="111111"/>
          <w:sz w:val="28"/>
          <w:sz w:val="28"/>
          <w:szCs w:val="28"/>
          <w:rtl w:val="true"/>
          <w:lang w:bidi="ar-SA"/>
        </w:rPr>
        <w:t>المسلمين عند إلقاء التحية والسلام على الإمام علي بوصفه أمير المؤمنين، وليس بوصفه فرداً عادياً، وبذلك كان يرمي إلى تمهيد الأرضية لحكمه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الإمام علي إلى هذه الحقيقة في معرض احتجاجه على الخصوم، وهو أمر يثبت دلالة هذا المفهوم على المدعى، وفيما يأتي نشير إلى بعض هذه الموارد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معرض محاججته لأبي بكر بذكر مختلف الأدلة على إمامته، يذكر هذا الحديث بوصفه واحداً من أدلته، إذ يقول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فأنشدك الله أنا الذي أمر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بالسلام علي بالإمرة في حياته، أم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511" w:name="pg15658_147123"/>
    </w:p>
    <w:p>
      <w:pPr>
        <w:pStyle w:val="Heading3"/>
        <w:numPr>
          <w:ilvl w:val="2"/>
          <w:numId w:val="1"/>
        </w:numPr>
        <w:rPr/>
      </w:pPr>
      <w:bookmarkStart w:id="512" w:name="__RefHeading___Toc11030577_2142443653"/>
      <w:bookmarkStart w:id="513" w:name="_Toc184"/>
      <w:bookmarkEnd w:id="511"/>
      <w:bookmarkEnd w:id="512"/>
      <w:r>
        <w:rPr>
          <w:rtl w:val="true"/>
        </w:rPr>
        <w:t>الاستنتاجات</w:t>
      </w:r>
      <w:r>
        <w:rPr>
          <w:rtl w:val="true"/>
        </w:rPr>
        <w:t>:</w:t>
      </w:r>
      <w:bookmarkEnd w:id="5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أدعي قطعية جميع الأسانيد والروايات الواردة في المصادر، ومن بينها اعتبار جميع روايات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قيس الهلالي</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وقطعيتها، ولربما كان بعضها يعاني من بعض المشاكل الروائية،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أو الرفع، ولكن هناك فى الوقت نفسه روايات صحيحة وموثوقة، أجمعت على نقلها المصادر الشيعية والسنية على السواء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خلال التأمل في مجموع الروايات والأسانيد المتنوعة الناظرة إلى محتوى واحد، يحصل لنا علم بالتواتر الاجمالي والمعنوي، ويمكن القول على هذا الأساس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احتج قطعاً على مخالفيه بالنصوص النبوية، ومن هذه الناحية لا يمكن التشكيك في اعتبار هذه الروايات والطعن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يستفاد من مجموع الروايات وكذلك استناد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استشهاده بهذه النصوص فيما يتعلق بمسألة الخلافة والإمامة والبيعة، أن روايات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تعنى الإمامة بمعناها العام الناظر إلى المرجعية العلمية والدينية والخلافة والقيادة السياسية والاجتماعية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يُفهم من كلمات الروايات ومضامينها أن تعيين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وإماماً على الأمة، لم يكن مجرد تعريف على مستوى الترشيح، بل بوصفه تنصيباً إلهياً ونبوياً، وإن هذا التنصيب يجب على الأمة الإسلامية إطاعته بوصفه واجباً دينياً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يُستفاد من الروايات النبوية التي يستند إليها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يرى العنصر الأساسي في الإمامة هو وجود التنصيب الإلهي والسماوي، ويعتقد بأن هذا الأصل لم يتحقق إلا بالنسبة له، ولم يشمل أي واحد من الخلفاء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ينبغي بالذي يؤمن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وعدالته وصدقه في الحد الأدنى، أن يتعامل مع مذهب الإمام بوصفه أصلاً دينياً، وأن لا ينكره أو يعمل على تأويله لمجرد عدم العثور على نصوص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السنة الذين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وعدالة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واحداً من أفضل الصحابة، فعليهم أن يجيبوا عن جميع هذه الاحتجاجات المنطقية والوجدانية التي صدع بها الإمام؛ فإنهم مسؤولون عن ذلك أمام الله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مجرد حمل هذا الكم الهائل من النصوص على أحقيته وأفضليته، كما تقدم في بداية شبهة ابن أبي الحديد المعتزلي</w:t>
      </w:r>
      <w:r>
        <w:rPr>
          <w:rStyle w:val="FootnoteAnchor"/>
          <w:rtl w:val="true"/>
        </w:rPr>
        <w:footnoteReference w:id="662"/>
      </w:r>
      <w:r>
        <w:rPr>
          <w:rFonts w:ascii="IRNazanin" w:hAnsi="IRNazanin" w:eastAsia="IRNazanin"/>
          <w:color w:val="111111"/>
          <w:sz w:val="28"/>
          <w:sz w:val="28"/>
          <w:szCs w:val="28"/>
          <w:rtl w:val="true"/>
          <w:lang w:bidi="fa-IR"/>
        </w:rPr>
        <w:t>، بل هذا في الحقيقة ترك لنصوص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القول بجرأة أن هذا الأمر ينطوي على اتهام الإمام بالمبالغة والكذب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تبييضاً لصفحة سائر الخلفاء الآخرين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التنصيب هو من أركان مذهب التشيع، وليس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شخص بتأويل النصوص صادقاً فيما بينه وبين الله، ولم يكن مكابراً أو معانداً، فإنه سيكون عندها منكراً لركن من الأركان الرئيسة في مذهب التشيّع، ولا يخرجه ذلك من ربقة الإسلام، فإن للإسلام والإيمان مراتب ودرجات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الإمامة من أصول التشيع دون الإسلام، وقد ذكرت تفصيل هذا الأمر في موضع آخر</w:t>
      </w:r>
      <w:r>
        <w:rPr>
          <w:rFonts w:eastAsia="Amiri" w:cs="Amiri" w:ascii="Amiri" w:hAnsi="Amiri"/>
          <w:color w:val="111111"/>
          <w:sz w:val="28"/>
          <w:szCs w:val="28"/>
          <w:rtl w:val="true"/>
          <w:lang w:bidi="ar-SA"/>
        </w:rPr>
        <w:t xml:space="preserve">. </w:t>
      </w:r>
      <w:bookmarkStart w:id="514" w:name="pg15658_147125"/>
    </w:p>
    <w:p>
      <w:pPr>
        <w:pStyle w:val="Heading3"/>
        <w:numPr>
          <w:ilvl w:val="2"/>
          <w:numId w:val="1"/>
        </w:numPr>
        <w:rPr/>
      </w:pPr>
      <w:bookmarkStart w:id="515" w:name="__RefHeading___Toc11030579_2142443653"/>
      <w:bookmarkStart w:id="516" w:name="_Toc185"/>
      <w:bookmarkEnd w:id="514"/>
      <w:bookmarkEnd w:id="515"/>
      <w:r>
        <w:rPr>
          <w:rtl w:val="true"/>
        </w:rPr>
        <w:t>الشبهة الثامنة</w:t>
      </w:r>
      <w:r>
        <w:rPr>
          <w:rtl w:val="true"/>
        </w:rPr>
        <w:t xml:space="preserve">: </w:t>
      </w:r>
      <w:r>
        <w:rPr>
          <w:rtl w:val="true"/>
        </w:rPr>
        <w:t>عدم مبادرة الإمام للتصدي إلى الحكم</w:t>
      </w:r>
      <w:r>
        <w:rPr>
          <w:rtl w:val="true"/>
        </w:rPr>
        <w:t>:</w:t>
      </w:r>
      <w:bookmarkEnd w:id="516"/>
    </w:p>
    <w:p>
      <w:pPr>
        <w:pStyle w:val="Heading4"/>
        <w:numPr>
          <w:ilvl w:val="3"/>
          <w:numId w:val="1"/>
        </w:numPr>
        <w:rPr/>
      </w:pPr>
      <w:bookmarkStart w:id="517" w:name="__RefHeading___Toc11030581_2142443653"/>
      <w:bookmarkStart w:id="518" w:name="_Toc186"/>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إن من بين الشبهات القديمة التى يتمسك بها علماء أهل السنة لرفض أصل التنصيب دعوى عدم مبادرة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المطالبة بالحكم واستلام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يدعون أنه لو كان هناك نص صادر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خلافة الإمام علي حقاً،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 تنصيب بالفعل، لتعين على الإمام على أن يفعل شيئاً لأخذ حقه الثابت ولا يسكت عنه أبداً، في حين لم يحصل 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طرح هذه الشبهة بعض أهل السنة</w:t>
      </w:r>
      <w:r>
        <w:rPr>
          <w:rStyle w:val="FootnoteAnchor"/>
          <w:rtl w:val="true"/>
        </w:rPr>
        <w:footnoteReference w:id="663"/>
      </w:r>
      <w:r>
        <w:rPr>
          <w:rFonts w:ascii="Amiri" w:hAnsi="Amiri" w:eastAsia="Amiri" w:cs="Amiri"/>
          <w:color w:val="111111"/>
          <w:sz w:val="28"/>
          <w:sz w:val="28"/>
          <w:szCs w:val="28"/>
          <w:rtl w:val="true"/>
          <w:lang w:bidi="ar-SA"/>
        </w:rPr>
        <w:t>، وعدد من الشيعة الذين يصطلح عليهم بالمستنيرين</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وخدا هدف بعثت،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؛وانظر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الحائري اليزدي، حکمت وحكومت،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أحمد القبانجي، خلافة الإمام علي بالنص أم بالنصب،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الجدير معرفته أن السيد عبد العلي بازركان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المهندس مهدي بازركان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يعترف بجهود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المطالبة بالسلطة كما نجد ذلك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 وبیعت حاکمیت خدا در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خلال إلقاء نظرة عابرة على التاريخ ندرك أن هذا الكلام لا يعدو أن يكون مجرد ادعاء باطل لا يستند إلى أي دليل، وهذا ما تثبته الأدلة الآتية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030583_2142443653"/>
      <w:bookmarkStart w:id="520" w:name="_Toc187"/>
      <w:bookmarkEnd w:id="519"/>
      <w:r>
        <w:rPr>
          <w:rtl w:val="true"/>
        </w:rPr>
        <w:t xml:space="preserve">أ </w:t>
      </w:r>
      <w:r>
        <w:rPr>
          <w:rtl w:val="true"/>
        </w:rPr>
        <w:t xml:space="preserve">- </w:t>
      </w:r>
      <w:r>
        <w:rPr>
          <w:rtl w:val="true"/>
        </w:rPr>
        <w:t>الاعتصام في بيت السيدة فاطمة الزهراء</w:t>
      </w:r>
      <w:r>
        <w:rPr>
          <w:rtl w:val="true"/>
        </w:rPr>
        <w:t>(</w:t>
      </w:r>
      <w:r>
        <w:rPr>
          <w:rtl w:val="true"/>
        </w:rPr>
        <w:t>سلام الله علیها</w:t>
      </w:r>
      <w:r>
        <w:rPr>
          <w:rtl w:val="true"/>
        </w:rPr>
        <w:t>):</w:t>
      </w:r>
      <w:bookmarkEnd w:id="5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،صار بعض الصحابة من الذين لم يبايعوا </w:t>
      </w:r>
      <w:bookmarkStart w:id="521" w:name="pg15658_147126"/>
    </w:p>
    <w:p>
      <w:pPr>
        <w:pStyle w:val="BookText"/>
        <w:rPr/>
      </w:pPr>
      <w:bookmarkEnd w:id="521"/>
      <w:r>
        <w:rPr>
          <w:rFonts w:ascii="IRNazanin" w:hAnsi="IRNazanin" w:eastAsia="IRNazanin"/>
          <w:color w:val="111111"/>
          <w:sz w:val="28"/>
          <w:sz w:val="28"/>
          <w:szCs w:val="28"/>
          <w:rtl w:val="true"/>
          <w:lang w:bidi="fa-IR"/>
        </w:rPr>
        <w:t>الخليفة الأول بصدد القيام بعمل ما من أجل الحصول على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يحقنوا دماءهم من بطش السلطة تحصنوا في دار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بوصفها وديعة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متصورين أن الخليفة وأجهزته الأمنية لا تستطيع هتك حرمة بنت الرسول الوحيدة واقتحامه بالإكراه لإلقاء القبض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تصوّرهم ظل على حدود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أرسلت السلطة بعض قوات النخبة بقيادة عمر بن الخطاب لاقتحام بيت الزهراء وإلقاء القبض على المعتصمين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وهنالك هدّد عمر المعتصمين بحرق البيت على من فيه إن لم يخرجوا، وبعد إصرار المعتصمين على مواقفهم تم اقتحام البيت وتجريد المعتصمين من أسلحتهم، وحدثت هناك مناوشة كسر على إثرها سيف الزبير بن العوام أيضاً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هنا لسنا بصدد بيان تفاصيل الأحداث المتقدمة، وإنما نطرح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يكونا على خلاف مع الحكم الجديد، فلماذا فتحا بيتهما للمعارضين كي يتحصنوا فيه؟</w:t>
      </w:r>
      <w:r>
        <w:rPr>
          <w:rFonts w:eastAsia="IRNazanin" w:cs="IRNazanin"/>
          <w:color w:val="111111"/>
          <w:sz w:val="28"/>
          <w:szCs w:val="28"/>
          <w:rtl w:val="true"/>
          <w:lang w:bidi="fa-IR"/>
        </w:rPr>
        <w:t>!</w:t>
      </w:r>
    </w:p>
    <w:p>
      <w:pPr>
        <w:pStyle w:val="Heading4"/>
        <w:numPr>
          <w:ilvl w:val="3"/>
          <w:numId w:val="1"/>
        </w:numPr>
        <w:rPr/>
      </w:pPr>
      <w:bookmarkStart w:id="522" w:name="__RefHeading___Toc11030585_2142443653"/>
      <w:bookmarkStart w:id="523" w:name="_Toc188"/>
      <w:bookmarkEnd w:id="522"/>
      <w:r>
        <w:rPr>
          <w:rtl w:val="true"/>
        </w:rPr>
        <w:t xml:space="preserve">ب </w:t>
      </w:r>
      <w:r>
        <w:rPr>
          <w:rtl w:val="true"/>
        </w:rPr>
        <w:t xml:space="preserve">- </w:t>
      </w:r>
      <w:r>
        <w:rPr>
          <w:rtl w:val="true"/>
        </w:rPr>
        <w:t>كراهة البيعة</w:t>
      </w:r>
      <w:r>
        <w:rPr>
          <w:rtl w:val="true"/>
        </w:rPr>
        <w:t>:</w:t>
      </w:r>
      <w:bookmarkEnd w:id="52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الصحابة من كره مبايعة أبي بكر بن أبي قحافة، فتم إجباره على البيعة بالإكراه، وأما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يبايع حتى مضت أشهر ستة، وبذلك أثبت عدم شرعية أصل خلافة الخليفة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الإمام من </w:t>
      </w:r>
      <w:bookmarkStart w:id="524" w:name="pg15658_147127"/>
    </w:p>
    <w:p>
      <w:pPr>
        <w:pStyle w:val="BookText"/>
        <w:rPr/>
      </w:pPr>
      <w:bookmarkEnd w:id="524"/>
      <w:r>
        <w:rPr>
          <w:rFonts w:ascii="Amiri" w:hAnsi="Amiri" w:eastAsia="Amiri" w:cs="Amiri"/>
          <w:color w:val="111111"/>
          <w:sz w:val="28"/>
          <w:sz w:val="28"/>
          <w:szCs w:val="28"/>
          <w:rtl w:val="true"/>
          <w:lang w:bidi="ar-SA"/>
        </w:rPr>
        <w:t>القائلين بمشروعية الخليفة الأول منذ البداية، لما كان هناك من داع أو دافع لإصراره على عدم البيعة طوال هذه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أجل هناك من المؤرخين السنة من حاول لدواع مختلفة أن يثبت بأن الإمام علياً سارع إلى مبايعة الخليفة الأول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المؤرخين المنصفين من أهل السنة</w:t>
      </w:r>
      <w:r>
        <w:rPr>
          <w:rStyle w:val="FootnoteAnchor"/>
          <w:rtl w:val="true"/>
        </w:rPr>
        <w:footnoteReference w:id="667"/>
      </w:r>
      <w:r>
        <w:rPr>
          <w:rFonts w:ascii="IRNazanin" w:hAnsi="IRNazanin" w:eastAsia="IRNazanin"/>
          <w:color w:val="111111"/>
          <w:sz w:val="28"/>
          <w:sz w:val="28"/>
          <w:szCs w:val="28"/>
          <w:rtl w:val="true"/>
          <w:lang w:bidi="fa-IR"/>
        </w:rPr>
        <w:t>، حتى الذين ينتقدون مواقف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ابن حزم</w:t>
      </w:r>
      <w:r>
        <w:rPr>
          <w:rStyle w:val="FootnoteAnchor"/>
          <w:rtl w:val="true"/>
        </w:rPr>
        <w:footnoteReference w:id="668"/>
      </w:r>
      <w:r>
        <w:rPr>
          <w:rFonts w:ascii="IRNazanin" w:hAnsi="IRNazanin" w:eastAsia="IRNazanin"/>
          <w:color w:val="111111"/>
          <w:sz w:val="28"/>
          <w:sz w:val="28"/>
          <w:szCs w:val="28"/>
          <w:rtl w:val="true"/>
          <w:lang w:bidi="fa-IR"/>
        </w:rPr>
        <w:t>، يرفض هذه الأقوال ويعتبرها عديمة للقيمة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هناك منهم من أضاف أن الإمام علياً لم يبايع مدة حياة السيدة فاطمة الزهراء، وإنه لم يبايع أبا بكر أحد من بني هاشم إلا بعد وفاة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Heading4"/>
        <w:numPr>
          <w:ilvl w:val="3"/>
          <w:numId w:val="1"/>
        </w:numPr>
        <w:rPr/>
      </w:pPr>
      <w:bookmarkStart w:id="525" w:name="__RefHeading___Toc11030587_2142443653"/>
      <w:bookmarkStart w:id="526" w:name="_Toc189"/>
      <w:bookmarkEnd w:id="525"/>
      <w:r>
        <w:rPr>
          <w:rtl w:val="true"/>
        </w:rPr>
        <w:t xml:space="preserve">ج </w:t>
      </w:r>
      <w:r>
        <w:rPr>
          <w:rtl w:val="true"/>
        </w:rPr>
        <w:t xml:space="preserve">- </w:t>
      </w:r>
      <w:r>
        <w:rPr>
          <w:rtl w:val="true"/>
        </w:rPr>
        <w:t>النشاط السري والعلني والمواجهة المسلحة</w:t>
      </w:r>
      <w:r>
        <w:rPr>
          <w:rtl w:val="true"/>
        </w:rPr>
        <w:t>:</w:t>
      </w:r>
      <w:bookmarkEnd w:id="52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نشاط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يتعلق باسترجاع حقه في الحكم لم يقتصر على النشاط السلبي فقط، بل بادر إلى العمل في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يراه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إيجابي وعملي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البارز على ذلك طواف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على بيوت الأنصار بغية إقناعهم في العدول عن بيعتهم لأبي بكر، وإعادة الحقوق إلى </w:t>
      </w:r>
    </w:p>
    <w:p>
      <w:pPr>
        <w:pStyle w:val="BookText"/>
        <w:rPr/>
      </w:pPr>
      <w:r>
        <w:rPr>
          <w:rFonts w:ascii="IRNazanin" w:hAnsi="IRNazanin" w:eastAsia="IRNazanin"/>
          <w:color w:val="111111"/>
          <w:sz w:val="28"/>
          <w:sz w:val="28"/>
          <w:szCs w:val="28"/>
          <w:rtl w:val="true"/>
          <w:lang w:bidi="fa-IR"/>
        </w:rPr>
        <w:t>أهلها، ولكنه للأسف الشديد لم يحصل على من يؤيّده سوى أربعة أشخاص أو خمسة بحجة أن بيعتنا قد مضت لهذا الرجل وقد روى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الحادثة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أخذت بيد فاطمة وابني الحسن والحسين ثم درت على أهل بدر وأهل السابقة فناشدتهم حقي ودعوتهم إلى نصري، فما أجابني منهم إلا أربعة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وعمار والمقداد وأبو ذر ، وذهب من كنت أعتضد بهم على دين الله من أهل بيتي، وبقيت بين خفيرتين قريبي العهد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والعباس</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أبو بكر الجوهري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مؤرخ سني عين هذه الحادثة، وأضاف إليها قول الأنصار في الاعتذار للسيدة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بنت رسول الله، قد مضت بيعتنا لهذا الرجل، لو كان ابن عمك سبق إلينا أبا بكر ما عدلنا به،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أكنت أترك رسول الله ميتاً في بيته لا أجهزة، وأخرج إلى الناس أنازعهم في سلطانه</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معاوية بن أبي سفيان إلى هذه الحادثة في رسالة بعث بها إلى الإمام، وقد اتهمه فيها بزعمه أنه كان يطالب بالباطل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الآخر على ذلك ما صرحت به السيدة فاطمة الزهراء في خطبتها المعروفة حيث تقول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أأهضم تراث أبي وأنتم بمرأى مني ومسمع، ومبتد و مجمع ؟ تلبسكم الدعوة، وتشملكم الخبرة، وأنتم ذا العدد والعدة، والأداة والقوة، وعندكم السلاح والجنة، توافيكم الدعوة فلا تجيبون، وتأتيكم الصرخة فلا تغيثون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جهود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الحق والمطالبة به بعد رحيل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الوضوح والصراحة والإصرار بحيث اتهمه المخالفون بالجشع والتهالك على السلطة، فكان جواب الإمام علي 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حَقًّا لِي وَأَنْتُمْ تَكُولُونَ بَيْنِي وَبَيْنَهُ وَتَضْرِبُونَ وَجْهِي دُونَهُ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بجهود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السياق حتى المخالفون المنصفون أيضاً</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هذه الجهود التي قام بها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بالإعراض والصدود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حد تعبير سلمان الذي كان من بين المدعويين أنه لم يستجب لدعوة الإمام سوى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فبايعهم على الموت، وأمرهم أن يصبحوا بكرة محلقي رؤوسهم ومعهم سلاحهم، فلما أصبح لم يوافه منهم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والمقداد وأبو ذر وسلمان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527" w:name="pg15658_147130"/>
    </w:p>
    <w:p>
      <w:pPr>
        <w:pStyle w:val="BookText"/>
        <w:rPr/>
      </w:pPr>
      <w:bookmarkEnd w:id="527"/>
      <w:r>
        <w:rPr>
          <w:rFonts w:ascii="Amiri" w:hAnsi="Amiri" w:eastAsia="Amiri" w:cs="Amiri"/>
          <w:color w:val="111111"/>
          <w:sz w:val="28"/>
          <w:sz w:val="28"/>
          <w:szCs w:val="28"/>
          <w:rtl w:val="true"/>
          <w:lang w:bidi="ar-SA"/>
        </w:rPr>
        <w:t>حصيلة الكلام أنه بعد كل هذه الجهود والأنشطة التي يمكن القول إنها بلغت حد العمل على إسقاط السلطة بالسبل المشروعة، هل يمكن اتهام الإمام بأنه اختار السكوت ولم يقم بأي عمل يقوّض شرعية السلطة الغاصبة؟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هذه التهمة ليست ظلماً فحسب، بل تؤكد أن القائلين بها لا يمتلكون أدنى معرفة بتاريخ صدر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لما قلبوا الحقائق، وقدموها إلى الناس بشكل معكوس</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8" w:name="__RefHeading___Toc11030589_2142443653"/>
      <w:bookmarkStart w:id="529" w:name="_Toc190"/>
      <w:bookmarkEnd w:id="528"/>
      <w:r>
        <w:rPr>
          <w:rtl w:val="true"/>
        </w:rPr>
        <w:t xml:space="preserve">د </w:t>
      </w:r>
      <w:r>
        <w:rPr>
          <w:rtl w:val="true"/>
        </w:rPr>
        <w:t xml:space="preserve">- </w:t>
      </w:r>
      <w:r>
        <w:rPr>
          <w:rtl w:val="true"/>
        </w:rPr>
        <w:t>نصوص الإمام</w:t>
      </w:r>
      <w:r>
        <w:rPr>
          <w:rtl w:val="true"/>
        </w:rPr>
        <w:t>(</w:t>
      </w:r>
      <w:r>
        <w:rPr>
          <w:rtl w:val="true"/>
        </w:rPr>
        <w:t>علیه السّلام</w:t>
      </w:r>
      <w:r>
        <w:rPr>
          <w:rtl w:val="true"/>
        </w:rPr>
        <w:t>)</w:t>
      </w:r>
      <w:r>
        <w:rPr>
          <w:rtl w:val="true"/>
        </w:rPr>
        <w:t xml:space="preserve">بشأن الإمامة </w:t>
      </w:r>
      <w:r>
        <w:rPr>
          <w:rtl w:val="true"/>
        </w:rPr>
        <w:t>:</w:t>
      </w:r>
      <w:bookmarkEnd w:id="529"/>
    </w:p>
    <w:p>
      <w:pPr>
        <w:pStyle w:val="BookText"/>
        <w:rPr/>
      </w:pPr>
      <w:r>
        <w:rPr>
          <w:rFonts w:ascii="IRNazanin" w:hAnsi="IRNazanin" w:eastAsia="IRNazanin"/>
          <w:color w:val="111111"/>
          <w:sz w:val="28"/>
          <w:sz w:val="28"/>
          <w:szCs w:val="28"/>
          <w:rtl w:val="true"/>
          <w:lang w:bidi="fa-IR"/>
        </w:rPr>
        <w:t>إذا نحن تجاوزنا جميع هذه الحقائق التاريخية، وقلنا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يقم بأي نشاط عملي ضد الحكومات وأنه اختار السكوت، مع 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السكوت لا يدل على الرضا ومشروعية خلافة الخلفاء في عصر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إذ هناك إلى جانب هذا السكوت الكثير من النصوص الدالة على اختصاص الإمامة والحكم بالإمام علي بن أبي طالب، واغتصابها من قبل الآخرين، والانتقادات التي وجهها الإمام بهذا الشأن إليهم، وهذه النصوص تدلّ بأجمعها على عدم رضاه عن الخلفاء وعدم شرعيتهم، وعلى الباحث والمحقق أن يأخذ جميع هذه النصوص بنظر الاعتبار</w:t>
      </w:r>
      <w:r>
        <w:rPr>
          <w:rFonts w:eastAsia="IRNazanin" w:cs="IRNazanin"/>
          <w:color w:val="111111"/>
          <w:sz w:val="28"/>
          <w:szCs w:val="28"/>
          <w:rtl w:val="true"/>
          <w:lang w:bidi="fa-IR"/>
        </w:rPr>
        <w:t>.</w:t>
      </w:r>
    </w:p>
    <w:p>
      <w:pPr>
        <w:pStyle w:val="Heading3"/>
        <w:numPr>
          <w:ilvl w:val="2"/>
          <w:numId w:val="1"/>
        </w:numPr>
        <w:rPr/>
      </w:pPr>
      <w:bookmarkStart w:id="530" w:name="__RefHeading___Toc11030591_2142443653"/>
      <w:bookmarkStart w:id="531" w:name="_Toc191"/>
      <w:bookmarkEnd w:id="530"/>
      <w:r>
        <w:rPr>
          <w:rtl w:val="true"/>
        </w:rPr>
        <w:t>الشبهة التاسعة</w:t>
      </w:r>
      <w:r>
        <w:rPr>
          <w:rtl w:val="true"/>
        </w:rPr>
        <w:t xml:space="preserve">: </w:t>
      </w:r>
      <w:r>
        <w:rPr>
          <w:rtl w:val="true"/>
        </w:rPr>
        <w:t>سكوت الإمام علي</w:t>
      </w:r>
      <w:r>
        <w:rPr>
          <w:rtl w:val="true"/>
        </w:rPr>
        <w:t>(</w:t>
      </w:r>
      <w:r>
        <w:rPr>
          <w:rtl w:val="true"/>
        </w:rPr>
        <w:t>علیه السّلام</w:t>
      </w:r>
      <w:r>
        <w:rPr>
          <w:rtl w:val="true"/>
        </w:rPr>
        <w:t>):</w:t>
      </w:r>
      <w:bookmarkEnd w:id="531"/>
    </w:p>
    <w:p>
      <w:pPr>
        <w:pStyle w:val="Heading4"/>
        <w:numPr>
          <w:ilvl w:val="3"/>
          <w:numId w:val="1"/>
        </w:numPr>
        <w:rPr/>
      </w:pPr>
      <w:bookmarkStart w:id="532" w:name="__RefHeading___Toc11030593_2142443653"/>
      <w:bookmarkStart w:id="533" w:name="_Toc192"/>
      <w:bookmarkEnd w:id="532"/>
      <w:r>
        <w:rPr>
          <w:rtl w:val="true"/>
        </w:rPr>
        <w:t>اشارة</w:t>
      </w:r>
      <w:bookmarkEnd w:id="53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اتضح من خلال نقد الشبهة السابقة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w:t>
      </w:r>
      <w:bookmarkStart w:id="534" w:name="pg15658_147131"/>
    </w:p>
    <w:p>
      <w:pPr>
        <w:pStyle w:val="BookText"/>
        <w:rPr/>
      </w:pPr>
      <w:bookmarkEnd w:id="534"/>
      <w:r>
        <w:rPr>
          <w:rFonts w:ascii="IRNazanin" w:hAnsi="IRNazanin" w:eastAsia="IRNazanin"/>
          <w:color w:val="111111"/>
          <w:sz w:val="28"/>
          <w:sz w:val="28"/>
          <w:szCs w:val="28"/>
          <w:rtl w:val="true"/>
          <w:lang w:bidi="fa-IR"/>
        </w:rPr>
        <w:t>المرحلة الأولى بصدد المواجهة مع مغتصبي الخلافة، ولكنه فوجئ بقلة الناصر؛ فآثر الصبر واضطر إلى كظم غيظه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هناك من اعتبر سكوت الإمام مدة خمسة وعشرين سنة تأييداً للحكومات التي عاصرها، ورأى في ذلك مؤشراً على العلاقة الودية بينه وبين الخلفاء، أو في الحد الأدنى عدم اعتراضه عليهم، وذهب إلى الاعتقاد بأنه حيث يتمتع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بشجاعة لا تنكر، ومعاناة المرشح المنافس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الشيخوخة، لماذا آثر السكوت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السكوت علامة الرضا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تمت الإشارة إلى أن اتهام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بالسكوت في المرحلة الأولى غير مقبول؛ إذ إن الإمام سعى بمختلف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أن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استرجاع السلطة، أو أن يتمّ الحجّة في الحد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في المرحلة الثانية حيث اختار الإمام السكوت النسبي، بمعنى عدم قيامه بحركة للاستيلاء على السلطة، لا بمعنى ترك الانتقاد وعدم تصحيح المسار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لتبريره أدلة مختلفة، وفيما يلي نشير إلى أربعة من الأدلة التي أكد الإمام عليها في النصوص المأثورة عنه بنفسه </w:t>
      </w:r>
      <w:r>
        <w:rPr>
          <w:rFonts w:eastAsia="IRNazanin" w:cs="IRNazanin"/>
          <w:color w:val="111111"/>
          <w:sz w:val="28"/>
          <w:szCs w:val="28"/>
          <w:rtl w:val="true"/>
          <w:lang w:bidi="fa-IR"/>
        </w:rPr>
        <w:t>:</w:t>
      </w:r>
    </w:p>
    <w:p>
      <w:pPr>
        <w:pStyle w:val="Heading4"/>
        <w:numPr>
          <w:ilvl w:val="3"/>
          <w:numId w:val="1"/>
        </w:numPr>
        <w:rPr/>
      </w:pPr>
      <w:bookmarkStart w:id="535" w:name="__RefHeading___Toc11030595_2142443653"/>
      <w:bookmarkStart w:id="536" w:name="_Toc193"/>
      <w:bookmarkEnd w:id="535"/>
      <w:r>
        <w:rPr>
          <w:rtl w:val="true"/>
        </w:rPr>
        <w:t xml:space="preserve">أ </w:t>
      </w:r>
      <w:r>
        <w:rPr>
          <w:rtl w:val="true"/>
        </w:rPr>
        <w:t xml:space="preserve">- </w:t>
      </w:r>
      <w:r>
        <w:rPr>
          <w:rtl w:val="true"/>
        </w:rPr>
        <w:t>غياب الأنصار</w:t>
      </w:r>
      <w:r>
        <w:rPr>
          <w:rtl w:val="true"/>
        </w:rPr>
        <w:t>:</w:t>
      </w:r>
      <w:bookmarkEnd w:id="53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فَنَظَرْتُ فَإِذَا لَيْسَ لِي مُعِينٌ إِلَّا أَهْلُ بَيْتِي، فَضَنِنْتُ بِهِمْ عَنِ المَوْتِ، وَأَغْضَيْتُ عَلَى الْقَدَى، وَشَرِبْتُ عَلَى الشَّجَا، وَصَبَرْتُ عَلَى أَخْذِ الْكَظَمِ وَعَلَى أَمَرَّ مِنْ طَعْمِ الْعَلْقَمِ</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537" w:name="pg15658_147132"/>
    </w:p>
    <w:p>
      <w:pPr>
        <w:pStyle w:val="BookText"/>
        <w:rPr/>
      </w:pPr>
      <w:bookmarkEnd w:id="537"/>
      <w:r>
        <w:rPr>
          <w:rFonts w:ascii="IRNazanin" w:hAnsi="IRNazanin" w:eastAsia="IRNazanin"/>
          <w:color w:val="111111"/>
          <w:sz w:val="28"/>
          <w:sz w:val="28"/>
          <w:szCs w:val="28"/>
          <w:rtl w:val="true"/>
          <w:lang w:bidi="fa-IR"/>
        </w:rPr>
        <w:t>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الخطبة أن أنصاره لم يكونوا سوى أهل بيته، وأن القيام بهم لن يؤدي بهم لغير الشهادة، في حين أن هذا لن يخدم الإسلام، بل إن خسارة الأمة لقائد ومرجع مثل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سيؤدي إلى خسارة وثلمة لا يمكن لشيء أن يسدها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أخرى يبرر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مواصلة موقفه السلبي من السلطة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فنظرت فإذا ليس لي رافد ولا معي مساعد إلا أهل بيتي فضننت بهم عن الهلاك، ولو كان لي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عمى حمزة وأخى جعفر لم أبايع كرها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ولكني بليت برجلين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حديثي عهد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وعقيل، فضننت بأهل بيتي عن الهلاك</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مواضع أخرى بأنه لو كان معه أربعون رجلاً أو بعدد أصحاب بدر وطالوت، لقام بهم</w:t>
      </w:r>
      <w:r>
        <w:rPr>
          <w:rFonts w:eastAsia="IRNazanin" w:cs="IRNazanin"/>
          <w:color w:val="111111"/>
          <w:sz w:val="28"/>
          <w:szCs w:val="28"/>
          <w:rtl w:val="true"/>
          <w:lang w:bidi="fa-IR"/>
        </w:rPr>
        <w:t>.</w:t>
      </w:r>
    </w:p>
    <w:p>
      <w:pPr>
        <w:pStyle w:val="Heading4"/>
        <w:numPr>
          <w:ilvl w:val="3"/>
          <w:numId w:val="1"/>
        </w:numPr>
        <w:rPr/>
      </w:pPr>
      <w:bookmarkStart w:id="538" w:name="__RefHeading___Toc11030597_2142443653"/>
      <w:bookmarkStart w:id="539" w:name="_Toc194"/>
      <w:bookmarkEnd w:id="538"/>
      <w:r>
        <w:rPr>
          <w:rtl w:val="true"/>
        </w:rPr>
        <w:t xml:space="preserve">ب </w:t>
      </w:r>
      <w:r>
        <w:rPr>
          <w:rtl w:val="true"/>
        </w:rPr>
        <w:t xml:space="preserve">- </w:t>
      </w:r>
      <w:r>
        <w:rPr>
          <w:rtl w:val="true"/>
        </w:rPr>
        <w:t>عدم حلول الوقت المناسب</w:t>
      </w:r>
      <w:r>
        <w:rPr>
          <w:rtl w:val="true"/>
        </w:rPr>
        <w:t>:</w:t>
      </w:r>
      <w:bookmarkEnd w:id="53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الثورة على السلطة القائمة، والعمل على قلب نظام الحكم رهن بتوفّر سلسلة من الشرائط والظروف التي لو اختل واحد منها فإن الثورة سوف تمنى بالفشل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ملتفتاً إلى هذه الحقيقة بشكل كامل، من هنا فإنه قابل حث أبي سفيان له بالثورة ومعارضة الخليفة على المستوى العملي، بالقول</w:t>
      </w:r>
      <w:r>
        <w:rPr>
          <w:rFonts w:eastAsia="IRNazanin" w:cs="IRNazanin"/>
          <w:color w:val="111111"/>
          <w:sz w:val="28"/>
          <w:szCs w:val="28"/>
          <w:rtl w:val="true"/>
          <w:lang w:bidi="fa-IR"/>
        </w:rPr>
        <w:t xml:space="preserve">: </w:t>
      </w:r>
      <w:bookmarkStart w:id="540" w:name="pg15658_147133"/>
    </w:p>
    <w:p>
      <w:pPr>
        <w:pStyle w:val="BookText"/>
        <w:rPr/>
      </w:pPr>
      <w:bookmarkEnd w:id="5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شُقُوا أَمْوَاجَ الفِتَنِ بِسُفْنِ النَّجَاةِ، وَعَرَّجُوا عَنْ طَرِيقِ الْمُنَافَرَةِ، 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نَهَضَ بِجَنَاحٍ، أَوِ اسْتَسْلَمَ فَأَراحَ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مَاءٌ آجِنٌ، وَلُقْمَةٌ يَغَضُّ بِهَا آكِلْهَا، وَمُجْتَنِي الثَمَرَةِ لِغَيْرِ وَقْتِ إِينَاعِهَا كالزَّارع بِغَيْرِ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وعلمه فَإِنْ أَقُل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عَلَى المُلْكِ، وَإِنْ أَسْكُتْ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مِنَ المَوْتِ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1030599_2142443653"/>
      <w:bookmarkStart w:id="542" w:name="_Toc195"/>
      <w:bookmarkEnd w:id="541"/>
      <w:r>
        <w:rPr>
          <w:rtl w:val="true"/>
        </w:rPr>
        <w:t xml:space="preserve">ج </w:t>
      </w:r>
      <w:r>
        <w:rPr>
          <w:rtl w:val="true"/>
        </w:rPr>
        <w:t xml:space="preserve">- </w:t>
      </w:r>
      <w:r>
        <w:rPr>
          <w:rtl w:val="true"/>
        </w:rPr>
        <w:t>الحفاظ على وحدة المسلمين</w:t>
      </w:r>
      <w:r>
        <w:rPr>
          <w:rtl w:val="true"/>
        </w:rPr>
        <w:t>:</w:t>
      </w:r>
      <w:bookmarkEnd w:id="542"/>
    </w:p>
    <w:p>
      <w:pPr>
        <w:pStyle w:val="BookText"/>
        <w:rPr/>
      </w:pPr>
      <w:r>
        <w:rPr>
          <w:rFonts w:ascii="IRNazanin" w:hAnsi="IRNazanin" w:eastAsia="IRNazanin"/>
          <w:color w:val="111111"/>
          <w:sz w:val="28"/>
          <w:sz w:val="28"/>
          <w:szCs w:val="28"/>
          <w:rtl w:val="true"/>
          <w:lang w:bidi="fa-IR"/>
        </w:rPr>
        <w:t>كما 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الحفاظ على وحدة المسلمين، والخوف من عودة الناس إلى الكفر، كان من بين الأسباب التي دعته إلى اختيار السكوت والصبر على هضم حقه،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لا مخافة الفرقة بين المسلمين، وأن يعود الكفر ويبور الدين لكنا على غير ما كنا لهم عليه</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ذكر الإمام أن فلسفة سكوته عن حقه تكمن في رؤيته حالة من الردّة التي سادت الناس على الإسلام، وهو أمر هدد كيان الإسلام وعرض وجوده إلى الخطر، إذ يقول في الكتاب الذي بعثه إلى أهل مصر بيد مالك الأشتر النخعي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 لِلْعَالَمِينَ، وَمُهَيْمِناً عَلَى الْمُرْسَلِينَ، فَلَمَّا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تَنَازَعَ الْمُسْلِمُونَ الْأَمْرَ مِنْ بَعْدِهِ، فَوَالله مَا كَانَ يُلْقَى فِي رُوعِي وَلَا يَخْطُرُ بِبَالِي ، 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bookmarkStart w:id="543" w:name="pg15658_147134"/>
    </w:p>
    <w:p>
      <w:pPr>
        <w:pStyle w:val="BookText"/>
        <w:rPr/>
      </w:pPr>
      <w:bookmarkEnd w:id="543"/>
      <w:r>
        <w:rPr>
          <w:rFonts w:ascii="Amiri" w:hAnsi="Amiri" w:eastAsia="Amiri" w:cs="Amiri"/>
          <w:color w:val="111111"/>
          <w:sz w:val="28"/>
          <w:sz w:val="28"/>
          <w:szCs w:val="28"/>
          <w:rtl w:val="true"/>
          <w:lang w:bidi="ar-SA"/>
        </w:rPr>
        <w:t>عَنْ أَهْلِ بَيْتِهِ ، وَلَا أَنَّهُمْ مُنَخُوهُ عَنِّي مِنْ بَعْدِهِ، فَمَا رَاعَنِي إِلا انْثِيَالُ النَّاسِ عَلَى فُلانٍ يُبَايِعُونَهُ، فَأَمْسَكْتُ بِيَدِي يَدِي ، حَتَّى رَأَيْتُ رَاجِعَةَ النَّاسِ قَدْ رَجَعَتْ عَنِ الْإِسْلَامِ، يَدْعُونَ إِلَى تَحْقِ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 عَلَيَّ أَعْظَمَ مِنْ فَوْتِ وِلاَ يَتِكُمُ الَّتِي إِنَّمَا هِيَ مَتَاعُ أَيَّامٍ قَلَائِلَ، يَزُولُ مِنْهَا مَا كَانَ كَمَا يَزُولُ السَّرَابُ</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4" w:name="__RefHeading___Toc11030601_2142443653"/>
      <w:bookmarkStart w:id="545" w:name="_Toc196"/>
      <w:bookmarkEnd w:id="544"/>
      <w:r>
        <w:rPr>
          <w:rtl w:val="true"/>
        </w:rPr>
        <w:t xml:space="preserve">د </w:t>
      </w:r>
      <w:r>
        <w:rPr>
          <w:rtl w:val="true"/>
        </w:rPr>
        <w:t xml:space="preserve">- </w:t>
      </w:r>
      <w:r>
        <w:rPr>
          <w:rtl w:val="true"/>
        </w:rPr>
        <w:t>تنازل الإمام عن حقه</w:t>
      </w:r>
      <w:r>
        <w:rPr>
          <w:rtl w:val="true"/>
        </w:rPr>
        <w:t>:</w:t>
      </w:r>
      <w:bookmarkEnd w:id="545"/>
    </w:p>
    <w:p>
      <w:pPr>
        <w:pStyle w:val="BookText"/>
        <w:rPr/>
      </w:pPr>
      <w:r>
        <w:rPr>
          <w:rFonts w:ascii="IRNazanin" w:hAnsi="IRNazanin" w:eastAsia="IRNazanin"/>
          <w:color w:val="111111"/>
          <w:sz w:val="28"/>
          <w:sz w:val="28"/>
          <w:szCs w:val="28"/>
          <w:rtl w:val="true"/>
          <w:lang w:bidi="fa-IR"/>
        </w:rPr>
        <w:t>إن التصدي لمقام الحكم والسلطة لم يشكل هدفاً أولياً وذاتياً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يرى أن الحكومة الدنيوية أقل شأناً وقيمة من النعل الخلق</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لم تكن غاية الإمام من المطالبة بالسلطة سوى إحياء الدين الحنيف وبسط تعاليم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تدبّر في ظروف العصر ومقتضياته أدرك أن مصلحة الإسلام والمسلمين تكمن في إيثار الصبر والسكوت وعدم توسيع رقعة الخلاف، وبهذا السكوت لم يتعرّض كيان القرآن والإسلام إلى الخطر، وإن كان يؤدي إلى مصادرة حقه الشخصي الثابت، وهنا ترفّع الإمام عن المطالبة بحقه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الإجابة عن هذه الشبهة تتضح من خلال تحليل الشبهة السابقة؛ إذ أشار الإمام إلى فلسفة إيثاره السكوت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الملفت في كلام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w:t>
      </w:r>
      <w:bookmarkStart w:id="546" w:name="pg15658_147135"/>
    </w:p>
    <w:p>
      <w:pPr>
        <w:pStyle w:val="BookText"/>
        <w:rPr/>
      </w:pPr>
      <w:bookmarkEnd w:id="546"/>
      <w:r>
        <w:rPr>
          <w:rFonts w:ascii="Amiri" w:hAnsi="Amiri" w:eastAsia="Amiri" w:cs="Amiri"/>
          <w:color w:val="111111"/>
          <w:sz w:val="28"/>
          <w:sz w:val="28"/>
          <w:szCs w:val="28"/>
          <w:rtl w:val="true"/>
          <w:lang w:bidi="ar-SA"/>
        </w:rPr>
        <w:t>الإمام أنه يخص إيثاره وزهده عن حقه الدنيوي فقط، ثم يذكر بيوم القيامة وأن الله سيحكم ويقضي في هذا الشأن،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الْاِسْتِبْدَادُ عَلَيْنَا بِهَذَا الْمَقَامِ ، وَنَحْنُ الْأَعْلَوْنَ نَسَباً، وَالْأَشَدُّونَ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نَوْطاً، فَإِنَّهَا كَانَتْ أَثَرَةً شَجَّتْ عَلَيْهَا نُفُوسُ قَوْمِ، وَسَخَتْ عَنْهَا نُفُوسُ آخَرِينَ ، وَالْحَكَمُ الله وَالمَعُودُ إِلَيْهِ الْقِيَامَةُ</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11030603_2142443653"/>
      <w:bookmarkStart w:id="548" w:name="_Toc197"/>
      <w:bookmarkEnd w:id="547"/>
      <w:r>
        <w:rPr>
          <w:rtl w:val="true"/>
        </w:rPr>
        <w:t>الشبهة العاشرة</w:t>
      </w:r>
      <w:r>
        <w:rPr>
          <w:rtl w:val="true"/>
        </w:rPr>
        <w:t xml:space="preserve">: </w:t>
      </w:r>
      <w:r>
        <w:rPr>
          <w:rtl w:val="true"/>
        </w:rPr>
        <w:t>قبول الإمام علي</w:t>
      </w:r>
      <w:r>
        <w:rPr>
          <w:rtl w:val="true"/>
        </w:rPr>
        <w:t>(</w:t>
      </w:r>
      <w:r>
        <w:rPr>
          <w:rtl w:val="true"/>
        </w:rPr>
        <w:t>علیه السّلام</w:t>
      </w:r>
      <w:r>
        <w:rPr>
          <w:rtl w:val="true"/>
        </w:rPr>
        <w:t>)</w:t>
      </w:r>
      <w:r>
        <w:rPr>
          <w:rtl w:val="true"/>
        </w:rPr>
        <w:t>ببيعة أبي بكر</w:t>
      </w:r>
      <w:r>
        <w:rPr>
          <w:rtl w:val="true"/>
        </w:rPr>
        <w:t>:</w:t>
      </w:r>
      <w:bookmarkEnd w:id="548"/>
    </w:p>
    <w:p>
      <w:pPr>
        <w:pStyle w:val="Heading4"/>
        <w:numPr>
          <w:ilvl w:val="3"/>
          <w:numId w:val="1"/>
        </w:numPr>
        <w:rPr/>
      </w:pPr>
      <w:bookmarkStart w:id="549" w:name="__RefHeading___Toc11030605_2142443653"/>
      <w:bookmarkStart w:id="550" w:name="_Toc198"/>
      <w:bookmarkEnd w:id="549"/>
      <w:r>
        <w:rPr>
          <w:rtl w:val="true"/>
        </w:rPr>
        <w:t>اشارة</w:t>
      </w:r>
      <w:bookmarkEnd w:id="550"/>
    </w:p>
    <w:p>
      <w:pPr>
        <w:pStyle w:val="BookText"/>
        <w:rPr/>
      </w:pPr>
      <w:r>
        <w:rPr>
          <w:rFonts w:ascii="IRNazanin" w:hAnsi="IRNazanin" w:eastAsia="IRNazanin"/>
          <w:color w:val="111111"/>
          <w:sz w:val="28"/>
          <w:sz w:val="28"/>
          <w:szCs w:val="28"/>
          <w:rtl w:val="true"/>
          <w:lang w:bidi="fa-IR"/>
        </w:rPr>
        <w:t>هناك من لا يدقق في الفترة الزمنية لبيعة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بكر، ويعتقد لذلك بأن هذه البيعة تمثل دليلاً على شرعية خلافة الخليفة، وأن الإمام حتى إذا كانت لديه في بداية الأمر بعض الملاحظات على الحكومة، إلا أن هذه الملاحظات قد زالت في المرحلة اللاحقة بعد تأكده من سلامة طوية الخليفة بعد ستة أشهر، فبايعه مختاراً وحلّت العلاقات الطيبة والحسنة محل سوء التفاهم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لمس الإمام عدالة الخليفة بايعه عن رضا وطيب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المتقدمين من أهل السنة يذعنون بأن بيعة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كانت بيعة ظاهرية، ولم تكن منبثقة عن قناعة داخلية، ولكنهم التزموا بأن الملاك في تحقق البيعة وصحتها هو الظاهر دون السرائر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باطن على والعباس خلاف ظاهرهما، ولو جاز هذا لمدعيه لم يصح إجماع وجاز لقائل أن يقول </w:t>
      </w:r>
      <w:bookmarkStart w:id="551" w:name="pg15658_147136"/>
    </w:p>
    <w:p>
      <w:pPr>
        <w:pStyle w:val="BookText"/>
        <w:rPr/>
      </w:pPr>
      <w:bookmarkEnd w:id="551"/>
      <w:r>
        <w:rPr>
          <w:rFonts w:ascii="Amiri" w:hAnsi="Amiri" w:eastAsia="Amiri" w:cs="Amiri"/>
          <w:color w:val="111111"/>
          <w:sz w:val="28"/>
          <w:sz w:val="28"/>
          <w:szCs w:val="28"/>
          <w:rtl w:val="true"/>
          <w:lang w:bidi="ar-SA"/>
        </w:rPr>
        <w:t>ذلك في كل إجماع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يسقط حجية الإجماع؛ لأن الله عزّ وجل لم يتعبدنا في الإجماع بباطن الناس، وإنما تعبدنا بظاهرهم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تحليل بيعة الإمام علي لأبي بكر بن أبي قحافة، وكذلك لعمر بن الخطاب وعثمان بن عفان، لا بد من التأمل في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030607_2142443653"/>
      <w:bookmarkStart w:id="553" w:name="_Toc199"/>
      <w:bookmarkEnd w:id="552"/>
      <w:r>
        <w:rPr>
          <w:rtl w:val="true"/>
        </w:rPr>
        <w:t xml:space="preserve">أ </w:t>
      </w:r>
      <w:r>
        <w:rPr>
          <w:rtl w:val="true"/>
        </w:rPr>
        <w:t xml:space="preserve">- </w:t>
      </w:r>
      <w:r>
        <w:rPr>
          <w:rtl w:val="true"/>
        </w:rPr>
        <w:t>الحيلولة دون الكفر والردة</w:t>
      </w:r>
      <w:r>
        <w:rPr>
          <w:rtl w:val="true"/>
        </w:rPr>
        <w:t>:</w:t>
      </w:r>
      <w:bookmarkEnd w:id="553"/>
    </w:p>
    <w:p>
      <w:pPr>
        <w:pStyle w:val="BookText"/>
        <w:rPr/>
      </w:pPr>
      <w:r>
        <w:rPr>
          <w:rFonts w:ascii="Amiri" w:hAnsi="Amiri" w:eastAsia="Amiri" w:cs="Amiri"/>
          <w:color w:val="111111"/>
          <w:sz w:val="28"/>
          <w:sz w:val="28"/>
          <w:szCs w:val="28"/>
          <w:rtl w:val="true"/>
          <w:lang w:bidi="ar-SA"/>
        </w:rPr>
        <w:t>كما تقدّم أن ذكرنا فإنّ الإمام علياً بعد استيلاء أبي بكر على السلطة امتنع عن مبايعته مدة ستة أشهر كاملة، وبذلك سجل عدم رضاه وأثبت عدم مشروعية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هذه الفترة واجه الإسلام كثيراً من البدع وشتى الانحرافات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جهة خرج مسيلمة الكذاب يدعي النبوة وغر بعض المسلمين واستقطبهم لدينه المزيف، وقد قويت بذلك شوكته حتى شكل جبهة واحدة قوية اعتزم أن يضرب المسلمين بها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الناحية كان إيمان الناس وكذلك الرقعة الجغرافية للمسلمين في معرض الخطر والزوال، والسقوط بيد الأعداء الخارجيين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هذه الأجواء المشحونة والمتوترة لم يتمكن الإمام من مواصلة موقفه السلبي من الخليفة الأول والإصرار على عدم مبايعته؛ إذ إن إصراره على موقفه لن يقتصر ضرره على شخص الخليفة ومنصب الخلافة فقط، بل قد يعرض إيمان المسلمين وبيضة الإسلام للخطر، أو يؤدي إلى إضعافها 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رأى </w:t>
      </w:r>
    </w:p>
    <w:p>
      <w:pPr>
        <w:pStyle w:val="BookText"/>
        <w:rPr/>
      </w:pPr>
      <w:r>
        <w:rPr>
          <w:rFonts w:ascii="Amiri" w:hAnsi="Amiri" w:eastAsia="Amiri" w:cs="Amiri"/>
          <w:color w:val="111111"/>
          <w:sz w:val="28"/>
          <w:sz w:val="28"/>
          <w:szCs w:val="28"/>
          <w:rtl w:val="true"/>
          <w:lang w:bidi="ar-SA"/>
        </w:rPr>
        <w:t>أمير المؤمنين أنه إذا بايع الخليفة الأول وتعاون معه فإن ذلك سيعزز جبهة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الالتفات إلى مكانة الإمام علي ومنزلته ودوره المحوري سترتفع معنويات المسلمين وتتمكن الحكومة مدعومة بتأييد الإمام من الوقوف سداً منيعاً فى وجه الكفر والكفار وصد هجمتهم الوشيكة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ربما تصور القارئ الكريم أن هذا الكلام مجرد تحليل من كاتب هذه السطور أو رأي لعلماء الشيعة في تغريدة منهم خارج السرب يراد منها إثبات أمر لصالح المذهب، إلا أن الحقيقة هي أن هذا الكلام ليس مجرد تحليل وإنما هو تقرير للواقع، والمقرر هو شخص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عايش تفاصيل الظروف وجزئياتها، ويعتبره الشيعة معصوماً من الخطأ، ويراه السنة في الحد الأدنى من الصحابة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بفلسفة بيعته مراراً وتكراراً، ومن 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أبا بكر وأنا والله أولى بالأمر وأحق به، فسمعت وأطعت مخافة أن يرجع الناس كفاراً يضرب بعضهم رقاب بعض بالسيف، ثم بايع أبوبكر لعمر ، وأنا والله أولى بالأمر منه فسمعت وأطعت مخافة أن يرجع الناس كفاراً</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إشارته إلى كراهة مبايعة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سبب بيعته يكمن في خوفه من تعرض الإسلام والمسلمين للخطر، وقد عبر الإمام عن أن مصيبته في ذلك ستكون أشد من ضياع حقه في </w:t>
      </w:r>
      <w:bookmarkStart w:id="554" w:name="pg15658_147138"/>
    </w:p>
    <w:p>
      <w:pPr>
        <w:pStyle w:val="BookText"/>
        <w:rPr/>
      </w:pPr>
      <w:bookmarkEnd w:id="554"/>
      <w:r>
        <w:rPr>
          <w:rFonts w:ascii="Amiri" w:hAnsi="Amiri" w:eastAsia="Amiri" w:cs="Amiri"/>
          <w:color w:val="111111"/>
          <w:sz w:val="28"/>
          <w:sz w:val="28"/>
          <w:szCs w:val="28"/>
          <w:rtl w:val="true"/>
          <w:lang w:bidi="ar-SA"/>
        </w:rPr>
        <w:t>الخلافة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فَأَمْسَكْتُ يَدِي حَتَّى رَأَيْتُ رَاجِعَةَ النَّاسِ قَدْ رَجَعَتْ عَنِ الْإِسْلَامِ يَدْعُونَ إِلَى تَحْقِ دَيْنِ مُحَمَّدِصلی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5" w:name="__RefHeading___Toc11030609_2142443653"/>
      <w:bookmarkStart w:id="556" w:name="_Toc200"/>
      <w:bookmarkEnd w:id="555"/>
      <w:r>
        <w:rPr>
          <w:rtl w:val="true"/>
        </w:rPr>
        <w:t xml:space="preserve">ب </w:t>
      </w:r>
      <w:r>
        <w:rPr>
          <w:rtl w:val="true"/>
        </w:rPr>
        <w:t xml:space="preserve">- </w:t>
      </w:r>
      <w:r>
        <w:rPr>
          <w:rtl w:val="true"/>
        </w:rPr>
        <w:t>الحفاظ على وحدة المسلمين</w:t>
      </w:r>
      <w:r>
        <w:rPr>
          <w:rtl w:val="true"/>
        </w:rPr>
        <w:t>:</w:t>
      </w:r>
      <w:bookmarkEnd w:id="556"/>
    </w:p>
    <w:p>
      <w:pPr>
        <w:pStyle w:val="BookText"/>
        <w:rPr/>
      </w:pPr>
      <w:r>
        <w:rPr>
          <w:rFonts w:ascii="IRNazanin" w:hAnsi="IRNazanin" w:eastAsia="IRNazanin"/>
          <w:color w:val="111111"/>
          <w:sz w:val="28"/>
          <w:sz w:val="28"/>
          <w:szCs w:val="28"/>
          <w:rtl w:val="true"/>
          <w:lang w:bidi="fa-IR"/>
        </w:rPr>
        <w:t>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الحفاظ على وحدة المسلمين والخوف من الردة عن الإسلام إلى الكفر كان من بين الأسباب التي دعته إلى اختيار السكوت وإيثار الصبر،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لا مخافة الفرقة بين المسلمين، وأن يعود الكفر ويبور الدين لكنا على غير ما كنا لهم عليه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الإمام كان على مفترق محذورين، فإما أن يُصرّ على المطالبة بحقه على حساب ضياع وزوال أو إضعاف الدين، وإما أن يغض الطرف عن حقه الثابت؛ فاختار الثاني، إلا أن صبره الذي استمر خمسة وعشرين سنة كان بمثابة من يتحمل ألم الشوكة المعترضة في عينه، أو ذاك الذي اعترض عظم في حلقه،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وَطَفِقْتُ أَرْتَنِي بَيْنَ أَنْ أَصُولَ بيَد جَذَاءَ، أَوْ أَصْبِرَ عَلَى طَخْيَة عَمْيَاءَ ، يَهْرَمُ فيهَا الكَبيرُ ، وَيَشِيبُ فِيهَا الصَّغِيرُ، وَيَكْدَحُ فِيهَا </w:t>
      </w:r>
      <w:bookmarkStart w:id="557" w:name="pg15658_147139"/>
    </w:p>
    <w:p>
      <w:pPr>
        <w:pStyle w:val="BookText"/>
        <w:rPr/>
      </w:pPr>
      <w:bookmarkEnd w:id="557"/>
      <w:r>
        <w:rPr>
          <w:rFonts w:ascii="Amiri" w:hAnsi="Amiri" w:eastAsia="Amiri" w:cs="Amiri"/>
          <w:color w:val="111111"/>
          <w:sz w:val="28"/>
          <w:sz w:val="28"/>
          <w:szCs w:val="28"/>
          <w:rtl w:val="true"/>
          <w:lang w:bidi="ar-SA"/>
        </w:rPr>
        <w:t xml:space="preserve">مُؤْمِنٌ حَتَّى يَلْقَى رَبَّهُ فَرَأَيْتُ أَنَّ الصَّبْرَ عَلَى هَاتَا أَحْجَى، فَصَبَرَتُ وَفِي الْعَيْنِ قَدَى، وَفي الحَلْقِ شَجاً، أرى تُراثي نَهْباً </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يمكن وصف مثل هذا الشخص الذي يصف حياته طوال خمسة وعشرين سنة في ظل الخلفاء الثلاثة وضياع ميراثه بهذا الوصف بأنه كان راض عن خلافة الخلفاء الذين سبقوه، والادعاء أنه كان قائلاً بشرعية حكمهم؟</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11030611_2142443653"/>
      <w:bookmarkStart w:id="559" w:name="_Toc201"/>
      <w:bookmarkEnd w:id="558"/>
      <w:r>
        <w:rPr>
          <w:rtl w:val="true"/>
        </w:rPr>
        <w:t xml:space="preserve">ج </w:t>
      </w:r>
      <w:r>
        <w:rPr>
          <w:rtl w:val="true"/>
        </w:rPr>
        <w:t xml:space="preserve">- </w:t>
      </w:r>
      <w:r>
        <w:rPr>
          <w:rtl w:val="true"/>
        </w:rPr>
        <w:t>الحيلولة دون سفك الدماء</w:t>
      </w:r>
      <w:r>
        <w:rPr>
          <w:rtl w:val="true"/>
        </w:rPr>
        <w:t>:</w:t>
      </w:r>
      <w:bookmarkEnd w:id="559"/>
    </w:p>
    <w:p>
      <w:pPr>
        <w:pStyle w:val="BookText"/>
        <w:rPr/>
      </w:pPr>
      <w:r>
        <w:rPr>
          <w:rFonts w:ascii="IRNazanin" w:hAnsi="IRNazanin" w:eastAsia="IRNazanin"/>
          <w:color w:val="111111"/>
          <w:sz w:val="28"/>
          <w:sz w:val="28"/>
          <w:szCs w:val="28"/>
          <w:rtl w:val="true"/>
          <w:lang w:bidi="fa-IR"/>
        </w:rPr>
        <w:t>لو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قد اختار الإصرار على عدم بيعة الخليفة الذي استتبت له الأمور، واختار سلوك طريق المخالفة، لأدى ذلك إلى اتساع الشرخ بين المسلمين، بل ولجأ أنصار كلا الطرفين إلى السلاح والاحتكام إلى السيف رغم حاجتهم الماسة إلى الاتحاد فيما بينهم، ولاستعر القتال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ولكي يحول الإمام دون حدوث هذه الكارثة دعا أنصاره إلى التمسك بالصبر والمداراة والإرشاد والنصيحة، وبادر هو إلى المبايعة ليطوي بذلك صفحة الفتنة وإراقة الدماء بين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الإمام إلى هذا السبب في معرض بيان جانب من جوانب فلسفة بيعته للخليفة الأول، على ما تقدم في الفقرة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تحليل هذه الشبهة ومناقشتها</w:t>
      </w:r>
      <w:r>
        <w:rPr>
          <w:rFonts w:eastAsia="IRNazanin" w:cs="IRNazanin"/>
          <w:color w:val="111111"/>
          <w:sz w:val="28"/>
          <w:szCs w:val="28"/>
          <w:rtl w:val="true"/>
          <w:lang w:bidi="fa-IR"/>
        </w:rPr>
        <w:t>.</w:t>
      </w:r>
    </w:p>
    <w:p>
      <w:pPr>
        <w:pStyle w:val="Heading4"/>
        <w:numPr>
          <w:ilvl w:val="3"/>
          <w:numId w:val="1"/>
        </w:numPr>
        <w:rPr/>
      </w:pPr>
      <w:bookmarkStart w:id="560" w:name="__RefHeading___Toc11030613_2142443653"/>
      <w:bookmarkStart w:id="561" w:name="_Toc202"/>
      <w:bookmarkEnd w:id="560"/>
      <w:r>
        <w:rPr>
          <w:rtl w:val="true"/>
        </w:rPr>
        <w:t xml:space="preserve">د </w:t>
      </w:r>
      <w:r>
        <w:rPr>
          <w:rtl w:val="true"/>
        </w:rPr>
        <w:t xml:space="preserve">- </w:t>
      </w:r>
      <w:r>
        <w:rPr>
          <w:rtl w:val="true"/>
        </w:rPr>
        <w:t>عدم اعتبار الإجماع</w:t>
      </w:r>
      <w:r>
        <w:rPr>
          <w:rtl w:val="true"/>
        </w:rPr>
        <w:t>:</w:t>
      </w:r>
      <w:bookmarkEnd w:id="56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فيما يتعلق باعتبار الإجماع وكفاية البيعة الظاهرية من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فيجب القول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يثبتون بالأدلة القطعية أن الحكومة والخلافة أمر منصوص من قبل الله سبحانه وتعالى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وفيما يتعلق بالأمر الإلهي لا يكون هناك موضع لانتخاب الناس وحتى إجماعهم من الإعراب، لأن ذلك سيكون من باب تحكيم الآراء والاجتهاد في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الإجماع لو كان في تأييد الأمر الإلهى، لكان مرضياً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الباطنية لم تقتصر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والعباس، بل تم تسجيل أسماء كبار الصحابة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والمقداد بن الأسود وعمار بن ياسر في الجهة المخالفة، على ما تقدم في الصفحات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إذا كان ملاك المشروعية يكمن في إجماع عامة الناس أو خصوص أهل الحل والعقد، فإن اعتبار هذا الإجماع سيخدش بغياب الصحابة المذكورين أعلاه، وإجبارهم على البيعة بالتهديد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القبول بالإجماع، فإن مشروعيته رهن بشرائط يفتقر إليها الإجماع المذكور للأسف الشديد؛ ذلك لأن مرشح السقيفة قد اختير على عجل وفي غياب الصحابة الكبار، وأما البيعة العامة والجماعية فقد تمت بالتهديد والإكراه أو الترغيب وشراء الذمم، وهذا الأمر يُفقد الإجماع مصداقيته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مقام الإمامة وعناصرها وأركانها الرئيسة لا تنحصر في الركن الحكومي والقيادة السياسة حتى يتحقق أو ينعدم بالإجماع من قبل البعض، بل إن العنصر الأساس في الإمامة يتمثل بالمرجعية العلمية والدينية، وهذا يقترن بعلم الغيب والعصمة، وتعيين مثل هذا الفرد الذي يتصف بهذه الخصال، خارج عن صلاحية الإجماع</w:t>
      </w:r>
      <w:r>
        <w:rPr>
          <w:rFonts w:eastAsia="Amiri" w:cs="Amiri" w:ascii="Amiri" w:hAnsi="Amiri"/>
          <w:color w:val="111111"/>
          <w:sz w:val="28"/>
          <w:szCs w:val="28"/>
          <w:rtl w:val="true"/>
          <w:lang w:bidi="ar-SA"/>
        </w:rPr>
        <w:t xml:space="preserve">. </w:t>
      </w:r>
      <w:bookmarkStart w:id="562" w:name="pg15658_147141"/>
    </w:p>
    <w:p>
      <w:pPr>
        <w:pStyle w:val="Heading3"/>
        <w:numPr>
          <w:ilvl w:val="2"/>
          <w:numId w:val="1"/>
        </w:numPr>
        <w:rPr/>
      </w:pPr>
      <w:bookmarkStart w:id="563" w:name="__RefHeading___Toc11030615_2142443653"/>
      <w:bookmarkStart w:id="564" w:name="_Toc203"/>
      <w:bookmarkEnd w:id="562"/>
      <w:bookmarkEnd w:id="563"/>
      <w:r>
        <w:rPr>
          <w:rtl w:val="true"/>
        </w:rPr>
        <w:t>الشبهة الحادية عشرة</w:t>
      </w:r>
      <w:r>
        <w:rPr>
          <w:rtl w:val="true"/>
        </w:rPr>
        <w:t xml:space="preserve">: </w:t>
      </w:r>
      <w:r>
        <w:rPr>
          <w:rtl w:val="true"/>
        </w:rPr>
        <w:t>المشاركة في شورى تعيين الخليفة الثالث</w:t>
      </w:r>
      <w:r>
        <w:rPr>
          <w:rtl w:val="true"/>
        </w:rPr>
        <w:t>:</w:t>
      </w:r>
      <w:bookmarkEnd w:id="564"/>
    </w:p>
    <w:p>
      <w:pPr>
        <w:pStyle w:val="Heading4"/>
        <w:numPr>
          <w:ilvl w:val="3"/>
          <w:numId w:val="1"/>
        </w:numPr>
        <w:rPr/>
      </w:pPr>
      <w:bookmarkStart w:id="565" w:name="__RefHeading___Toc11030617_2142443653"/>
      <w:bookmarkStart w:id="566" w:name="_Toc204"/>
      <w:bookmarkEnd w:id="565"/>
      <w:r>
        <w:rPr>
          <w:rtl w:val="true"/>
        </w:rPr>
        <w:t>اشارة</w:t>
      </w:r>
      <w:bookmarkEnd w:id="566"/>
    </w:p>
    <w:p>
      <w:pPr>
        <w:pStyle w:val="BookText"/>
        <w:rPr/>
      </w:pPr>
      <w:r>
        <w:rPr>
          <w:rFonts w:ascii="IRNazanin" w:hAnsi="IRNazanin" w:eastAsia="IRNazanin"/>
          <w:color w:val="111111"/>
          <w:sz w:val="28"/>
          <w:sz w:val="28"/>
          <w:szCs w:val="28"/>
          <w:rtl w:val="true"/>
          <w:lang w:bidi="fa-IR"/>
        </w:rPr>
        <w:t>قام الخليفة الثاني عمر بن الخطاب في آخر أيام حياته بتقديم صيغة لانتخاب الخليفة التالي له من خلال شورى مؤلفة من ستة أشخاص، وهم كل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والزبير بن العوام، وعبد الرحمن بن عوف، وعثمان بن عفان، وطلحة بن عبيد الله، وسعد بن أبي وقاص</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الإمام من خلال مشاركته في هذه الشورى أثبت على المستوى العملى مشروعية خلافة عمر بن الخطاب، كما أيّد صيغته المقترحة لتعيين الخليفة الثالث؛ إذ لو لم يكن مؤمناً بأصل خلافة عمر ؛ لوجب عليه رفض أوامره وأعلن عن انصرافه ورفضه للشورى المذكورة عملياً، في حين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يقم بذلك، وإنما شارك في هذه الشورى، وبذلك حكم بشرعية خلافة الخليفة الثاني وأمره بتشكيل الشورى المذكورة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هذا الدليل منذ قرون ولا يزال يتم 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المتكلمين من قدماء أهل السنة ومعاصريهم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واحداً من الأدلة على فقدان الدليل على التنصيب فيما يتعلق بأمر الحكومة ومشروعية خلافة الخلفاء الراشدين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567" w:name="pg15658_147142"/>
    </w:p>
    <w:p>
      <w:pPr>
        <w:pStyle w:val="BookText"/>
        <w:rPr/>
      </w:pPr>
      <w:bookmarkEnd w:id="567"/>
      <w:r>
        <w:rPr>
          <w:rFonts w:ascii="Amiri" w:hAnsi="Amiri" w:eastAsia="Amiri" w:cs="Amiri"/>
          <w:color w:val="111111"/>
          <w:sz w:val="28"/>
          <w:sz w:val="28"/>
          <w:szCs w:val="28"/>
          <w:rtl w:val="true"/>
          <w:lang w:bidi="ar-SA"/>
        </w:rPr>
        <w:t>هذا بالإضافة إلى أننا إذا أمعنا النظر برجال الشورى سندرك جيداً أن مآل الأمور لا محالة ستصب في مصلحة عثمان بن عفان، فما عفان</w:t>
      </w:r>
      <w:r>
        <w:rPr>
          <w:rStyle w:val="FootnoteAnchor"/>
          <w:rtl w:val="true"/>
        </w:rPr>
        <w:footnoteReference w:id="693"/>
      </w:r>
      <w:r>
        <w:rPr>
          <w:rFonts w:ascii="IRNazanin" w:hAnsi="IRNazanin" w:eastAsia="IRNazanin"/>
          <w:color w:val="111111"/>
          <w:sz w:val="28"/>
          <w:sz w:val="28"/>
          <w:szCs w:val="28"/>
          <w:rtl w:val="true"/>
          <w:lang w:bidi="fa-IR"/>
        </w:rPr>
        <w:t>فما هي حجة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المشاركة في هذه الشورى؟</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يتعلق بتحليل هذا الدليل أو الشاهد، يجدر التأمل في الأمور الآتية </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1030619_2142443653"/>
      <w:bookmarkStart w:id="569" w:name="_Toc205"/>
      <w:bookmarkEnd w:id="568"/>
      <w:r>
        <w:rPr>
          <w:rtl w:val="true"/>
        </w:rPr>
        <w:t xml:space="preserve">أ </w:t>
      </w:r>
      <w:r>
        <w:rPr>
          <w:rtl w:val="true"/>
        </w:rPr>
        <w:t xml:space="preserve">- </w:t>
      </w:r>
      <w:r>
        <w:rPr>
          <w:rtl w:val="true"/>
        </w:rPr>
        <w:t>دفع شبهة العلمانيين</w:t>
      </w:r>
      <w:r>
        <w:rPr>
          <w:rtl w:val="true"/>
        </w:rPr>
        <w:t>:</w:t>
      </w:r>
      <w:bookmarkEnd w:id="56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الأمر الأول الذي يبدو من مشاركة الإمام في الشورى المحدّدة من قبل الخليفة، هي أن هذه المشاركة تأتي في سياق دفع شبهة ابتعاد الإمام عن ممارسة السياسة، حيث تم طرح هذه الشبهة منذ قرون، واليوم يتم طرحها والترويج لها بشكل أشد وأقوى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يسعى أنصار القول بالفصل بين الدين والسياسة إلى التشبث بكل ذريعة لتأييد مدعاهم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الصفحات السابقة أنهم اتخذوا من سكوت الإمام، وعدم قيامه بشيء من أجل الحصول </w:t>
      </w:r>
      <w:bookmarkStart w:id="570" w:name="pg15658_147143"/>
    </w:p>
    <w:p>
      <w:pPr>
        <w:pStyle w:val="BookText"/>
        <w:rPr/>
      </w:pPr>
      <w:bookmarkEnd w:id="570"/>
      <w:r>
        <w:rPr>
          <w:rFonts w:ascii="IRNazanin" w:hAnsi="IRNazanin" w:eastAsia="IRNazanin"/>
          <w:color w:val="111111"/>
          <w:sz w:val="28"/>
          <w:sz w:val="28"/>
          <w:szCs w:val="28"/>
          <w:rtl w:val="true"/>
          <w:lang w:bidi="fa-IR"/>
        </w:rPr>
        <w:t>على السلطة، وكراهته لتولي الخلافة بعد مقتل عثمان بن عفان، دليلاً على تأیید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وفيما يتعلق بمسألة الشورى، لو لم يشارك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لاتخذ العلمانيون هذا الموقف منه ليثبتوا على الفور أنه يصب في تأييد نظريتهم ومقالتهم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لا يعمل أنصار العلمانية على مصادرة عدم مشاركة الإمام في الشورى المذكورة لصالحهم، بادر الإمام إلى المشاركة فى هذه الشورى بوصف ذلك تكليفاً إلهياً تعين عليه القيام به</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1030621_2142443653"/>
      <w:bookmarkStart w:id="572" w:name="_Toc206"/>
      <w:bookmarkEnd w:id="571"/>
      <w:r>
        <w:rPr>
          <w:rtl w:val="true"/>
        </w:rPr>
        <w:t xml:space="preserve">ب </w:t>
      </w:r>
      <w:r>
        <w:rPr>
          <w:rtl w:val="true"/>
        </w:rPr>
        <w:t xml:space="preserve">- </w:t>
      </w:r>
      <w:r>
        <w:rPr>
          <w:rtl w:val="true"/>
        </w:rPr>
        <w:t xml:space="preserve">إتمام الحجة </w:t>
      </w:r>
      <w:r>
        <w:rPr>
          <w:rtl w:val="true"/>
        </w:rPr>
        <w:t>:</w:t>
      </w:r>
      <w:bookmarkEnd w:id="57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الرغم من ان نتيجة الشورى كانت محسومة سلفاً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مرّ توضیحه في هامش الصفحة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لو لم يشارك الإمام فيها لكان هناك احتمال أن يصف الشيعة وغيرهم موقف الإمام بالضعف وعدم الاهتمام في أمر سيادة الدين، وأنه كان بالإمكان في حال مشاركته أن يحصد أصوات الغالبية بالنظر إلى سابقته في الإسلام، وفضله على جميع الصحابة، مضافاً إلى امتلاكه لرصيد النص الإلهي القاضي بتنصيبه إماماً وخليفة على المسلمين من قبل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غدير خم وكثير من المواطن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أثبت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حضوره ومشاركته في الشورى مدى ابتعاد أعضاء الشورى عن الحق وانحيازهم إلى القرابة على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من خلال مشاركته سجل مظلوميته ومظلومية العدالة والحق على طول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امتنع الإمام عن المشاركة في الشورى؛ لاتهمه التاريخ بأنه من خلال اعتزال الشورى قدّم السلطة والحكم لغير الكفوئين </w:t>
      </w:r>
      <w:bookmarkStart w:id="573" w:name="pg15658_147144"/>
    </w:p>
    <w:p>
      <w:pPr>
        <w:pStyle w:val="BookText"/>
        <w:rPr/>
      </w:pPr>
      <w:bookmarkEnd w:id="573"/>
      <w:r>
        <w:rPr>
          <w:rFonts w:ascii="Amiri" w:hAnsi="Amiri" w:eastAsia="Amiri" w:cs="Amiri"/>
          <w:color w:val="111111"/>
          <w:sz w:val="28"/>
          <w:sz w:val="28"/>
          <w:szCs w:val="28"/>
          <w:rtl w:val="true"/>
          <w:lang w:bidi="ar-SA"/>
        </w:rPr>
        <w:t>وغير الصالحين على طبق من ذهب، وبذلك يعد بنحو من الأنحاء شريكاً في الجريمة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11030623_2142443653"/>
      <w:bookmarkStart w:id="575" w:name="_Toc207"/>
      <w:bookmarkEnd w:id="574"/>
      <w:r>
        <w:rPr>
          <w:rtl w:val="true"/>
        </w:rPr>
        <w:t xml:space="preserve">ج </w:t>
      </w:r>
      <w:r>
        <w:rPr>
          <w:rtl w:val="true"/>
        </w:rPr>
        <w:t xml:space="preserve">- </w:t>
      </w:r>
      <w:r>
        <w:rPr>
          <w:rtl w:val="true"/>
        </w:rPr>
        <w:t>تجنّب الخلاف والحفاظ على وحدة المسلمين وتماسكهم</w:t>
      </w:r>
      <w:r>
        <w:rPr>
          <w:rtl w:val="true"/>
        </w:rPr>
        <w:t>:</w:t>
      </w:r>
      <w:bookmarkEnd w:id="575"/>
    </w:p>
    <w:p>
      <w:pPr>
        <w:pStyle w:val="BookText"/>
        <w:rPr/>
      </w:pPr>
      <w:r>
        <w:rPr>
          <w:rFonts w:ascii="IRNazanin" w:hAnsi="IRNazanin" w:eastAsia="IRNazanin"/>
          <w:color w:val="111111"/>
          <w:sz w:val="28"/>
          <w:sz w:val="28"/>
          <w:szCs w:val="28"/>
          <w:rtl w:val="true"/>
          <w:lang w:bidi="fa-IR"/>
        </w:rPr>
        <w:t>لو لم يشارك الإمام علي عليه السلام في الشورى المذكورة، لعمّت الخلافات والنزاعات الأمة الإسلامية ثانية، إذ إن عدم مشاركة الإمام فيها بمنزلة مواجهة السلطة والخليفة الجديد، وفي هذه الصورة سيعمد شيعة الإمام إلى التأسي بموقفه، وعندها سيدخلون في جدال ونزاع وصراع مع أنصار السلطة، ولا يخفى أن هذا الأمر سيؤدي إلى الفرقة بين صفوف المسلمين، وهذا سيؤدي بدوره إلى إضعاف أصل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علمه بنتيجة الشورى، آثر مصلحة الإسلام على مصلحته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عدم مشاركة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تلك الشورى المقترحة من قبل عمر بن الخطاب كان سيفسّر على أنه غمز وطعن في الخليفة الثاني، ولكان وقع ذلك على 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يمثلون غالبية الناس الاعتياديين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ثقيلاً، وهو أمر من شأنه أن يوسع من شرخ الخلافات والصراعات الداخلية بين المسلمين</w:t>
      </w:r>
      <w:r>
        <w:rPr>
          <w:rFonts w:eastAsia="IRNazanin" w:cs="IRNazanin"/>
          <w:color w:val="111111"/>
          <w:sz w:val="28"/>
          <w:szCs w:val="28"/>
          <w:rtl w:val="true"/>
          <w:lang w:bidi="fa-IR"/>
        </w:rPr>
        <w:t>.</w:t>
      </w:r>
    </w:p>
    <w:p>
      <w:pPr>
        <w:pStyle w:val="Heading4"/>
        <w:numPr>
          <w:ilvl w:val="3"/>
          <w:numId w:val="1"/>
        </w:numPr>
        <w:rPr/>
      </w:pPr>
      <w:bookmarkStart w:id="576" w:name="__RefHeading___Toc11030625_2142443653"/>
      <w:bookmarkStart w:id="577" w:name="_Toc208"/>
      <w:bookmarkEnd w:id="576"/>
      <w:r>
        <w:rPr>
          <w:rtl w:val="true"/>
        </w:rPr>
        <w:t xml:space="preserve">د </w:t>
      </w:r>
      <w:r>
        <w:rPr>
          <w:rtl w:val="true"/>
        </w:rPr>
        <w:t xml:space="preserve">- </w:t>
      </w:r>
      <w:r>
        <w:rPr>
          <w:rtl w:val="true"/>
        </w:rPr>
        <w:t>نقض موقف الخليفة الثاني</w:t>
      </w:r>
      <w:r>
        <w:rPr>
          <w:rtl w:val="true"/>
        </w:rPr>
        <w:t>:</w:t>
      </w:r>
      <w:bookmarkEnd w:id="57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أسباب مشاركة الإمام في الشورى المقترحة من قبل عمر بن الخطاب، أن عمر روى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حديثاً مزعوماً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bookmarkStart w:id="578" w:name="pg15658_147145"/>
    </w:p>
    <w:p>
      <w:pPr>
        <w:pStyle w:val="BookText"/>
        <w:rPr/>
      </w:pPr>
      <w:bookmarkEnd w:id="578"/>
      <w:r>
        <w:rPr>
          <w:rFonts w:ascii="IRNazanin" w:hAnsi="IRNazanin" w:eastAsia="IRNazanin"/>
          <w:color w:val="111111"/>
          <w:sz w:val="28"/>
          <w:sz w:val="28"/>
          <w:szCs w:val="28"/>
          <w:rtl w:val="true"/>
          <w:lang w:bidi="fa-IR"/>
        </w:rPr>
        <w:t xml:space="preserve">النبوة والإمامة لا تجتمع في بيت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تسمية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عمر نفسه بوصفه مرشحاً لاستلام الحكم والخلافة يكون قد ناقض نفسه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هذه الناحية في معرض رفضه اقتراح ابن عباس في عدم المشاركة في مهزلة الشورى بعد أن كانت النتائج معلومة سلفاً، وأنها ستؤدي لا محالة إلى انتخاب عثمان بن عفان، إذ 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أعلم ذلك، ولكني أدخل معهم في الشورى؛ لأن عمر قد أهلني الآن للخلافة وكان قبل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النبوة والإمامة لا يجتمعان في بيت، فأنا أدخل في ذلك؛ لأظهر للناس مناقضة فعله لروايته</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الواضح أنه إذا لم يتم إثبات زيف الرواية التي يرويها عمر بن الخطاب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القائمة على عدم الجمع بين النبوة والإمامة، لصار هذا الحديث المكذوب على لسان رسول الله مستمسكاً بيد الخصوم بعد مقتل عثمان، ولجعلوه دليلاً على عدم شرعية خلافة وإمامة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من أبنائه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وسيؤدي ذلك إلى الانحراف عن ركن رئيس من أركان الدين وهو ركن الإمامة</w:t>
      </w:r>
      <w:r>
        <w:rPr>
          <w:rFonts w:eastAsia="IRNazanin" w:cs="IRNazanin"/>
          <w:color w:val="111111"/>
          <w:sz w:val="28"/>
          <w:szCs w:val="28"/>
          <w:rtl w:val="true"/>
          <w:lang w:bidi="fa-IR"/>
        </w:rPr>
        <w:t>.</w:t>
      </w:r>
    </w:p>
    <w:p>
      <w:pPr>
        <w:pStyle w:val="Heading4"/>
        <w:numPr>
          <w:ilvl w:val="3"/>
          <w:numId w:val="1"/>
        </w:numPr>
        <w:rPr/>
      </w:pPr>
      <w:bookmarkStart w:id="579" w:name="__RefHeading___Toc11030627_2142443653"/>
      <w:bookmarkStart w:id="580" w:name="_Toc209"/>
      <w:bookmarkEnd w:id="579"/>
      <w:r>
        <w:rPr>
          <w:rtl w:val="true"/>
        </w:rPr>
        <w:t xml:space="preserve">هـ </w:t>
      </w:r>
      <w:r>
        <w:rPr>
          <w:rtl w:val="true"/>
        </w:rPr>
        <w:t xml:space="preserve">- </w:t>
      </w:r>
      <w:r>
        <w:rPr>
          <w:rtl w:val="true"/>
        </w:rPr>
        <w:t>نفي تهمة الاستبداد بالرأي</w:t>
      </w:r>
      <w:r>
        <w:rPr>
          <w:rtl w:val="true"/>
        </w:rPr>
        <w:t>:</w:t>
      </w:r>
      <w:bookmarkEnd w:id="58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عدم مشاركة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الشورى المذكورة كان يترتب </w:t>
      </w:r>
      <w:bookmarkStart w:id="581" w:name="pg15658_147146"/>
    </w:p>
    <w:p>
      <w:pPr>
        <w:pStyle w:val="BookText"/>
        <w:rPr/>
      </w:pPr>
      <w:bookmarkEnd w:id="581"/>
      <w:r>
        <w:rPr>
          <w:rFonts w:ascii="Amiri" w:hAnsi="Amiri" w:eastAsia="Amiri" w:cs="Amiri"/>
          <w:color w:val="111111"/>
          <w:sz w:val="28"/>
          <w:sz w:val="28"/>
          <w:szCs w:val="28"/>
          <w:rtl w:val="true"/>
          <w:lang w:bidi="ar-SA"/>
        </w:rPr>
        <w:t>عليه لازم سلبي، وهو أن أكثر العوام من الناس سوف يفسرون عدم مشاركته على أنها ترفع منه على سائر الصحابة من منه على سائر الصحابة من أعضاء الشورى، وأنه يرى نفسه فوق الجميع، وهذا يحمل في طياته نوعاً من الاستبداد بالرأي والتكبّر والاستعلاء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كان ما قام به الإمام من المشاركة في الشورى دفعاً لهذا المحذور</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1030629_2142443653"/>
      <w:bookmarkStart w:id="583" w:name="_Toc210"/>
      <w:bookmarkEnd w:id="582"/>
      <w:r>
        <w:rPr>
          <w:rtl w:val="true"/>
        </w:rPr>
        <w:t xml:space="preserve">و </w:t>
      </w:r>
      <w:r>
        <w:rPr>
          <w:rtl w:val="true"/>
        </w:rPr>
        <w:t xml:space="preserve">- </w:t>
      </w:r>
      <w:r>
        <w:rPr>
          <w:rtl w:val="true"/>
        </w:rPr>
        <w:t>روايات وسلوك الإمام ناقض المشروعية الخلفاء</w:t>
      </w:r>
      <w:r>
        <w:rPr>
          <w:rtl w:val="true"/>
        </w:rPr>
        <w:t>:</w:t>
      </w:r>
      <w:bookmarkEnd w:id="58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تطرح هنا شبهة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مشاركته في الشورى، يمنح الشرعية للخليفتين السابقين بالإضافة إلى الخليفة الثالث على المستوى العملى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الأجيال اللاحقة تدرك من خلال قراءتها للروايات المأثورة عنه ودلالتها على اغتصاب الخلفاء السابقين لحقه، مضافاً إلى احتجاجاته المتكررة على أصل التنصيب في كثير من المواطن، بما في ذلك الشورى نفسها</w:t>
      </w:r>
      <w:r>
        <w:rPr>
          <w:rStyle w:val="FootnoteAnchor"/>
          <w:rtl w:val="true"/>
        </w:rPr>
        <w:footnoteReference w:id="696"/>
      </w:r>
      <w:r>
        <w:rPr>
          <w:rFonts w:ascii="Amiri" w:hAnsi="Amiri" w:eastAsia="Amiri" w:cs="Amiri"/>
          <w:color w:val="111111"/>
          <w:sz w:val="28"/>
          <w:sz w:val="28"/>
          <w:szCs w:val="28"/>
          <w:rtl w:val="true"/>
          <w:lang w:bidi="ar-SA"/>
        </w:rPr>
        <w:t>، ولذلك لا تكون هذه الشبهة جديرة بالطرح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مشاركة الإمام في الشورى تأتي في سياق كثير من الأسباب الأخرى التي تقدم ذكرها، ولا ربط لها بمسألة مشروعية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الإمام قد ذكر تلك النصوص في نقد ما قام به الخلفاء السابقون، وما احتج به من الروايات حتى في معقد الشورى نفسها</w:t>
      </w:r>
      <w:r>
        <w:rPr>
          <w:rStyle w:val="FootnoteAnchor"/>
          <w:rtl w:val="true"/>
        </w:rPr>
        <w:footnoteReference w:id="697"/>
      </w:r>
      <w:r>
        <w:rPr>
          <w:rFonts w:ascii="IRNazanin" w:hAnsi="IRNazanin" w:eastAsia="IRNazanin"/>
          <w:color w:val="111111"/>
          <w:sz w:val="28"/>
          <w:sz w:val="28"/>
          <w:szCs w:val="28"/>
          <w:rtl w:val="true"/>
          <w:lang w:bidi="fa-IR"/>
        </w:rPr>
        <w:t>، لكان هناك متسع لمثل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النصوص الواردة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 مجالاً لطرح هذه الشبهة</w:t>
      </w:r>
      <w:r>
        <w:rPr>
          <w:rFonts w:eastAsia="IRNazanin" w:cs="IRNazanin"/>
          <w:color w:val="111111"/>
          <w:sz w:val="28"/>
          <w:szCs w:val="28"/>
          <w:rtl w:val="true"/>
          <w:lang w:bidi="fa-IR"/>
        </w:rPr>
        <w:t xml:space="preserve">. </w:t>
      </w:r>
      <w:bookmarkStart w:id="584" w:name="pg15658_147147"/>
    </w:p>
    <w:p>
      <w:pPr>
        <w:pStyle w:val="BookText"/>
        <w:rPr/>
      </w:pPr>
      <w:bookmarkEnd w:id="584"/>
      <w:r>
        <w:rPr>
          <w:rFonts w:ascii="IRNazanin" w:hAnsi="IRNazanin" w:eastAsia="IRNazanin"/>
          <w:color w:val="111111"/>
          <w:sz w:val="28"/>
          <w:sz w:val="28"/>
          <w:szCs w:val="28"/>
          <w:rtl w:val="true"/>
          <w:lang w:bidi="fa-IR"/>
        </w:rPr>
        <w:t>علاوة على ذلك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موقفه السلبى من الخليفتين الأولين في ذات الشورى نفسها، وذلك عندما تقدم عبد الرحمن بن عوف نحوه في حركة استعراضية اقترح فيها عليه مبايعته بشرط أن يعمل بسنة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وسيرة الشيخين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الخليفتين 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بن أبي قحافة وعمر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أنه لا يعمل إلا بسيرة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واجتهاده ورأيه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يكون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 بكراهته ومعارضته السيرة الخليفتين السابقين، مما يثبت عدم شرعية سيرتيهما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تذكيره بأن موافقة منافسه عثمان بن عفان على هذا الشرط لا ينسجم مع أصل الكتاب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وبذلك يكون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أثبت عدم مشروعية الخليفتين السابقين وكذلك عدم مشروعية خلافة الخليفة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3"/>
        <w:numPr>
          <w:ilvl w:val="2"/>
          <w:numId w:val="1"/>
        </w:numPr>
        <w:rPr/>
      </w:pPr>
      <w:bookmarkStart w:id="585" w:name="__RefHeading___Toc11030631_2142443653"/>
      <w:bookmarkStart w:id="586" w:name="_Toc211"/>
      <w:bookmarkEnd w:id="585"/>
      <w:r>
        <w:rPr>
          <w:rtl w:val="true"/>
        </w:rPr>
        <w:t>الشبهة الثانية عشرة</w:t>
      </w:r>
      <w:r>
        <w:rPr>
          <w:rtl w:val="true"/>
        </w:rPr>
        <w:t xml:space="preserve">: </w:t>
      </w:r>
      <w:r>
        <w:rPr>
          <w:rtl w:val="true"/>
        </w:rPr>
        <w:t>رفض التصدي للخلافة بعد مقتل الخليفة الثالث</w:t>
      </w:r>
      <w:r>
        <w:rPr>
          <w:rtl w:val="true"/>
        </w:rPr>
        <w:t>:</w:t>
      </w:r>
      <w:bookmarkEnd w:id="586"/>
    </w:p>
    <w:p>
      <w:pPr>
        <w:pStyle w:val="Heading4"/>
        <w:numPr>
          <w:ilvl w:val="3"/>
          <w:numId w:val="1"/>
        </w:numPr>
        <w:rPr/>
      </w:pPr>
      <w:bookmarkStart w:id="587" w:name="__RefHeading___Toc11030633_2142443653"/>
      <w:bookmarkStart w:id="588" w:name="_Toc212"/>
      <w:bookmarkEnd w:id="587"/>
      <w:r>
        <w:rPr>
          <w:rtl w:val="true"/>
        </w:rPr>
        <w:t>اشارة</w:t>
      </w:r>
      <w:bookmarkEnd w:id="58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الأدلة الأدلة التي يتمسك بها أهل السنة لإثبات عدم وجود النص على أصل التنصيب والإمامة والخلافة، رفض علي لقبول الخلافة عندما عرضت عليه من قبل الأمة بعد مقتل عثمان بن عفان؛ حيث روي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هناك نص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وخلافته، لكان عليه المسارعة إلى قبول هذا العرض والترحيب به، ولقام بتشكيل الحكومة التى يرتضيها، وإلا كان مصداقاً لتارك </w:t>
      </w:r>
    </w:p>
    <w:p>
      <w:pPr>
        <w:pStyle w:val="BookText"/>
        <w:rPr/>
      </w:pPr>
      <w:r>
        <w:rPr>
          <w:rFonts w:ascii="Amiri" w:hAnsi="Amiri" w:eastAsia="Amiri" w:cs="Amiri"/>
          <w:color w:val="111111"/>
          <w:sz w:val="28"/>
          <w:sz w:val="28"/>
          <w:szCs w:val="28"/>
          <w:rtl w:val="true"/>
          <w:lang w:bidi="ar-SA"/>
        </w:rPr>
        <w:t>الواجب الديني</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يتم التسويق لهذه الشبهة حالياً من قبل بعض العلمانيين من الشيعة أيضاً، ويستفيدون منها صحة ما يذهبون إليه من الفصل بين الدين والسياسة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رفض الإمام لاستلام الحكم لم يكن رفضاً للقيام بواجب ديني، وإنما هو يرفض بذلك الاضطلاع بمهمة ومسؤولية دنيوية لا ربط لها بالفرائض والأحكام الدينية التي لا تترك بحال</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في مختلف التبريرات، لا بد من الإشارة إلى هذه النقطة والإجابة الكلية، وهي أنه حتى على فرض عدم اتضاح الإجابة عن هذه الشبهة، لا يمكن لنا أن نستنتج من مجرد كراهة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لتولي منصب الحكم، بطلان نظرية التنصيب؛ ذلك لأن هذه النظرية قد ثبتت بالأدلة المتقنة والمحكمة المدعومة بالأحاديث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وإن مجرد الغموض في قضية تاريخية لا يمكن أن يخدش بها أو يضعفها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أنّ هذه الخطبة ذاتها وامتناع الإمام عن استلام الحكم له تبريرات وأدلة تنسجم مع نظرية التنصيب، وفيما يأتي نشير إليها على النحو الآتي</w:t>
      </w:r>
      <w:r>
        <w:rPr>
          <w:rFonts w:eastAsia="IRNazanin" w:cs="IRNazanin"/>
          <w:color w:val="111111"/>
          <w:sz w:val="28"/>
          <w:szCs w:val="28"/>
          <w:rtl w:val="true"/>
          <w:lang w:bidi="fa-IR"/>
        </w:rPr>
        <w:t xml:space="preserve">: </w:t>
      </w:r>
      <w:bookmarkStart w:id="589" w:name="pg15658_147149"/>
    </w:p>
    <w:p>
      <w:pPr>
        <w:pStyle w:val="Heading4"/>
        <w:numPr>
          <w:ilvl w:val="3"/>
          <w:numId w:val="1"/>
        </w:numPr>
        <w:rPr/>
      </w:pPr>
      <w:bookmarkStart w:id="590" w:name="__RefHeading___Toc11030635_2142443653"/>
      <w:bookmarkStart w:id="591" w:name="_Toc213"/>
      <w:bookmarkEnd w:id="589"/>
      <w:bookmarkEnd w:id="590"/>
      <w:r>
        <w:rPr>
          <w:rtl w:val="true"/>
        </w:rPr>
        <w:t xml:space="preserve">أ </w:t>
      </w:r>
      <w:r>
        <w:rPr>
          <w:rtl w:val="true"/>
        </w:rPr>
        <w:t xml:space="preserve">- </w:t>
      </w:r>
      <w:r>
        <w:rPr>
          <w:rtl w:val="true"/>
        </w:rPr>
        <w:t>الاعتراض على سيرة الخلفاء السابقين</w:t>
      </w:r>
      <w:r>
        <w:rPr>
          <w:rtl w:val="true"/>
        </w:rPr>
        <w:t>:</w:t>
      </w:r>
      <w:bookmarkEnd w:id="591"/>
    </w:p>
    <w:p>
      <w:pPr>
        <w:pStyle w:val="BookText"/>
        <w:rPr/>
      </w:pPr>
      <w:r>
        <w:rPr>
          <w:rFonts w:ascii="Amiri" w:hAnsi="Amiri" w:eastAsia="Amiri" w:cs="Amiri"/>
          <w:color w:val="111111"/>
          <w:sz w:val="28"/>
          <w:sz w:val="28"/>
          <w:szCs w:val="28"/>
          <w:rtl w:val="true"/>
          <w:lang w:bidi="ar-SA"/>
        </w:rPr>
        <w:t xml:space="preserve">طبقاً لعلم التفسير والتأويل والهرمنيوطيقا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أشبعه المستنيرون شرحاً وبياناً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تفسير كلام ما من ملاحظة الظروف والثقافة التي تحيط بفترة صدور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الأمور التي تساعد على فهم الكلام بيان الدافع والمخاطبين بالكلام، وهو ما يعبر عنه في علم التفسير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لا ينبغي التسرع في تفسير هذه الخطبة والاستناد إلى ظاهرها والاحتجاج بها في أخذ المدعى، بل لا بد أولاً من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ابن أبي الحديد المعتزلي في شرحه أنه بعد مقتل الخليفة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 أقبل بعض كبار القوم على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واقترحوا عليه البيعة والخلافة على أن يعمل بكتاب الله وسنة النبي وسنة الخلفاء السابقين، فرفض الإمام هذا الشرط ؛ لاعتقاده ببطلان سيرة الخلفاء السابقين وعدم شرعيتها</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قبول هذا الشرط يعني إمضاء سنة الخلفاء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قال الإمام علي لأصحاب هذا المقترح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bookmarkStart w:id="592" w:name="pg15658_147150"/>
    </w:p>
    <w:p>
      <w:pPr>
        <w:pStyle w:val="BookText"/>
        <w:rPr/>
      </w:pPr>
      <w:bookmarkEnd w:id="592"/>
      <w:r>
        <w:rPr>
          <w:rFonts w:ascii="IRNazanin" w:hAnsi="IRNazanin" w:eastAsia="IRNazanin"/>
          <w:color w:val="111111"/>
          <w:sz w:val="28"/>
          <w:sz w:val="28"/>
          <w:szCs w:val="28"/>
          <w:rtl w:val="true"/>
          <w:lang w:bidi="fa-IR"/>
        </w:rPr>
        <w:t>والتمسوا من يوافق على هذه الشروط وعليه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يرفض أصل استلام الحكم والسلطة، وإنما كان يرفض الحكم الذي يحمل في دستوره مادة تفرض عليه اتباع أمر أو سياسة لم يكن مقتنعاً بها أو كان يرى خلافها، وهي سيرة الخلفاء الذين سبقوه</w:t>
      </w:r>
      <w:r>
        <w:rPr>
          <w:rFonts w:eastAsia="IRNazanin" w:cs="IRNazanin"/>
          <w:color w:val="111111"/>
          <w:sz w:val="28"/>
          <w:szCs w:val="28"/>
          <w:rtl w:val="true"/>
          <w:lang w:bidi="fa-IR"/>
        </w:rPr>
        <w:t>.</w:t>
      </w:r>
    </w:p>
    <w:p>
      <w:pPr>
        <w:pStyle w:val="Heading4"/>
        <w:numPr>
          <w:ilvl w:val="3"/>
          <w:numId w:val="1"/>
        </w:numPr>
        <w:rPr/>
      </w:pPr>
      <w:bookmarkStart w:id="593" w:name="__RefHeading___Toc11030637_2142443653"/>
      <w:bookmarkStart w:id="594" w:name="_Toc214"/>
      <w:bookmarkEnd w:id="593"/>
      <w:r>
        <w:rPr>
          <w:rtl w:val="true"/>
        </w:rPr>
        <w:t xml:space="preserve">ب </w:t>
      </w:r>
      <w:r>
        <w:rPr>
          <w:rtl w:val="true"/>
        </w:rPr>
        <w:t xml:space="preserve">- </w:t>
      </w:r>
      <w:r>
        <w:rPr>
          <w:rtl w:val="true"/>
        </w:rPr>
        <w:t>إتمام الحجة</w:t>
      </w:r>
      <w:r>
        <w:rPr>
          <w:rtl w:val="true"/>
        </w:rPr>
        <w:t>:</w:t>
      </w:r>
      <w:bookmarkEnd w:id="594"/>
    </w:p>
    <w:p>
      <w:pPr>
        <w:pStyle w:val="BookText"/>
        <w:rPr/>
      </w:pP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الحقيقة لم يرد من وراء رفض الحكم الامتناع عن أصل ممارسة الولاية والسلطة، وإنما كان يريد تعريف الناس بهوية حكومته، وإن من أهم أركانها العمل بكتاب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ورأيه الخاص، من دون سيرة من سبقه من الخلفاء، وذلك كي يبايعه الناس عن بصيرة من أمرهم، فلا يقولوا بعد توليه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سنة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وا سنة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ويتخذون ذلك ذريعة لمعارضة حكومة الإمام الفتية؛ إذ إنّه قد أتم عليهم الحجة منذ البداية، وبيّن لهم طبيعة حكومته وماهيتها، وهذا ما يتضح من خلال عبارات ذات الخطبة التى غابت عن أنظار القائلين بمبدأ فصل الدين عن السياسة، وذلك حيث يصرح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أَنِّي إِنْ أَجَبْتُكُمْ رَكِبْتُ بِكُمْ مَا أَعْلَمُ، وَلَمْ أُصْغِ إِلَى قَوْلِ الْقَائِلِ وَعَتْبِ الْعَاتِبِ</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1030639_2142443653"/>
      <w:bookmarkStart w:id="596" w:name="_Toc215"/>
      <w:bookmarkEnd w:id="595"/>
      <w:r>
        <w:rPr>
          <w:rtl w:val="true"/>
        </w:rPr>
        <w:t xml:space="preserve">ج </w:t>
      </w:r>
      <w:r>
        <w:rPr>
          <w:rtl w:val="true"/>
        </w:rPr>
        <w:t xml:space="preserve">- </w:t>
      </w:r>
      <w:r>
        <w:rPr>
          <w:rtl w:val="true"/>
        </w:rPr>
        <w:t>التنبؤ بالفتن القادمة</w:t>
      </w:r>
      <w:r>
        <w:rPr>
          <w:rtl w:val="true"/>
        </w:rPr>
        <w:t>:</w:t>
      </w:r>
      <w:bookmarkEnd w:id="59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الخطبة ذكر أن السبب الآخر الذي يدعوه إلى الامتناع عن قبول الحكم والخلافة، هو أن ممارسات الخلفاء السابقين قد </w:t>
      </w:r>
    </w:p>
    <w:p>
      <w:pPr>
        <w:pStyle w:val="BookText"/>
        <w:rPr/>
      </w:pPr>
      <w:r>
        <w:rPr>
          <w:rFonts w:ascii="IRNazanin" w:hAnsi="IRNazanin" w:eastAsia="IRNazanin"/>
          <w:color w:val="111111"/>
          <w:sz w:val="28"/>
          <w:sz w:val="28"/>
          <w:szCs w:val="28"/>
          <w:rtl w:val="true"/>
          <w:lang w:bidi="fa-IR"/>
        </w:rPr>
        <w:t>تركت وراءها كثير من الألغام التي ستجعل المستقبل حافلاً بالصواعق المتفجرة، وإن إبطال مفعولها سيخلق كثيراً من المشاكل المريرة على المستوى الداخلي، وإن كثيراً من الشخصيات المرموقة،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وطلحة والزبير وغيرهم، لن يخرجوا من التجربة القادمة مرفوعي الرأس، إذ إنّهم لن يتحملوا حكومته العادلة، وذلك إذ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 وَإِنَّ الْآفَاقَ قَدْ أَغَامَتْ، وَالمُحَجَّةَ قَدْ تَنكَّرَتْ</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فإن حكومة الإمام القصيرة بدلاً من أن تمكنه من نشر الإسلام، استهلكت الطاقة فى الإصلاحات الداخلية وتغيير نفوس الأعداء والمخالفين من إخوته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الفترة غير مناسبة كي يمسك بمقاليد الأمور ، وذلك لأن الشبهات والفتن قد لوثت أذهان حتى المخلصين من الصحابة، وإن الفساد قد عم غالبية الناس، بحيث أنهم لن يكونوا قادرين على التمييز بين الحق والباطل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تطبيق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فترة الحكم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بعهد من الدفاع عن حقوق المظلومين، وإجماع الناس عليه وإعلانهم الاستعداد للبيعة، خلق للإمام تكليفاً إلهياً يتمثل في الاستجابة لطلب الناس رغم عدم </w:t>
      </w:r>
      <w:bookmarkStart w:id="597" w:name="pg15658_147152"/>
    </w:p>
    <w:p>
      <w:pPr>
        <w:pStyle w:val="BookText"/>
        <w:rPr/>
      </w:pPr>
      <w:bookmarkEnd w:id="597"/>
      <w:r>
        <w:rPr>
          <w:rFonts w:ascii="IRNazanin" w:hAnsi="IRNazanin" w:eastAsia="IRNazanin"/>
          <w:color w:val="111111"/>
          <w:sz w:val="28"/>
          <w:sz w:val="28"/>
          <w:szCs w:val="28"/>
          <w:rtl w:val="true"/>
          <w:lang w:bidi="fa-IR"/>
        </w:rPr>
        <w:t>رغبته بذلك، نظراً لثقل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قبول الخلافة رغم زهده فيها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 لَوْ لَا حُضُورُ الْحَاضِرِ ، وَقِيَامُ الحُجَّةِ بِوُجُودِ النَّاصِرِ ، وَمَا أَخَذَ الله عَلَى الْعُلَماء أن لا يُقَارُّوا عَلَى كِظَلَّةِ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1030641_2142443653"/>
      <w:bookmarkStart w:id="599" w:name="_Toc216"/>
      <w:bookmarkEnd w:id="598"/>
      <w:r>
        <w:rPr>
          <w:rtl w:val="true"/>
        </w:rPr>
        <w:t xml:space="preserve">د </w:t>
      </w:r>
      <w:r>
        <w:rPr>
          <w:rtl w:val="true"/>
        </w:rPr>
        <w:t xml:space="preserve">- </w:t>
      </w:r>
      <w:r>
        <w:rPr>
          <w:rtl w:val="true"/>
        </w:rPr>
        <w:t>دفع شبهة التهالك على الحكم والسلطة</w:t>
      </w:r>
      <w:r>
        <w:rPr>
          <w:rtl w:val="true"/>
        </w:rPr>
        <w:t>:</w:t>
      </w:r>
      <w:bookmarkEnd w:id="599"/>
    </w:p>
    <w:p>
      <w:pPr>
        <w:pStyle w:val="BookText"/>
        <w:rPr/>
      </w:pPr>
      <w:r>
        <w:rPr>
          <w:rFonts w:ascii="IRNazanin" w:hAnsi="IRNazanin" w:eastAsia="IRNazanin"/>
          <w:color w:val="111111"/>
          <w:sz w:val="28"/>
          <w:sz w:val="28"/>
          <w:szCs w:val="28"/>
          <w:rtl w:val="true"/>
          <w:lang w:bidi="fa-IR"/>
        </w:rPr>
        <w:t>من خلال التدبّر في هذه الخطبة يمكن لنا أن نستنتج سبباً آخر يدعو الإمام إلى رفض الخلافة، ذلك أنه أراد أن يفهم الناس أنه ليس له أدنى طمع أو تهالك على الحكم والسلطة، وإن ما صدر عنه سابقاً من الشكوى والتذمر من اغتصاب السلطة وإبعاده عنها إنما كان لأجل العمل بوصية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الأصلح لقيادة الأمة وإحياء الدين والشريعة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يمكن فهمه من خلال وصفه للخلافة لو لا العدل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لَأَلْفَيْتُمْ دُنْيَاكُمْ هَذِهِ أَزْهَدَ عِنْدِي مِنْ عَفْطَةِ عَنْز</w:t>
      </w:r>
      <w:r>
        <w:rPr>
          <w:rFonts w:eastAsia="IRNazanin" w:cs="IRNazanin"/>
          <w:color w:val="111111"/>
          <w:sz w:val="28"/>
          <w:szCs w:val="28"/>
          <w:rtl w:val="true"/>
          <w:lang w:bidi="fa-IR"/>
        </w:rPr>
        <w:t>».</w:t>
      </w:r>
    </w:p>
    <w:p>
      <w:pPr>
        <w:pStyle w:val="Heading4"/>
        <w:numPr>
          <w:ilvl w:val="3"/>
          <w:numId w:val="1"/>
        </w:numPr>
        <w:rPr/>
      </w:pPr>
      <w:bookmarkStart w:id="600" w:name="__RefHeading___Toc11030643_2142443653"/>
      <w:bookmarkStart w:id="601" w:name="_Toc217"/>
      <w:bookmarkEnd w:id="600"/>
      <w:r>
        <w:rPr>
          <w:rtl w:val="true"/>
        </w:rPr>
        <w:t xml:space="preserve">هـ </w:t>
      </w:r>
      <w:r>
        <w:rPr>
          <w:rtl w:val="true"/>
        </w:rPr>
        <w:t xml:space="preserve">- </w:t>
      </w:r>
      <w:r>
        <w:rPr>
          <w:rtl w:val="true"/>
        </w:rPr>
        <w:t>الشكوى من الناس</w:t>
      </w:r>
      <w:r>
        <w:rPr>
          <w:rtl w:val="true"/>
        </w:rPr>
        <w:t>:</w:t>
      </w:r>
      <w:bookmarkEnd w:id="60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ذكره بعض شارحي هذه الخطبة على ما نقله ابن أبي الحديد المعتزلي،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بهذا الرفض الشكوى من الناس، إذ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حمل بعضهم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محمل ،آخر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كلام مستزيد شاك من أصحابه 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 الضجر منهم </w:t>
      </w:r>
      <w:bookmarkStart w:id="602" w:name="pg15658_147153"/>
    </w:p>
    <w:p>
      <w:pPr>
        <w:pStyle w:val="BookText"/>
        <w:rPr/>
      </w:pPr>
      <w:bookmarkEnd w:id="602"/>
      <w:r>
        <w:rPr>
          <w:rFonts w:ascii="Amiri" w:hAnsi="Amiri" w:eastAsia="Amiri" w:cs="Amiri"/>
          <w:color w:val="111111"/>
          <w:sz w:val="28"/>
          <w:sz w:val="28"/>
          <w:szCs w:val="28"/>
          <w:rtl w:val="true"/>
          <w:lang w:bidi="ar-SA"/>
        </w:rPr>
        <w:t>والتبرم بهم والتسخط لأفعالهم؛ لأنهم كانوا عدلوا عنه من قبل واختاروا عليه فلما طلبوه بعد أجابهم جواب المتسخط العاتب</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قبيل المثل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جئتم بعد خراب البصرة</w:t>
      </w:r>
    </w:p>
    <w:p>
      <w:pPr>
        <w:pStyle w:val="Heading4"/>
        <w:numPr>
          <w:ilvl w:val="3"/>
          <w:numId w:val="1"/>
        </w:numPr>
        <w:rPr/>
      </w:pPr>
      <w:bookmarkStart w:id="603" w:name="__RefHeading___Toc11030645_2142443653"/>
      <w:bookmarkStart w:id="604" w:name="_Toc218"/>
      <w:bookmarkEnd w:id="603"/>
      <w:r>
        <w:rPr>
          <w:rtl w:val="true"/>
        </w:rPr>
        <w:t xml:space="preserve">و </w:t>
      </w:r>
      <w:r>
        <w:rPr>
          <w:rtl w:val="true"/>
        </w:rPr>
        <w:t xml:space="preserve">- </w:t>
      </w:r>
      <w:r>
        <w:rPr>
          <w:rtl w:val="true"/>
        </w:rPr>
        <w:t>نفي صلاحية الناس والاستهزاء بهم</w:t>
      </w:r>
      <w:r>
        <w:rPr>
          <w:rtl w:val="true"/>
        </w:rPr>
        <w:t>:</w:t>
      </w:r>
      <w:bookmarkEnd w:id="604"/>
    </w:p>
    <w:p>
      <w:pPr>
        <w:pStyle w:val="BookText"/>
        <w:rPr/>
      </w:pPr>
      <w:r>
        <w:rPr>
          <w:rFonts w:ascii="Amiri" w:hAnsi="Amiri" w:eastAsia="Amiri" w:cs="Amiri"/>
          <w:color w:val="111111"/>
          <w:sz w:val="28"/>
          <w:sz w:val="28"/>
          <w:szCs w:val="28"/>
          <w:rtl w:val="true"/>
          <w:lang w:bidi="ar-SA"/>
        </w:rPr>
        <w:t xml:space="preserve">إن من بين المحامل والوجوه التي ذكرها بعض شراح هذه الخطبة ما ذكره ابن أبي الحديد المعتزلي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قوم منهم الكلام على وجه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مخرج التهكم والسخرية، أي أنا لكم وزيراً خير مني لكم أميراً، فيما تعتقدونه،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Style w:val="FootnoteAnchor"/>
          <w:rtl w:val="true"/>
        </w:rPr>
        <w:footnoteReference w:id="706"/>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لنفسك ذلك وتعتقده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واضح أن الإمام في هذا الكلام ليس بصدد نفي أهليته وصلاحيته لتولي الحكم والسلطة وقيادة المجتمع الإسلامي، في حين أنه صرح في كثير من الموارد بحقه وصلاحيته الحصرية في التصدّي لهذا الأمر، ومن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وَإِنَّهُ لَيَعْلَمُ أَنَّ مَحَلِّي مِنْهَا مَحَلُّ الْقُطْبِ مِنَ الرَّحَى، يَنْحَدِرُ عَنِّي السَّيْلُ، وَلَا يَرْقَى إِلَيَّ الطَّيْرُ</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5" w:name="__RefHeading___Toc11030647_2142443653"/>
      <w:bookmarkStart w:id="606" w:name="_Toc219"/>
      <w:bookmarkEnd w:id="605"/>
      <w:r>
        <w:rPr>
          <w:rtl w:val="true"/>
        </w:rPr>
        <w:t>الشبهة الثالثة عشرة</w:t>
      </w:r>
      <w:r>
        <w:rPr>
          <w:rtl w:val="true"/>
        </w:rPr>
        <w:t xml:space="preserve">: </w:t>
      </w:r>
      <w:r>
        <w:rPr>
          <w:rtl w:val="true"/>
        </w:rPr>
        <w:t>تعاون الإمام علي</w:t>
      </w:r>
      <w:r>
        <w:rPr>
          <w:rtl w:val="true"/>
        </w:rPr>
        <w:t>(</w:t>
      </w:r>
      <w:r>
        <w:rPr>
          <w:rtl w:val="true"/>
        </w:rPr>
        <w:t>علیه السّلام</w:t>
      </w:r>
      <w:r>
        <w:rPr>
          <w:rtl w:val="true"/>
        </w:rPr>
        <w:t>)</w:t>
      </w:r>
      <w:r>
        <w:rPr>
          <w:rtl w:val="true"/>
        </w:rPr>
        <w:t>مع الخلفاء</w:t>
      </w:r>
      <w:r>
        <w:rPr>
          <w:rtl w:val="true"/>
        </w:rPr>
        <w:t>:</w:t>
      </w:r>
      <w:bookmarkEnd w:id="60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يذهب إلى القول بأنه لو كان هناك نص صادر عن النبي </w:t>
      </w:r>
    </w:p>
    <w:p>
      <w:pPr>
        <w:pStyle w:val="BookText"/>
        <w:rPr/>
      </w:pPr>
      <w:r>
        <w:rPr>
          <w:rFonts w:ascii="IRNazanin" w:hAnsi="IRNazanin" w:eastAsia="IRNazanin"/>
          <w:color w:val="111111"/>
          <w:sz w:val="28"/>
          <w:sz w:val="28"/>
          <w:szCs w:val="28"/>
          <w:rtl w:val="true"/>
          <w:lang w:bidi="fa-IR"/>
        </w:rPr>
        <w:t>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ينص على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وإمامته ؛ لكانت الخلافة حقاً حصرياً من حقوقه، ولا يحق لغيره منازعته عليه، ولو نازعه عليه كان غاصباً وظالماً، ومعلوم أن الظالم والغاصب يحرم التعاون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ثبت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تعاون مع جميع الخلفاء الثلاثة الذين سبقوه، وكان يحضر جماعتهم، وينصح لهم في المشورة، ويتمّ أحياناً استخلافه في غيبتهم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بداية خلافة أبي بكر كان المرتدون بصدد الهجوم على المدينة المنورة؛ فانضم الإمام إلى جيش الخليفة برفقة طلحة والزبير وابن مسعود تولى مهمة حراسة المنافذ الرئيسة المؤدية إلى المدينة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ترك عمر بن الخطاب المدينة لتجهيز جيش، فوافق الإمام على الحلول محله في إدارة شؤون المدينة</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كانت علاقة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الخليفة الثانى أكثر من علاقته بسائر الخلفاء الآخرين، وكانت نصائحه العلمية والدينية والعسكرية أشهر من نار على علم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يتضح من ذلك كله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ينظر إلى من سبقه من الخلفاء بوصفهم خلفاء شرعيين، وليسوا غاصبين وظالمين، وبذلك كان يضفى عليهم نوعاً من التأييد والشرعية، ومن ثَمَّ فإن هذا يثبت عدم وجود نص على تنصيبه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لكانوا غاصبين وظالمين لحقه، ولما جاز له أن يتعاون معهم، وفي ذلك يقول ابن أبي الحديد المعتزلي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أنه أنكر إمامتهم وغضب عليهم وسخط فعلهم فضلاعن أن يشهر عليهم السيف أو يدعو إلى نفسه، لقلنا إنهم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رأيناه رضي إمامتهم وبايعهم وصلى خلفهم وأنكحهم وأكل من فيئهم فلم يكن لنا أن نتعدى فعله ولا نتجاوز ما اشتهر عنه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من المعاصرين من يستنتج من تعاون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الخلفاء في المسائل السياسية وشؤون الحكم نوعاً من المشروعية والتأييد الإجمالي لحكم الخلفاء الذين سبقوه، ولو على نحو الضرورة والأحكام الثانوية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بطبيعة الحال لا ينكرون وجود النص، ولكنهم يرونه عنواناً أولياً، وإنه عند عدم العمل به يتم الانتقال إلى المرحلة الثانية وهي الانتخاب والبيعة من قبل الناس، وهي مرحلة مشروعة أيضاً ويجوز التعبد بها</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الدقيق الذي ينبغي بيانه قبل كل شيء هو أن الحكومات والخلفاء الذين سبقوا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من وجهة نظر الشيعة وشخص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المسلمين، وكانوا في الجملة من أتباع الإسلام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الأمر كما لو أن الشيعة يكفّرون الخلفاء الثلاثة الأوائل، ويخرجونهم من الملة، كما قد يبدو شائعاً بين أهل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غاية ما هنالك أن الخلفاء والساسة في حينها لم يعطوا الحق إلى صاحبه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اغتصبوا حقه في الخلافة وحلّوا محله ظلماً وعدواناً، وبذلك يكونون قد اقترفوا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الذي يتبنى الرؤية السنية كان منصفاً في إيمانه بصدق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السلام كما يصرح أهل السنة بذلك، فعلية أن يلتزم بكلام الإمام علي ويعتبره حجّة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نقلنا في الصفحات السابقة تصريحات الإمام علي في بيان سلب حقه المسلّم بمختلف الطرق، وبين موقفه الناقد للخلفاء الذين عاصرهم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لابد من أن نذعن أولاً بأن الخلفاء الذي تولوا منصب الخلافة بعد رسول الله كانوا من وجهة نظر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فاقدين للشرعية من ناحية النصوص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على أي حال فإنهم جلسوا على سدة الحكم لسبب وآخر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من طريق البيعة أو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وقاموا بتطبيق الأحكام والحدود الإسلامية إلى حد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قيام بعضهم بما يخالف سيرة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الموارد،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جهة أخرى كان أعداء الإسلام من المنافقين والكفار والمرتدين يتربصون بالإسلام الدوائر بغية الانقضاض عليه وإضعاف حكومته الفتية، وفي ظل هذه الظروف الخطيرة كان الحفاظ على أصل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النظر عن هوية الخليفة والحاكم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وحدة المسلمين وتماسكهم من أهم الواجبات الأولية والأساسية، من هنا قام الإمام بالتنازل عن حقه الثابت، وغض الطرف عنه مؤقتاً، وقام بالتعاون مع الخلفاء الذين سبقوه في حدود الإمكان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وسنذكر مزيداً من التوضيح في معرض الإجابة عن شبهة علة سكوت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مطالبته بحقه الثابت في الإمامة والخلافة</w:t>
      </w:r>
      <w:r>
        <w:rPr>
          <w:rFonts w:eastAsia="IRNazanin" w:cs="IRNazanin"/>
          <w:color w:val="111111"/>
          <w:sz w:val="28"/>
          <w:szCs w:val="28"/>
          <w:rtl w:val="true"/>
          <w:lang w:bidi="fa-IR"/>
        </w:rPr>
        <w:t xml:space="preserve">. </w:t>
      </w:r>
      <w:bookmarkStart w:id="607" w:name="pg15658_147157"/>
    </w:p>
    <w:p>
      <w:pPr>
        <w:pStyle w:val="Heading3"/>
        <w:numPr>
          <w:ilvl w:val="2"/>
          <w:numId w:val="1"/>
        </w:numPr>
        <w:rPr/>
      </w:pPr>
      <w:bookmarkStart w:id="608" w:name="__RefHeading___Toc11030649_2142443653"/>
      <w:bookmarkStart w:id="609" w:name="_Toc220"/>
      <w:bookmarkEnd w:id="607"/>
      <w:bookmarkEnd w:id="608"/>
      <w:r>
        <w:rPr>
          <w:rtl w:val="true"/>
        </w:rPr>
        <w:t>الشبهة الرابعة عشرة</w:t>
      </w:r>
      <w:r>
        <w:rPr>
          <w:rtl w:val="true"/>
        </w:rPr>
        <w:t xml:space="preserve">: </w:t>
      </w:r>
      <w:r>
        <w:rPr>
          <w:rtl w:val="true"/>
        </w:rPr>
        <w:t>اقتداء الإمام علي</w:t>
      </w:r>
      <w:r>
        <w:rPr>
          <w:rtl w:val="true"/>
        </w:rPr>
        <w:t>(</w:t>
      </w:r>
      <w:r>
        <w:rPr>
          <w:rtl w:val="true"/>
        </w:rPr>
        <w:t>علیه السّلام</w:t>
      </w:r>
      <w:r>
        <w:rPr>
          <w:rtl w:val="true"/>
        </w:rPr>
        <w:t>)</w:t>
      </w:r>
      <w:r>
        <w:rPr>
          <w:rtl w:val="true"/>
        </w:rPr>
        <w:t>بصلاة الخلفاء</w:t>
      </w:r>
      <w:r>
        <w:rPr>
          <w:rtl w:val="true"/>
        </w:rPr>
        <w:t>:</w:t>
      </w:r>
      <w:bookmarkEnd w:id="609"/>
    </w:p>
    <w:p>
      <w:pPr>
        <w:pStyle w:val="Heading4"/>
        <w:numPr>
          <w:ilvl w:val="3"/>
          <w:numId w:val="1"/>
        </w:numPr>
        <w:rPr/>
      </w:pPr>
      <w:bookmarkStart w:id="610" w:name="__RefHeading___Toc11030651_2142443653"/>
      <w:bookmarkStart w:id="611" w:name="_Toc221"/>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إن من بين الشبهات الأخرى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الخلفاء الذين عاصرهم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كانوا ظالمين وغاصبين لحقه، فلماذا كان الإمام يشارك في اجتماعاتهم العبادية، ويقتدي بإمامتهم في الصلاة؟</w:t>
      </w:r>
      <w:r>
        <w:rPr>
          <w:rStyle w:val="FootnoteAnchor"/>
          <w:rtl w:val="true"/>
        </w:rPr>
        <w:footnoteReference w:id="713"/>
      </w:r>
      <w:r>
        <w:rPr>
          <w:rFonts w:ascii="IRNazanin" w:hAnsi="IRNazanin" w:eastAsia="IRNazanin"/>
          <w:color w:val="111111"/>
          <w:sz w:val="28"/>
          <w:sz w:val="28"/>
          <w:szCs w:val="28"/>
          <w:rtl w:val="true"/>
          <w:lang w:bidi="fa-IR"/>
        </w:rPr>
        <w:t>أليست العدالة شرطاً في إمام الجماعة؟ وإذا كان هناك من محمل يمكن لنا أن نحمل عليه تصرف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المستوى الديني والاجتماعي في تعاونه مع الخلفاء، وقلنا بأنه كان في ذلك يراعي مصلحة الحفاظ على بيضة الإسلام، فبماذا يا ترى نبرر اقتداءه بهم في صلاة الجماعة ؟</w:t>
      </w:r>
    </w:p>
    <w:p>
      <w:pPr>
        <w:pStyle w:val="BookText"/>
        <w:rPr/>
      </w:pPr>
      <w:r>
        <w:rPr>
          <w:rFonts w:ascii="IRNazanin" w:hAnsi="IRNazanin" w:eastAsia="IRNazanin"/>
          <w:color w:val="111111"/>
          <w:sz w:val="28"/>
          <w:sz w:val="28"/>
          <w:szCs w:val="28"/>
          <w:rtl w:val="true"/>
          <w:lang w:bidi="fa-IR"/>
        </w:rPr>
        <w:t>وقد ذكر ابن أبي الحديد اقتداء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الخلفاء المعاصرين له بوصفه دليلاً وشاهداً على شرعية حكومة الخلفاء الثلاثة الأوائل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في بعض المصادر الروائية أن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يصليان بإمامة مروان بن الحكم</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الشيعة، أبواب صلاة الجماعة، 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تحليل هذه الشبهة قدّم المفكرون إجابات مختلفة، وفيما يأتى نشير إلى هذه الإجابات</w:t>
      </w:r>
      <w:r>
        <w:rPr>
          <w:rFonts w:eastAsia="Amiri" w:cs="Amiri" w:ascii="Amiri" w:hAnsi="Amiri"/>
          <w:color w:val="111111"/>
          <w:sz w:val="28"/>
          <w:szCs w:val="28"/>
          <w:rtl w:val="true"/>
          <w:lang w:bidi="ar-SA"/>
        </w:rPr>
        <w:t xml:space="preserve">: </w:t>
      </w:r>
      <w:bookmarkStart w:id="612" w:name="pg15658_147158"/>
    </w:p>
    <w:p>
      <w:pPr>
        <w:pStyle w:val="Heading4"/>
        <w:numPr>
          <w:ilvl w:val="3"/>
          <w:numId w:val="1"/>
        </w:numPr>
        <w:rPr/>
      </w:pPr>
      <w:bookmarkStart w:id="613" w:name="__RefHeading___Toc11030653_2142443653"/>
      <w:bookmarkStart w:id="614" w:name="_Toc222"/>
      <w:bookmarkEnd w:id="612"/>
      <w:bookmarkEnd w:id="613"/>
      <w:r>
        <w:rPr>
          <w:rtl w:val="true"/>
        </w:rPr>
        <w:t xml:space="preserve">أ </w:t>
      </w:r>
      <w:r>
        <w:rPr>
          <w:rtl w:val="true"/>
        </w:rPr>
        <w:t xml:space="preserve">- </w:t>
      </w:r>
      <w:r>
        <w:rPr>
          <w:rtl w:val="true"/>
        </w:rPr>
        <w:t>نفي الاقتداء وإنكار حصوله</w:t>
      </w:r>
      <w:r>
        <w:rPr>
          <w:rtl w:val="true"/>
        </w:rPr>
        <w:t>:</w:t>
      </w:r>
      <w:bookmarkEnd w:id="614"/>
    </w:p>
    <w:p>
      <w:pPr>
        <w:pStyle w:val="BookText"/>
        <w:rPr/>
      </w:pPr>
      <w:r>
        <w:rPr>
          <w:rFonts w:ascii="IRNazanin" w:hAnsi="IRNazanin" w:eastAsia="IRNazanin"/>
          <w:color w:val="111111"/>
          <w:sz w:val="28"/>
          <w:sz w:val="28"/>
          <w:szCs w:val="28"/>
          <w:rtl w:val="true"/>
          <w:lang w:bidi="fa-IR"/>
        </w:rPr>
        <w:t>ذهب بعض المتكلمين إلى القول صحيح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يتقيد بالحضور في المسجد والمشاركة في صلاة الجماعة، والاقتداء بإمامة الخلفاء الثلاثة الأوائل، إلا أنه كان في ذلك يمارس التقية، فكان يركع بركوعهم ويسجد بسجودهم، ولكنه في الواقع كان ينوي الصلاة فرادى</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أجاب الشيخ المفيد عن السؤال المطروح بشأن اقتداء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بصلاة الخلفاء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بمثل سواري المسجد</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11030655_2142443653"/>
      <w:bookmarkStart w:id="616" w:name="_Toc223"/>
      <w:bookmarkEnd w:id="615"/>
      <w:r>
        <w:rPr>
          <w:rtl w:val="true"/>
        </w:rPr>
        <w:t xml:space="preserve">ب </w:t>
      </w:r>
      <w:r>
        <w:rPr>
          <w:rtl w:val="true"/>
        </w:rPr>
        <w:t xml:space="preserve">- </w:t>
      </w:r>
      <w:r>
        <w:rPr>
          <w:rtl w:val="true"/>
        </w:rPr>
        <w:t xml:space="preserve">وقوع الخلاف بين المسلمين بسبب عدم حضور الإمام في الجماعة </w:t>
      </w:r>
      <w:r>
        <w:rPr>
          <w:rtl w:val="true"/>
        </w:rPr>
        <w:t>:</w:t>
      </w:r>
      <w:bookmarkEnd w:id="6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آثر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الحضور في جماعة الخلفاء، لاعتبر ذلك مؤشراً سلبياً؛ بمعنى أن الخليفة من وجهة نظر الإمام لا يتصف بالحد الأدنى من الأوصاف التي يشترط بإمام الجماعة أن يتصف بها وهي العدالة، وانعدام العدالة تعبير آخر عن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وسيؤدي هذا الموقف والوصف إلى سريان الاختلاف بين المسلمين وانقسام مواقفهم بين مؤيد للخليفة ومؤيد للإمام، ولا يخفى ما فى ذلك من الإضرار بوحدة المسلمين واتفاق كلمتهم، وهو أمر سيضعف الكيان والحكومة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يؤثر الالتزام والمثابرة على الحضور في التجمعات العبادية للحكومة ضماناً لمصالح </w:t>
      </w:r>
      <w:bookmarkStart w:id="617" w:name="pg15658_147159"/>
    </w:p>
    <w:p>
      <w:pPr>
        <w:pStyle w:val="BookText"/>
        <w:rPr/>
      </w:pPr>
      <w:bookmarkEnd w:id="617"/>
      <w:r>
        <w:rPr>
          <w:rFonts w:ascii="Amiri" w:hAnsi="Amiri" w:eastAsia="Amiri" w:cs="Amiri"/>
          <w:color w:val="111111"/>
          <w:sz w:val="28"/>
          <w:sz w:val="28"/>
          <w:szCs w:val="28"/>
          <w:rtl w:val="true"/>
          <w:lang w:bidi="ar-SA"/>
        </w:rPr>
        <w:t>المسلمين العالية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1030657_2142443653"/>
      <w:bookmarkStart w:id="619" w:name="_Toc224"/>
      <w:bookmarkEnd w:id="618"/>
      <w:r>
        <w:rPr>
          <w:rtl w:val="true"/>
        </w:rPr>
        <w:t xml:space="preserve">ج </w:t>
      </w:r>
      <w:r>
        <w:rPr>
          <w:rtl w:val="true"/>
        </w:rPr>
        <w:t xml:space="preserve">- </w:t>
      </w:r>
      <w:r>
        <w:rPr>
          <w:rtl w:val="true"/>
        </w:rPr>
        <w:t>اعتبار عدم الحضور تركاً للفرائض الدينية</w:t>
      </w:r>
      <w:r>
        <w:rPr>
          <w:rtl w:val="true"/>
        </w:rPr>
        <w:t>:</w:t>
      </w:r>
      <w:bookmarkEnd w:id="619"/>
    </w:p>
    <w:p>
      <w:pPr>
        <w:pStyle w:val="BookText"/>
        <w:rPr/>
      </w:pPr>
      <w:r>
        <w:rPr>
          <w:rFonts w:ascii="IRNazanin" w:hAnsi="IRNazanin" w:eastAsia="IRNazanin"/>
          <w:color w:val="111111"/>
          <w:sz w:val="28"/>
          <w:sz w:val="28"/>
          <w:szCs w:val="28"/>
          <w:rtl w:val="true"/>
          <w:lang w:bidi="fa-IR"/>
        </w:rPr>
        <w:t>لقد كان لصلاة الجمعة والجماعة في عصر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وغيرهما من التجمعات العبادية والاجتماعية أهمية قصوى، بحيث يعد تاركها والممتنع عن الحضور فيها منافقاً، ويترتب على ذلك جواز اغتيابه وحرق بيته بالنار</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هذا النمط من المفاهيم ترعرع المسلمون، فهم ينظرون إلى الحضور في أمثال هذه التجمعات العبادية والدينية نظرة بالغة الأهمية، ويذمون تارك الحضور فيها ويستنكرون موقفه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 الاهتمام بالحضور في صلاة الجماعة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بحيث لم يشذ عنه أي واحد من الصحابة باستثناء 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يكون إمام الجماعة هو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أي شخص آخر مخول لذلك من قبله، فلم يكن يستوقف المسلمين كثيراً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لو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قرر عدم الحضور في التجمعات العبادية،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 والجماعة، فإن موقف المسلمين من الإمام سوف يتغيّر، ولربما رموه بترك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حدث ذلك بالنسبة إلى أهل </w:t>
      </w:r>
      <w:bookmarkStart w:id="620" w:name="pg15658_147160"/>
    </w:p>
    <w:p>
      <w:pPr>
        <w:pStyle w:val="BookText"/>
        <w:rPr/>
      </w:pPr>
      <w:bookmarkEnd w:id="620"/>
      <w:r>
        <w:rPr>
          <w:rFonts w:ascii="IRNazanin" w:hAnsi="IRNazanin" w:eastAsia="IRNazanin"/>
          <w:color w:val="111111"/>
          <w:sz w:val="28"/>
          <w:sz w:val="28"/>
          <w:szCs w:val="28"/>
          <w:rtl w:val="true"/>
          <w:lang w:bidi="fa-IR"/>
        </w:rPr>
        <w:t>الشام حيث تأثروا بإعلام معاوية المضلل في اتهام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إقامة الصلاة والعياذ بالله</w:t>
      </w:r>
    </w:p>
    <w:p>
      <w:pPr>
        <w:pStyle w:val="BookText"/>
        <w:rPr/>
      </w:pP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يخشى من أصل سوء ظن الناس به، إلا أن هذه المسألة سوف تتخذ من قبل المخالفين وأعداء الإسلام سلاحاً ضده كي يشوهوا سمعته ويتم بذلك اغتياله معنوياً، وسوف يشكل ذلك مقدمة لاغتياله وتصفيته جسدياً، وسيكون هذا الاغتيال مشروعاً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حين أن المجتمع الإسلامي كان بأمس الحاجة إلى وجود الإمام بوصفه إماماً معصوماً ومرجعاً علمياً ودينياً، وإن فقدانه المبكر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الإمامان الحسن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يزالان صغيرين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 بأصل الإسلام من هنا 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حضوره ومشاركته في التجمعات العبادية الاجتماعية أمراً ضرورياً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1030659_2142443653"/>
      <w:bookmarkStart w:id="622" w:name="_Toc225"/>
      <w:bookmarkEnd w:id="621"/>
      <w:r>
        <w:rPr>
          <w:rtl w:val="true"/>
        </w:rPr>
        <w:t xml:space="preserve">د </w:t>
      </w:r>
      <w:r>
        <w:rPr>
          <w:rtl w:val="true"/>
        </w:rPr>
        <w:t xml:space="preserve">- </w:t>
      </w:r>
      <w:r>
        <w:rPr>
          <w:rtl w:val="true"/>
        </w:rPr>
        <w:t>صحة الصلاة</w:t>
      </w:r>
      <w:r>
        <w:rPr>
          <w:rtl w:val="true"/>
        </w:rPr>
        <w:t>:</w:t>
      </w:r>
      <w:bookmarkEnd w:id="622"/>
    </w:p>
    <w:p>
      <w:pPr>
        <w:pStyle w:val="BookText"/>
        <w:rPr/>
      </w:pPr>
      <w:r>
        <w:rPr>
          <w:rFonts w:ascii="Amiri" w:hAnsi="Amiri" w:eastAsia="Amiri" w:cs="Amiri"/>
          <w:color w:val="111111"/>
          <w:sz w:val="28"/>
          <w:sz w:val="28"/>
          <w:szCs w:val="28"/>
          <w:rtl w:val="true"/>
          <w:lang w:bidi="ar-SA"/>
        </w:rPr>
        <w:t>الوجه الآخر الذي ذكره بعض العلماء المعاصرين هو حمل الصلاة واقتداء أمير المؤمنين بالخلفاء على حقيقته، بمعنى أن صلاة الإمام بصلاتهم لم تكن مجرد صلاة شكلية وظاهرية، وإنما كان يقتدي بصلاتهم حقيقة، وكان يلتمس الأجر بهذا الاقتداء من الله عز وجل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الخلفاء لم يبلغ حداً يمنع من الصلاة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الإمام يرى أن الخلفاء قد ارتكبوا بحقه ظلماً </w:t>
      </w:r>
    </w:p>
    <w:p>
      <w:pPr>
        <w:pStyle w:val="BookText"/>
        <w:rPr/>
      </w:pPr>
      <w:r>
        <w:rPr>
          <w:rFonts w:ascii="IRNazanin" w:hAnsi="IRNazanin" w:eastAsia="IRNazanin"/>
          <w:color w:val="111111"/>
          <w:sz w:val="28"/>
          <w:sz w:val="28"/>
          <w:szCs w:val="28"/>
          <w:rtl w:val="true"/>
          <w:lang w:bidi="fa-IR"/>
        </w:rPr>
        <w:t xml:space="preserve">على المستوى الشخصي، وحيث كان هذا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هو ظاهر من كلماته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أمراً شخصياً، وأن الإمام تجاوز عن المطالبة بحقه الشخصي، لا يكون هناك محذور في المشاركة في صلاة الجماعة والاقتداء بالخلفاء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هذه المسألة في الروايات أيضاً، إذ يروي سماعة</w:t>
      </w:r>
      <w:r>
        <w:rPr>
          <w:rStyle w:val="FootnoteAnchor"/>
          <w:rtl w:val="true"/>
        </w:rPr>
        <w:footnoteReference w:id="721"/>
      </w:r>
      <w:r>
        <w:rPr>
          <w:rFonts w:ascii="IRNazanin" w:hAnsi="IRNazanin" w:eastAsia="IRNazanin"/>
          <w:color w:val="111111"/>
          <w:sz w:val="28"/>
          <w:sz w:val="28"/>
          <w:szCs w:val="28"/>
          <w:rtl w:val="true"/>
          <w:lang w:bidi="fa-IR"/>
        </w:rPr>
        <w:t>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مناكحتهم والصلاة خلفهم؟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شديد، لن تستطيعوا ذلك، قد أنكح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وراءهم</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ما رواه عنه أخوه علي بن جعفر في كتابه،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حسن وحسين خلف مروان، ونحن نصلي معهم</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ذهب له الإمام العلامة عبد الحسين شرف الدين في جوابه عن مسائل موسى جار الله، إذ يقول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أمير المؤمنين أن يصلي إلا تقرباً الله وأداء لما أمره الله به، وصلاته خلفهم ماكانت إلا لله خالصة لوجهه الكريم، وقد اقتدينا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فتقربنا إلى الله عز وجل بالصلاة خلف كثير من أئمة جماعة أهل السنة، مخلصين في تلك الصلوات الله تعالى، وهذا جائز في مذهب أهل البيت، ويثاب المصلي منا خلف الإمام السني كما يثاب بالصلاة خلف الشيعي، والخبير بمذهبنا يعلم أنا نشترط العدالة في إمام الجماعة إذا كان شيعياً، فلا يجوز </w:t>
      </w:r>
      <w:bookmarkStart w:id="623" w:name="pg15658_147162"/>
    </w:p>
    <w:p>
      <w:pPr>
        <w:pStyle w:val="BookText"/>
        <w:rPr/>
      </w:pPr>
      <w:bookmarkEnd w:id="623"/>
      <w:r>
        <w:rPr>
          <w:rFonts w:ascii="Amiri" w:hAnsi="Amiri" w:eastAsia="Amiri" w:cs="Amiri"/>
          <w:color w:val="111111"/>
          <w:sz w:val="28"/>
          <w:sz w:val="28"/>
          <w:szCs w:val="28"/>
          <w:rtl w:val="true"/>
          <w:lang w:bidi="ar-SA"/>
        </w:rPr>
        <w:t>الائتمام بالفاسق من الشيعة ولا بمجهول الحال أما السني فقد يجوز الائتمام به مطلقاً</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11030661_2142443653"/>
      <w:bookmarkStart w:id="625" w:name="_Toc226"/>
      <w:bookmarkEnd w:id="624"/>
      <w:r>
        <w:rPr>
          <w:rtl w:val="true"/>
        </w:rPr>
        <w:t>الشبهة الخامسة عشرة</w:t>
      </w:r>
      <w:r>
        <w:rPr>
          <w:rtl w:val="true"/>
        </w:rPr>
        <w:t xml:space="preserve">: </w:t>
      </w:r>
      <w:r>
        <w:rPr>
          <w:rtl w:val="true"/>
        </w:rPr>
        <w:t>العلاقة الأسرية مع الخليفة الثاني</w:t>
      </w:r>
      <w:r>
        <w:rPr>
          <w:rtl w:val="true"/>
        </w:rPr>
        <w:t>:</w:t>
      </w:r>
      <w:bookmarkEnd w:id="625"/>
    </w:p>
    <w:p>
      <w:pPr>
        <w:pStyle w:val="Heading4"/>
        <w:numPr>
          <w:ilvl w:val="3"/>
          <w:numId w:val="1"/>
        </w:numPr>
        <w:rPr/>
      </w:pPr>
      <w:bookmarkStart w:id="626" w:name="__RefHeading___Toc11030663_2142443653"/>
      <w:bookmarkStart w:id="627" w:name="_Toc227"/>
      <w:bookmarkEnd w:id="626"/>
      <w:r>
        <w:rPr>
          <w:rtl w:val="true"/>
        </w:rPr>
        <w:t>اشارة</w:t>
      </w:r>
      <w:bookmarkEnd w:id="627"/>
    </w:p>
    <w:p>
      <w:pPr>
        <w:pStyle w:val="BookText"/>
        <w:rPr/>
      </w:pPr>
      <w:r>
        <w:rPr>
          <w:rFonts w:ascii="IRNazanin" w:hAnsi="IRNazanin" w:eastAsia="IRNazanin"/>
          <w:color w:val="111111"/>
          <w:sz w:val="28"/>
          <w:sz w:val="28"/>
          <w:szCs w:val="28"/>
          <w:rtl w:val="true"/>
          <w:lang w:bidi="fa-IR"/>
        </w:rPr>
        <w:t>لقد كانت علاقة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الخلفاء الذين سبقوه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علاقته وتعاونه مع الخليفة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مجرد علاقة وتعاون في المجالات السياسية والعسكرية والعبادية والثقافية والاجتماعية، بل كانت علاقة وثيقة تصل إلى حد المصاهرة، حيث نجد الإمام يزوج ابنته أم كلثوم من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ويسعى بعض أهل السنة إلى التمسك بهذه المصاهرة والعلاقة الأسرية إلى إثبات شرعية خلافة وحكومة الخليفة الثاني، وإلا كان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يزوجه من ابنته فحسب، بل كان عليه عدم التعاون معه أصلاً، في حين أننا نجد العلاقة قد تجاوزت حدود التعاون لتصل إلى حدود التقارب الأسري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من الشيعة من رأى في هذه الظاهرة دليلاً على قيام المودة والعلاقة المتينة 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والخليفة</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يتعلق بتحليل هذا الدليل من قبل أهل السنة تجدر الإشارة إلى </w:t>
      </w:r>
      <w:bookmarkStart w:id="628" w:name="pg15658_147163"/>
    </w:p>
    <w:p>
      <w:pPr>
        <w:pStyle w:val="BookText"/>
        <w:rPr/>
      </w:pPr>
      <w:bookmarkEnd w:id="628"/>
      <w:r>
        <w:rPr>
          <w:rFonts w:ascii="Amiri" w:hAnsi="Amiri" w:eastAsia="Amiri" w:cs="Amiri"/>
          <w:color w:val="111111"/>
          <w:sz w:val="28"/>
          <w:sz w:val="28"/>
          <w:szCs w:val="28"/>
          <w:rtl w:val="true"/>
          <w:lang w:bidi="ar-SA"/>
        </w:rPr>
        <w:t>الأمور الآتية</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11030665_2142443653"/>
      <w:bookmarkStart w:id="630" w:name="_Toc228"/>
      <w:bookmarkEnd w:id="629"/>
      <w:r>
        <w:rPr>
          <w:rtl w:val="true"/>
        </w:rPr>
        <w:t xml:space="preserve">أ </w:t>
      </w:r>
      <w:r>
        <w:rPr>
          <w:rtl w:val="true"/>
        </w:rPr>
        <w:t xml:space="preserve">- </w:t>
      </w:r>
      <w:r>
        <w:rPr>
          <w:rtl w:val="true"/>
        </w:rPr>
        <w:t>التشكيك في سند الحديث</w:t>
      </w:r>
      <w:r>
        <w:rPr>
          <w:rtl w:val="true"/>
        </w:rPr>
        <w:t>:</w:t>
      </w:r>
      <w:bookmarkEnd w:id="630"/>
    </w:p>
    <w:p>
      <w:pPr>
        <w:pStyle w:val="BookText"/>
        <w:rPr/>
      </w:pPr>
      <w:r>
        <w:rPr>
          <w:rFonts w:ascii="Amiri" w:hAnsi="Amiri" w:eastAsia="Amiri" w:cs="Amiri"/>
          <w:color w:val="111111"/>
          <w:sz w:val="28"/>
          <w:sz w:val="28"/>
          <w:szCs w:val="28"/>
          <w:rtl w:val="true"/>
          <w:lang w:bidi="ar-SA"/>
        </w:rPr>
        <w:t>هناك من يشكك في صحة أصل هذا الحديث، حيث يرى أن رواية تزويج أم كلثوم من الخليفة الثانية قد رويت من طريق الزبير بن بكار، وهو غير ثقة، وكان معادياً للإمام، وعليه هناك احتمال أن يكون هذا الحديث مختلقاً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لم يرو هذا الحديث في صحيح البخاري وصحيح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يرو حتى في الصحاح الأربعة ولا مسند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الآخر في سند هذا الحديث، حيث قال الذهبي في تلخيص المستدرك بأنه منقطع</w:t>
      </w:r>
      <w:r>
        <w:rPr>
          <w:rStyle w:val="FootnoteAnchor"/>
          <w:rtl w:val="true"/>
        </w:rPr>
        <w:footnoteReference w:id="727"/>
      </w:r>
      <w:r>
        <w:rPr>
          <w:rFonts w:ascii="Amiri" w:hAnsi="Amiri" w:eastAsia="Amiri" w:cs="Amiri"/>
          <w:color w:val="111111"/>
          <w:sz w:val="28"/>
          <w:sz w:val="28"/>
          <w:szCs w:val="28"/>
          <w:rtl w:val="true"/>
          <w:lang w:bidi="ar-SA"/>
        </w:rPr>
        <w:t>، وذهب البيهقي إلى القول بأنه مرسل</w:t>
      </w:r>
      <w:r>
        <w:rPr>
          <w:rStyle w:val="FootnoteAnchor"/>
          <w:rtl w:val="true"/>
        </w:rPr>
        <w:footnoteReference w:id="728"/>
      </w:r>
      <w:r>
        <w:rPr>
          <w:rFonts w:ascii="Amiri" w:hAnsi="Amiri" w:eastAsia="Amiri" w:cs="Amiri"/>
          <w:color w:val="111111"/>
          <w:sz w:val="28"/>
          <w:sz w:val="28"/>
          <w:szCs w:val="28"/>
          <w:rtl w:val="true"/>
          <w:lang w:bidi="ar-SA"/>
        </w:rPr>
        <w:t>، كما نقله ابن سعد في طبقاته بشكل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ابن حجر فى الإصابة من بين رواته عبد الرحمن بن زيد بن أسلم، وقد ضعفه بعض علماء أهل السنة</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نلاحظ في سنده عبد الله بن وهب، وقد تم تضعيفه أيضا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نقل ابن حجر بسند آخر عن عطاء الخراساني، وقد عده ابن عدي والبخاري في جملة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نقل الخطيب البغدادي يوجد أحمد بن حسين الصوفي، وعقبة بن عامر الجهني وإبراهيم بن مهران المروزي، وقد تم التصريح </w:t>
      </w:r>
    </w:p>
    <w:p>
      <w:pPr>
        <w:pStyle w:val="BookText"/>
        <w:rPr/>
      </w:pPr>
      <w:r>
        <w:rPr>
          <w:rFonts w:ascii="Amiri" w:hAnsi="Amiri" w:eastAsia="Amiri" w:cs="Amiri"/>
          <w:color w:val="111111"/>
          <w:sz w:val="28"/>
          <w:sz w:val="28"/>
          <w:szCs w:val="28"/>
          <w:rtl w:val="true"/>
          <w:lang w:bidi="ar-SA"/>
        </w:rPr>
        <w:t>بضعف الأول، والثاني كان من الأمراء في معسكر معاوية، والثالث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الشيخ المفيد هذا الجواب في واحد من كتبه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المعاصرين من تناول مسألة الإشكال السندي في هذا الحديث بشكل تفصيلي، وبدورنا نحيل القارئ الكريم إلى مؤلفاته المذكوره في الهامش أدناه</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هناك إشكال من جهة سند الحديث الوارد في مصادر أهل السنة، ففي كل واحد من هذه المصادر هناك ضعف وإشكال سندي، ومعه لا يمكن التعويل عليه لإثبات أصل ديني واعتقادي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مشروعية أو عدم مشروعية حكومة من الحكومات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من يعتقد أن أم كلثوم لم تكن ابنة صلبية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متبناة أو ربيبة له، وإنها كانت بنت لأبي بكر من أسماء بنت عميس التي كانت زوجة لأبي بكر ثم تزوجها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وبطبيعة الحال هناك من المحدثين من قال بحدوث أصل الزواج</w:t>
      </w:r>
      <w:r>
        <w:rPr>
          <w:rStyle w:val="FootnoteAnchor"/>
          <w:rtl w:val="true"/>
        </w:rPr>
        <w:footnoteReference w:id="734"/>
      </w:r>
      <w:r>
        <w:rPr>
          <w:rFonts w:ascii="IRNazanin" w:hAnsi="IRNazanin" w:eastAsia="IRNazanin"/>
          <w:color w:val="111111"/>
          <w:sz w:val="28"/>
          <w:sz w:val="28"/>
          <w:szCs w:val="28"/>
          <w:rtl w:val="true"/>
          <w:lang w:bidi="fa-IR"/>
        </w:rPr>
        <w:t xml:space="preserve">، </w:t>
      </w:r>
      <w:bookmarkStart w:id="631" w:name="pg15658_147165"/>
    </w:p>
    <w:p>
      <w:pPr>
        <w:pStyle w:val="BookText"/>
        <w:rPr/>
      </w:pPr>
      <w:bookmarkEnd w:id="631"/>
      <w:r>
        <w:rPr>
          <w:rFonts w:ascii="Amiri" w:hAnsi="Amiri" w:eastAsia="Amiri" w:cs="Amiri"/>
          <w:color w:val="111111"/>
          <w:sz w:val="28"/>
          <w:sz w:val="28"/>
          <w:szCs w:val="28"/>
          <w:rtl w:val="true"/>
          <w:lang w:bidi="ar-SA"/>
        </w:rPr>
        <w:t>ولكنه عالج المسألة وبررها من طرق أخرى سوف نشير إليها</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030667_2142443653"/>
      <w:bookmarkStart w:id="633" w:name="_Toc229"/>
      <w:bookmarkEnd w:id="632"/>
      <w:r>
        <w:rPr>
          <w:rtl w:val="true"/>
        </w:rPr>
        <w:t xml:space="preserve">ب </w:t>
      </w:r>
      <w:r>
        <w:rPr>
          <w:rtl w:val="true"/>
        </w:rPr>
        <w:t xml:space="preserve">- </w:t>
      </w:r>
      <w:r>
        <w:rPr>
          <w:rtl w:val="true"/>
        </w:rPr>
        <w:t>عدم الدلالة على المدعى</w:t>
      </w:r>
      <w:r>
        <w:rPr>
          <w:rtl w:val="true"/>
        </w:rPr>
        <w:t>:</w:t>
      </w:r>
      <w:bookmarkEnd w:id="633"/>
    </w:p>
    <w:p>
      <w:pPr>
        <w:pStyle w:val="BookText"/>
        <w:rPr/>
      </w:pPr>
      <w:r>
        <w:rPr>
          <w:rFonts w:ascii="Amiri" w:hAnsi="Amiri" w:eastAsia="Amiri" w:cs="Amiri"/>
          <w:color w:val="111111"/>
          <w:sz w:val="28"/>
          <w:sz w:val="28"/>
          <w:szCs w:val="28"/>
          <w:rtl w:val="true"/>
          <w:lang w:bidi="ar-SA"/>
        </w:rPr>
        <w:t xml:space="preserve">لو أننا التزمنا بحدوث مثل 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ونقاشنا بطبيعة الحال على مستوى الفرضية، وإلا فإننا ننكر حصول مثل هذا الأمر على أرض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يمكنه أن يشكل دليلاً على شرعية أو عدم شرعية حكم الخليفة الثاني؛ لأن الزواج مسألة شخصية، وإن حدوث الأمور الشخصية يستند إلى عناصر وعلل وأسباب شخصية واجتماعية مختلفة، ومن غير الممكن الكشف عن جميع هذه العناصر والعلل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في كثير من المجتمعات المختلفة أن تحصل حالات زواج ومصاهرة بين جماعتين أو قبيلتين أو بلدين متنازعين ومتخالفين و متنافسين، من دون أن يُعدّ ذلك دليلاً على إضفاء شرعية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اليوم نشهد في البلدان التي يقطنها نسيج مختلط من الشيعة والسنة كثيراً من حالات المصاهرة والزواج بينهما، من دون أن يعتبر كل منهما الآخر على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زواج عمر من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تحقق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يثبت إسلام الخليفة الثاني، وهذا ما يلتزم به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محل الخلاف فهو شرعية خلافته، حيث يرى الشيعة أنه حق ثابت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سلب منه مدة خمسة وعشرين عاماً من من قبل الخلفاء الثلاثة الذين سبقوه</w:t>
      </w:r>
      <w:r>
        <w:rPr>
          <w:rFonts w:eastAsia="IRNazanin" w:cs="IRNazanin"/>
          <w:color w:val="111111"/>
          <w:sz w:val="28"/>
          <w:szCs w:val="28"/>
          <w:rtl w:val="true"/>
          <w:lang w:bidi="fa-IR"/>
        </w:rPr>
        <w:t>.</w:t>
      </w:r>
    </w:p>
    <w:p>
      <w:pPr>
        <w:pStyle w:val="Heading4"/>
        <w:numPr>
          <w:ilvl w:val="3"/>
          <w:numId w:val="1"/>
        </w:numPr>
        <w:rPr/>
      </w:pPr>
      <w:bookmarkStart w:id="634" w:name="__RefHeading___Toc11030669_2142443653"/>
      <w:bookmarkStart w:id="635" w:name="_Toc230"/>
      <w:bookmarkEnd w:id="634"/>
      <w:r>
        <w:rPr>
          <w:rtl w:val="true"/>
        </w:rPr>
        <w:t xml:space="preserve">ج </w:t>
      </w:r>
      <w:r>
        <w:rPr>
          <w:rtl w:val="true"/>
        </w:rPr>
        <w:t xml:space="preserve">- </w:t>
      </w:r>
      <w:r>
        <w:rPr>
          <w:rtl w:val="true"/>
        </w:rPr>
        <w:t>تصريح الإمام علي</w:t>
      </w:r>
      <w:r>
        <w:rPr>
          <w:rtl w:val="true"/>
        </w:rPr>
        <w:t>(</w:t>
      </w:r>
      <w:r>
        <w:rPr>
          <w:rtl w:val="true"/>
        </w:rPr>
        <w:t>علیه السّلام</w:t>
      </w:r>
      <w:r>
        <w:rPr>
          <w:rtl w:val="true"/>
        </w:rPr>
        <w:t>)</w:t>
      </w:r>
      <w:r>
        <w:rPr>
          <w:rtl w:val="true"/>
        </w:rPr>
        <w:t>بغصب الخلفاء حقه</w:t>
      </w:r>
      <w:r>
        <w:rPr>
          <w:rtl w:val="true"/>
        </w:rPr>
        <w:t>:</w:t>
      </w:r>
      <w:bookmarkEnd w:id="635"/>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تزويج ابنته من الخليفة الثاني لم يواصل نقده لمن سبقه من الخلفاء على اغتصاب حقه الثابت، لكان هناك مجال </w:t>
      </w:r>
      <w:bookmarkStart w:id="636" w:name="pg15658_147166"/>
    </w:p>
    <w:p>
      <w:pPr>
        <w:pStyle w:val="BookText"/>
        <w:rPr/>
      </w:pPr>
      <w:bookmarkEnd w:id="636"/>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نحو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ليتخذ أهل السنة هذا الزواج مستمسكاً ودليلاً على إثبات شرعية الخلافة، أو عودة المياه بين الإمام علي والخليفة الثاني إلى مجاريها، إلا أننا نجد الإمام يواصل انتقاداته اللاذعة بعد هذا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اغتصاب حقه الثابت فى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الانتقادات من قبله لدليل صريح على أنه كان مصراً على حقه فيما يتعلق بالخلافة واغتصابها من قبل الخلفاء الثلاثة الذين سبقوه، وهو أمر يدل على أن هذا الزواج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أمراً شخصياً، ولا ربط له بإضفاء الشرعية على الخلافة، وإن واصل أهل السنة إصرارهم على مدعاهم رغم وجود هذه النصوص، فإن ذلك سيعني أنهم إنما يجتهدون في مقابل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تقدم ذكر كثير من النصوص الواردة عن الإمام بشأن اغتصاب حقه في الخلافة مراراً وتكراراً في الصفحات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علل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لمزيد من التوضيح بشأن أسباب تزويج الإمام ابنته من غاصب حقه في الخلافة، تجدر الإشارة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030671_2142443653"/>
      <w:bookmarkStart w:id="638" w:name="_Toc231"/>
      <w:bookmarkEnd w:id="637"/>
      <w:r>
        <w:rPr>
          <w:rtl w:val="true"/>
        </w:rPr>
        <w:t xml:space="preserve">د </w:t>
      </w:r>
      <w:r>
        <w:rPr>
          <w:rtl w:val="true"/>
        </w:rPr>
        <w:t xml:space="preserve">- </w:t>
      </w:r>
      <w:r>
        <w:rPr>
          <w:rtl w:val="true"/>
        </w:rPr>
        <w:t>مراعاة المصلحة</w:t>
      </w:r>
      <w:r>
        <w:rPr>
          <w:rtl w:val="true"/>
        </w:rPr>
        <w:t>:</w:t>
      </w:r>
      <w:bookmarkEnd w:id="638"/>
    </w:p>
    <w:p>
      <w:pPr>
        <w:pStyle w:val="BookText"/>
        <w:rPr/>
      </w:pPr>
      <w:r>
        <w:rPr>
          <w:rFonts w:ascii="Amiri" w:hAnsi="Amiri" w:eastAsia="Amiri" w:cs="Amiri"/>
          <w:color w:val="111111"/>
          <w:sz w:val="28"/>
          <w:sz w:val="28"/>
          <w:szCs w:val="28"/>
          <w:rtl w:val="true"/>
          <w:lang w:bidi="ar-SA"/>
        </w:rPr>
        <w:t>إن العاقل قبل أن يتخذ أي خطوة يُعمل فكره ويقارن بين المصالح والمفاسد المترتبة على تلك الخطوة التي سيتخذها، ويقرر بعد ذلك ما إذا كان سيمضي فيها أو يُحجم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وبالالتفات إلى هذا الأصل يمكن لنا تقييم المصالح أو المفاسد المترتبة على هذا الزواج المذكور أعلاه بالشكل الآتي</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التهديدات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شأن هذه المصاهرة أن تبني أواصر </w:t>
      </w:r>
    </w:p>
    <w:p>
      <w:pPr>
        <w:pStyle w:val="BookText"/>
        <w:rPr/>
      </w:pPr>
      <w:r>
        <w:rPr>
          <w:rFonts w:ascii="IRNazanin" w:hAnsi="IRNazanin" w:eastAsia="IRNazanin"/>
          <w:color w:val="111111"/>
          <w:sz w:val="28"/>
          <w:sz w:val="28"/>
          <w:szCs w:val="28"/>
          <w:rtl w:val="true"/>
          <w:lang w:bidi="fa-IR"/>
        </w:rPr>
        <w:t>العلاقة بين الإمام وأقطاب الحكم والسلطة، ومن شأن ذلك أن يحصن الإمام وشيعته من أي خطر قد يصيبهم من أعدائهم ومخالفيهم، بما في ذلك رجال السلطة أنفسهم، وفي ذلك جاء في بعض مؤلفات الشيخ المفيد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محتاجاً إلى التأليف وحقن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إلى ملتمسه</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أراد ذلك معاوية الذي لم يكن يسيطر على غير جزء من الجغرافيا الإسلامية حتى كان قد أثار عاصفة من الإعلام المضلل بحق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واتهامه بشتى التهم، وقد وصل الأمر بتشويه سمعته بين الناس حداً أنه عندما قتل فى محراب الصلاة ساجداً، استغرب أهل الشام ذلك، وأخذ سائلهم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يمكن لعلي أن يفعله في المسجد؟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التأثير على الخليفة والعمل على تقويم سياسته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المصلحة الأخرى التي يمكن للإمام أن يحصل عليها من وراء هذا الزواج، هي التأثير على شخص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فبقطع النظر عن الشخصية والمرجعية العلمية والدينية التي يتمتع بها الإمام على المستوى الذاتي، فإن نفس حمله عنوان صهر الخليفة لن يكون عديم التأثير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من خلال توظيف تأثيره على الخليفة كان يجزل له النصح والمشورة والإرشاد والتوجيه والهداية، كما كان الخليفة الثاني يقر للإمام مكانته في حدود النصح والمشورة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الحقيقة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بحكم المستشار الأول للخليفة، وهو أمر سهل عليه القيام بواجب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الشيخ المفيد عن سؤال القاضي أبوبكر أحمد بن يسار بشأن تزويج الإمام علي ابنته من عمر،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بذلك </w:t>
      </w:r>
      <w:bookmarkStart w:id="639" w:name="pg15658_147168"/>
    </w:p>
    <w:p>
      <w:pPr>
        <w:pStyle w:val="BookText"/>
        <w:rPr/>
      </w:pPr>
      <w:bookmarkEnd w:id="639"/>
      <w:r>
        <w:rPr>
          <w:rFonts w:ascii="Amiri" w:hAnsi="Amiri" w:eastAsia="Amiri" w:cs="Amiri"/>
          <w:color w:val="111111"/>
          <w:sz w:val="28"/>
          <w:sz w:val="28"/>
          <w:szCs w:val="28"/>
          <w:rtl w:val="true"/>
          <w:lang w:bidi="ar-SA"/>
        </w:rPr>
        <w:t>استصلاحه، وكفه عنه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المفسدة الوحيدة التي يمكن أن تترتب على هذا الزواج هي تصوّر إضفاء المشروعية على خلافة الخليفة الثاني من قبل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المفسدة تزول من خلال تصريحات الإمام باغتصاب الخلفاء لحقه الثابت له في الخلافة بالنصوص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640" w:name="__RefHeading___Toc11030673_2142443653"/>
      <w:bookmarkStart w:id="641" w:name="_Toc232"/>
      <w:bookmarkEnd w:id="640"/>
      <w:r>
        <w:rPr>
          <w:rtl w:val="true"/>
        </w:rPr>
        <w:t xml:space="preserve">هـ </w:t>
      </w:r>
      <w:r>
        <w:rPr>
          <w:rtl w:val="true"/>
        </w:rPr>
        <w:t xml:space="preserve">- </w:t>
      </w:r>
      <w:r>
        <w:rPr>
          <w:rtl w:val="true"/>
        </w:rPr>
        <w:t>التهديد والإكراه</w:t>
      </w:r>
      <w:r>
        <w:rPr>
          <w:rtl w:val="true"/>
        </w:rPr>
        <w:t>:</w:t>
      </w:r>
      <w:bookmarkEnd w:id="641"/>
    </w:p>
    <w:p>
      <w:pPr>
        <w:pStyle w:val="BookText"/>
        <w:rPr/>
      </w:pPr>
      <w:r>
        <w:rPr>
          <w:rFonts w:ascii="IRNazanin" w:hAnsi="IRNazanin" w:eastAsia="IRNazanin"/>
          <w:color w:val="111111"/>
          <w:sz w:val="28"/>
          <w:sz w:val="28"/>
          <w:szCs w:val="28"/>
          <w:rtl w:val="true"/>
          <w:lang w:bidi="fa-IR"/>
        </w:rPr>
        <w:t>تروي المصادر التاريخية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البداية رفض عرض الخليفة عليه أن يزوجه من ابنته، ولكنه لجأ إلى العباس عم الإمام وهدده بأنه إذا واصل الإمام معارضته لهذا الزواج، فإنه سيجرده من منصب سقاية الحجيج، بل هدّده بما هو أشد من ذلك؛ إذ قال إنه سوف يستأجر شاهدي زور ليشهدا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بالسرقة وإنه سيجري عليه حد السرقة ويقطع يده، وفي بعض المصادر كان الخليفة الثاني يروم فبركة اتهامه بجرائم من قبيل القتل</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الالتفات إلى ما يعرف عن عمر من الشخصية الخشنة والفظة، لم يكن تنفيذه لتلك التهديدات مستبعداً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رضي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الزواج مكرهاً تحت ضغط التهديد، للمحافظة على موقعه ومكانته العلمية والدينية التي كانت ضرورية للإسلام، ولم يكن الملحوظ للإمام في هذا الأمر مصلحته الشخصية</w:t>
      </w:r>
      <w:r>
        <w:rPr>
          <w:rFonts w:eastAsia="IRNazanin" w:cs="IRNazanin"/>
          <w:color w:val="111111"/>
          <w:sz w:val="28"/>
          <w:szCs w:val="28"/>
          <w:rtl w:val="true"/>
          <w:lang w:bidi="fa-IR"/>
        </w:rPr>
        <w:t xml:space="preserve">. </w:t>
      </w:r>
      <w:bookmarkStart w:id="642" w:name="pg15658_147169"/>
    </w:p>
    <w:p>
      <w:pPr>
        <w:pStyle w:val="BookText"/>
        <w:rPr/>
      </w:pPr>
      <w:bookmarkEnd w:id="642"/>
      <w:r>
        <w:rPr>
          <w:rFonts w:ascii="Amiri" w:hAnsi="Amiri" w:eastAsia="Amiri" w:cs="Amiri"/>
          <w:color w:val="111111"/>
          <w:sz w:val="28"/>
          <w:sz w:val="28"/>
          <w:szCs w:val="28"/>
          <w:rtl w:val="true"/>
          <w:lang w:bidi="ar-SA"/>
        </w:rPr>
        <w:t>وفي بعض الروايات تم التصريح بأن زواج السيدة أم كلثوم من عمر بن الخطاب قد تم بالضغط والإكراه</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الإستغاثة،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أعلام الورى،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هذا الوجه المتكلّمون والمحدّثون من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والشيخ المفيد، والشيخ الطوسي أيضاً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11030675_2142443653"/>
      <w:bookmarkStart w:id="644" w:name="_Toc233"/>
      <w:bookmarkEnd w:id="643"/>
      <w:r>
        <w:rPr>
          <w:rtl w:val="true"/>
        </w:rPr>
        <w:t xml:space="preserve">و </w:t>
      </w:r>
      <w:r>
        <w:rPr>
          <w:rtl w:val="true"/>
        </w:rPr>
        <w:t xml:space="preserve">- </w:t>
      </w:r>
      <w:r>
        <w:rPr>
          <w:rtl w:val="true"/>
        </w:rPr>
        <w:t>جواب نقضي</w:t>
      </w:r>
      <w:r>
        <w:rPr>
          <w:rtl w:val="true"/>
        </w:rPr>
        <w:t>:</w:t>
      </w:r>
      <w:bookmarkEnd w:id="644"/>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الإجابة الأخرى فهي إجابة نقضية، ويمكن لنا أن نستنبط منها أن نفس إقامة النسب والقرابة لا يدل على تأييد أو مشروعية شيء، فقد تم اقتراح تزويج البنات من المخالفين بل ومن غير المتدينين بدين من قبل الأنبياء السابقين، والنموذج البارز على ذلك نبي الله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طمع أبناء قومه بضيوفه لحسنهم وجمالهم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من الملائكة الذين تجسّدوا على أشكال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 الإمام إلى أن يعرض عليهم الزواج من بناته رغم فسقهم وعدم إيمانهم بنبوته</w:t>
      </w:r>
      <w:r>
        <w:rPr>
          <w:rStyle w:val="FootnoteAnchor"/>
          <w:rtl w:val="true"/>
        </w:rPr>
        <w:footnoteReference w:id="740"/>
      </w:r>
      <w:r>
        <w:rPr>
          <w:rFonts w:ascii="Amiri" w:hAnsi="Amiri" w:eastAsia="Amiri" w:cs="Amiri"/>
          <w:color w:val="111111"/>
          <w:sz w:val="28"/>
          <w:sz w:val="28"/>
          <w:szCs w:val="28"/>
          <w:rtl w:val="true"/>
          <w:lang w:bidi="ar-SA"/>
        </w:rPr>
        <w:t>إذ قال لهم على ما حكاه القرآن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وَجَاءَهُ قَوْمُهُ</w:t>
      </w:r>
      <w:bookmarkStart w:id="645" w:name="pg15658_147170"/>
    </w:p>
    <w:p>
      <w:pPr>
        <w:pStyle w:val="BookText"/>
        <w:rPr/>
      </w:pPr>
      <w:bookmarkEnd w:id="645"/>
      <w:r>
        <w:rPr>
          <w:rFonts w:ascii="Amiri" w:hAnsi="Amiri" w:eastAsia="Amiri" w:cs="Amiri"/>
          <w:color w:val="111111"/>
          <w:sz w:val="28"/>
          <w:sz w:val="28"/>
          <w:szCs w:val="28"/>
          <w:rtl w:val="true"/>
          <w:lang w:bidi="ar-SA"/>
        </w:rPr>
        <w:t>يُهْرَعُونَ إِلَيْهِ وَمِنْ قَبْلُ كَانُوا يَعْمَلُونَ السَّيِّئَاتِ قَالَ يَا قَوْمِ هَؤُلَاءِ بَنَاتِي هُنَّ أَطْهَرُ لَكُمْ</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الكلام أن مجرد هذا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دليلاً على تأييد الخلافة ومشروعية حكم الخليفة الثاني عمر بن الخطاب</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11030677_2142443653"/>
      <w:bookmarkStart w:id="647" w:name="_Toc234"/>
      <w:bookmarkEnd w:id="646"/>
      <w:r>
        <w:rPr>
          <w:rtl w:val="true"/>
        </w:rPr>
        <w:t>الشبهة السادسة عشرة</w:t>
      </w:r>
      <w:r>
        <w:rPr>
          <w:rtl w:val="true"/>
        </w:rPr>
        <w:t xml:space="preserve">: </w:t>
      </w:r>
      <w:r>
        <w:rPr>
          <w:rtl w:val="true"/>
        </w:rPr>
        <w:t>تسمية الإمام علي</w:t>
      </w:r>
      <w:r>
        <w:rPr>
          <w:rtl w:val="true"/>
        </w:rPr>
        <w:t>(</w:t>
      </w:r>
      <w:r>
        <w:rPr>
          <w:rtl w:val="true"/>
        </w:rPr>
        <w:t>علیه السّلام</w:t>
      </w:r>
      <w:r>
        <w:rPr>
          <w:rtl w:val="true"/>
        </w:rPr>
        <w:t>)</w:t>
      </w:r>
      <w:r>
        <w:rPr>
          <w:rtl w:val="true"/>
        </w:rPr>
        <w:t>ثلاثة من أبنائه بأسماء الخلفاء</w:t>
      </w:r>
      <w:r>
        <w:rPr>
          <w:rtl w:val="true"/>
        </w:rPr>
        <w:t>:</w:t>
      </w:r>
      <w:bookmarkEnd w:id="647"/>
    </w:p>
    <w:p>
      <w:pPr>
        <w:pStyle w:val="Heading4"/>
        <w:numPr>
          <w:ilvl w:val="3"/>
          <w:numId w:val="1"/>
        </w:numPr>
        <w:rPr/>
      </w:pPr>
      <w:bookmarkStart w:id="648" w:name="__RefHeading___Toc11030679_2142443653"/>
      <w:bookmarkStart w:id="649" w:name="_Toc235"/>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يعمل بعض أهل السنة على التمسك بكل ما يصادفوه من أجل إثبات مشروعية خلافة الخلفاء الثلاثة الأوائل من قبل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الأمور التي تمسكوا بها في هذا الشأن، ولإثبات العلاقة الطيبة والحميمة 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والخلفاء الثلاثة قولهم إن الإمام قد وضع أسماء الخلفاء على ثلاثة من أبنائه</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معرض تحليل هذه الشبهة يجدر التأمل في الأمور الآتية</w:t>
      </w:r>
      <w:r>
        <w:rPr>
          <w:rFonts w:eastAsia="Amiri" w:cs="Amiri" w:ascii="Amiri" w:hAnsi="Amiri"/>
          <w:color w:val="111111"/>
          <w:sz w:val="28"/>
          <w:szCs w:val="28"/>
          <w:rtl w:val="true"/>
          <w:lang w:bidi="ar-SA"/>
        </w:rPr>
        <w:t xml:space="preserve">: </w:t>
      </w:r>
      <w:bookmarkStart w:id="650" w:name="pg15658_147171"/>
    </w:p>
    <w:p>
      <w:pPr>
        <w:pStyle w:val="Heading4"/>
        <w:numPr>
          <w:ilvl w:val="3"/>
          <w:numId w:val="1"/>
        </w:numPr>
        <w:rPr/>
      </w:pPr>
      <w:bookmarkStart w:id="651" w:name="__RefHeading___Toc11030681_2142443653"/>
      <w:bookmarkStart w:id="652" w:name="_Toc236"/>
      <w:bookmarkEnd w:id="650"/>
      <w:bookmarkEnd w:id="651"/>
      <w:r>
        <w:rPr>
          <w:rtl w:val="true"/>
        </w:rPr>
        <w:t xml:space="preserve">أ </w:t>
      </w:r>
      <w:r>
        <w:rPr>
          <w:rtl w:val="true"/>
        </w:rPr>
        <w:t xml:space="preserve">- </w:t>
      </w:r>
      <w:r>
        <w:rPr>
          <w:rtl w:val="true"/>
        </w:rPr>
        <w:t>سطحية هذا الدليل وعدم دلالته على المدعى</w:t>
      </w:r>
      <w:r>
        <w:rPr>
          <w:rtl w:val="true"/>
        </w:rPr>
        <w:t>:</w:t>
      </w:r>
      <w:bookmarkEnd w:id="652"/>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الشاهد أو الدليل في غاية السطحية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بداية الإسلام وفي مرحلة الجاهلية كان هناك كثير من الذين يحملون أسماء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مجرد مشابهة أسماء بعض أبناء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الإسماء الخلفاء وغيرهم لا يدل على وجود العلاقة المتينة بينه وبينهم، ولا يدل على إضفاء الشرعية على خلافتهم وأفعالهم وحكمهم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فإن الذين يطرحون مثل هذا الشاهد إنما يسطّحون مسألة مشروعية الخلافة والحكم إلى حد كبير، حيث يتمسكون بأمر جزئي وخاص ليجعلوه قاعدة ليبنى عليها فلسفة سياسية، ويستنتجون من خلالها مشروعية الدولة، وهذا أمر يفتقر إلى أبسط الملاكات العلمية والعقلية والعقلائية</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030683_2142443653"/>
      <w:bookmarkStart w:id="654" w:name="_Toc237"/>
      <w:bookmarkEnd w:id="653"/>
      <w:r>
        <w:rPr>
          <w:rtl w:val="true"/>
        </w:rPr>
        <w:t xml:space="preserve">ب </w:t>
      </w:r>
      <w:r>
        <w:rPr>
          <w:rtl w:val="true"/>
        </w:rPr>
        <w:t xml:space="preserve">- </w:t>
      </w:r>
      <w:r>
        <w:rPr>
          <w:rtl w:val="true"/>
        </w:rPr>
        <w:t>شيوع التسمية بأسماء المخالفين</w:t>
      </w:r>
      <w:r>
        <w:rPr>
          <w:rtl w:val="true"/>
        </w:rPr>
        <w:t>:</w:t>
      </w:r>
      <w:bookmarkEnd w:id="654"/>
    </w:p>
    <w:p>
      <w:pPr>
        <w:pStyle w:val="BookText"/>
        <w:rPr/>
      </w:pPr>
      <w:r>
        <w:rPr>
          <w:rFonts w:ascii="IRNazanin" w:hAnsi="IRNazanin" w:eastAsia="IRNazanin"/>
          <w:color w:val="111111"/>
          <w:sz w:val="28"/>
          <w:sz w:val="28"/>
          <w:szCs w:val="28"/>
          <w:rtl w:val="true"/>
          <w:lang w:bidi="fa-IR"/>
        </w:rPr>
        <w:t>الأمر الآخر الذي يدلّ على عدم وجود أي صلة بين التسمية باسم معيّن وبين تأييد أعمال المخالفين وسلوكيتهم ومشروعيتهم، هو شيوع أسماء المخالفين وانتشارها بين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وبين الشيعة، وفيما يأتي نشير إلى بعض الأمثلة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هناك من يشك في معاداة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ومحاربته لمعاوية بن أبي سفيان، ومع ذلك كان بعض الشيعة وخلّص أصحابه يضعون على أبنائهم اسم معاوية، أو كان هناك منهم من يحمل اسم معاوية من البداية ولم يسع إلى تبديل اسمه، ومن الأمثلة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تزوّج جعفر من السيدة زينب الكبرى بنت</w:t>
      </w:r>
    </w:p>
    <w:p>
      <w:p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له ولداً سمياه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يعاتبه الإمام علي على اختيار هذا الاسم، كما لم يعترض الإمام الحسن ولا الإمام الحسين على ذلك، ولا زينب الكبرى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شيعة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سعيد، ومعاوية بن سلمة، ومعاوية بن سوادة، ومعاوية بن صالح، ومعاوية بن طريف، ومعاوية بن عبد الله، ومعاوية بن عطاء، ومعاوية بن كليب، ومعاية بن ميسرة، وجميع هؤلاء من خلّص شيعة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يزيد بن معاوية مكروهاً من قبل أكثر المسلمين إذا لم نقل جميعهم؛ لارتكابه جريمة قتل سبط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ذلك لم يجد بعض الشيعة مشكلة في تسمية أبنائهم باسم يزيد، ومن الأمثلة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يزيد بن معاوية بن عبد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يزيد هذا هي فاطمة بنت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شيعة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الكناسي، ويزيد النبراز، ويزيد بن خيثم، ويزيد بن زياد، وعدد آخر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ويزيد بن أسباط، ويزيد الأعور وغيرهما من شيعة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لا يمكن لمجرد التشابه في الاسم إيجاد علاقة حميمة </w:t>
      </w:r>
    </w:p>
    <w:p>
      <w:pPr>
        <w:pStyle w:val="BookText"/>
        <w:rPr/>
      </w:pPr>
      <w:r>
        <w:rPr>
          <w:rFonts w:ascii="Amiri" w:hAnsi="Amiri" w:eastAsia="Amiri" w:cs="Amiri"/>
          <w:color w:val="111111"/>
          <w:sz w:val="28"/>
          <w:sz w:val="28"/>
          <w:szCs w:val="28"/>
          <w:rtl w:val="true"/>
          <w:lang w:bidi="ar-SA"/>
        </w:rPr>
        <w:t>ومودة، فضلاً عن إضفاء الشرعية على مسائل خطيرة مثل الخلافة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تسمية الأبناء في القرون الثلاثة الأولى من الإسلام بأسماء الخلفاء والمخالفين لم يكن يحمل مفهوماً إيجابياً أو سلبياً بالنسبة إلى الأعداء</w:t>
      </w:r>
    </w:p>
    <w:p>
      <w:pPr>
        <w:pStyle w:val="BookText"/>
        <w:rPr/>
      </w:pPr>
      <w:r>
        <w:rPr>
          <w:rFonts w:ascii="Amiri" w:hAnsi="Amiri" w:eastAsia="Amiri" w:cs="Amiri"/>
          <w:color w:val="111111"/>
          <w:sz w:val="28"/>
          <w:sz w:val="28"/>
          <w:szCs w:val="28"/>
          <w:rtl w:val="true"/>
          <w:lang w:bidi="ar-SA"/>
        </w:rPr>
        <w:t>والمخالفين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بدأ هذا الأمر يتفشى في العصر الراهن، حيث بدأ الناس في كل منطقة يختارون لأبنائهم أسماء مشابهة لأسماء الأولياء والصالحين الذين تركوا ذكرى أو مآثر طيّبة في المجتمع الإسلامي، ويندر أن نجد أحداً يضع على ولده اسم المخالف، ولكن هذا الأمر يختص بالمجتمعات الراهنة، ولا ينسحب على المجتمع في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المستمسكين بهذه الحجة إنما يرتكبون في حقيقة الأمر مغالطة الاشتراك اللفظي، حيث قاموا بتسرية التقاليد الراهنة في وضع الأسماء إلى العصور الأولى من الإسلام، حيث لا وجود لمثل هذه الحساسيات الراهنة كما</w:t>
      </w:r>
    </w:p>
    <w:p>
      <w:pPr>
        <w:pStyle w:val="BookText"/>
        <w:rPr/>
      </w:pPr>
      <w:r>
        <w:rPr>
          <w:rFonts w:ascii="IRNazanin" w:hAnsi="IRNazanin" w:eastAsia="IRNazanin"/>
          <w:color w:val="111111"/>
          <w:sz w:val="28"/>
          <w:sz w:val="28"/>
          <w:szCs w:val="28"/>
          <w:rtl w:val="true"/>
          <w:lang w:bidi="fa-IR"/>
        </w:rPr>
        <w:t>أسلفنا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 سبب عدم ذكر المتكلمين الأوائل من أهل السنة لهذه الظاهرة في إثبات مشروعية الخلافة وتضعيف رؤية الشيعة في هذا الخصوص، ذلك لوقوفهم على ضعف هذا الدليل في أعراف الناس وتقاليدهم في صدر الإسلام بالنسبة إلى اختيار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المعاصرين من أهل السنة بدأوا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بمثل هذه الأدلة الواهية ظناً منهم أنهم إنما جاؤوا بما عجز السابقون عن المجيء بمثلة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يثبتون غفلتهم، وعدم معرفتهم بأن هذا الدليل يفتقر إلى الأسس العلمية والعقلية</w:t>
      </w:r>
      <w:r>
        <w:rPr>
          <w:rFonts w:eastAsia="Amiri" w:cs="Amiri" w:ascii="Amiri" w:hAnsi="Amiri"/>
          <w:color w:val="111111"/>
          <w:sz w:val="28"/>
          <w:szCs w:val="28"/>
          <w:rtl w:val="true"/>
          <w:lang w:bidi="ar-SA"/>
        </w:rPr>
        <w:t xml:space="preserve">. </w:t>
      </w:r>
      <w:bookmarkStart w:id="655" w:name="pg15658_147174"/>
    </w:p>
    <w:p>
      <w:pPr>
        <w:pStyle w:val="Heading4"/>
        <w:numPr>
          <w:ilvl w:val="3"/>
          <w:numId w:val="1"/>
        </w:numPr>
        <w:rPr/>
      </w:pPr>
      <w:bookmarkStart w:id="656" w:name="__RefHeading___Toc11030685_2142443653"/>
      <w:bookmarkStart w:id="657" w:name="_Toc238"/>
      <w:bookmarkEnd w:id="655"/>
      <w:bookmarkEnd w:id="656"/>
      <w:r>
        <w:rPr>
          <w:rtl w:val="true"/>
        </w:rPr>
        <w:t xml:space="preserve">ج </w:t>
      </w:r>
      <w:r>
        <w:rPr>
          <w:rtl w:val="true"/>
        </w:rPr>
        <w:t xml:space="preserve">- </w:t>
      </w:r>
      <w:r>
        <w:rPr>
          <w:rtl w:val="true"/>
        </w:rPr>
        <w:t>فرض الأسماء بالإكراه</w:t>
      </w:r>
      <w:r>
        <w:rPr>
          <w:rtl w:val="true"/>
        </w:rPr>
        <w:t>:</w:t>
      </w:r>
      <w:bookmarkEnd w:id="657"/>
    </w:p>
    <w:p>
      <w:pPr>
        <w:pStyle w:val="BookText"/>
        <w:rPr/>
      </w:pPr>
      <w:r>
        <w:rPr>
          <w:rFonts w:ascii="Amiri" w:hAnsi="Amiri" w:eastAsia="Amiri" w:cs="Amiri"/>
          <w:color w:val="111111"/>
          <w:sz w:val="28"/>
          <w:sz w:val="28"/>
          <w:szCs w:val="28"/>
          <w:rtl w:val="true"/>
          <w:lang w:bidi="ar-SA"/>
        </w:rPr>
        <w:t>كان عمر بن الخطاب يبدي حساسية مفرطة تجاه بعض الأسماء، فكان يغير أسماء الأشخاص التي تشبه أسماء الأنبياء السابقين، من ذلك أنه بدل اسم إبراهيم الذي ترعرع في كنفه، وكذلك غيّر اسم أبي مسروق الأجدع وخلع عليه اسم عبد الرحمن</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كان في موقع خليفة المسلمين، وبغض النظر عن القسوة والغلظة التي كان يتصف بها عمر بن الخطاب، لم يكن هناك من يجرؤ على مخالفته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يتعلق باسم نجل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الأمر كذلك أيضاً، حيثاختار عمر أن يتسمى باسمه</w:t>
      </w:r>
      <w:r>
        <w:rPr>
          <w:rStyle w:val="FootnoteAnchor"/>
          <w:rtl w:val="true"/>
        </w:rPr>
        <w:footnoteReference w:id="744"/>
      </w:r>
      <w:r>
        <w:rPr>
          <w:rFonts w:ascii="IRNazanin" w:hAnsi="IRNazanin" w:eastAsia="IRNazanin"/>
          <w:color w:val="111111"/>
          <w:sz w:val="28"/>
          <w:sz w:val="28"/>
          <w:szCs w:val="28"/>
          <w:rtl w:val="true"/>
          <w:lang w:bidi="fa-IR"/>
        </w:rPr>
        <w:t xml:space="preserve">وحيث كان تشابه الأسماء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شائعاً في ذلك العصر، من دون أن تكون لهذه الظاهرة دلالة على تأييد أمر أو نفيه، لم يجد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إلى إثارة مشكلة الخليفة مع بسبب هذه المسألة البسيطة؛ فيلحق بذلك ضرراً على وحدة المجتمع الإسلامي وتماسكه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أصل الدليل المتقدم القائل بأنّ الإمام علياً هو من وضع اسم عمر لابنه، لا أساس له من الصحة، بل الأصح أن عمر هو الذي فرض على الإمام علي أن يُسمّي ابنه باسمه، ولم يعترض الإمام علي على ذلك للسبب الذي أسلفناه</w:t>
      </w:r>
      <w:r>
        <w:rPr>
          <w:rFonts w:eastAsia="Amiri" w:cs="Amiri" w:ascii="Amiri" w:hAnsi="Amiri"/>
          <w:color w:val="111111"/>
          <w:sz w:val="28"/>
          <w:szCs w:val="28"/>
          <w:rtl w:val="true"/>
          <w:lang w:bidi="ar-SA"/>
        </w:rPr>
        <w:t xml:space="preserve">. </w:t>
      </w:r>
      <w:bookmarkStart w:id="658" w:name="pg15658_147175"/>
    </w:p>
    <w:p>
      <w:pPr>
        <w:pStyle w:val="Heading4"/>
        <w:numPr>
          <w:ilvl w:val="3"/>
          <w:numId w:val="1"/>
        </w:numPr>
        <w:rPr/>
      </w:pPr>
      <w:bookmarkStart w:id="659" w:name="__RefHeading___Toc11030687_2142443653"/>
      <w:bookmarkStart w:id="660" w:name="_Toc239"/>
      <w:bookmarkEnd w:id="658"/>
      <w:bookmarkEnd w:id="659"/>
      <w:r>
        <w:rPr>
          <w:rtl w:val="true"/>
        </w:rPr>
        <w:t xml:space="preserve">د </w:t>
      </w:r>
      <w:r>
        <w:rPr>
          <w:rtl w:val="true"/>
        </w:rPr>
        <w:t xml:space="preserve">- </w:t>
      </w:r>
      <w:r>
        <w:rPr>
          <w:rtl w:val="true"/>
        </w:rPr>
        <w:t>عثمان اسم صاحب الأمام</w:t>
      </w:r>
      <w:r>
        <w:rPr>
          <w:rtl w:val="true"/>
        </w:rPr>
        <w:t>(</w:t>
      </w:r>
      <w:r>
        <w:rPr>
          <w:rtl w:val="true"/>
        </w:rPr>
        <w:t>علیه السّلام</w:t>
      </w:r>
      <w:r>
        <w:rPr>
          <w:rtl w:val="true"/>
        </w:rPr>
        <w:t>):</w:t>
      </w:r>
      <w:bookmarkEnd w:id="660"/>
    </w:p>
    <w:p>
      <w:pPr>
        <w:pStyle w:val="BookText"/>
        <w:rPr/>
      </w:pPr>
      <w:r>
        <w:rPr>
          <w:rFonts w:ascii="IRNazanin" w:hAnsi="IRNazanin" w:eastAsia="IRNazanin"/>
          <w:color w:val="111111"/>
          <w:sz w:val="28"/>
          <w:sz w:val="28"/>
          <w:szCs w:val="28"/>
          <w:rtl w:val="true"/>
          <w:lang w:bidi="fa-IR"/>
        </w:rPr>
        <w:t>إن المعاصرين من أهل السنة الذين يتشبثون بكل قشة لإثبات مدعاهم، حيث عثروا على ابن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عثمان، اتخذوه مستمسكاً للقول بأن الإمام علياً إنما أراد من ذلك عثمان بن عفان، مما يدلّ على عمق المحبة والعلاقة الوثيقة التى كانت تسود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يصرح بأنه إنما سمى ولده عثمان تخليداً لذكرى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1030689_2142443653"/>
      <w:bookmarkStart w:id="662" w:name="_Toc240"/>
      <w:bookmarkEnd w:id="661"/>
      <w:r>
        <w:rPr>
          <w:rtl w:val="true"/>
        </w:rPr>
        <w:t xml:space="preserve">هـ </w:t>
      </w:r>
      <w:r>
        <w:rPr>
          <w:rtl w:val="true"/>
        </w:rPr>
        <w:t xml:space="preserve">- </w:t>
      </w:r>
      <w:r>
        <w:rPr>
          <w:rtl w:val="true"/>
        </w:rPr>
        <w:t>اللجوء إلى التورية</w:t>
      </w:r>
      <w:r>
        <w:rPr>
          <w:rtl w:val="true"/>
        </w:rPr>
        <w:t>:</w:t>
      </w:r>
      <w:bookmarkEnd w:id="662"/>
    </w:p>
    <w:p>
      <w:pPr>
        <w:pStyle w:val="BookText"/>
        <w:rPr/>
      </w:pPr>
      <w:r>
        <w:rPr>
          <w:rFonts w:ascii="IRNazanin" w:hAnsi="IRNazanin" w:eastAsia="IRNazanin"/>
          <w:color w:val="111111"/>
          <w:sz w:val="28"/>
          <w:sz w:val="28"/>
          <w:szCs w:val="28"/>
          <w:rtl w:val="true"/>
          <w:lang w:bidi="fa-IR"/>
        </w:rPr>
        <w:t>كان المسلمون عامة في صدر الإسلام يكنون احتراماً خاصاً للخلفاء بوصفهم خلفاء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يتوقعون من سائر الصحابة بمن فيهم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يحترم مشاعرهم تجاه هؤلاء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تلك الحقبة كان كثير من المقاتلين فى معسكر الإمام والذين بايعوه يحبون الخلفاء الثلاثة الأوائل، وكانوا يتوقعون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يحترمهم، وأن يشيد بإنجازاتهم، وعليه لو صدر من الإمام ما يسيء لمكانتهم التي يرونها فيهم، فإن ذلك سيؤدي إلى انفراط عقد معسكره، من هنا لم يكن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يوسع من شرخ المسائل الخلافية، رعاية لمشاعر الآخرين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بالالتفات إلى طبيعة الناس في عصر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يجب أن نكون قد أدركنا المشاكل والمحاذير التي كان يعاني منها الإمام، فكان يتحتّم </w:t>
      </w:r>
    </w:p>
    <w:p>
      <w:pPr>
        <w:pStyle w:val="BookText"/>
        <w:rPr/>
      </w:pPr>
      <w:r>
        <w:rPr>
          <w:rFonts w:ascii="Amiri" w:hAnsi="Amiri" w:eastAsia="Amiri" w:cs="Amiri"/>
          <w:color w:val="111111"/>
          <w:sz w:val="28"/>
          <w:sz w:val="28"/>
          <w:szCs w:val="28"/>
          <w:rtl w:val="true"/>
          <w:lang w:bidi="ar-SA"/>
        </w:rPr>
        <w:t xml:space="preserve">عليه أن لا يسكت عن اغتصاب حقه في الخلافة طوال خمسة وعشرين عاماً فحسب، بل وكان يتعين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وحدة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يمجدهم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ويثني عليهم من حين لآخر، في حين أن هذا يلزم منه الكذب والعياذ بالله، وشأن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في الفرضية الأولى تعين على الإمام علي إما أن يمدح الخلفاء الذي سبقوه، وهذا الخيار يستلزم اللجوء إلى نوع من الكذب، أو أن يترك مدحهم فراراً من محذور الكذب، ولكن هذا سيلزم منه انهيار معسكره، وإضعاف حكومته في مواجهة معاوية بن أبي سفيان وغيره من المخالفين والأعداء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الإمام اختار طريقاً ثالثاً، أن وهو يسمى ثلاثة من أبنائه بأسماء الخلفاء الثلاثة الأوائل، حتى إذا اضطر إلى مدح أبي بكر وعمر وعثمان أراد بذلك أبناءه الذين يستحقوق هذا الثناء والمديح منه؛ لكونهم ترعرعوا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أمكن للإمام من خلال هذا الإجراء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الخلفاء بحسب الظاهر، وإرادة مدح أبنائه حقيقة، وهو ما يعبر عنه في المصطلح الفقهي بالتورية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يحافظ على تماسك معسكره، من دون أن يضطر إلى ارتكاب</w:t>
      </w:r>
    </w:p>
    <w:p>
      <w:pPr>
        <w:pStyle w:val="BookText"/>
        <w:rPr/>
      </w:pPr>
      <w:r>
        <w:rPr>
          <w:rFonts w:ascii="Amiri" w:hAnsi="Amiri" w:eastAsia="Amiri" w:cs="Amiri"/>
          <w:color w:val="111111"/>
          <w:sz w:val="28"/>
          <w:sz w:val="28"/>
          <w:szCs w:val="28"/>
          <w:rtl w:val="true"/>
          <w:lang w:bidi="ar-SA"/>
        </w:rPr>
        <w:t>موبقة الكذب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أسرّ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شيعته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أحدهم قد أفشى هذا الأمر إلى معاوية بن أبي سفيان، وهو ما نراه في بعض رسائل معاوية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663" w:name="pg15658_147177"/>
    </w:p>
    <w:p>
      <w:pPr>
        <w:pStyle w:val="Heading3"/>
        <w:numPr>
          <w:ilvl w:val="2"/>
          <w:numId w:val="1"/>
        </w:numPr>
        <w:rPr/>
      </w:pPr>
      <w:bookmarkStart w:id="664" w:name="__RefHeading___Toc11030691_2142443653"/>
      <w:bookmarkStart w:id="665" w:name="_Toc241"/>
      <w:bookmarkEnd w:id="663"/>
      <w:bookmarkEnd w:id="664"/>
      <w:r>
        <w:rPr>
          <w:rtl w:val="true"/>
        </w:rPr>
        <w:t>الشبهة السابعة عشرة</w:t>
      </w:r>
      <w:r>
        <w:rPr>
          <w:rtl w:val="true"/>
        </w:rPr>
        <w:t xml:space="preserve">: </w:t>
      </w:r>
      <w:r>
        <w:rPr>
          <w:rtl w:val="true"/>
        </w:rPr>
        <w:t>الثناء على الخلفاء</w:t>
      </w:r>
      <w:r>
        <w:rPr>
          <w:rtl w:val="true"/>
        </w:rPr>
        <w:t>:</w:t>
      </w:r>
      <w:bookmarkEnd w:id="665"/>
    </w:p>
    <w:p>
      <w:pPr>
        <w:pStyle w:val="Heading4"/>
        <w:numPr>
          <w:ilvl w:val="3"/>
          <w:numId w:val="1"/>
        </w:numPr>
        <w:rPr/>
      </w:pPr>
      <w:bookmarkStart w:id="666" w:name="__RefHeading___Toc11030693_2142443653"/>
      <w:bookmarkStart w:id="667" w:name="_Toc242"/>
      <w:bookmarkEnd w:id="666"/>
      <w:r>
        <w:rPr>
          <w:rtl w:val="true"/>
        </w:rPr>
        <w:t>اشارة</w:t>
      </w:r>
      <w:bookmarkEnd w:id="667"/>
    </w:p>
    <w:p>
      <w:pPr>
        <w:pStyle w:val="BookText"/>
        <w:rPr/>
      </w:pPr>
      <w:r>
        <w:rPr>
          <w:rFonts w:ascii="IRNazanin" w:hAnsi="IRNazanin" w:eastAsia="IRNazanin"/>
          <w:color w:val="111111"/>
          <w:sz w:val="28"/>
          <w:sz w:val="28"/>
          <w:szCs w:val="28"/>
          <w:rtl w:val="true"/>
          <w:lang w:bidi="fa-IR"/>
        </w:rPr>
        <w:t>روى أهل السنة في بعض مصادرهم الروائية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تؤكد أفضلية ومنزلة أبي بكر بن أبي قحافة وعمر بن الخطاب على منزلته، وهذا الأمر يدلّ على مدح الخلفاء بوصفهم أفضل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ذلك أنهم يروون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الناس بعد النبيين أبوبكر ثم عمر </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أحمد بن حنبل عن الحكم بن جحل،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يفضلني أحد على أبي بكر وعمر إلا جلدته حدّ المفتري</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مال إلى هذا الرأي بعض المعاصرين من أهل السنة</w:t>
      </w:r>
      <w:r>
        <w:rPr>
          <w:rStyle w:val="FootnoteAnchor"/>
          <w:rtl w:val="true"/>
        </w:rPr>
        <w:footnoteReference w:id="749"/>
      </w:r>
      <w:r>
        <w:rPr>
          <w:rFonts w:ascii="Amiri" w:hAnsi="Amiri" w:eastAsia="Amiri" w:cs="Amiri"/>
          <w:color w:val="111111"/>
          <w:sz w:val="28"/>
          <w:sz w:val="28"/>
          <w:szCs w:val="28"/>
          <w:rtl w:val="true"/>
          <w:lang w:bidi="ar-SA"/>
        </w:rPr>
        <w:t>، وبعض المؤلفين من الشيعة أيضاً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تمسّك أصحاب هذا الدليل ببعض الروايات الموجودة في نهج البلاغة أيضاً، ومن ذلك قول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عمر بن الخطاب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بِلادُ فُلَانٍ فَلَقَدْ قَوَّمَ الْأَوَدَ، وَدَاوَى الْعَمَدَ، وَأَقَامَ السُّنَّةَ، وَخَلَّفَ الْفِتْنَةَ، ذَهَبَ نَقِيَّ الثَّوْبِ، قَلِيلَ الْعَيْبِ، أَصَابَ خَيْرَهَا، وَسَبَقَ شَرَّهَا، أَدَّى إِلَى </w:t>
      </w:r>
      <w:bookmarkStart w:id="668" w:name="pg15658_147178"/>
    </w:p>
    <w:p>
      <w:pPr>
        <w:pStyle w:val="BookText"/>
        <w:rPr/>
      </w:pPr>
      <w:bookmarkEnd w:id="668"/>
      <w:r>
        <w:rPr>
          <w:rFonts w:ascii="Amiri" w:hAnsi="Amiri" w:eastAsia="Amiri" w:cs="Amiri"/>
          <w:color w:val="111111"/>
          <w:sz w:val="28"/>
          <w:sz w:val="28"/>
          <w:szCs w:val="28"/>
          <w:rtl w:val="true"/>
          <w:lang w:bidi="ar-SA"/>
        </w:rPr>
        <w:t>الله طَاعَتَهُ، وَاتَّفَاهُ بِحَقِّهِ، رَحَلَ وَتَرَكَهُمْ فِي طُرُقٍ مُتَشَعْبَةٍ، لَا يَهْتَدِي فِيهَا الضَّالُ، وَلَا يَسْتَيْقِنُ المُهْتَدِي</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استعادة مصر من جند معاوية بن أبي سفيان، عمد بعض من في معسكر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سؤاله عن رأيه في أبي بكر وعمر،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أعلن عن رأيي فيهما ضمن كتاب، ومما جاء في ذلك الكتاب على ما رواه إبراهيم بن محمد الثقفي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فتولى أبو بكر تلك الأمور فيسّر وتشدّد، وقارب واقتصد، فصحبته مناصحاً، وأطعته فيما أطاع الله فيه جاهداً، وما طمعت أن لو حدث به حدث وأنا حي أن يرد إلي وهو أمر بايعته فيه طمع مستيقن، ولا يئست منه يأس من لا يرجوه، فلولا خاصة ما كان بينه وبين عمر لظننت أنه لا يدفعها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احتضر بعث إلى عمر فولاه فسمعنا وأطعنا وناصحنا، وتولى عمر الأمر فكان مرضي السيرة ميمون النقيبة </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تحليل هذه الشبهة يجدر التأمل في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1030695_2142443653"/>
      <w:bookmarkStart w:id="670" w:name="_Toc243"/>
      <w:bookmarkEnd w:id="669"/>
      <w:r>
        <w:rPr>
          <w:rtl w:val="true"/>
        </w:rPr>
        <w:t xml:space="preserve">أ </w:t>
      </w:r>
      <w:r>
        <w:rPr>
          <w:rtl w:val="true"/>
        </w:rPr>
        <w:t xml:space="preserve">- </w:t>
      </w:r>
      <w:r>
        <w:rPr>
          <w:rtl w:val="true"/>
        </w:rPr>
        <w:t>المشكلة السندية في روايات أهل السنة</w:t>
      </w:r>
      <w:r>
        <w:rPr>
          <w:rtl w:val="true"/>
        </w:rPr>
        <w:t>:</w:t>
      </w:r>
      <w:bookmarkEnd w:id="67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روايات أهل السنة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 مدحه للخلفاء </w:t>
      </w:r>
    </w:p>
    <w:p>
      <w:pPr>
        <w:pStyle w:val="BookText"/>
        <w:rPr/>
      </w:pPr>
      <w:r>
        <w:rPr>
          <w:rFonts w:ascii="Amiri" w:hAnsi="Amiri" w:eastAsia="Amiri" w:cs="Amiri"/>
          <w:color w:val="111111"/>
          <w:sz w:val="28"/>
          <w:sz w:val="28"/>
          <w:szCs w:val="28"/>
          <w:rtl w:val="true"/>
          <w:lang w:bidi="ar-SA"/>
        </w:rPr>
        <w:t xml:space="preserve">الذين سبقوه، وخاصة تلك الروايات الدالة على تفضيلهم على نفسه، تعاني من مشكلة في السند، وبحسب المصطلح الرجالي إنها منقولة على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ناقلها مجهول، فهي تُعدُّ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حجة ولا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العلامة الأميني بتحليلها ونقدها في كتابة القيم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يتعلق بالرواية المنسوبة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نهج البلاغة يجب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تاريخ الطبري يعمد راوي الحديث أولاً إلى نسبته إلى بنت أبي حثمة، وأن الإمام قد أقر بذلك المضمون</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عساكر فقد نسبه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امرأة اسمها عاتكة، وجاء في ذيل شعر عاتكة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أبقى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فأضاف الإمام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قالت، ولكنها قولت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إملاء هذا الشعر قد كُلّفت به أو أجبرت على قوله</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وكما تقدم أن ذكرنا فقد تم الخلط بين كلام الإمام وشعر الشاعرة الأعم من أن تكون عاتكة أو بنت أبي حثمة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بخيرها ونجا من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إذا ثبتت نسبته إلى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المراد منه كالآتي</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قد نال خير الدنيا بدهائه، ونجا من شرورها بكياسته، كما وصل إلى الخلافة بذكائه، وتفوق فى ذلك على أقرانه ومنافسيه</w:t>
      </w:r>
      <w:r>
        <w:rPr>
          <w:rFonts w:eastAsia="Amiri" w:cs="Amiri" w:ascii="Amiri" w:hAnsi="Amiri"/>
          <w:color w:val="111111"/>
          <w:sz w:val="28"/>
          <w:szCs w:val="28"/>
          <w:rtl w:val="true"/>
          <w:lang w:bidi="ar-SA"/>
        </w:rPr>
        <w:t xml:space="preserve">). </w:t>
      </w:r>
      <w:bookmarkStart w:id="671" w:name="pg15658_147180"/>
    </w:p>
    <w:p>
      <w:pPr>
        <w:pStyle w:val="BookText"/>
        <w:rPr/>
      </w:pPr>
      <w:bookmarkEnd w:id="671"/>
      <w:r>
        <w:rPr>
          <w:rFonts w:ascii="Amiri" w:hAnsi="Amiri" w:eastAsia="Amiri" w:cs="Amiri"/>
          <w:color w:val="111111"/>
          <w:sz w:val="28"/>
          <w:sz w:val="28"/>
          <w:szCs w:val="28"/>
          <w:rtl w:val="true"/>
          <w:lang w:bidi="ar-SA"/>
        </w:rPr>
        <w:t>وبذلك فإن الرواية لا تنطوي على مدح للخليفة الثاني في الأمور الدينية، وإنما هي بيان ما كان عليه واقع الأمر من الناحية الدنيوية</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1030697_2142443653"/>
      <w:bookmarkStart w:id="673" w:name="_Toc244"/>
      <w:bookmarkEnd w:id="672"/>
      <w:r>
        <w:rPr>
          <w:rtl w:val="true"/>
        </w:rPr>
        <w:t xml:space="preserve">ب </w:t>
      </w:r>
      <w:r>
        <w:rPr>
          <w:rtl w:val="true"/>
        </w:rPr>
        <w:t xml:space="preserve">- </w:t>
      </w:r>
      <w:r>
        <w:rPr>
          <w:rtl w:val="true"/>
        </w:rPr>
        <w:t>عدم ذكر روايات الأفضلية في المصادر الشيعية</w:t>
      </w:r>
      <w:r>
        <w:rPr>
          <w:rtl w:val="true"/>
        </w:rPr>
        <w:t>:</w:t>
      </w:r>
      <w:bookmarkEnd w:id="673"/>
    </w:p>
    <w:p>
      <w:pPr>
        <w:pStyle w:val="BookText"/>
        <w:rPr/>
      </w:pPr>
      <w:r>
        <w:rPr>
          <w:rFonts w:ascii="IRNazanin" w:hAnsi="IRNazanin" w:eastAsia="IRNazanin"/>
          <w:color w:val="111111"/>
          <w:sz w:val="28"/>
          <w:sz w:val="28"/>
          <w:szCs w:val="28"/>
          <w:rtl w:val="true"/>
          <w:lang w:bidi="fa-IR"/>
        </w:rPr>
        <w:t>يحق للشيعة أن يرفضوا مضمون ما جاء من الروايات المروية في مصادر أهل السنة بخصوص تفضيل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للخلفاء على نفسه؛ إذ هناك احتمال إضافته من قبلهم لتعزيز مذهبهم، والسؤال الذي يفرض نفسه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توجد هذه الروايات في المصادر الشيعية الروائية؟ وعليه يجب على أهل السنة أن يقدموا دليلاً معتبراً عند الشيعة</w:t>
      </w:r>
      <w:r>
        <w:rPr>
          <w:rFonts w:eastAsia="IRNazanin" w:cs="IRNazanin"/>
          <w:color w:val="111111"/>
          <w:sz w:val="28"/>
          <w:szCs w:val="28"/>
          <w:rtl w:val="true"/>
          <w:lang w:bidi="fa-IR"/>
        </w:rPr>
        <w:t>.</w:t>
      </w:r>
    </w:p>
    <w:p>
      <w:pPr>
        <w:pStyle w:val="Heading4"/>
        <w:numPr>
          <w:ilvl w:val="3"/>
          <w:numId w:val="1"/>
        </w:numPr>
        <w:rPr/>
      </w:pPr>
      <w:bookmarkStart w:id="674" w:name="__RefHeading___Toc11030699_2142443653"/>
      <w:bookmarkStart w:id="675" w:name="_Toc245"/>
      <w:bookmarkEnd w:id="674"/>
      <w:r>
        <w:rPr>
          <w:rtl w:val="true"/>
        </w:rPr>
        <w:t xml:space="preserve">ج </w:t>
      </w:r>
      <w:r>
        <w:rPr>
          <w:rtl w:val="true"/>
        </w:rPr>
        <w:t xml:space="preserve">- </w:t>
      </w:r>
      <w:r>
        <w:rPr>
          <w:rtl w:val="true"/>
        </w:rPr>
        <w:t>تعارض هذه الرواية مع روايات أخرى في مصادر أهل السنة</w:t>
      </w:r>
      <w:r>
        <w:rPr>
          <w:rtl w:val="true"/>
        </w:rPr>
        <w:t>:</w:t>
      </w:r>
      <w:bookmarkEnd w:id="675"/>
    </w:p>
    <w:p>
      <w:pPr>
        <w:pStyle w:val="BookText"/>
        <w:rPr/>
      </w:pPr>
      <w:r>
        <w:rPr>
          <w:rFonts w:ascii="IRNazanin" w:hAnsi="IRNazanin" w:eastAsia="IRNazanin"/>
          <w:color w:val="111111"/>
          <w:sz w:val="28"/>
          <w:sz w:val="28"/>
          <w:szCs w:val="28"/>
          <w:rtl w:val="true"/>
          <w:lang w:bidi="fa-IR"/>
        </w:rPr>
        <w:t>لقد أثبت بعض المحققين في التراث التاريخي من أمثال المحقق الشوشتري أن هذا النوع من الأحاديث التي يرويها أهل السنة في فضل أبي بكر وعمر وعثمان، وتفضيلهم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 الروايات الموضوعة، وإن غرض الذين وضعوها هو النيل من 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الظاهرة ليست جديدة، بل كانت واضحة حتى فى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في المناظرات التي كانت تحدث بين الشيعة وأهل السنة في عصر المأمون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هذه الأحداث والمواقف</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 المأمون رجلاً تمسك بروايات تثبت أفضلية أبي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الروايات معارضة برواية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الطير المشوي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تقول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له طائر مشوي، فرفع يديه بالدعاء طالباً من الله أن يأتي </w:t>
      </w:r>
    </w:p>
    <w:p>
      <w:pPr>
        <w:pStyle w:val="BookText"/>
        <w:rPr/>
      </w:pPr>
      <w:r>
        <w:rPr>
          <w:rFonts w:ascii="IRNazanin" w:hAnsi="IRNazanin" w:eastAsia="IRNazanin"/>
          <w:color w:val="111111"/>
          <w:sz w:val="28"/>
          <w:sz w:val="28"/>
          <w:szCs w:val="28"/>
          <w:rtl w:val="true"/>
          <w:lang w:bidi="fa-IR"/>
        </w:rPr>
        <w:t>بأحب الخلق إليه ليشاركة في أكل الطير؛ فدخل عليه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فقيه أهل السنة الذي كان يستدل على أفضلية أبي بكر بالحديث المنسوب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الناس بعد النبيين أبو بكر ثم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عليه المأمون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محال أيضاً؛ لأنهما لو كان أفضل الناس بعد النبي حقيقة، لما أمر عليهما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 وأسامة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الإمام علياً كان معتقداً بأفضليتهما على نفسه، فلماذا احتج عليهما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أولى منهما بالخلافة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الدالة على أفضلية الخليفتين الأولين تتعارض مع كلمات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ومواقفه الواردة في مصادر الفريقين بالتواتر، ذلك حيث تحدث عن أولويته، وحقه الثابت، والوراثة، وفضائله التى لم يشاركه فيها أحد من الصحابة،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الأمة أحد</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يرى أفضليتهما حقاً، فلماذا كان يطالب بالخلافة لنفسه؟ ولماذل حمل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يطوف بهم على بيوت الأنصار والمهاجرين يطلب منهم النصرة والبيعة؟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 تأخر عن بيعة أبي بكرة مدة حياة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يبايع إلا بعد ستة أشهر كاملة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تكفي هذه الحقيقة والحقائق الأخرى لإثبات أن هذه الروايات </w:t>
      </w:r>
      <w:bookmarkStart w:id="676" w:name="pg15658_147182"/>
    </w:p>
    <w:p>
      <w:pPr>
        <w:pStyle w:val="BookText"/>
        <w:rPr/>
      </w:pPr>
      <w:bookmarkEnd w:id="676"/>
      <w:r>
        <w:rPr>
          <w:rFonts w:ascii="Amiri" w:hAnsi="Amiri" w:eastAsia="Amiri" w:cs="Amiri"/>
          <w:color w:val="111111"/>
          <w:sz w:val="28"/>
          <w:sz w:val="28"/>
          <w:szCs w:val="28"/>
          <w:rtl w:val="true"/>
          <w:lang w:bidi="ar-SA"/>
        </w:rPr>
        <w:t>الواردة في مدح الخلفاء، وخاصة تلك التي تفضلهم على سائر الصحابة، هي مجرد مختلقات جماعة بعينها؟</w:t>
      </w:r>
    </w:p>
    <w:p>
      <w:pPr>
        <w:pStyle w:val="BookText"/>
        <w:rPr/>
      </w:pPr>
      <w:r>
        <w:rPr>
          <w:rFonts w:ascii="IRNazanin" w:hAnsi="IRNazanin" w:eastAsia="IRNazanin"/>
          <w:color w:val="111111"/>
          <w:sz w:val="28"/>
          <w:sz w:val="28"/>
          <w:szCs w:val="28"/>
          <w:rtl w:val="true"/>
          <w:lang w:bidi="fa-IR"/>
        </w:rPr>
        <w:t>تكفى نظرة إجمالية إلى كلمات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نهج البلاغة، ليذعن المحقق المنصف بأفضلية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غيره من الخلفاء، وفي الحد الأدنى من وجهة نظر الإمام نفسه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1030701_2142443653"/>
      <w:bookmarkStart w:id="678" w:name="_Toc246"/>
      <w:bookmarkEnd w:id="677"/>
      <w:r>
        <w:rPr>
          <w:rtl w:val="true"/>
        </w:rPr>
        <w:t xml:space="preserve">مناقشة وتحليل رواية نهج البلاغة </w:t>
      </w:r>
      <w:r>
        <w:rPr>
          <w:rtl w:val="true"/>
        </w:rPr>
        <w:t>(</w:t>
      </w:r>
      <w:r>
        <w:rPr>
          <w:rtl w:val="true"/>
        </w:rPr>
        <w:t>لله بلاد فلان</w:t>
      </w:r>
      <w:r>
        <w:rPr>
          <w:rtl w:val="true"/>
        </w:rPr>
        <w:t>):</w:t>
      </w:r>
      <w:bookmarkEnd w:id="678"/>
    </w:p>
    <w:p>
      <w:pPr>
        <w:pStyle w:val="BookText"/>
        <w:rPr/>
      </w:pPr>
      <w:r>
        <w:rPr>
          <w:rFonts w:ascii="Amiri" w:hAnsi="Amiri" w:eastAsia="Amiri" w:cs="Amiri"/>
          <w:color w:val="111111"/>
          <w:sz w:val="28"/>
          <w:sz w:val="28"/>
          <w:szCs w:val="28"/>
          <w:rtl w:val="true"/>
          <w:lang w:bidi="ar-SA"/>
        </w:rPr>
        <w:t>في معرض تحليل الرواية الموجودة في نهج البلاغة وتقييمها، والتي يبدو منها مدح الخليفة الثاني، يجدر الالتفات إلى الأمور الآتية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الإشكال السندي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بذل الشريف الرضي جامع نهج البلاغة جهداً كبيراً يستحق الثناء في توخي الصحيح من كلام الإمام، ولكنه مع ذلك لم يسلم من الوقوع في الأخطاء أحياناً، غير أن هذه الأخطاء لحسن ظن علماء الشيعة بإنجازه الفذ، لم يتم تسليط الأضواء عليها في القرون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الآونة الأخيرة فقد بدأ بعض المحققين المدققين يبرزون نقاط ضعف الشريف الرضى في جمعه للكلمات المروية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بين المحقق المعاصر الشهير الشيخ محمد تقي الشوشتري في شرحه الموضوعي على نهج البلاغة جانباً من جانباً من هذه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مثلاً أن الشريف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في ما مضى أخي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الحكمة رقم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ونسبها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أنها من كلمات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نسب الحكمة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أبطل به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عاد ونسبها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الآخر</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الأمر بالنسبة إلى عشرات الموارد الأخرى من مختلقات أمثال سيف ومعاوية التي أبدع المحقق الشوشتري في بحثها ومناقشتها وتحقيقها</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يتضح أنه على الرغم من اعترافنا بقيمة نهج البلاغة والجهد المشكور الذي قام به الشريف الرضي في جمعه، إلا أننا لا نستطيع أن ننسب جميع مضامينه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بحث وتمحيص، أو أن نعتبر كل ما ورد فيه من كلام أمير المؤمنين حتى مع وجود القرائن والشواهد على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يجب علينا تجديد النظر فى أصالة بعض الخطب من الناحية السندية في الحد الأدنى في مورد شبهة عدم الانسجام مع أسس الإمام نفسه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يذهب المحقق الشوشتري بالالتفات إلى الأدلة والشواهد الآتية،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الرواية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الشريف الرضي وطريقته في نسبة الكلام الفصيح المنسوب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التدبّر في مضمونه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التاريخي لهذه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 وهو من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غموضها على المستوى الدلالي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استنتاج أن هذه الرواية تعاني من الإشكال السندي، وعليه لا يمكن نسبتها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انتساب أصل الرواية إلى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الرواية صادر عن 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خلال الرجوع إلى المصادر التاريخية،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وتاريخ ابن عساكر</w:t>
      </w:r>
      <w:r>
        <w:rPr>
          <w:rStyle w:val="FootnoteAnchor"/>
          <w:rtl w:val="true"/>
        </w:rPr>
        <w:footnoteReference w:id="760"/>
      </w:r>
      <w:r>
        <w:rPr>
          <w:rFonts w:ascii="IRNazanin" w:hAnsi="IRNazanin" w:eastAsia="IRNazanin"/>
          <w:color w:val="111111"/>
          <w:sz w:val="28"/>
          <w:sz w:val="28"/>
          <w:szCs w:val="28"/>
          <w:rtl w:val="true"/>
          <w:lang w:bidi="fa-IR"/>
        </w:rPr>
        <w:t>يتضح لنا أنه بعد وفاة الخليفة الثاني قامت شاعرة من شواعر العرب اسمها عاتكة أو ليلى بنت أبي حثمة وأنشدت شعراً في رثاء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المغيرة بن شعبة أن يسمع رأي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موت الخليفة الثاني في هذه المناسبة، فطلب من الإمام أن يبدي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الإمام إلى كلام هذه الشاعرة وأضاف إليه شيئاً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يجب عدم نسبة مجموع هذا الكلام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التفكيك والفصل بين مبتدئه وخاتمته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هو الجزء الخاص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الكلام فسوف يتضح من خلال النقاط الآتية</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تحديد هوية المعني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الآخر أنه لم يتم في صدر الرواية ذكر اسم الخليفة الثاني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تصريحاً ولا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هناك إشارة إلى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عنوان فضفاض، وحمله على خصوص الخليفة الثاني يحتاج إلى 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ذهب بعض المفكرين المتقدمين من أمثال </w:t>
      </w:r>
    </w:p>
    <w:p>
      <w:pPr>
        <w:pStyle w:val="BookText"/>
        <w:rPr/>
      </w:pPr>
      <w:r>
        <w:rPr>
          <w:rFonts w:ascii="Amiri" w:hAnsi="Amiri" w:eastAsia="Amiri" w:cs="Amiri"/>
          <w:color w:val="111111"/>
          <w:sz w:val="28"/>
          <w:sz w:val="28"/>
          <w:szCs w:val="28"/>
          <w:rtl w:val="true"/>
          <w:lang w:bidi="ar-SA"/>
        </w:rPr>
        <w:t>الراوندي</w:t>
      </w:r>
      <w:r>
        <w:rPr>
          <w:rStyle w:val="FootnoteAnchor"/>
          <w:rtl w:val="true"/>
        </w:rPr>
        <w:footnoteReference w:id="761"/>
      </w:r>
      <w:r>
        <w:rPr>
          <w:rFonts w:ascii="Amiri" w:hAnsi="Amiri" w:eastAsia="Amiri" w:cs="Amiri"/>
          <w:color w:val="111111"/>
          <w:sz w:val="28"/>
          <w:sz w:val="28"/>
          <w:szCs w:val="28"/>
          <w:rtl w:val="true"/>
          <w:lang w:bidi="ar-SA"/>
        </w:rPr>
        <w:t>، ومن المعاصرين الشيخ صبحي الصالح</w:t>
      </w:r>
      <w:r>
        <w:rPr>
          <w:rStyle w:val="FootnoteAnchor"/>
          <w:rtl w:val="true"/>
        </w:rPr>
        <w:footnoteReference w:id="762"/>
      </w:r>
      <w:r>
        <w:rPr>
          <w:rFonts w:ascii="Amiri" w:hAnsi="Amiri" w:eastAsia="Amiri" w:cs="Amiri"/>
          <w:color w:val="111111"/>
          <w:sz w:val="28"/>
          <w:sz w:val="28"/>
          <w:szCs w:val="28"/>
          <w:rtl w:val="true"/>
          <w:lang w:bidi="ar-SA"/>
        </w:rPr>
        <w:t xml:space="preserve">، إلى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قادة جيشه،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الأشتر أو سلمان الفارسي</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يقوي احتمال الراوندي نقله نهج البلاغة عن الشيخ عبد الرحيم البغدادي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بنت الشريف المرتضى، عن عمها الشريف الرضي مؤلف نهج البلاغة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التناقض بين صدر الرواية وذيلها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الموجودة في نهج البلاغة تشتمل على تهافت وتضارب وتناقض ما بين أولها وآخرها، فبينما يتحدث صدر الرواية عن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نجد آخر الرواية يقول إن هذا الـ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ترك الأمة أمام طرق متعددة لا ترجى له الهداية في متاهاتها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الكلام لا يتناسب وشأن الذي نعرفه بالفصاحة والبلاغة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يبدو وجود تلاعب في هذه الرواية، وعليه ينبغي بأهل السنة أن يلتزموا بمجموع ما ورد في هذه الخطبة، بما في ذلك وصف الخليفة الثاني بأنه عرض الأمة إلى الضلال والضياع وإلى طرق لا تضمن الهداية لمهتدي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الآخر أن هذا التناقض يجعل من الصعب القول إن المعني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مالك الأشتر أو سلمان الفارسي أيضاً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الكلام أن هذه الرواية مضطربة ومتهافتة، وإن حمل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فيها على الخليفة الثاني أو أحد قادة جيش الإمام يصطدم </w:t>
      </w:r>
    </w:p>
    <w:p>
      <w:pPr>
        <w:pStyle w:val="BookText"/>
        <w:rPr/>
      </w:pPr>
      <w:r>
        <w:rPr>
          <w:rFonts w:ascii="IRNazanin" w:hAnsi="IRNazanin" w:eastAsia="IRNazanin"/>
          <w:color w:val="111111"/>
          <w:sz w:val="28"/>
          <w:sz w:val="28"/>
          <w:szCs w:val="28"/>
          <w:rtl w:val="true"/>
          <w:lang w:bidi="fa-IR"/>
        </w:rPr>
        <w:t>بمحذور من نوع خاص، ومن هذا الاضطراب يتضح أن هذه الرواية لا يمكن أن تنسب إلى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صدر الرواية يعود إلى الشاعرة عاتكة أو بنت حثمة، وآخرها لشخص آخر يمكن أن يكون هو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هذه الرواية بصيغتها المنقولة لا تصلح لأن تكون مستنداً، فلا تكون 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تناقض الرواية مع مواقف الإمام وكلماته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الأخرى الموجودة في هذه الرواية هي أنها تتناقض مع كلمات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الأخرى، وهي الروايات والكلمات التي تقدم منا ذكرها في الصفحات السابقة، والتي بموجبها كان عمر في رأي الإمام علي قد تعاون مع الخليفة الأول في سلبه حقه في الخلافة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وأنهما قد خططا بحيث تؤول الخلافة بعد موت الخليفة الأول إلى عمر بن الخطاب، ثم قام هذا الأخير إلى ترتيب صيغة تحرم الإمام علياً من استعادة حقه الثابت، ووصول الأمر إلى عثمان بن عفان</w:t>
      </w:r>
    </w:p>
    <w:p>
      <w:pPr>
        <w:pStyle w:val="BookText"/>
        <w:rPr/>
      </w:pPr>
      <w:r>
        <w:rPr>
          <w:rFonts w:ascii="IRNazanin" w:hAnsi="IRNazanin" w:eastAsia="IRNazanin"/>
          <w:color w:val="111111"/>
          <w:sz w:val="28"/>
          <w:sz w:val="28"/>
          <w:szCs w:val="28"/>
          <w:rtl w:val="true"/>
          <w:lang w:bidi="fa-IR"/>
        </w:rPr>
        <w:t>يضاف إلى ذلك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انتقد سياسة الخليفة الثاني في كثير من المواطن بشدة، فكيف يمكن القول إنه جاء في هذا الموضع ليخالف جميع مواقفه السابقة؟</w:t>
      </w:r>
      <w:r>
        <w:rPr>
          <w:rFonts w:eastAsia="IRNazanin" w:cs="IRNazanin"/>
          <w:color w:val="111111"/>
          <w:sz w:val="28"/>
          <w:szCs w:val="28"/>
          <w:rtl w:val="true"/>
          <w:lang w:bidi="fa-IR"/>
        </w:rPr>
        <w:t>!</w:t>
      </w:r>
      <w:r>
        <w:rPr>
          <w:rStyle w:val="FootnoteAnchor"/>
          <w:rtl w:val="true"/>
        </w:rPr>
        <w:footnoteReference w:id="765"/>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التورية والاستهزاء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إلى ما تقدم يحتمل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فرض صحة صدور الرواية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أنها لم تصدر عنه بداعي الحقيقة، وإنما بداعي النقد والتهكم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أسلوب شائع بين المختلفين في الرأي، فلو أن </w:t>
      </w:r>
    </w:p>
    <w:p>
      <w:pPr>
        <w:pStyle w:val="BookText"/>
        <w:rPr/>
      </w:pPr>
      <w:r>
        <w:rPr>
          <w:rFonts w:ascii="Amiri" w:hAnsi="Amiri" w:eastAsia="Amiri" w:cs="Amiri"/>
          <w:color w:val="111111"/>
          <w:sz w:val="28"/>
          <w:sz w:val="28"/>
          <w:szCs w:val="28"/>
          <w:rtl w:val="true"/>
          <w:lang w:bidi="ar-SA"/>
        </w:rPr>
        <w:t>رجلاً أخذ يكيل الثناء والتمجيد لشخص معروف في اختلافه معه، يفهم منه أنه في سياق التهكم به ونقده بشكل لاذع لوجود قرينة حالية على ذلك، فلا يحمل</w:t>
      </w:r>
    </w:p>
    <w:p>
      <w:pPr>
        <w:pStyle w:val="BookText"/>
        <w:rPr/>
      </w:pPr>
      <w:r>
        <w:rPr>
          <w:rFonts w:ascii="IRNazanin" w:hAnsi="IRNazanin" w:eastAsia="IRNazanin"/>
          <w:color w:val="111111"/>
          <w:sz w:val="28"/>
          <w:sz w:val="28"/>
          <w:szCs w:val="28"/>
          <w:rtl w:val="true"/>
          <w:lang w:bidi="fa-IR"/>
        </w:rPr>
        <w:t>كلامه على محل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ويفهم هذا التفسير من الكتاب الذي بعث به معاوية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كرهت خلافة عمر وحسدته، واستطلت مدته، وسررت بقتله، وأظهرت الشماتة بمصابه</w:t>
      </w:r>
      <w:r>
        <w:rPr>
          <w:rFonts w:eastAsia="IRNazanin" w:cs="IRNazanin"/>
          <w:color w:val="111111"/>
          <w:sz w:val="28"/>
          <w:szCs w:val="28"/>
          <w:rtl w:val="true"/>
          <w:lang w:bidi="fa-IR"/>
        </w:rPr>
        <w:t>»</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هذا التفسير بعض المحققين أيضاً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التقية ورعاية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الآخر هو القول بأن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 إنما يثني على الخليفة الثاني اضطراراً ورعاية للمصلحة من باب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أن الخليفتين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الخليفة الثالث وإن بنحو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يحظون باحترام الناس ويتمتعون بالمقبولية والوجاهة عندهم، وإن هذه الوجاهة بطبيعة الحال تشتدّ بعد وفاتهم، وإن الإمام قال تلك الكلمات في حضور من أتباع الخليفتين الأولين من الذين كانوا يتوقعون من الإمام أن يقول شيئاً في تلك المناسبة التي اقترنت بوفاة الخليفة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أعداء الإمام من أمثال معاوية كانوا يسعون إلى استدراج الإمام ودفعه إلى التصريح بنقد الخلفاء نقداً لاذعاً على الملأ وبمرأى ومسمع من الناس، كي يغتنموا كلامه في إثارة الدهماء ضدّه، ويضعفون من مكانته، ويرفعون من رصيدهم بين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كان الإمام محشوراً بين انتقاد سيرة الخلفاء أو الثناء عليهم، وكان عليه أن يراعي المصلحة من جميع الجوانب والجهات</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الكلام على صيغة سؤال وتعجب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الكلام المتقدم كان في سياق لقاء المغيرة بن شعبة بالإمام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أراد المغيرة من الإمام أن يبيّن موقفه من الخليفة الثاني، كي يُفيد من جواب الإمام على جميع الأحوال سلباً أو إيجاباً، فبدأ كلامه بذكر ما قالته بنت أبي حثمة في مدح عمر بنالخطاب، فقال 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طريقة الاستفهام التعجبي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قالت ابنة أبي حشمة هذا الكلام حقاً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فالكلام الذي قاله الإمام آنفاً كان على شكل سؤال، إلا أن أهل السنة تعمدوا فيما بعد تجاهل هذه الصيغة الاستفهامية عند شرحهم لنهج البلاغة عمداً أو سهواً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 هذا الرأي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ما قالت، ولكن قولت</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التعريف النسبي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الأخير الذي يمكن أن يبدو للناظر، وهو أمر متفرع عن ثبوت أصل الرواية هو أن الإمام في هذه الرواية كان غاية الأمر بصدد التعريف النسبي بفضائل الخليفة على المستوى الأخلاقي والديني، وهو أمر شائع بالنسبة إلى رجال السياسة بعد موتهم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الخليفة الأول والثاني كانا ملتزمين إلى حد ما فيما يتعلق بأحكام الدين وبيت مال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الخليفة كان يستشير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أصاب كثيراً من الانتصارات وحقق الإنجازات بفضل تلك المشاورات التي كان الإمام يغدقها عليه، وهذا أمر لا ينكره الشيعة، إلا أن الشيعة يرون مع ذلك أن الخلفاء كانوا </w:t>
      </w:r>
      <w:bookmarkStart w:id="679" w:name="pg15658_147189"/>
    </w:p>
    <w:p>
      <w:pPr>
        <w:pStyle w:val="BookText"/>
        <w:rPr/>
      </w:pPr>
      <w:bookmarkEnd w:id="679"/>
      <w:r>
        <w:rPr>
          <w:rFonts w:ascii="Amiri" w:hAnsi="Amiri" w:eastAsia="Amiri" w:cs="Amiri"/>
          <w:color w:val="111111"/>
          <w:sz w:val="28"/>
          <w:sz w:val="28"/>
          <w:szCs w:val="28"/>
          <w:rtl w:val="true"/>
          <w:lang w:bidi="ar-SA"/>
        </w:rPr>
        <w:t>غاصبين لحق الإمام الثابت في الخلافة، وأن الخلفاء الثلاثة قاموا طوال حكمهم ببعض البدع ومارسوا بعض الأعمال المنافية للدين الإسلامي الحنيف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فإن رؤية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ورؤية الشيعة تبعاً لذلك تجاه الخلفاء رؤية نسبية، فهي من جهة تأخذ الإنجازات التي تستحق التقدير، ومن جهة أخرى لا تغض الطرف عن الأعمال غير المشروعة التي صدرت عن الخلفاء، وعلى رأسها اغتصاب الخلافة من أهلها وأصحابها الشرعيين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روايات المدح تنظر إلى جانب من الصفات الإيجابية للخلفاء، وكما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إثبات شيء لشيء لا ينفي ما عداه</w:t>
      </w:r>
      <w:r>
        <w:rPr>
          <w:rFonts w:eastAsia="IRNazanin" w:cs="IRNazanin"/>
          <w:color w:val="111111"/>
          <w:sz w:val="28"/>
          <w:szCs w:val="28"/>
          <w:rtl w:val="true"/>
          <w:lang w:bidi="fa-IR"/>
        </w:rPr>
        <w:t>».</w:t>
      </w:r>
    </w:p>
    <w:p>
      <w:pPr>
        <w:pStyle w:val="Heading4"/>
        <w:numPr>
          <w:ilvl w:val="3"/>
          <w:numId w:val="1"/>
        </w:numPr>
        <w:rPr/>
      </w:pPr>
      <w:bookmarkStart w:id="680" w:name="__RefHeading___Toc11030703_2142443653"/>
      <w:bookmarkStart w:id="681" w:name="_Toc247"/>
      <w:bookmarkEnd w:id="680"/>
      <w:r>
        <w:rPr>
          <w:rtl w:val="true"/>
        </w:rPr>
        <w:t xml:space="preserve">تحليل رواية إبراهيم بن محمد الثقفي </w:t>
      </w:r>
      <w:r>
        <w:rPr>
          <w:rtl w:val="true"/>
        </w:rPr>
        <w:t>(</w:t>
      </w:r>
      <w:r>
        <w:rPr>
          <w:rtl w:val="true"/>
        </w:rPr>
        <w:t>فتولى أبو بكر</w:t>
      </w:r>
      <w:r>
        <w:rPr>
          <w:rtl w:val="true"/>
        </w:rPr>
        <w:t>):</w:t>
      </w:r>
      <w:bookmarkEnd w:id="681"/>
    </w:p>
    <w:p>
      <w:pPr>
        <w:pStyle w:val="BookText"/>
        <w:rPr/>
      </w:pPr>
      <w:r>
        <w:rPr>
          <w:rFonts w:ascii="IRNazanin" w:hAnsi="IRNazanin" w:eastAsia="IRNazanin"/>
          <w:color w:val="111111"/>
          <w:sz w:val="28"/>
          <w:sz w:val="28"/>
          <w:szCs w:val="28"/>
          <w:rtl w:val="true"/>
          <w:lang w:bidi="fa-IR"/>
        </w:rPr>
        <w:t>تقدم في نقل الشبهة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الخليفتين الأولين في كتاب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فتولى أبو بكر تلك الأمور فيسّر وتشدّد، وقارب واقتصد، فصحبته مناصحاً،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احتضر بعث إلى عمر فولاه فسمعنا وأطعنا وناصحنا، وتولى عمر الأمر فكان مرضي السيرة ميمون النقيبة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تحليل هذا الإسناد والاستدلال يجدر الالتفات إلى الأمور الآتية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الإقرار بالأخلاق والسلوك النسبي للشيخين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توضيح هذه الإجابة حيث أشرنا إلى أن الخليفتين الأولين وإن اقترفا خطيئة في أصل التصدّي للخلافة واغتصابها من صاحبها الشرعي عامدين، إلا أنه على الرغم من ذلك كانا يسعيان ما أمكنهما إلى الابتعاد عن العصبية والتطرف في إدارة السلطة، واحتفظا بطريقة عيش طبيعية متوازنة، ولم يتورطا في اكتناز الأموال والثروة لهما أو لذويهما، ولذلك أنصفهما الإمام في مقام تحليل سيرتيهما وقال </w:t>
      </w:r>
    </w:p>
    <w:p>
      <w:pPr>
        <w:pStyle w:val="BookText"/>
        <w:rPr/>
      </w:pPr>
      <w:r>
        <w:rPr>
          <w:rFonts w:ascii="IRNazanin" w:hAnsi="IRNazanin" w:eastAsia="IRNazanin"/>
          <w:color w:val="111111"/>
          <w:sz w:val="28"/>
          <w:sz w:val="28"/>
          <w:szCs w:val="28"/>
          <w:rtl w:val="true"/>
          <w:lang w:bidi="fa-IR"/>
        </w:rPr>
        <w:t>فيهما ما يقتضيه العدل والمنطق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الوقت نفسه صرح في ذات الرسالة بسلبياتهما أيضاً، على ما ستأتي الإشارة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لا ينكرون القيم والأعمال التي قام بها الشخان، وإنهم يثنون على إيجابياتهما، وينكرون عليهما سلبياتهما وأخطاء هما</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ملاحظة المخاطبين بالرسالة ومكانة الشيخين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هذا التحليل في معرض الإجابة عن الرواية السابقة في نهج البلاغة، حيث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يحكم بأن نأخذ بنظر الاعتبار الأجواء المحيطة بالإمام، والمخاطبين الذين توجه لهم الإمام بالكلام، وعلينا أن ندرك أن أكثر جيش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الذين كانوا يريدون منه بيان موقفه ورأيه في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الذين يوالون الخلفاء السابقين، وكانوا يعيشون لحظة فراق الخلفاء بعد رحيلهم، ولذلك فإن الإمام رغم انتقاده لأدائهم في ذلك الكتاب، ولكن حافظ على سقف من النقد لايثير حفيظة المخاطبين، ولم يعدل عن رعاية المصالح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 العلامة المجلسي يقول في شرح هذا الكلام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مرضي السيرة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ظاهراً عند الناس، وكذا ما مرّ في وصف أبي بكر ، وآثار التقية والمصلحة في الخطبة ظاهرة، بل الظاهر أنها من إلحاقات المخالفين</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مقارنة الخليفتين الأولين بالخليفة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ندقق في كتاب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ندرك أنه كان بصدد الإشارة إجمالاً إلى تاريخ الخلفاء بعد رحیل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الإمام كان في معرض المقارنة بين سيرة الخليفتين </w:t>
      </w:r>
    </w:p>
    <w:p>
      <w:pPr>
        <w:pStyle w:val="BookText"/>
        <w:rPr/>
      </w:pPr>
      <w:r>
        <w:rPr>
          <w:rFonts w:ascii="Amiri" w:hAnsi="Amiri" w:eastAsia="Amiri" w:cs="Amiri"/>
          <w:color w:val="111111"/>
          <w:sz w:val="28"/>
          <w:sz w:val="28"/>
          <w:szCs w:val="28"/>
          <w:rtl w:val="true"/>
          <w:lang w:bidi="ar-SA"/>
        </w:rPr>
        <w:t>الأولين وسيرة الخليفة الثالث، والذي يؤيّد ذلك أن أهل السنة أنفسهم يعترفون بأن الخليفة الأول والثاني كانا يراعيان الأحكام الإسلامية ويحافظان على الحياة البسيطة البعيدة عن التجمّل والترف، خلافاً لما كانت عليه سيرة عثمان بن عفان التى بلغت حداً جرّت عليه نقمة المسلمين حتى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بصدد المقارنة بين سيرة الشيخين بالقياس إلى سيرة عثمان، ولا يخفى أن سيرتهما لو قيست إلى سيرته فهي تستحق التعريف والتمجيد والثناء، ومن هنا يكون كلام الإمام مبرراً ولا غبار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انتقادات الإمام اللاذعة للخلفاء في ذات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مراراً وتكراراً إن معرفة مواقف شخص تجاه مسألة ما، لا تتم من خلال انتقاء فقرة من مجموع كلماته، وأخذها بشكل منفصل واعتبارها فصل الخطاب في الموضوع المتنازع عليه، وإنما لا بد من أخذ مجموع كلامه في خصوص تلك القضية بنظر الاعتبار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الذين ذكروا الشبهة المتقدمة عمدوا إلى تقطيع كلام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ليظهروا الخلفاء السابقين بوصفهم مرضيين عند الإمام من جميع الجهات، في حين أن الأمر لم يكن كذلك؛ إذ تشهد ذات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اشتملت على هذا المقطع من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أنهم لو قرأوها من بدايتها إلى نهايتها لاتضح لهم أن الإمام بعد هذين السطرين من المديح المتواضع شحن الرسالة ببيان أعمالهم المنافية لرعاية حقوقه المنصوص عليها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،وفيما يلي نشير إلى بعض هذه الأمور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بأحقيته في الخلافة على الناس من الآخرين؛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أحق بمقام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الناس ممن تولى الأمر من بعده</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فلسفة بيعته لأبي بكر خشية على الناس من الانحراف،وإشفاقاً عليهم من الارتداد، وفي 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رأيت راجعة من الناس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فمشيت عند ذلك إلى أبي بكر فبايعته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علاقة خاصة بين أبي بكر بن أبي قحافة وعمر بن الخطاب في خصوص تنصيب أبي بكر لعمر في الخلافة بعده،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خاصة ما كان بينه وبين عمر؛ لظننت أنه لا يدفعها عني</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تجاهل عمر بن الخطاب لحق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الخلافة بعد طعنه، فرتّب الأمور بشكل ينتهي الأمر فيها إلى عثمان بن عفان، وفي ذلك يقول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احتضر فقلت في نفسي لن يعدلها عني ليس يدافعها عني فجعلنى سادس ستة</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انتخاب أعضاء الشورى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لخوفهم من حرمان الإمام لهم من المناصب الحكومية، إذ يقول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فخشي القوم إن أنا وليت عليهم ألا يكون لهم من الأمر نصيب ما بقوا؛ فأجمعوا </w:t>
      </w:r>
    </w:p>
    <w:p>
      <w:pPr>
        <w:pStyle w:val="BookText"/>
        <w:rPr/>
      </w:pPr>
      <w:r>
        <w:rPr>
          <w:rFonts w:ascii="Amiri" w:hAnsi="Amiri" w:eastAsia="Amiri" w:cs="Amiri"/>
          <w:color w:val="111111"/>
          <w:sz w:val="28"/>
          <w:sz w:val="28"/>
          <w:szCs w:val="28"/>
          <w:rtl w:val="true"/>
          <w:lang w:bidi="ar-SA"/>
        </w:rPr>
        <w:t>إجماعاً واحداً فصرفوا الولاية إلى عثمان وأخرجوني منها</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الإمام علي بأن بيعته لعثمان كانت بالإكراه والإجبار،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قالوا هلم فبايع وإلا جاهدناك؛ فبايعت مستكرهاً، وصبرت محتسباً</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تصريح الإمام بتنصيبه للخلافة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حق وميراث خصه به الله تعالى بواسطة نبيه،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الذي طلبت ميراثي وحقي الذي جعلنى الله ورسوله أولى به</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سلب الإمام حقه في الخلافة وتجريده منها ،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قائلهم يا ابن أبي طالب إنك على هذا الأمر لحريص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أحرص مني وأبعد، أينا أحرص؟ أنا الذي طلبت ميراثي وحقي؟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أنتم إذ تضربون وجهي دونه وتحولون بيني وبينه؟ فبهتوا،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فإنهم قطعوا رحمي وأضاعوا إياي، وصغروا عظيم منزلتي وأجمعوا على منازعتي حقاً كنت أولى به منهم، فسلبونيه</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الذي يتمسك بفقرة قصيرة من كتاب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عليه أن يدقق في الفقرات الأخرى من الكتاب نفسه أيضاً، وأن يجيب عن سبب حديث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بحدود الهامش المتاح له بالنظر إلى مزاج المخاطبين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سلب حقه في الحكم، مما يعني بحسب اللازم عدم مشروعية الخلفاء الذين سبقوه؟</w:t>
      </w:r>
      <w:r>
        <w:rPr>
          <w:rFonts w:eastAsia="IRNazanin" w:cs="IRNazanin"/>
          <w:color w:val="111111"/>
          <w:sz w:val="28"/>
          <w:szCs w:val="28"/>
          <w:rtl w:val="true"/>
          <w:lang w:bidi="fa-IR"/>
        </w:rPr>
        <w:t xml:space="preserve">! </w:t>
      </w:r>
      <w:bookmarkStart w:id="682" w:name="pg15658_147194"/>
    </w:p>
    <w:p>
      <w:pPr>
        <w:pStyle w:val="BookText"/>
        <w:rPr/>
      </w:pPr>
      <w:bookmarkEnd w:id="682"/>
      <w:r>
        <w:rPr>
          <w:rFonts w:ascii="IRNazanin" w:hAnsi="IRNazanin" w:eastAsia="IRNazanin"/>
          <w:color w:val="111111"/>
          <w:sz w:val="28"/>
          <w:sz w:val="28"/>
          <w:szCs w:val="28"/>
          <w:rtl w:val="true"/>
          <w:lang w:bidi="fa-IR"/>
        </w:rPr>
        <w:t>وعلى هذا الأساس فإن خير جواب يمكن تقديمه عن هذا السؤال هو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يؤكد من ناحية على اغتصاب الخلافة من أهلها، وسلب حقه فيها وعدم مشروعية الخلفاء الذين سبقوه، ولكن هذا في الوقت نفسه لا يمنعه بوصفه حكماً عادلاً ألا يتجاهل بعض الأعمال الحسنة والإيجابية، عندما يكون في مقام المقارنة وبيان من هو الأفضل من الخلفاء على المستوى النسبي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حصيلة الكلام أن مديح الإمام المقتضب للخليفتين الأولين يشبه من يشير إشارة عابرة إلى محاسن شخص، ثم ينهمر عليه بوابل من النقد الشديد الذي يبين مواطن الضعف والأخطاء والمظالم والأعمال المخالفة لروح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أساليب الكلام شائع على المستوى العرفي في بيان مزايا شخص من الأشخاص سيما إذا كان على مستوى من المسؤولية السياسية والاجتماعية</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1030705_2142443653"/>
      <w:bookmarkStart w:id="684" w:name="_Toc248"/>
      <w:bookmarkEnd w:id="683"/>
      <w:r>
        <w:rPr>
          <w:rtl w:val="true"/>
        </w:rPr>
        <w:t>الشبهة الثامنة عشرة</w:t>
      </w:r>
      <w:r>
        <w:rPr>
          <w:rtl w:val="true"/>
        </w:rPr>
        <w:t xml:space="preserve">: </w:t>
      </w:r>
      <w:r>
        <w:rPr>
          <w:rtl w:val="true"/>
        </w:rPr>
        <w:t>تعارض نصوص الخلافة</w:t>
      </w:r>
      <w:r>
        <w:rPr>
          <w:rtl w:val="true"/>
        </w:rPr>
        <w:t>:</w:t>
      </w:r>
      <w:bookmarkEnd w:id="684"/>
    </w:p>
    <w:p>
      <w:pPr>
        <w:pStyle w:val="Heading4"/>
        <w:numPr>
          <w:ilvl w:val="3"/>
          <w:numId w:val="1"/>
        </w:numPr>
        <w:rPr/>
      </w:pPr>
      <w:bookmarkStart w:id="685" w:name="__RefHeading___Toc11030707_2142443653"/>
      <w:bookmarkStart w:id="686" w:name="_Toc249"/>
      <w:bookmarkEnd w:id="685"/>
      <w:r>
        <w:rPr>
          <w:rtl w:val="true"/>
        </w:rPr>
        <w:t>اشارة</w:t>
      </w:r>
      <w:bookmarkEnd w:id="68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 بعض أهل السنة في مقام نقد ورد النصوص المأثورة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التمسك بالجواب النقضي، وذلك من خلال ادعاء وجود روايات أخرى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في خلافة أبي بكر، وهي مروية في مصادر أهل السنة وعلى هذا الأساس تتعارض الروايات المثبتة لإمامة الإمام علي مع الروايات المثبتة لخلافة أبي بكر، والقاعدة الأصولية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 دليلان 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تسقط الروايات الدالة على إمامة الإمام علي وخلافة أبي بكر عن الاعتبار، وتسقط حجيّتها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لا يكون النص معتبراً، يكون المرجع هو البيعة والشورى</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687" w:name="pg15658_147195"/>
    </w:p>
    <w:p>
      <w:pPr>
        <w:pStyle w:val="BookText"/>
        <w:rPr/>
      </w:pPr>
      <w:bookmarkEnd w:id="687"/>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نقد هذه الشبهة يجدر التأمل في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030709_2142443653"/>
      <w:bookmarkStart w:id="689" w:name="_Toc250"/>
      <w:bookmarkEnd w:id="688"/>
      <w:r>
        <w:rPr>
          <w:rtl w:val="true"/>
        </w:rPr>
        <w:t xml:space="preserve">أ </w:t>
      </w:r>
      <w:r>
        <w:rPr>
          <w:rtl w:val="true"/>
        </w:rPr>
        <w:t xml:space="preserve">- </w:t>
      </w:r>
      <w:r>
        <w:rPr>
          <w:rtl w:val="true"/>
        </w:rPr>
        <w:t>عدم وجود روايات خلافة أبي بكر في المصادر الشيعية</w:t>
      </w:r>
      <w:r>
        <w:rPr>
          <w:rtl w:val="true"/>
        </w:rPr>
        <w:t>:</w:t>
      </w:r>
      <w:bookmarkEnd w:id="689"/>
    </w:p>
    <w:p>
      <w:pPr>
        <w:pStyle w:val="BookText"/>
        <w:rPr/>
      </w:pPr>
      <w:r>
        <w:rPr>
          <w:rFonts w:ascii="IRNazanin" w:hAnsi="IRNazanin" w:eastAsia="IRNazanin"/>
          <w:color w:val="111111"/>
          <w:sz w:val="28"/>
          <w:sz w:val="28"/>
          <w:szCs w:val="28"/>
          <w:rtl w:val="true"/>
          <w:lang w:bidi="fa-IR"/>
        </w:rPr>
        <w:t>إن أول نقطة تخطر على ذهن أى محقق وباحث منصف حيادى هو هذا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ترد النصوص والروايات الدالة على خلافة أبي بكر في المصادر الشيعية أصلاً، وإنما اقتصر ذكرها على مصادر أهل السنة فقط، في حين أن النصوص الدالة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في مصادر الفريقين من الشيعة وأهل السنة، وهى كثيرة ومتضافرة جداً على ما مر بيانه في الفصل السابق بالتفصيل في معرض الإجابة عن شبهة عدم النص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مصادر روايات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على كلا الفريقين والمذهبين، في حين أن مصادر نصوص خلافة أبي بكر لا تحظى بتأييد من قبل الشيعة؛ إذ لم يرد لها ذكر في المصادر الشيعية القديمة، ومن هنا يذهب التصوّر إلى أن هذه الروايات من إضافات بعض الرواة المتأخرين، وخاصة أولئك الذين يناصبون العداء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بد من الإشارة إلى أن رواة الطبقة الأولى لنصوص خلافة أبي بكر إما هم من أنصار معاوية، أو أنها مستندة بشكل وآخر إلى أمثال عائشة التي كانت تضمر البرود أو الكراهية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هو واضح لجميع المتابعين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يمكن لنصوص خلافة أبي بكر أن تعارض روايات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690" w:name="__RefHeading___Toc11030711_2142443653"/>
      <w:bookmarkStart w:id="691" w:name="_Toc251"/>
      <w:bookmarkEnd w:id="690"/>
      <w:r>
        <w:rPr>
          <w:rtl w:val="true"/>
        </w:rPr>
        <w:t xml:space="preserve">ب </w:t>
      </w:r>
      <w:r>
        <w:rPr>
          <w:rtl w:val="true"/>
        </w:rPr>
        <w:t xml:space="preserve">- </w:t>
      </w:r>
      <w:r>
        <w:rPr>
          <w:rtl w:val="true"/>
        </w:rPr>
        <w:t>ضعف النصوص الوارد في مصادر أهل السنة على خلافة أبي بكر</w:t>
      </w:r>
      <w:r>
        <w:rPr>
          <w:rtl w:val="true"/>
        </w:rPr>
        <w:t>:</w:t>
      </w:r>
      <w:bookmarkEnd w:id="69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إلى مصادر أهل السنة التي تروي أحياناً النص على غير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،يتضح أنها مجروحة وضعيفة، بحيث أن العلماء المنصفين والمحققين </w:t>
      </w:r>
    </w:p>
    <w:p>
      <w:pPr>
        <w:pStyle w:val="BookText"/>
        <w:rPr/>
      </w:pPr>
      <w:r>
        <w:rPr>
          <w:rFonts w:ascii="Amiri" w:hAnsi="Amiri" w:eastAsia="Amiri" w:cs="Amiri"/>
          <w:color w:val="111111"/>
          <w:sz w:val="28"/>
          <w:sz w:val="28"/>
          <w:szCs w:val="28"/>
          <w:rtl w:val="true"/>
          <w:lang w:bidi="ar-SA"/>
        </w:rPr>
        <w:t>من أهل السنة أنفسهم لا يؤيّدونها، وفيما يأتي نشير إلى بعض هذه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تحلیل رواية الحسن البصري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بين رواة وصية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بكر في مسألة الخلافة</w:t>
      </w:r>
    </w:p>
    <w:p>
      <w:pPr>
        <w:pStyle w:val="BookText"/>
        <w:rPr/>
      </w:pPr>
      <w:r>
        <w:rPr>
          <w:rFonts w:ascii="Amiri" w:hAnsi="Amiri" w:eastAsia="Amiri" w:cs="Amiri"/>
          <w:color w:val="111111"/>
          <w:sz w:val="28"/>
          <w:sz w:val="28"/>
          <w:szCs w:val="28"/>
          <w:rtl w:val="true"/>
          <w:lang w:bidi="ar-SA"/>
        </w:rPr>
        <w:t>هو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معاصراً للنبي، بمعنى أنه لم يكن صحابياً كي يمكن له الرواية عن رسول الله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البصري إنما استنتج اختيار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 للخلافة من وصيته له بإمامة الجماعة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الشأن يجب القول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إمامة أبي بكر لجماعة المسلمين بأمر من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بإشارة من عائشة؟ هناك من ينكر أمر النبي بذلك، وإنما الذي أمر بذلك هي عائشة، وقال إن النبي عندما علم بالأمر تحامل على نفسه وخرج لكي يصلي بالمؤمنين ويؤم جماعتهم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المنصفون من أهل السنة من أمثال القاضي عبد الجبار المعتزلي</w:t>
      </w:r>
      <w:r>
        <w:rPr>
          <w:rStyle w:val="FootnoteAnchor"/>
          <w:rtl w:val="true"/>
        </w:rPr>
        <w:footnoteReference w:id="782"/>
      </w:r>
      <w:r>
        <w:rPr>
          <w:rFonts w:ascii="Amiri" w:hAnsi="Amiri" w:eastAsia="Amiri" w:cs="Amiri"/>
          <w:color w:val="111111"/>
          <w:sz w:val="28"/>
          <w:sz w:val="28"/>
          <w:szCs w:val="28"/>
          <w:rtl w:val="true"/>
          <w:lang w:bidi="ar-SA"/>
        </w:rPr>
        <w:t>،فإنّ إمامة الجماعة نفسها لا تدلّ على تعيين الخلافة لا صراحة ولا 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تحليل رواية بكر بن أخت عبد الواحد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رواة هذه النصوص بكر بن أخت 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عدد الشيخ أبو الحسن الأشعري مؤسس المذهب الأشعري في كتابه بعض آرائه الشاذة عن الإسلام، وكونه منافقاً ومن عبدة الشيطان، إضافة إلى ارتكابه للكبائر، مما أستنكره الأشاعرة</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هنا يتضح أنه صاحب آراء </w:t>
      </w:r>
      <w:bookmarkStart w:id="692" w:name="pg15658_147197"/>
    </w:p>
    <w:p>
      <w:pPr>
        <w:pStyle w:val="BookText"/>
        <w:rPr/>
      </w:pPr>
      <w:bookmarkEnd w:id="692"/>
      <w:r>
        <w:rPr>
          <w:rFonts w:ascii="Amiri" w:hAnsi="Amiri" w:eastAsia="Amiri" w:cs="Amiri"/>
          <w:color w:val="111111"/>
          <w:sz w:val="28"/>
          <w:sz w:val="28"/>
          <w:szCs w:val="28"/>
          <w:rtl w:val="true"/>
          <w:lang w:bidi="ar-SA"/>
        </w:rPr>
        <w:t>شاذة ومخالفة للحق، وإن ادعاءه النص على أبي بكر يعد واحداً من مصاديق تلك الآراء الشاذة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الإمام النووي في شرحه على صحيح مسلم رواية بكر بن أخت عبد الواحد وغيره من القائلين بالنص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 أنه لا وجود في مصادر أهل السنة لرواية عن الصحابة الموثوق بهم عند أهل السنة في النص على أبي بكر ، وإن ادعاء ذلك جاء في العصور المتأخرة على لسان رواة تم تضعيفهم وجرحهم من قبل رجال أهل السنة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وعلاوة على ذلك لو كانت هذه الروايات موجودة في عصر الصحابة فعلاً، فلماذا لم تظهر على ألسنة الصحابة وفي عصر أبي بكر نفسه ليضفي بها الشرعية على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ما تقدم فقد ادعى بعض العلماء من أهل السنة الإجماع على عدم وجود النص، وقد استثنوا من ذلك بكر بن أخت عبد الواحد فقط ؛ حيث انفرد برواية النص على أبي بكر، ويظهر من ذلك أن بكراً يمثل حالة شاذة في قبال إجماع أهل السنة</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030713_2142443653"/>
      <w:bookmarkStart w:id="694" w:name="_Toc252"/>
      <w:bookmarkEnd w:id="693"/>
      <w:r>
        <w:rPr>
          <w:rtl w:val="true"/>
        </w:rPr>
        <w:t xml:space="preserve">ج </w:t>
      </w:r>
      <w:r>
        <w:rPr>
          <w:rtl w:val="true"/>
        </w:rPr>
        <w:t xml:space="preserve">- </w:t>
      </w:r>
      <w:r>
        <w:rPr>
          <w:rtl w:val="true"/>
        </w:rPr>
        <w:t>اعتراف أهل السنة بعدم النص</w:t>
      </w:r>
      <w:r>
        <w:rPr>
          <w:rtl w:val="true"/>
        </w:rPr>
        <w:t>:</w:t>
      </w:r>
      <w:bookmarkEnd w:id="69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الأكثرية من أهل السنة متفقون ويعترفون بأنه لم يرد أي نص من النبي الأكرم بشأن الإمامة والخلافة بحق أي شخص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فيهم 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الاعتراف من قبل أهل السنة يعني أن أهل السنة أنفسهم لا يقبلون بروايات خلافة أبي بكر، ويشكلون عليها بإشكالات سندية ودلالية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الخصم نفسه لا يؤمن بروايات خلافة أبي بكر ، ولا يعتبرها حجّة، يتضح أمر عدم اعتبارها، وعليه كيف يمكن لمثل </w:t>
      </w:r>
      <w:bookmarkStart w:id="695" w:name="pg15658_147198"/>
    </w:p>
    <w:p>
      <w:pPr>
        <w:pStyle w:val="BookText"/>
        <w:rPr/>
      </w:pPr>
      <w:bookmarkEnd w:id="695"/>
      <w:r>
        <w:rPr>
          <w:rFonts w:ascii="IRNazanin" w:hAnsi="IRNazanin" w:eastAsia="IRNazanin"/>
          <w:color w:val="111111"/>
          <w:sz w:val="28"/>
          <w:sz w:val="28"/>
          <w:szCs w:val="28"/>
          <w:rtl w:val="true"/>
          <w:lang w:bidi="fa-IR"/>
        </w:rPr>
        <w:t xml:space="preserve">هذه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التى تعانى من الإشكال السندي والمضمونى باعتراف السنة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تعارض النصوص الدالة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بتقرير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الذين كانوا يتمنون إثبات مشروعية خلافة خلفائهم بأي وسيلة من الوسائل من خلال إسنادها إلى الشرع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ما قالوه بشأن دلالة النصوص على خليفة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تبلغ حد الدلالة الواضحة الصريحة، وإنما تبقى على مستوى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يتضح أن الروايات التي لا تتجاوز في دلالتها الإشارة والخفاء، لا تستطيع معارضة الروايات الواضحة والصريحة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أجمع أهل السنة على الاعتراف بعدم وجود النص الصريح على خلافة أبي بكر وعمر بن الخطاب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فبالالتفات إلى هاتين النقطتين تسقط النصوص الدالة على خلافة أبي بكر عن الاعتبار، وبعدها لا تبقى هناك من حاجة ولا متسع من المجال لذكر جميع الروايات المذكورة في هذا الشأن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6" w:name="__RefHeading___Toc11030715_2142443653"/>
      <w:bookmarkStart w:id="697" w:name="_Toc253"/>
      <w:bookmarkEnd w:id="696"/>
      <w:r>
        <w:rPr>
          <w:rtl w:val="true"/>
        </w:rPr>
        <w:t xml:space="preserve">د </w:t>
      </w:r>
      <w:r>
        <w:rPr>
          <w:rtl w:val="true"/>
        </w:rPr>
        <w:t xml:space="preserve">- </w:t>
      </w:r>
      <w:r>
        <w:rPr>
          <w:rtl w:val="true"/>
        </w:rPr>
        <w:t>عدم تمسك أبي بكر وعمر بالنص</w:t>
      </w:r>
      <w:r>
        <w:rPr>
          <w:rtl w:val="true"/>
        </w:rPr>
        <w:t>:</w:t>
      </w:r>
      <w:bookmarkEnd w:id="697"/>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الدليل الآخر الذي يُثبت عدم وجود نص على خلافة أبي بكر، هو استناد أبي بكر وشريكه في السقيفة أعني عمر، حيث لم يستشهد أي </w:t>
      </w:r>
      <w:bookmarkStart w:id="698" w:name="pg15658_147199"/>
    </w:p>
    <w:p>
      <w:pPr>
        <w:pStyle w:val="BookText"/>
        <w:rPr/>
      </w:pPr>
      <w:bookmarkEnd w:id="698"/>
      <w:r>
        <w:rPr>
          <w:rFonts w:ascii="IRNazanin" w:hAnsi="IRNazanin" w:eastAsia="IRNazanin"/>
          <w:color w:val="111111"/>
          <w:sz w:val="28"/>
          <w:sz w:val="28"/>
          <w:szCs w:val="28"/>
          <w:rtl w:val="true"/>
          <w:lang w:bidi="fa-IR"/>
        </w:rPr>
        <w:t>منهما هناك بمثل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وغاية ما تمسك به أبو بكر في مواجهة الأنصار رواية مطلقة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لو كان هناك نص وارد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حقه يثبت له الخلافة بما لا يقبل التأويل، لكان قد ذكره في معمعة السقيفة، ولما احتاج إلى التمسك بمثل تلك الاطلاقات التي لا تسمن ولا تغني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هذا الدليل بعض مشاهير علماء أهل السنة من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النووي في معرض رده وإنكاره لوجود نص على خلافة أبي بكر</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1030717_2142443653"/>
      <w:bookmarkStart w:id="700" w:name="_Toc254"/>
      <w:bookmarkEnd w:id="699"/>
      <w:r>
        <w:rPr>
          <w:rtl w:val="true"/>
        </w:rPr>
        <w:t xml:space="preserve">هـ </w:t>
      </w:r>
      <w:r>
        <w:rPr>
          <w:rtl w:val="true"/>
        </w:rPr>
        <w:t xml:space="preserve">- </w:t>
      </w:r>
      <w:r>
        <w:rPr>
          <w:rtl w:val="true"/>
        </w:rPr>
        <w:t>إقرار الخليفة الأول</w:t>
      </w:r>
      <w:r>
        <w:rPr>
          <w:rtl w:val="true"/>
        </w:rPr>
        <w:t>:</w:t>
      </w:r>
      <w:bookmarkEnd w:id="700"/>
    </w:p>
    <w:p>
      <w:pPr>
        <w:pStyle w:val="BookText"/>
        <w:rPr/>
      </w:pPr>
      <w:r>
        <w:rPr>
          <w:rFonts w:ascii="Amiri" w:hAnsi="Amiri" w:eastAsia="Amiri" w:cs="Amiri"/>
          <w:color w:val="111111"/>
          <w:sz w:val="28"/>
          <w:sz w:val="28"/>
          <w:szCs w:val="28"/>
          <w:rtl w:val="true"/>
          <w:lang w:bidi="ar-SA"/>
        </w:rPr>
        <w:t>أعرب أبو بكر في الأيام الأخيرة من حياته عن أسفه إذ لم يكن سأل النبي الأكرم عن الأكرم عن أشياء، وذكر من بينها من هو الخليفة بعده،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فوددت أني سألته هذا الأمر؛ فكنا لا ننازعه أهله</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تلك الأيام يتحدث عن تعيين الخليفة،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يحفظ دينه، وإنى لئن لا أستخلف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يستخلف، وإن أستخلف فإن أبا بكر قد استخلف</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فإنه في هذا الكلام علاوة على إقراره بوجود النزاع بشأن </w:t>
      </w:r>
      <w:bookmarkStart w:id="701" w:name="pg15658_147200"/>
    </w:p>
    <w:p>
      <w:pPr>
        <w:pStyle w:val="BookText"/>
        <w:rPr/>
      </w:pPr>
      <w:bookmarkEnd w:id="701"/>
      <w:r>
        <w:rPr>
          <w:rFonts w:ascii="IRNazanin" w:hAnsi="IRNazanin" w:eastAsia="IRNazanin"/>
          <w:color w:val="111111"/>
          <w:sz w:val="28"/>
          <w:sz w:val="28"/>
          <w:szCs w:val="28"/>
          <w:rtl w:val="true"/>
          <w:lang w:bidi="fa-IR"/>
        </w:rPr>
        <w:t xml:space="preserve">الحكم والخلافة، يعترف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يتعلق بشخصه 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وجود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لا يكون هناك نص صادر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 يلي الأمة، فهو ما سنثبت خلافه</w:t>
      </w:r>
      <w:r>
        <w:rPr>
          <w:rFonts w:eastAsia="IRNazanin" w:cs="IRNazanin"/>
          <w:color w:val="111111"/>
          <w:sz w:val="28"/>
          <w:szCs w:val="28"/>
          <w:rtl w:val="true"/>
          <w:lang w:bidi="fa-IR"/>
        </w:rPr>
        <w:t>.</w:t>
      </w:r>
    </w:p>
    <w:p>
      <w:pPr>
        <w:pStyle w:val="Heading4"/>
        <w:numPr>
          <w:ilvl w:val="3"/>
          <w:numId w:val="1"/>
        </w:numPr>
        <w:rPr/>
      </w:pPr>
      <w:bookmarkStart w:id="702" w:name="__RefHeading___Toc11030719_2142443653"/>
      <w:bookmarkStart w:id="703" w:name="_Toc255"/>
      <w:bookmarkEnd w:id="702"/>
      <w:r>
        <w:rPr>
          <w:rtl w:val="true"/>
        </w:rPr>
        <w:t xml:space="preserve">و </w:t>
      </w:r>
      <w:r>
        <w:rPr>
          <w:rtl w:val="true"/>
        </w:rPr>
        <w:t xml:space="preserve">- </w:t>
      </w:r>
      <w:r>
        <w:rPr>
          <w:rtl w:val="true"/>
        </w:rPr>
        <w:t>إقرار الخليفة الثاني وغيره بالنص على الإمام علي</w:t>
      </w:r>
      <w:r>
        <w:rPr>
          <w:rtl w:val="true"/>
        </w:rPr>
        <w:t>(</w:t>
      </w:r>
      <w:r>
        <w:rPr>
          <w:rtl w:val="true"/>
        </w:rPr>
        <w:t>علیه السّلام</w:t>
      </w:r>
      <w:r>
        <w:rPr>
          <w:rtl w:val="true"/>
        </w:rPr>
        <w:t>):</w:t>
      </w:r>
      <w:bookmarkEnd w:id="703"/>
    </w:p>
    <w:p>
      <w:pPr>
        <w:pStyle w:val="BookText"/>
        <w:rPr/>
      </w:pPr>
      <w:r>
        <w:rPr>
          <w:rFonts w:ascii="IRNazanin" w:hAnsi="IRNazanin" w:eastAsia="IRNazanin"/>
          <w:color w:val="111111"/>
          <w:sz w:val="28"/>
          <w:sz w:val="28"/>
          <w:szCs w:val="28"/>
          <w:rtl w:val="true"/>
          <w:lang w:bidi="fa-IR"/>
        </w:rPr>
        <w:t>بالرجوع إلى مؤلفات أهل السنة نستطيع العثور على موارد من هنا وهناك، حيث يعترف فيها الخلفاء أنفسهم بوجود النص على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مجالسهم الخاصة، وفيما يلي نشير إلى بعض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من بين الموارد هي الحوارات المتعددة بين الخليفة الثاني وابن عباس حيث كان مقرّباً من الخليفة الأول، بوصفه أحد الصحابة المبرزين، وبوصفه عالماً ومفسراً للقرآن، وفي الوقت نفسه كان يؤمن بحق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الإمامة والخلافة ولا يخفى ذلك</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روى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مع عمر إلى الشام في إحدى خرجاته، فانفرد يوماً يسير على بعيره فاتبعته،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أشكو إليك ابن عمك، سألته أن يخرج معي فلم يفعل ، ولم أزل أراه واجداً، فيم تظن موجدته؟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لا يزال كئيباً لفوت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ذاك إنه يزعم أن رسول الله أراد الأمر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وأراد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له فكان ما ذا إذا لم يرد الله تعالى ذلك،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أمراً وأراد الله غيره فنفذ مراد الله تعالى ولم ينفذ مراد رسوله</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تقدم في معرض تحليلنا لحديث الدواة والقلم أن ذكرنا إقرار عمر واعترافه، وقلنا بأنه اتهم النبي الأكرم بمخالفة الوحي والأمر الإلهي، في حين أن أهل السنة أنفسهم يؤمنون بعصمة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الوحي وإبلاغ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استدلال عمر بتحقق الإرادة الإلهية،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بد من الالتفات إلى أن الإرادة الإلهية على نوعين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تكوينية، وإرادة تشريعية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والإرادة التكوينية تشمل جميع الأمور، فليس هناك من شيء صالحاً كان أو طالحاً، واجباً أو حراماً، إلا وقد تعلقت إرادة الله التكوينية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التشريعية الله، فقد تعلقت بصالح الأعمال ولم تتعلق بطالحها، بمعنى أن إرادة الله التشريعية قد تعلّقت بإسلام جميع الناس، وقيامهم بجميع الأعمال الحسنة، وفي المقابل لم تتعلق إرادة الله التشريعية بالأعمال</w:t>
      </w:r>
    </w:p>
    <w:p>
      <w:pPr>
        <w:pStyle w:val="BookText"/>
        <w:rPr/>
      </w:pPr>
      <w:r>
        <w:rPr>
          <w:rFonts w:ascii="Amiri" w:hAnsi="Amiri" w:eastAsia="Amiri" w:cs="Amiri"/>
          <w:color w:val="111111"/>
          <w:sz w:val="28"/>
          <w:sz w:val="28"/>
          <w:szCs w:val="28"/>
          <w:rtl w:val="true"/>
          <w:lang w:bidi="ar-SA"/>
        </w:rPr>
        <w:t>القبيحة،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الإرادة مجرد إرادة تشريعية واعتبارية، بمعنى أن الله يحب لجميع الناس أن يكونوا مسلمين وأن تتصف جميع أفعالهم بالحسن، ولكن للناس في هذه الإرادة حرية كاملة في العمل على تحقيقها أو تركها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عدم تعلق إرادة الله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من جهة وباطل من جهة أخرى، بمعنى إذا كان المراد من ذلك عدم تعلق إرادة الله التشريعية، فيجب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إرادة الله قد اتحدت مع إرادة رسوله في تعلقها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 الله ورسوله بتحقيق وتفعيل هذه الإرادة التشريعية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يكون هناك من الناس من حالوا دون تحقيق إرادة الله التشريعية، وخالفوا إرادة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،واستولوا على الخلافة بمختلف </w:t>
      </w:r>
    </w:p>
    <w:p>
      <w:pPr>
        <w:pStyle w:val="BookText"/>
        <w:rPr/>
      </w:pPr>
      <w:r>
        <w:rPr>
          <w:rFonts w:ascii="Amiri" w:hAnsi="Amiri" w:eastAsia="Amiri" w:cs="Amiri"/>
          <w:color w:val="111111"/>
          <w:sz w:val="28"/>
          <w:sz w:val="28"/>
          <w:szCs w:val="28"/>
          <w:rtl w:val="true"/>
          <w:lang w:bidi="ar-SA"/>
        </w:rPr>
        <w:t>الوسائل والطرق، فإن هذا لا يمكن أن يكون خارجاً عن دائرة الإرادة الإلهية، حيث تتعلق إرادة الله به من الناحية التكوينة، إلا أن تعلق مثل هذه الإرادة لا ينتج تشريعاً؛ لأن هذا النوع من الإرادة التكوينية يتعلق بجميع الأمور، حتى ما كان من قبيل الكفر وارتكاب الكبائر أيضاً، وفي الوقت نفسه لا يرضى الله بها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الحسين بن محمد السيني،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ظهر كتاب أن عمر نزلت به نازلة؛ فقام لها وقعد وترنح لها وتقطر، وقال لمن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معشر الحاضرين ما تقولون في هذا الأمر؟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أنت المفزع والمنزع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إني وإياكم لنعلم ابن بجدتها والخبير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أردت ابن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يعدل بي عنه، وهل طفحت حرة مثله؟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دعوت به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إن هناك شمخاً من هاشم، وأثرة من علم، ولحمة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ولا يأتي؛ فامضوا بنا إليه فانقصفوا نحوه وأفضوا إليه، فألفوه في حائط له عليه تبان وهو يتركل على مسحاته ويقرأ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أَيَحْسَبُ الْإِنْسانُ أَنْ يُتْرَكَ سُدى</w:t>
      </w:r>
      <w:r>
        <w:rPr>
          <w:rStyle w:val="FootnoteAnchor"/>
          <w:rtl w:val="true"/>
        </w:rPr>
        <w:footnoteReference w:id="790"/>
      </w:r>
      <w:r>
        <w:rPr>
          <w:rFonts w:ascii="Amiri" w:hAnsi="Amiri" w:eastAsia="Amiri" w:cs="Amiri"/>
          <w:color w:val="111111"/>
          <w:sz w:val="28"/>
          <w:sz w:val="28"/>
          <w:szCs w:val="28"/>
          <w:rtl w:val="true"/>
          <w:lang w:bidi="ar-SA"/>
        </w:rPr>
        <w:t>، إلى آخر السورة، ودموعه تهمي على خديه؛ فأجهش الناس لبكائه فبكوا، ثم سكت وسكتوا، فسأله عمر عن تلك الواقعة، فأصدر جوابها؛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أرادك الحق، ولكن أبي قومك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خفض عليك من هنا ومن هنا إِنَّ يَوْمَ الْفَصْلِ كانَ مِيقاتاً</w:t>
      </w:r>
      <w:r>
        <w:rPr>
          <w:rStyle w:val="FootnoteAnchor"/>
          <w:rtl w:val="true"/>
        </w:rPr>
        <w:footnoteReference w:id="791"/>
      </w:r>
      <w:r>
        <w:rPr>
          <w:rFonts w:ascii="Amiri" w:hAnsi="Amiri" w:eastAsia="Amiri" w:cs="Amiri"/>
          <w:color w:val="111111"/>
          <w:sz w:val="28"/>
          <w:sz w:val="28"/>
          <w:szCs w:val="28"/>
          <w:rtl w:val="true"/>
          <w:lang w:bidi="ar-SA"/>
        </w:rPr>
        <w:t>، فوضع عمر إحدى يديه على الأخرى، وأطرق إلى الأرض وخرج كأنما ينظر في رماد</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الموضع الآخر الذي اعترف فيه عمر بالنص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 إلى حديث الدواة والقلم، حيث أقر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يريد في ذلك المجلس تسمية الإمام علي للخلافة، فمنعته من ذلك، على ما مر توضيحه في تحليله في فصل نقد الشبهات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يوماً؛ فقال يا ابن العباس، لقد أجهد هذا الرجل نفسه في العبادة، حتى نحلته 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يقصد بالرياء أميرُ</w:t>
      </w:r>
    </w:p>
    <w:p>
      <w:pPr>
        <w:pStyle w:val="BookText"/>
        <w:rPr/>
      </w:pPr>
      <w:r>
        <w:rPr>
          <w:rFonts w:ascii="IRNazanin" w:hAnsi="IRNazanin" w:eastAsia="IRNazanin"/>
          <w:color w:val="111111"/>
          <w:sz w:val="28"/>
          <w:sz w:val="28"/>
          <w:szCs w:val="28"/>
          <w:rtl w:val="true"/>
          <w:lang w:bidi="fa-IR"/>
        </w:rPr>
        <w:t>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يرشح نفسه بين الناس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بالترشيح؟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رشحه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بد من التدقيق في جواب عمر، إذ إنّه لم ينكر أصل الترشيح وانتخاب النبي له، وإنما أخذ يبرر استبعاد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 جوابه على ما رواه ابن أبي الحديد المعتزلي السني،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شاباً حدثاً، فاستصغرت العرب سنه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فإن الخليفة الثانى فى هذا الجواب لم ينكر أصل ادعاء ابن عباس القائل بانتخاب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للإمامة والحكم من قبل رسول الله، وإنما عمد إلى تبرير فعلته يوم السقيفة، حيق قدّم أبا بكر على الإمام علي، وقد نسب ذلك إلى العرب زاعماً أنهم أبوا أن يتولى عليهم حدث السن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ردّ عليه ابن عباس هذا التبرير فى ذات المجلس، ولكن الذي يهمنا هنا ونحن بصدده هو اعتراف الخليفة الثاني بأصل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بكر الأنباري في أماليه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إلى عمر في المسجد وعنده ناس، فلما قام عرض واحد بذكره، ونسبه إلى التيه والعجب؛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يتيه، والله لو لا سيفه لما قام عمود الإسلام، وهو بعد أقضى الأمة وذو سابقتها وذو شرفها؛ فقال له ذلك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منعكم يا أمير المؤمنين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ويتضح من سؤال هذا السائل أن أذهان المسلمين في صدر الإسلام لم تكن بعيدة عن وجود النص النبوي على الإمام علي بالخلافة، ولذلك لم ينكر عمر وجود النص، وإنما تذرّع بذات الإسطوانة القديمة وهي صغر سنه، مع إضافة شيء آخر هو أبعد ما يكون عن أخلاق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كرهناه على حداثة السن، وحبّه بني عبد المطلب</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حوار آخر جرى بين عمر بن الخطاب وابن عباس،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أما والله إن كان صاحبك هذا أولى الناس بالأمر بعد وفاة رسول الله، إلا أنا خفناه على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بمنطق لم أجد بداً معه من مسألته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سنه، وحبه بني عبد المطلب</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ابن عباس هذه الحادثة مستغرباً منطق عمر بن الخطاب،حيث رآه بعيداً كل البعد عن الاقناع، واعترض عليه بشكل واضح وصريح</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الاعتراف والإقرار بوجود النص على إمامة الإمام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غير الخليفة الثاني من كبار الصحابة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كثير من الصحابة الذين رووا النص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بخلافة الإمام علي وإمامته، وقد تقدم أن ذكرنا تفصيل ذلك في الفصل الرابع، وعليه نحيل القارئ الكريم إلى ذلك 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اعترف ابن أبي الحديد المعتزلي شارح نهج البلاغة بعد بيان هذه الموارد بدلالتها على النص،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أراها إلا تكاد تكون دالة على النص</w:t>
      </w:r>
      <w:r>
        <w:rPr>
          <w:rFonts w:eastAsia="Amiri" w:cs="Amiri" w:ascii="Amiri" w:hAnsi="Amiri"/>
          <w:color w:val="111111"/>
          <w:sz w:val="28"/>
          <w:szCs w:val="28"/>
          <w:rtl w:val="true"/>
          <w:lang w:bidi="ar-SA"/>
        </w:rPr>
        <w:t>»</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وقع بين محذورين؛ فإما أن يأخذ بظاهر النصوص، ولازم ذلك القول بقول الشيعة والأخذ بمذهبهم، وبين توجيه سلوك الصحابة الذين أعرضوا عن جميع هذه النصوص، لذلك لجأ إلى أبي جعفر يحيى بن محمد أبي زيد، كي يخرجه من حيرته، وسوف نذكر تبريراته ضمن تبرير الفصل بين النصوص النبوية وتقسيمها إلى دينية ودنيوية، وسوف نقوم هناك بنقد هذه التبريرات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القاضي عبد الجبار المعتزلي من كبار علماء المعتزلة، وله مؤلفات قيمة،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المغني في أبواب التوحيد والعدل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الإمامة والإمام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قائلاً</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مذهبنا أن الإمام بعد النبي علي بن أبي طالب</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الآخر أن بعض المعتزلة يفضلون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الخليفة الأول، ولكنهم يذهبون إلى عدم اشتراط تقديم الأفضل على المفضول في الإمامة والخلافة، حيث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الصحابة أمير المؤمنين علي، ثم الحسن والحسين</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5658_147208"/>
      <w:bookmarkStart w:id="705" w:name="pg15658_147208"/>
      <w:bookmarkEnd w:id="705"/>
    </w:p>
    <w:p>
      <w:pPr>
        <w:pStyle w:val="Heading2"/>
        <w:numPr>
          <w:ilvl w:val="1"/>
          <w:numId w:val="1"/>
        </w:numPr>
        <w:rPr/>
      </w:pPr>
      <w:bookmarkStart w:id="706" w:name="pg15658_147208"/>
      <w:bookmarkStart w:id="707" w:name="__RefHeading___Toc11030721_2142443653"/>
      <w:bookmarkStart w:id="708" w:name="_Toc256"/>
      <w:bookmarkEnd w:id="706"/>
      <w:bookmarkEnd w:id="707"/>
      <w:r>
        <w:rPr>
          <w:rtl w:val="true"/>
        </w:rPr>
        <w:t>الفضيل الخامس</w:t>
      </w:r>
      <w:bookmarkEnd w:id="70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9" w:name="__RefHeading___Toc11030723_2142443653"/>
      <w:bookmarkStart w:id="710" w:name="_Toc257"/>
      <w:bookmarkEnd w:id="709"/>
      <w:r>
        <w:rPr>
          <w:rtl w:val="true"/>
        </w:rPr>
        <w:t>الشبهة في دلالة النصوص على إمامة علي</w:t>
      </w:r>
      <w:r>
        <w:rPr>
          <w:rtl w:val="true"/>
        </w:rPr>
        <w:t>(</w:t>
      </w:r>
      <w:r>
        <w:rPr>
          <w:rtl w:val="true"/>
        </w:rPr>
        <w:t>علیه السّلام</w:t>
      </w:r>
      <w:r>
        <w:rPr>
          <w:rtl w:val="true"/>
        </w:rPr>
        <w:t xml:space="preserve">)( </w:t>
      </w:r>
      <w:r>
        <w:rPr>
          <w:rtl w:val="true"/>
        </w:rPr>
        <w:t>تأويلات المخالفين</w:t>
      </w:r>
      <w:r>
        <w:rPr>
          <w:rtl w:val="true"/>
        </w:rPr>
        <w:t>)</w:t>
      </w:r>
      <w:bookmarkEnd w:id="710"/>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5658_147210"/>
      <w:bookmarkStart w:id="712" w:name="pg15658_147210"/>
      <w:bookmarkEnd w:id="712"/>
    </w:p>
    <w:p>
      <w:pPr>
        <w:pStyle w:val="BookText"/>
        <w:rPr/>
      </w:pPr>
      <w:bookmarkStart w:id="713" w:name="pg15658_147210"/>
      <w:bookmarkEnd w:id="713"/>
      <w:r>
        <w:rPr>
          <w:rFonts w:ascii="IRNazanin" w:hAnsi="IRNazanin" w:eastAsia="IRNazanin"/>
          <w:color w:val="111111"/>
          <w:sz w:val="28"/>
          <w:sz w:val="28"/>
          <w:szCs w:val="28"/>
          <w:rtl w:val="true"/>
          <w:lang w:bidi="fa-IR"/>
        </w:rPr>
        <w:t>ذكرنا في الفصول السابقة أن المخالفين لأصل النص والإمامة قد افترقوا إلى طائفتين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الأولى أنكرت أصل وجود النص على إمامة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الطائفة الثانية فهي تؤمن بوجود النصوص على الإمامة، وخاصة الأحاديث النبوية الظاهرة في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ولكنها تشكك في دلالتها، وتعمل على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الفصل نتناول تأويلات المنكرين للإمامة بالنقد والتحليل على النحو الآتي</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11030725_2142443653"/>
      <w:bookmarkStart w:id="715" w:name="_Toc258"/>
      <w:bookmarkEnd w:id="714"/>
      <w:r>
        <w:rPr>
          <w:rtl w:val="true"/>
        </w:rPr>
        <w:t>التأويل الأول</w:t>
      </w:r>
      <w:r>
        <w:rPr>
          <w:rtl w:val="true"/>
        </w:rPr>
        <w:t xml:space="preserve">: </w:t>
      </w:r>
      <w:r>
        <w:rPr>
          <w:rtl w:val="true"/>
        </w:rPr>
        <w:t>بيان الأولوية والأحقية</w:t>
      </w:r>
      <w:r>
        <w:rPr>
          <w:rtl w:val="true"/>
        </w:rPr>
        <w:t>:</w:t>
      </w:r>
      <w:bookmarkEnd w:id="715"/>
    </w:p>
    <w:p>
      <w:pPr>
        <w:pStyle w:val="Heading4"/>
        <w:numPr>
          <w:ilvl w:val="3"/>
          <w:numId w:val="1"/>
        </w:numPr>
        <w:rPr/>
      </w:pPr>
      <w:bookmarkStart w:id="716" w:name="__RefHeading___Toc11030727_2142443653"/>
      <w:bookmarkStart w:id="717" w:name="_Toc259"/>
      <w:bookmarkEnd w:id="716"/>
      <w:r>
        <w:rPr>
          <w:rtl w:val="true"/>
        </w:rPr>
        <w:t>اشارة</w:t>
      </w:r>
      <w:bookmarkEnd w:id="717"/>
    </w:p>
    <w:p>
      <w:pPr>
        <w:pStyle w:val="BookText"/>
        <w:rPr/>
      </w:pPr>
      <w:r>
        <w:rPr>
          <w:rFonts w:ascii="IRNazanin" w:hAnsi="IRNazanin" w:eastAsia="IRNazanin"/>
          <w:color w:val="111111"/>
          <w:sz w:val="28"/>
          <w:sz w:val="28"/>
          <w:szCs w:val="28"/>
          <w:rtl w:val="true"/>
          <w:lang w:bidi="fa-IR"/>
        </w:rPr>
        <w:t>إن المخالفين لأصل التنصيب حيث لم يتمكنوا من إنكار أو رفض الروايات الكثيرة المأثورة عن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إثبات إمامته بمختلف الألفاظ، عمدوا إلى تأويل هذه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بأن روايات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تعيين وانتخاب الخليفة والإمام بعده لم تكن أمراً دينياً ملزماً، وإنما هي بصدد بيان وتعريف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أفضل من غيره في التصدي لأمر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ليس هناك تنصيب فعلي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أمر الحكم والدولة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أبي الحديد رأي معتزلة بغداد على النحو الآتي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تصريح بمذهب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الأمر كذلك، بل هذا تصريح بمذهب أصحابنا من البغداديين؛ لأنهم يزعمون أنه الأفضل والأحق بالإمامة، وأنه لو لا ما يعلمه الله ورسوله من أن الأصلح للمكلفين من تقديم المفضول عليه، لكان من تقدم عليه هالكاً،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أن الإمامة حقه، وأنه أولى بها من الناس أجمعين، وأعلمه أن في تقديم غيره وصبره على التأخر عنها مصلحة للدين راجعة إلى المكلفين، وأنه يجب عليه أن يمسك عن طلبها، ويغضي عنها لمن هو دون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فامتثل ما أمره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يخرجه تقدم من تقدم عليه من كونه الأفضل والأولى والأحق</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شيخنا أبو القاسم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وصرح به تلامذته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في تعليقه على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وأصحابنا يحملون ذلك كله على ادعائه الأمر بالأفضلية والأحقية،وهو الحق والصواب؛ فإن حمله على الاستحقاق بالنص، تكفير أو تفسيق لوجوه المهاجرين والأنصار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718" w:name="pg15658_147212"/>
    </w:p>
    <w:p>
      <w:pPr>
        <w:pStyle w:val="BookText"/>
        <w:rPr/>
      </w:pPr>
      <w:bookmarkEnd w:id="718"/>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المذهب هو أعدل المذاهب عندي وبه أقول</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مال إلى هذا الرأي الذي صدع به المعتزلة بعض المعاصرين أيضاً</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تمسك أصحاب هذا الرأي لإثبات رأيهم بروايات مروية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5"/>
      </w:r>
      <w:r>
        <w:rPr>
          <w:rFonts w:ascii="Amiri" w:hAnsi="Amiri" w:eastAsia="Amiri" w:cs="Amiri"/>
          <w:color w:val="111111"/>
          <w:sz w:val="28"/>
          <w:sz w:val="28"/>
          <w:szCs w:val="28"/>
          <w:rtl w:val="true"/>
          <w:lang w:bidi="ar-SA"/>
        </w:rPr>
        <w:t>، أكد فيها على أحقيته بالحكم والخلافة، من قبيل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بها من غيري</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تحليل هذا التأويل يجدر التأمل في النقاط الآتية </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1030729_2142443653"/>
      <w:bookmarkStart w:id="720" w:name="_Toc260"/>
      <w:bookmarkEnd w:id="719"/>
      <w:r>
        <w:rPr>
          <w:rtl w:val="true"/>
        </w:rPr>
        <w:t xml:space="preserve">أ </w:t>
      </w:r>
      <w:r>
        <w:rPr>
          <w:rtl w:val="true"/>
        </w:rPr>
        <w:t xml:space="preserve">- </w:t>
      </w:r>
      <w:r>
        <w:rPr>
          <w:rtl w:val="true"/>
        </w:rPr>
        <w:t>الاجتهاد في مقابل النص</w:t>
      </w:r>
      <w:r>
        <w:rPr>
          <w:rtl w:val="true"/>
        </w:rPr>
        <w:t>:</w:t>
      </w:r>
      <w:bookmarkEnd w:id="720"/>
    </w:p>
    <w:p>
      <w:pPr>
        <w:pStyle w:val="BookText"/>
        <w:rPr/>
      </w:pPr>
      <w:r>
        <w:rPr>
          <w:rFonts w:ascii="IRNazanin" w:hAnsi="IRNazanin" w:eastAsia="IRNazanin"/>
          <w:color w:val="111111"/>
          <w:sz w:val="28"/>
          <w:sz w:val="28"/>
          <w:szCs w:val="28"/>
          <w:rtl w:val="true"/>
          <w:lang w:bidi="fa-IR"/>
        </w:rPr>
        <w:t xml:space="preserve">إن هذا التأويل هو المصداق الأبرز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 في مقابل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الروايات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مختلف ألفاظها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بل نص في جعل وإنشاء الإمامة والخلافة والحكم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ولكي نعيد تجسيدها إلى الأذهان نذكر نماذج أخرى منها، من قبيل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أوليائي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آمن 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إمام أمتي وخليفتي عليهم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إمامكم على</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إمام خلقي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إمام المسلمين، وأمير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لحجة الله على خلقه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رسول الله أن نسلّم على علي بأمير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أمرني أن أنصب لكم إماماً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لحجة الله على خلقه، وخليفته على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 لك علياً؛ فاتخذه خليفة ووصيّاً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خليفتي من بعدي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 بعدي</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bookmarkStart w:id="721" w:name="pg15658_147214"/>
    </w:p>
    <w:p>
      <w:pPr>
        <w:pStyle w:val="BookText"/>
        <w:rPr/>
      </w:pPr>
      <w:bookmarkEnd w:id="721"/>
      <w:r>
        <w:rPr>
          <w:rFonts w:ascii="IRNazanin" w:hAnsi="IRNazanin" w:eastAsia="IRNazanin"/>
          <w:color w:val="111111"/>
          <w:sz w:val="28"/>
          <w:sz w:val="28"/>
          <w:szCs w:val="28"/>
          <w:rtl w:val="true"/>
          <w:lang w:bidi="fa-IR"/>
        </w:rPr>
        <w:t>ونحن نطالب القارئ الكريم والمحقق الفاضل أن يلقى نظرة حيادية مجردة عن الحب والبغض والأحكام المسبقة ولو لمرة واحدة، وأن يقرأها بإنصاف وتجرد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والإنصاف أليست هذه النصوص في مقام جعل حكم الإمامة والخلافة وإنشائها ؟ هل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مجرد الإخبار، أو في مقام إنشاء منصب الإمامة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يشكل أمر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بصيغة آمرك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يقوله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إلى ذلك، دليلاً قاطعاً على مقام التنصيب والإنشاء؟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تأويل المخالفين اجتهاداً في مقابل النص</w:t>
      </w:r>
      <w:r>
        <w:rPr>
          <w:rFonts w:eastAsia="IRNazanin" w:cs="IRNazanin"/>
          <w:color w:val="111111"/>
          <w:sz w:val="28"/>
          <w:szCs w:val="28"/>
          <w:rtl w:val="true"/>
          <w:lang w:bidi="fa-IR"/>
        </w:rPr>
        <w:t>!</w:t>
      </w:r>
    </w:p>
    <w:p>
      <w:pPr>
        <w:pStyle w:val="Heading4"/>
        <w:numPr>
          <w:ilvl w:val="3"/>
          <w:numId w:val="1"/>
        </w:numPr>
        <w:rPr/>
      </w:pPr>
      <w:bookmarkStart w:id="722" w:name="__RefHeading___Toc11030731_2142443653"/>
      <w:bookmarkStart w:id="723" w:name="_Toc261"/>
      <w:bookmarkEnd w:id="722"/>
      <w:r>
        <w:rPr>
          <w:rtl w:val="true"/>
        </w:rPr>
        <w:t xml:space="preserve">ب </w:t>
      </w:r>
      <w:r>
        <w:rPr>
          <w:rtl w:val="true"/>
        </w:rPr>
        <w:t xml:space="preserve">- </w:t>
      </w:r>
      <w:r>
        <w:rPr>
          <w:rtl w:val="true"/>
        </w:rPr>
        <w:t>تعارض التأويلات مع سيرة الإمام علي</w:t>
      </w:r>
      <w:r>
        <w:rPr>
          <w:rtl w:val="true"/>
        </w:rPr>
        <w:t>(</w:t>
      </w:r>
      <w:r>
        <w:rPr>
          <w:rtl w:val="true"/>
        </w:rPr>
        <w:t>علیه السّلام</w:t>
      </w:r>
      <w:r>
        <w:rPr>
          <w:rtl w:val="true"/>
        </w:rPr>
        <w:t>):</w:t>
      </w:r>
      <w:bookmarkEnd w:id="723"/>
    </w:p>
    <w:p>
      <w:pPr>
        <w:pStyle w:val="BookText"/>
        <w:rPr/>
      </w:pPr>
      <w:r>
        <w:rPr>
          <w:rFonts w:ascii="IRNazanin" w:hAnsi="IRNazanin" w:eastAsia="IRNazanin"/>
          <w:color w:val="111111"/>
          <w:sz w:val="28"/>
          <w:sz w:val="28"/>
          <w:szCs w:val="28"/>
          <w:rtl w:val="true"/>
          <w:lang w:bidi="fa-IR"/>
        </w:rPr>
        <w:t>الإشكال الآخر الذي يرد على هذا النوع من التأويلات، أنها تتعارض مع المباني والسيرة النظرية والعملية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الاحتمال الضعيف القائل بأن الإمام من خلال التصريح بحقه بصدد إثبات أولويته وأفضليته فقط وأنه كان مؤمناً بفضل الآخرين ولكن بدرجة أقل من فضله، يخالف سيرته؛ لأن الإمام عمد مراراً وتكراراً إلى بيان عدم صلاحية الخليفة الأول، بشكل صريح تارة، وبالتلميح تارة أخرى، وفيما يأتي نشير إلى بعض هذه الموارد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النصرة من الأصحاب لاسترجاع حقه في تشكيل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أنه لم يكن هناك نص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الخلفاء الثلاثة الأوائل كانوا يتمتعون بالصلاحية الكافية لتولي الحكم، فما هو المبرّر والمسوّغ الذي أباح للإمام علي أن يخرج بالسيدة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ليلاً لطلب النصرة من أصحاب النبي وأصحابه أن يعينوه على </w:t>
      </w:r>
    </w:p>
    <w:p>
      <w:pPr>
        <w:pStyle w:val="BookText"/>
        <w:rPr/>
      </w:pPr>
      <w:r>
        <w:rPr>
          <w:rFonts w:ascii="Amiri" w:hAnsi="Amiri" w:eastAsia="Amiri" w:cs="Amiri"/>
          <w:color w:val="111111"/>
          <w:sz w:val="28"/>
          <w:sz w:val="28"/>
          <w:szCs w:val="28"/>
          <w:rtl w:val="true"/>
          <w:lang w:bidi="ar-SA"/>
        </w:rPr>
        <w:t>استعادة حقه المغتصب في الخلافة؟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وسوف نذكر تفصيل هذا الموقف من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معرض الإجابة عن شبهة عدم قيام الإمام بأي فعل للحصول على الحكم في الصفحات القادمة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الإمام بمنع حقه واغتصابه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ألقينا نظرة مقتضبة على</w:t>
      </w:r>
    </w:p>
    <w:p>
      <w:pPr>
        <w:pStyle w:val="BookText"/>
        <w:rPr/>
      </w:pPr>
      <w:r>
        <w:rPr>
          <w:rFonts w:ascii="IRNazanin" w:hAnsi="IRNazanin" w:eastAsia="IRNazanin"/>
          <w:color w:val="111111"/>
          <w:sz w:val="28"/>
          <w:sz w:val="28"/>
          <w:szCs w:val="28"/>
          <w:rtl w:val="true"/>
          <w:lang w:bidi="fa-IR"/>
        </w:rPr>
        <w:t>مقاطع من نهج البلاغة، سندرك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تحدث مراراً عن منع حقه المسلّم والثابت من قبل بعض الأشخاص المعلومين، وتارة يشكوهم إلى الله وتارة يصفهم بالظلم والاغتصاب، وهذه التصريحات لا تنسجم مع نظرية كونه مجرد أفضل أو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نشير إلى بعض هذه المقاطع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وفي الحلق شجى، أرى تراثي نهباً</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لو تولى الخلافة بدل الإمام حاكم على درجة من العدل والانصاف، والاتصاف بشروط الحاكم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الحدود الدنيا، دون العليا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كان هناك من موقع للشكوى وبث الهموم والآهات؟ أم أن المسألة أكبر وأبعد من ذلك بكثير؟ إن تعبير الإمام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أن الإمامكان يعني أن الأمر قد بلغ حد اغتصاب التركة التي أوصى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بالحكم والخلافة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قريشاً؛ فإنها منعتني حقي، وغصبتني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ربما شكك أحد في الفقرة السابقة، وعمد إلى 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فدك أو مسائل أخرى غير الخلافة، إلا أن هذا النص من الإمام يتحدث عن اغتصاب حق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صريح في الحكم والخلافة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فإنه لما قبض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أهله وورثته وعترته وأولياؤه دون الناس، لا ينازعنا سلطانه أحد، ولا يطمع في حقنا طامع، إذ انتزى لنا قومنا فغصبونا سلطان نبينا، فصارت الإمرة لغيرنا، وصرنا سوقة يطمع فينا الضعيف ويتعزّر علينا الذليل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مفردات هذا النص زاخرة بالمضامين السياسية على ما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غصبوني حقي، واغتصبوني سلطان ابن 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موضع آخر انتقد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الخلفاء الذين سبقوه، وحكم عليهم بالخروج عن سنة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الدين كان أسيراً في أيدي الأشرار، يُعمل فيه بالهوى، وتطلب به الدنيا</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زرعوا الفجور، وسقوه الغرور ، وحصدوا الثبور</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724" w:name="pg15658_147217"/>
    </w:p>
    <w:p>
      <w:pPr>
        <w:pStyle w:val="BookText"/>
        <w:rPr/>
      </w:pPr>
      <w:bookmarkEnd w:id="724"/>
      <w:r>
        <w:rPr>
          <w:rFonts w:ascii="IRNazanin" w:hAnsi="IRNazanin" w:eastAsia="IRNazanin"/>
          <w:color w:val="111111"/>
          <w:sz w:val="28"/>
          <w:sz w:val="28"/>
          <w:szCs w:val="28"/>
          <w:rtl w:val="true"/>
          <w:lang w:bidi="fa-IR"/>
        </w:rPr>
        <w:t>قال ابن أبي الحديد في وصف هذه الروايات وما كان على شاكلتها من المأثور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تبلغ حد التواتر، ولكنه لتعصبه للخلفاء السابقين، لا يجد مندوحة من تأويلها والتصرف في دلالتها على ما مر بيانه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 w:name="__RefHeading___Toc11030733_2142443653"/>
      <w:bookmarkStart w:id="726" w:name="_Toc262"/>
      <w:bookmarkEnd w:id="725"/>
      <w:r>
        <w:rPr>
          <w:rtl w:val="true"/>
        </w:rPr>
        <w:t xml:space="preserve">ج </w:t>
      </w:r>
      <w:r>
        <w:rPr>
          <w:rtl w:val="true"/>
        </w:rPr>
        <w:t xml:space="preserve">- </w:t>
      </w:r>
      <w:r>
        <w:rPr>
          <w:rtl w:val="true"/>
        </w:rPr>
        <w:t>تعارض التأويلات مع مواقف بعض الصحابة وسائر الأئمة</w:t>
      </w:r>
      <w:r>
        <w:rPr>
          <w:rtl w:val="true"/>
        </w:rPr>
        <w:t>:</w:t>
      </w:r>
      <w:bookmarkEnd w:id="726"/>
    </w:p>
    <w:p>
      <w:pPr>
        <w:pStyle w:val="BookText"/>
        <w:rPr/>
      </w:pPr>
      <w:r>
        <w:rPr>
          <w:rFonts w:ascii="IRNazanin" w:hAnsi="IRNazanin" w:eastAsia="IRNazanin"/>
          <w:color w:val="111111"/>
          <w:sz w:val="28"/>
          <w:sz w:val="28"/>
          <w:szCs w:val="28"/>
          <w:rtl w:val="true"/>
          <w:lang w:bidi="fa-IR"/>
        </w:rPr>
        <w:t xml:space="preserve">إن حمل نصوص الإمامة على الأحقية البحتة والصرفة، يُنافي فهم بعض كبار الصحابة ومواقفهم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والمقداد بن الأسود وعمار بن ياسر ومالك الأشتر النخعى وابن عباس، وكذلك مواقف سائر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إنهم كانوا يعتقدون بأصل تنصيب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وحقه الحصري في الإمامة ،والخلافة، وقد تقدم نقل كلماتهم في الفصل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الآخر على هذا الفهم من قبل الصحابة ما كان يقوم به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مناشدته للصحابة ومطالبتهم بالشهادة له بما سمعوه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 في مقام إثبات إمامته وحكومته الإلهية، وذلك حيث سمعوا نص التنصيب من لسان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 وقد عرفت هذه الظاهرة في تاريخ ولاية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له على أساس ذلك الكثير من الصحابة، حيث لم ينكروه، وإنما صدقوه وأيدوه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أكد 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وخاصة الإمام الحسن والإمام </w:t>
      </w:r>
      <w:bookmarkStart w:id="727" w:name="pg15658_147218"/>
    </w:p>
    <w:p>
      <w:pPr>
        <w:pStyle w:val="BookText"/>
        <w:rPr/>
      </w:pPr>
      <w:bookmarkEnd w:id="727"/>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اللذين يتمتعان بمنزلة عالية عند الشيعة وأهل السنة على السواء على أصل التنصيب، وما لحق بهم من الظلم في اغتصاب الخلافة منهم</w:t>
      </w:r>
      <w:r>
        <w:rPr>
          <w:rStyle w:val="FootnoteAnchor"/>
          <w:rtl w:val="true"/>
        </w:rPr>
        <w:footnoteReference w:id="8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تفصيل آراء بعض الصحابة بشأن أصل التنصيب في معرض نقد شبهة مبايعة مرشح السقيفة، ودعم الناس والأنصار للخليفة الأول في الفصل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اعتراف المبررين والمتأولين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يسعى ابن أبي الحديد المعتزلي في معالجته لجميع نصوص الإمام إلى تأويلها وتكلّف حملها على غير ظاهرها لمختلف الذرائع والحجج، رغم اعترافه المتكرر بأن ظاهرها يدل على ما يذهب إليه الشيعة من القول بأصل الإمامة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قاله في تأويل وتبرير 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اختصاص الإمامة والخلافة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الإمامية والزيدية حملوا هذه الأقوال على ظواهرها، وارتكبوا بها مركباً صعباً، ولعمري إن هذه الألفاظ موهمة مغلبة على الظن ما يقوله القوم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1030735_2142443653"/>
      <w:bookmarkStart w:id="729" w:name="_Toc263"/>
      <w:bookmarkEnd w:id="728"/>
      <w:r>
        <w:rPr>
          <w:rtl w:val="true"/>
        </w:rPr>
        <w:t xml:space="preserve">د </w:t>
      </w:r>
      <w:r>
        <w:rPr>
          <w:rtl w:val="true"/>
        </w:rPr>
        <w:t xml:space="preserve">- </w:t>
      </w:r>
      <w:r>
        <w:rPr>
          <w:rtl w:val="true"/>
        </w:rPr>
        <w:t>حيرة المتأولين ما بين الإمام علي</w:t>
      </w:r>
      <w:r>
        <w:rPr>
          <w:rtl w:val="true"/>
        </w:rPr>
        <w:t>(</w:t>
      </w:r>
      <w:r>
        <w:rPr>
          <w:rtl w:val="true"/>
        </w:rPr>
        <w:t>علیه السّلام</w:t>
      </w:r>
      <w:r>
        <w:rPr>
          <w:rtl w:val="true"/>
        </w:rPr>
        <w:t>)</w:t>
      </w:r>
      <w:r>
        <w:rPr>
          <w:rtl w:val="true"/>
        </w:rPr>
        <w:t>وبعض الصحابة</w:t>
      </w:r>
      <w:r>
        <w:rPr>
          <w:rtl w:val="true"/>
        </w:rPr>
        <w:t>:</w:t>
      </w:r>
      <w:bookmarkEnd w:id="72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وقع القائلون بفضائل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وكمالاته من أهل السنة بين محذورين، إذ تحتم عليهم من 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لعلمهم بفضائل الإمام علي الثابتة التي لا سبيل إلى إنكارها ومكانته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يؤمنوا بشخصيته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حجيته وقوله، ومن جهة أخرى فإنهم حيث يذهبون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نظرية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عدالة جميع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سلوك الصحابة مطابقاً للكتاب والسنة</w:t>
      </w:r>
      <w:r>
        <w:rPr>
          <w:rStyle w:val="FootnoteAnchor"/>
          <w:rtl w:val="true"/>
        </w:rPr>
        <w:footnoteReference w:id="8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فيقفون بين هاتين الرؤيتين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بشخصية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وقامته العملاقة وبين عدالة الصحابة جميعهم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مفترق طريقين، وخاصة عندما يقفون أمام التصريح الواضح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وحديثه عن اغتصاب الآخرين لحقه وتراثه الثابت له بوصيّة من رسول الله في الخلافة، وشكواه من الظلم والجور الذي لحقه في هذا الشأن خاصة من الخليفة الأول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سعى إخواننا من أهل السنة للخروج من هذا المأزق بحمل كلام الإمام علي على خلاف ظاهره، وهناك من عمد إلى تفضيل بعض الصحابة عليه، وهذا المنهج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يخالف مبنى بعض المعتزلة الذين يرون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الصحابة؛ إذ وجدوا أن الذهاب إلى هذا الرأي سيضطرهم إلى الوقوف مع الإمام وتخطئة ما قام به بعض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التبرير الذي يذكره هذا البعض من أهل السنة يؤدي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التدقيق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تخطئة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0" w:name="pg15658_147220"/>
    </w:p>
    <w:p>
      <w:pPr>
        <w:pStyle w:val="BookText"/>
        <w:rPr/>
      </w:pPr>
      <w:bookmarkEnd w:id="730"/>
      <w:r>
        <w:rPr>
          <w:rFonts w:ascii="IRNazanin" w:hAnsi="IRNazanin" w:eastAsia="IRNazanin"/>
          <w:color w:val="111111"/>
          <w:sz w:val="28"/>
          <w:sz w:val="28"/>
          <w:szCs w:val="28"/>
          <w:rtl w:val="true"/>
          <w:lang w:bidi="fa-IR"/>
        </w:rPr>
        <w:t>والعياذ بالله ؛ إذ عندما يتحدث الإمام عن الظلم الذي لحق به واغتصاب حقه الثاب والحصرى، يكون لازم ما ذهب إليه أهل السنة أن يكون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كاذباً في ما يدعيه والعياذ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حين أن عصمة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ومقامه الخاص ومنزلته الرفيعة ثابتة بالروايات المستفيضة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تقدم بيانها والتأكيد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ابن أبي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يُعدُّ من بين المبررين والذين يختلقون الذرائع لتوجيه عمل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المعترفين بعصمة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واللازم الآخر الذي يترتب على موقف أهل السنة في التبرير المتقدم هو أن الصحابة الذين وقفوا إلى جانب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والأهم من ذلك سيدي شباب أهل الجنة، أي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منحرفون عن طريق الحق وجادة الصواب والعياذ بالله </w:t>
      </w:r>
      <w:r>
        <w:rPr>
          <w:rFonts w:eastAsia="IRNazanin" w:cs="IRNazanin"/>
          <w:color w:val="111111"/>
          <w:sz w:val="28"/>
          <w:szCs w:val="28"/>
          <w:rtl w:val="true"/>
          <w:lang w:bidi="fa-IR"/>
        </w:rPr>
        <w:t>.</w:t>
      </w:r>
    </w:p>
    <w:p>
      <w:pPr>
        <w:pStyle w:val="Heading4"/>
        <w:numPr>
          <w:ilvl w:val="3"/>
          <w:numId w:val="1"/>
        </w:numPr>
        <w:rPr/>
      </w:pPr>
      <w:bookmarkStart w:id="731" w:name="__RefHeading___Toc11030737_2142443653"/>
      <w:bookmarkStart w:id="732" w:name="_Toc264"/>
      <w:bookmarkEnd w:id="731"/>
      <w:r>
        <w:rPr>
          <w:rtl w:val="true"/>
        </w:rPr>
        <w:t xml:space="preserve">هـ </w:t>
      </w:r>
      <w:r>
        <w:rPr>
          <w:rtl w:val="true"/>
        </w:rPr>
        <w:t xml:space="preserve">- </w:t>
      </w:r>
      <w:r>
        <w:rPr>
          <w:rtl w:val="true"/>
        </w:rPr>
        <w:t>وجوب اتباع الحق دون الأشخاص</w:t>
      </w:r>
      <w:r>
        <w:rPr>
          <w:rtl w:val="true"/>
        </w:rPr>
        <w:t>:</w:t>
      </w:r>
      <w:bookmarkEnd w:id="73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لازم البحث الاستدلالي هو اتباع جوهر الحقيقة حيثما وجدت وكانت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علينا أن نتبع الدليل والحقيقة، من دون الالتفات إلى من يمتلكها، وقد قيل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إلى ما قال، ولا تنظر إلى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أبناء الدليل، حيثما مال نميل</w:t>
      </w:r>
      <w:r>
        <w:rPr>
          <w:rFonts w:eastAsia="Amiri" w:cs="Amiri" w:ascii="Amiri" w:hAnsi="Amiri"/>
          <w:color w:val="111111"/>
          <w:sz w:val="28"/>
          <w:szCs w:val="28"/>
          <w:rtl w:val="true"/>
          <w:lang w:bidi="ar-SA"/>
        </w:rPr>
        <w:t xml:space="preserve">». </w:t>
      </w:r>
      <w:bookmarkStart w:id="733" w:name="pg15658_147221"/>
    </w:p>
    <w:p>
      <w:pPr>
        <w:pStyle w:val="BookText"/>
        <w:rPr/>
      </w:pPr>
      <w:bookmarkEnd w:id="733"/>
      <w:r>
        <w:rPr>
          <w:rFonts w:ascii="IRNazanin" w:hAnsi="IRNazanin" w:eastAsia="IRNazanin"/>
          <w:color w:val="111111"/>
          <w:sz w:val="28"/>
          <w:sz w:val="28"/>
          <w:szCs w:val="28"/>
          <w:rtl w:val="true"/>
          <w:lang w:bidi="fa-IR"/>
        </w:rPr>
        <w:t>وعلى هذا الأساس فإننا إذا كنا نؤمن حقيقة بشخصية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ونعتبر كلماته صادقة وأنها تمثل عين الواقع والحقيقة، فما ذلك إلا لدلالة النصوص النبوية والعلوية على حصر أمر الخلافة والحكومة عليه، وعليه ليس أمامنا غير اتباع هذه الأدلة والحقائق حتى إذا سار كل من في هذا العالم على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السنة فقد تنكبوا جادة الصواب وتنكروا لهذا الحكم العقلي،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وجدوا أن هذه الأدلة والنصوص المتواترة تمس بعض الأشخاص، سارعوا إلى الانحياز إلى جانب الأشخاص على حساب الدليل والحقيقة</w:t>
      </w:r>
      <w:r>
        <w:rPr>
          <w:rFonts w:eastAsia="IRNazanin" w:cs="IRNazanin"/>
          <w:color w:val="111111"/>
          <w:sz w:val="28"/>
          <w:szCs w:val="28"/>
          <w:rtl w:val="true"/>
          <w:lang w:bidi="fa-IR"/>
        </w:rPr>
        <w:t>!</w:t>
      </w:r>
    </w:p>
    <w:p>
      <w:pPr>
        <w:pStyle w:val="Heading4"/>
        <w:numPr>
          <w:ilvl w:val="3"/>
          <w:numId w:val="1"/>
        </w:numPr>
        <w:rPr/>
      </w:pPr>
      <w:bookmarkStart w:id="734" w:name="__RefHeading___Toc11030739_2142443653"/>
      <w:bookmarkStart w:id="735" w:name="_Toc265"/>
      <w:bookmarkEnd w:id="734"/>
      <w:r>
        <w:rPr>
          <w:rtl w:val="true"/>
        </w:rPr>
        <w:t xml:space="preserve">و </w:t>
      </w:r>
      <w:r>
        <w:rPr>
          <w:rtl w:val="true"/>
        </w:rPr>
        <w:t xml:space="preserve">- </w:t>
      </w:r>
      <w:r>
        <w:rPr>
          <w:rtl w:val="true"/>
        </w:rPr>
        <w:t>عدم دلالة شيء على نفى ما عداه</w:t>
      </w:r>
      <w:r>
        <w:rPr>
          <w:rtl w:val="true"/>
        </w:rPr>
        <w:t>:</w:t>
      </w:r>
      <w:bookmarkEnd w:id="73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الأدلة التي تمسك بها أنصار هذا التبرير والتأويل كانت هي الأحاديث المأثورة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وصف فيها نفسه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بمنصب الخلافة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الاستدلال على هذا التبرير في غاية الضعف؛ إذ بناء على الأصل العقلي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إثبات شيء لا ينفي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لا يمكن أن يستنتج من أحقية الإمام علي بمنصب الخلافة نفي أصل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يستدل لإثبات إمامته في مختلف المقامات وبحسب المقتضيات والظروف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بين أساليبه إثبات أحقيته لأولئك الذين كانوا يسعون إلى إضعاف موقعه ومكانته ومنزلته بمختلف الذرائع والحجج ،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سنه، أو قلة تجربته بالمقارنة إلى الخليفة الأول، وقد استند الإمام في مواطن أخرى بأصل التنصيب، وخاصة بحديث الغدير، وحديث المنزلة، وحديث الخلافة، وحديث 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يجب في تحليل 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الإمامة أخذ جميع الأبعاد والأحاديث </w:t>
      </w:r>
      <w:bookmarkStart w:id="736" w:name="pg15658_147222"/>
    </w:p>
    <w:p>
      <w:pPr>
        <w:pStyle w:val="BookText"/>
        <w:rPr/>
      </w:pPr>
      <w:bookmarkEnd w:id="736"/>
      <w:r>
        <w:rPr>
          <w:rFonts w:ascii="Amiri" w:hAnsi="Amiri" w:eastAsia="Amiri" w:cs="Amiri"/>
          <w:color w:val="111111"/>
          <w:sz w:val="28"/>
          <w:sz w:val="28"/>
          <w:szCs w:val="28"/>
          <w:rtl w:val="true"/>
          <w:lang w:bidi="ar-SA"/>
        </w:rPr>
        <w:t>المروية عنه، وعدم التركيز على حديث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وتجاهل أو إنكار سائر الأحاديث الأخرى</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11030741_2142443653"/>
      <w:bookmarkStart w:id="738" w:name="_Toc266"/>
      <w:bookmarkEnd w:id="737"/>
      <w:r>
        <w:rPr>
          <w:rtl w:val="true"/>
        </w:rPr>
        <w:t>التأويل الثاني</w:t>
      </w:r>
      <w:r>
        <w:rPr>
          <w:rtl w:val="true"/>
        </w:rPr>
        <w:t xml:space="preserve">: </w:t>
      </w:r>
      <w:r>
        <w:rPr>
          <w:rtl w:val="true"/>
        </w:rPr>
        <w:t>الحمل على الترشيح</w:t>
      </w:r>
      <w:r>
        <w:rPr>
          <w:rtl w:val="true"/>
        </w:rPr>
        <w:t>:</w:t>
      </w:r>
      <w:bookmarkEnd w:id="738"/>
    </w:p>
    <w:p>
      <w:pPr>
        <w:pStyle w:val="Heading4"/>
        <w:numPr>
          <w:ilvl w:val="3"/>
          <w:numId w:val="1"/>
        </w:numPr>
        <w:rPr/>
      </w:pPr>
      <w:bookmarkStart w:id="739" w:name="__RefHeading___Toc11030743_2142443653"/>
      <w:bookmarkStart w:id="740" w:name="_Toc267"/>
      <w:bookmarkEnd w:id="739"/>
      <w:r>
        <w:rPr>
          <w:rtl w:val="true"/>
        </w:rPr>
        <w:t>اشارة</w:t>
      </w:r>
      <w:bookmarkEnd w:id="740"/>
    </w:p>
    <w:p>
      <w:pPr>
        <w:pStyle w:val="BookText"/>
        <w:rPr/>
      </w:pPr>
      <w:r>
        <w:rPr>
          <w:rFonts w:ascii="IRNazanin" w:hAnsi="IRNazanin" w:eastAsia="IRNazanin"/>
          <w:color w:val="111111"/>
          <w:sz w:val="28"/>
          <w:sz w:val="28"/>
          <w:szCs w:val="28"/>
          <w:rtl w:val="true"/>
          <w:lang w:bidi="fa-IR"/>
        </w:rPr>
        <w:t>وهناك من يذهب إلى الاعتقاد بأن الروايات النبوية الدالة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بل صريحة في حكومته وإمامته، إلا أن هذا الظهور لا يبلغ حد الجعل والإنشاء بوصفه حاكماً ودستوراً دينياً وشرعياً، بل هو مجرد إرشاد واقتراح على الأمة الإسلامية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موضع اهتمام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وحاكماً، مع احتفاظ الأمة بحقها في حرية الاختيار والانتخاب، وإن اتباع اختيار النبي وإن كان فعلاً مرضيا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عدم اتباعه لا يبلغ حدود المعصية والخروج على طاعته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التعريف بالمرشح المدعوم من قبله والمفضل عنده، عمد إلى تقديم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الناس مراراً، كما عليه العُرف السائد حالياً بين الأحزاب والشخصيات السياسية والدينية والاجتماعية عندما تقدم مرشحيها إلى الناس بغية انتخابهم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والجدير بالذكر هو أن اختلاف هذه الرؤية عن الرؤية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على الأحقية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يكمن فى أن الرؤية السابقة كانت ترى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الأفضل والأولى من جمیع الصحابة، وفي الوقت نفسه تذعن بصلاحية الخلفاء السابقين ولو بشكل سطحي، وأما هذه الرؤية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 تستوعب صلاحية الخلفاء السابقين، ولكنها في الوقت نفسه تنكر أصل التنصيب بمعنى الإلزام الشرعي، بل تحمل جميع النصوص الواردة في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تقدم أن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الترشيح لا أكثر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الآخر أن القائلين بنظرية الترشيح قد يذعنون بأصل التنصيب في مقام الهداية والمرجعية العلمية والدينية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ولكنهم ينكرون التنصيب بمعنى الحكم وقيادة الدولة، وغاية ما هنالك يسلّمون بوجود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ويحملون ذلك على مجرد الترشيح، كما نجد ميلا إلى ذلك مؤخراً عند بعض العلمانيين من الشيعة</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يُنكرون أصل الحكومة الشرعية والإلهية فضلاً عن الحكومة الشرعية للنبي أو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الدكتور علي شريعتي هذا الرأي إلى بعض المستنيرين من المسلمين، وأضاف أنه كان على هذا الرأي ردحاً من الزمن حتى عدل عنه فيما بعد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التدبر والتأمل في آراء بعض القدماء من أهل السنة يمكن استظهار هذا الرأي من ظاهر عباراتهم، كما نجد ذلك من ابن أبي الحديد المعتزلي حيث قال بعد إنكاره النص الصريح والقطعي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قد سبق إلى النفوس والعقول أنه قد كان هناك تعريض وتلويح وكناية وقول غير صريح وحكم غير مبتوت، ولعله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يصده عن التصريح بذلك أمر يعلمه ومصلحة يراعيها أو وقوف مع إذن الله تعالى في ذلك</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741" w:name="pg15658_147224"/>
    </w:p>
    <w:p>
      <w:pPr>
        <w:pStyle w:val="BookText"/>
        <w:rPr/>
      </w:pPr>
      <w:bookmarkEnd w:id="741"/>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أكثر الانتقادات الواردة على القول بمجرد الأفضلية، واردة على هذه الرؤية أيضاً، وعليه سنشير إلى هذا الانتقادات إشارة عابرة ضمن العناوين الآتية</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030745_2142443653"/>
      <w:bookmarkStart w:id="743" w:name="_Toc268"/>
      <w:bookmarkEnd w:id="742"/>
      <w:r>
        <w:rPr>
          <w:rtl w:val="true"/>
        </w:rPr>
        <w:t xml:space="preserve">أ </w:t>
      </w:r>
      <w:r>
        <w:rPr>
          <w:rtl w:val="true"/>
        </w:rPr>
        <w:t xml:space="preserve">- </w:t>
      </w:r>
      <w:r>
        <w:rPr>
          <w:rtl w:val="true"/>
        </w:rPr>
        <w:t>الأصالة التأسيسية والاحترازية في عملية التقنين</w:t>
      </w:r>
      <w:r>
        <w:rPr>
          <w:rtl w:val="true"/>
        </w:rPr>
        <w:t>:</w:t>
      </w:r>
      <w:bookmarkEnd w:id="743"/>
    </w:p>
    <w:p>
      <w:pPr>
        <w:pStyle w:val="BookText"/>
        <w:rPr/>
      </w:pPr>
      <w:r>
        <w:rPr>
          <w:rFonts w:ascii="Amiri" w:hAnsi="Amiri" w:eastAsia="Amiri" w:cs="Amiri"/>
          <w:color w:val="111111"/>
          <w:sz w:val="28"/>
          <w:sz w:val="28"/>
          <w:szCs w:val="28"/>
          <w:rtl w:val="true"/>
          <w:lang w:bidi="ar-SA"/>
        </w:rPr>
        <w:t>إن القوانين والمواد الدستورية التي تتم المصادقة عليها في السلطة التشريعية أو الجهة المشرعة، تتمتع بأصالة في التأسيس والإنشاء والإلزام، وليس لأحد أن يعارض القانون أو يخالفه بحجة عدم كونه ملزماً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الآخر هو أن القرارات والأحكام الإلزامية في إطار القوانين والتشريعات يستعمل غالباً على صيغة الجملة الخبرية، ودلالة هذه الصيغة على الوجوب والإلزام واضحة عند خبراء الحقوق وضوح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أكثر أحكام القرآن الكريم والسنة الشريفة جاءت في إطار الجمل الخبرية التي يصفها الأصوليون بأنها في مقام الوجوب</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حكم عدة المرأة في 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يَتَرَبَّصْنَ بِأَنفُسِهِنَّ ثَلَاثَةَ المطلقة قُرُوع</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والمبنى العرفي والحقوقي يمثل أصل التشريع وجعل الحكم الجديد، وهو أمر يستتبع كونه واجباً وملزماً</w:t>
      </w:r>
      <w:r>
        <w:rPr>
          <w:rFonts w:eastAsia="Amiri" w:cs="Amiri" w:ascii="Amiri" w:hAnsi="Amiri"/>
          <w:color w:val="111111"/>
          <w:sz w:val="28"/>
          <w:szCs w:val="28"/>
          <w:rtl w:val="true"/>
          <w:lang w:bidi="ar-SA"/>
        </w:rPr>
        <w:t xml:space="preserve">. </w:t>
      </w:r>
      <w:bookmarkStart w:id="744" w:name="pg15658_147225"/>
    </w:p>
    <w:p>
      <w:pPr>
        <w:pStyle w:val="Heading4"/>
        <w:numPr>
          <w:ilvl w:val="3"/>
          <w:numId w:val="1"/>
        </w:numPr>
        <w:rPr/>
      </w:pPr>
      <w:bookmarkStart w:id="745" w:name="__RefHeading___Toc11030747_2142443653"/>
      <w:bookmarkStart w:id="746" w:name="_Toc269"/>
      <w:bookmarkEnd w:id="744"/>
      <w:bookmarkEnd w:id="745"/>
      <w:r>
        <w:rPr>
          <w:rtl w:val="true"/>
        </w:rPr>
        <w:t xml:space="preserve">ب </w:t>
      </w:r>
      <w:r>
        <w:rPr>
          <w:rtl w:val="true"/>
        </w:rPr>
        <w:t xml:space="preserve">- </w:t>
      </w:r>
      <w:r>
        <w:rPr>
          <w:rtl w:val="true"/>
        </w:rPr>
        <w:t>ظهور الروايات في الجعل والإنشاء بل نصها</w:t>
      </w:r>
      <w:r>
        <w:rPr>
          <w:rtl w:val="true"/>
        </w:rPr>
        <w:t>:</w:t>
      </w:r>
      <w:bookmarkEnd w:id="746"/>
    </w:p>
    <w:p>
      <w:pPr>
        <w:pStyle w:val="BookText"/>
        <w:rPr/>
      </w:pPr>
      <w:r>
        <w:rPr>
          <w:rFonts w:ascii="IRNazanin" w:hAnsi="IRNazanin" w:eastAsia="IRNazanin"/>
          <w:color w:val="111111"/>
          <w:sz w:val="28"/>
          <w:sz w:val="28"/>
          <w:szCs w:val="28"/>
          <w:rtl w:val="true"/>
          <w:lang w:bidi="fa-IR"/>
        </w:rPr>
        <w:t>إن إعادة النظر في روايات الإمامة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أن ظهورها بل نصها في جعل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وإنشائها من قبل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منا إيضاح هذا الدليل</w:t>
      </w:r>
      <w:r>
        <w:rPr>
          <w:rFonts w:eastAsia="IRNazanin" w:cs="IRNazanin"/>
          <w:color w:val="111111"/>
          <w:sz w:val="28"/>
          <w:szCs w:val="28"/>
          <w:rtl w:val="true"/>
          <w:lang w:bidi="fa-IR"/>
        </w:rPr>
        <w:t>.</w:t>
      </w:r>
    </w:p>
    <w:p>
      <w:pPr>
        <w:pStyle w:val="Heading4"/>
        <w:numPr>
          <w:ilvl w:val="3"/>
          <w:numId w:val="1"/>
        </w:numPr>
        <w:rPr/>
      </w:pPr>
      <w:bookmarkStart w:id="747" w:name="__RefHeading___Toc11030749_2142443653"/>
      <w:bookmarkStart w:id="748" w:name="_Toc270"/>
      <w:bookmarkEnd w:id="747"/>
      <w:r>
        <w:rPr>
          <w:rtl w:val="true"/>
        </w:rPr>
        <w:t xml:space="preserve">ج </w:t>
      </w:r>
      <w:r>
        <w:rPr>
          <w:rtl w:val="true"/>
        </w:rPr>
        <w:t xml:space="preserve">- </w:t>
      </w:r>
      <w:r>
        <w:rPr>
          <w:rtl w:val="true"/>
        </w:rPr>
        <w:t>التعارض مع سيرة الإمام</w:t>
      </w:r>
      <w:r>
        <w:rPr>
          <w:rtl w:val="true"/>
        </w:rPr>
        <w:t>(</w:t>
      </w:r>
      <w:r>
        <w:rPr>
          <w:rtl w:val="true"/>
        </w:rPr>
        <w:t>علیه السّلام</w:t>
      </w:r>
      <w:r>
        <w:rPr>
          <w:rtl w:val="true"/>
        </w:rPr>
        <w:t>):</w:t>
      </w:r>
      <w:bookmarkEnd w:id="748"/>
    </w:p>
    <w:p>
      <w:pPr>
        <w:pStyle w:val="BookText"/>
        <w:rPr/>
      </w:pPr>
      <w:r>
        <w:rPr>
          <w:rFonts w:ascii="IRNazanin" w:hAnsi="IRNazanin" w:eastAsia="IRNazanin"/>
          <w:color w:val="111111"/>
          <w:sz w:val="28"/>
          <w:sz w:val="28"/>
          <w:szCs w:val="28"/>
          <w:rtl w:val="true"/>
          <w:lang w:bidi="fa-IR"/>
        </w:rPr>
        <w:t>إنّ خُطب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وكلماته ظاهرة بل نص في أن الخلفاء السابقين قد اغتصبوا حقه وظلموه، إلا أن هذا الموقف من الإمام على تجاه الخلفاء السابقين لا ينسجم مع نظرية الترشيح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ترشيح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على بوصفه مرشحاً وأنه أفضل من يقود المسلمين، لا يكون هناك في انتخاب الخلفاء الثلاثة الأوائل أي ظلم أو جور أو اغتصاب لحق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 إن لازم القول بالترشيح، تخطئة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ادعاء المظلومية والعياذ بالله</w:t>
      </w:r>
      <w:r>
        <w:rPr>
          <w:rFonts w:eastAsia="IRNazanin" w:cs="IRNazanin"/>
          <w:color w:val="111111"/>
          <w:sz w:val="28"/>
          <w:szCs w:val="28"/>
          <w:rtl w:val="true"/>
          <w:lang w:bidi="fa-IR"/>
        </w:rPr>
        <w:t>.</w:t>
      </w:r>
    </w:p>
    <w:p>
      <w:pPr>
        <w:pStyle w:val="Heading4"/>
        <w:numPr>
          <w:ilvl w:val="3"/>
          <w:numId w:val="1"/>
        </w:numPr>
        <w:rPr/>
      </w:pPr>
      <w:bookmarkStart w:id="749" w:name="__RefHeading___Toc11030751_2142443653"/>
      <w:bookmarkStart w:id="750" w:name="_Toc271"/>
      <w:bookmarkEnd w:id="749"/>
      <w:r>
        <w:rPr>
          <w:rtl w:val="true"/>
        </w:rPr>
        <w:t xml:space="preserve">د </w:t>
      </w:r>
      <w:r>
        <w:rPr>
          <w:rtl w:val="true"/>
        </w:rPr>
        <w:t xml:space="preserve">- </w:t>
      </w:r>
      <w:r>
        <w:rPr>
          <w:rtl w:val="true"/>
        </w:rPr>
        <w:t>التفسير العلماني للإمامة</w:t>
      </w:r>
      <w:r>
        <w:rPr>
          <w:rtl w:val="true"/>
        </w:rPr>
        <w:t>:</w:t>
      </w:r>
      <w:bookmarkEnd w:id="750"/>
    </w:p>
    <w:p>
      <w:pPr>
        <w:pStyle w:val="BookText"/>
        <w:rPr/>
      </w:pPr>
      <w:r>
        <w:rPr>
          <w:rFonts w:ascii="Amiri" w:hAnsi="Amiri" w:eastAsia="Amiri" w:cs="Amiri"/>
          <w:color w:val="111111"/>
          <w:sz w:val="28"/>
          <w:sz w:val="28"/>
          <w:szCs w:val="28"/>
          <w:rtl w:val="true"/>
          <w:lang w:bidi="ar-SA"/>
        </w:rPr>
        <w:t>إن الاتجاه الآنف نحو الإمامة هو اتجاه علماني، ويتمثل ضعف هذا الاتجاه في تقطيع أوصال شأن الإمامة ومنزلتها، وقد أوضحنا في الفصل السابق عند تعريفنا للإمامة أن الإمامة في لغة القرآن الكريم والسنة الشريفة لها معنى جامع يشمل الرئاسة الدنيوية والدينية أيضاً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على الشبهة السابقة من أمور وانتقادات يجري على هذه الشبهة أيضاً، ولذلك فإنا نكتفى هنا بإحالة القارئ الكريم عليها</w:t>
      </w:r>
      <w:r>
        <w:rPr>
          <w:rFonts w:eastAsia="Amiri" w:cs="Amiri" w:ascii="Amiri" w:hAnsi="Amiri"/>
          <w:color w:val="111111"/>
          <w:sz w:val="28"/>
          <w:szCs w:val="28"/>
          <w:rtl w:val="true"/>
          <w:lang w:bidi="ar-SA"/>
        </w:rPr>
        <w:t xml:space="preserve">. </w:t>
      </w:r>
      <w:bookmarkStart w:id="751" w:name="pg15658_147226"/>
    </w:p>
    <w:p>
      <w:pPr>
        <w:pStyle w:val="Heading3"/>
        <w:numPr>
          <w:ilvl w:val="2"/>
          <w:numId w:val="1"/>
        </w:numPr>
        <w:rPr/>
      </w:pPr>
      <w:bookmarkStart w:id="752" w:name="__RefHeading___Toc11030753_2142443653"/>
      <w:bookmarkStart w:id="753" w:name="_Toc272"/>
      <w:bookmarkEnd w:id="751"/>
      <w:bookmarkEnd w:id="752"/>
      <w:r>
        <w:rPr>
          <w:rtl w:val="true"/>
        </w:rPr>
        <w:t>التبرير الثالث</w:t>
      </w:r>
      <w:r>
        <w:rPr>
          <w:rtl w:val="true"/>
        </w:rPr>
        <w:t xml:space="preserve">: </w:t>
      </w:r>
      <w:r>
        <w:rPr>
          <w:rtl w:val="true"/>
        </w:rPr>
        <w:t>اختصاص الإمامة بالهداية والمرجعية العلمية والدينية</w:t>
      </w:r>
      <w:r>
        <w:rPr>
          <w:rtl w:val="true"/>
        </w:rPr>
        <w:t>:</w:t>
      </w:r>
      <w:bookmarkEnd w:id="753"/>
    </w:p>
    <w:p>
      <w:pPr>
        <w:pStyle w:val="Heading4"/>
        <w:numPr>
          <w:ilvl w:val="3"/>
          <w:numId w:val="1"/>
        </w:numPr>
        <w:rPr/>
      </w:pPr>
      <w:bookmarkStart w:id="754" w:name="__RefHeading___Toc11030755_2142443653"/>
      <w:bookmarkStart w:id="755" w:name="_Toc273"/>
      <w:bookmarkEnd w:id="754"/>
      <w:r>
        <w:rPr>
          <w:rtl w:val="true"/>
        </w:rPr>
        <w:t>اشارة</w:t>
      </w:r>
      <w:bookmarkEnd w:id="755"/>
    </w:p>
    <w:p>
      <w:pPr>
        <w:pStyle w:val="BookText"/>
        <w:rPr/>
      </w:pPr>
      <w:r>
        <w:rPr>
          <w:rFonts w:ascii="IRNazanin" w:hAnsi="IRNazanin" w:eastAsia="IRNazanin"/>
          <w:color w:val="111111"/>
          <w:sz w:val="28"/>
          <w:sz w:val="28"/>
          <w:szCs w:val="28"/>
          <w:rtl w:val="true"/>
          <w:lang w:bidi="fa-IR"/>
        </w:rPr>
        <w:t>هناك من يذهب إلى الاعتقاد بأن ماهية الإمامة تقوم على عنصر الهداية في الإمام، وبعبارة أخرى تقوم الإمامة على القيادة والمرجعية الدينية، من هنا فإن الروايات الواردة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على المسلمين، تقتصر في دلالتها على الهداية فقط، وليست ناظرة إلى أمر الحكم والخلافة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واجه الناس مشكلة في أمر الهداية وتفسير التعاليم الدينية، فإن مرجعهم الشرعي الوحيد في تفسير الدين 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تفسير الحديث النبوي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إمامكم علي بن أبي طالب فناصحوه وصدقوه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هذا نص صريح في الإمامة فما الذي تصنع المعتزلة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يجوز أن يريد أنه إمامهم في الفتاوي والأحكام الشرعية لا في الخلافة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ثلاثة تقريرات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تقديم ثلاثة تقريرات وقراءات عن هذه الشبهة نذكرها على النحو الآتي</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1030757_2142443653"/>
      <w:bookmarkStart w:id="757" w:name="_Toc274"/>
      <w:bookmarkEnd w:id="756"/>
      <w:r>
        <w:rPr>
          <w:rtl w:val="true"/>
        </w:rPr>
        <w:t xml:space="preserve">أ </w:t>
      </w:r>
      <w:r>
        <w:rPr>
          <w:rtl w:val="true"/>
        </w:rPr>
        <w:t xml:space="preserve">- </w:t>
      </w:r>
      <w:r>
        <w:rPr>
          <w:rtl w:val="true"/>
        </w:rPr>
        <w:t>الفصل بين الإمامة والخلافة</w:t>
      </w:r>
      <w:r>
        <w:rPr>
          <w:rtl w:val="true"/>
        </w:rPr>
        <w:t>:</w:t>
      </w:r>
      <w:bookmarkEnd w:id="75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يذهب بعض علماء الشيعة إلى الفصل بين الإمامة والخلافة، حيث </w:t>
      </w:r>
    </w:p>
    <w:p>
      <w:pPr>
        <w:pStyle w:val="BookText"/>
        <w:rPr/>
      </w:pP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النصوص الروائية الدالة على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منصب الإمامة تعني المرجعية العلمية والدينية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غير ناظرة إلى منصب الحكومة والخلافة</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مال آية الله الشيخ محمد صالح الحائري إلى هذا الرأي؛ إذ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على الإمام المنصوب والمنتخب أن يقوم بالشؤون السياسية وأمور الدولة والخلافة؛ لأن هذه الأمور ترتبط بأشياء أخرى لا تشترط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في قاموس الشيعة لا ينافي الخلافة، وعليه ففيما يتعلق بإثبات الخلافة لا حاجة إلى إنكار الإمامة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استطرد قائلاً بتصحيح وشرعية خلافة الخلفاء الثلاثة الأوائل،مقترحاً طريقاً إلى التقريب بين أهل السنة والتشيع من خلال الفصل بين الإمامة والخلافة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من نقل أن آية الله البروجردي كان يستتند ويؤكد مراراً على حديث الثقلين دون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الراوي يرى موقف آية الله البروجردي بشأن غصبية أو شرعية خلافة الخلفاء الثلاثة الأوائل ملتبساً</w:t>
      </w:r>
      <w:r>
        <w:rPr>
          <w:rFonts w:eastAsia="Amiri" w:cs="Amiri" w:ascii="Amiri" w:hAnsi="Amiri"/>
          <w:color w:val="111111"/>
          <w:sz w:val="28"/>
          <w:szCs w:val="28"/>
          <w:rtl w:val="true"/>
          <w:lang w:bidi="ar-SA"/>
        </w:rPr>
        <w:t xml:space="preserve">. </w:t>
      </w:r>
      <w:bookmarkStart w:id="758" w:name="pg15658_147228"/>
    </w:p>
    <w:p>
      <w:pPr>
        <w:pStyle w:val="Heading4"/>
        <w:numPr>
          <w:ilvl w:val="3"/>
          <w:numId w:val="1"/>
        </w:numPr>
        <w:rPr/>
      </w:pPr>
      <w:bookmarkStart w:id="759" w:name="__RefHeading___Toc11030759_2142443653"/>
      <w:bookmarkStart w:id="760" w:name="_Toc275"/>
      <w:bookmarkEnd w:id="758"/>
      <w:bookmarkEnd w:id="759"/>
      <w:r>
        <w:rPr>
          <w:rtl w:val="true"/>
        </w:rPr>
        <w:t xml:space="preserve">ب </w:t>
      </w:r>
      <w:r>
        <w:rPr>
          <w:rtl w:val="true"/>
        </w:rPr>
        <w:t xml:space="preserve">- </w:t>
      </w:r>
      <w:r>
        <w:rPr>
          <w:rtl w:val="true"/>
        </w:rPr>
        <w:t xml:space="preserve">الفصل بين الإمامة والحكومة </w:t>
      </w:r>
      <w:r>
        <w:rPr>
          <w:rtl w:val="true"/>
        </w:rPr>
        <w:t>(</w:t>
      </w:r>
      <w:r>
        <w:rPr>
          <w:rtl w:val="true"/>
        </w:rPr>
        <w:t>العلمانية</w:t>
      </w:r>
      <w:r>
        <w:rPr>
          <w:rtl w:val="true"/>
        </w:rPr>
        <w:t>):</w:t>
      </w:r>
      <w:bookmarkEnd w:id="760"/>
    </w:p>
    <w:p>
      <w:pPr>
        <w:pStyle w:val="BookText"/>
        <w:rPr/>
      </w:pPr>
      <w:r>
        <w:rPr>
          <w:rFonts w:ascii="Amiri" w:hAnsi="Amiri" w:eastAsia="Amiri" w:cs="Amiri"/>
          <w:color w:val="111111"/>
          <w:sz w:val="28"/>
          <w:sz w:val="28"/>
          <w:szCs w:val="28"/>
          <w:rtl w:val="true"/>
          <w:lang w:bidi="ar-SA"/>
        </w:rPr>
        <w:t>عمد بعض العلمانيين من المسلمين الأعم من أهل التسنن والتشيع إلى تخصيص أصل الدين والتديّن بحقل الهداية المعنوية ودائرة الأحكام والشريعة وأنكروا أي نوع من أنواع تدخل الدين في دائرة الحكم والسياسة، حيث عمدوا في المرحلة الأولى إلى فصل النبوة عن الشؤون الدنيوية، وبعبارة أخرى قالوا بالعلمانية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الدعاة إلى هذه النظرية في العالم السني في القرن الأخير عبد الرزاق المصري</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شاعت هذه الرؤية في عالم التشيّع في القرن الأخير أيضاً، حيث هناك من أنكر تدخل مقام النبوة في حقل السياسة والدنيا</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مهدي بازرگان، آخرت و خدا هدف بعثت، 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هذه الرؤية يتضح الموقف من الإمامة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طيفاً من هذه الجماعة قال بتدخل النبوة في الحياة الدنيوية للإنسان، إلا أنه أنكر مثل هذا الأمر على الإمامة والأئمة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العقود الأخيرة تمّ تناول التوجه العلماني إلى النبوة والدين بالتحليل والنقد التفصيلي، وقد عملت في حدود وسعي على تناول هذه المسألة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آيين خاتم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وموضوع بحثنا هنا هو بحث نسبة الإمامة إلى الدنيا، وبتبع ذلك مسألة السياسة والحكومة، وقد قيل في تقرير هذه الشبهة</w:t>
      </w:r>
      <w:r>
        <w:rPr>
          <w:rFonts w:eastAsia="Amiri" w:cs="Amiri" w:ascii="Amiri" w:hAnsi="Amiri"/>
          <w:color w:val="111111"/>
          <w:sz w:val="28"/>
          <w:szCs w:val="28"/>
          <w:rtl w:val="true"/>
          <w:lang w:bidi="ar-SA"/>
        </w:rPr>
        <w:t>:</w:t>
      </w:r>
      <w:bookmarkStart w:id="761" w:name="pg15658_147229"/>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حقيقة النبوة والرسالة تعني معرفة الأحكام والإرادة التشريعية لله من طريق الوصول إلى قمة الكمال الإنساني والأخلاقي الحاصل من طريق العلم الحضورى وشمول العناية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الإمامة جزء من مفهوم وماهية النبوة، وهي مثل مقام النبوة ظاهرة معنوية وروحية إلهية سامية تتجلى على الأرض من قبل الله، وهي غير متوقفة أبداً على بيعة الناس وانتخابهم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الخلافة التي تعني القيادة السياسية فهي ظاهرة دنيوية، ولا تعني سوى منهج إدارة الدولة الذي ينبثق عن الضرورات الطبيعية والتعايش السلمي بين الناس، وليس لها أي ارتباط منطقي أو كلامي أو اعتقادي بمقام النبوة والإمامة الرفيع أبدأ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2" w:name="__RefHeading___Toc11030761_2142443653"/>
      <w:bookmarkStart w:id="763" w:name="_Toc276"/>
      <w:bookmarkEnd w:id="762"/>
      <w:r>
        <w:rPr>
          <w:rtl w:val="true"/>
        </w:rPr>
        <w:t xml:space="preserve">ج </w:t>
      </w:r>
      <w:r>
        <w:rPr>
          <w:rtl w:val="true"/>
        </w:rPr>
        <w:t xml:space="preserve">- </w:t>
      </w:r>
      <w:r>
        <w:rPr>
          <w:rtl w:val="true"/>
        </w:rPr>
        <w:t xml:space="preserve">الفصل بين النصوص النبوية الدنيوية وبين النصوص النبوية الدينية </w:t>
      </w:r>
      <w:r>
        <w:rPr>
          <w:rtl w:val="true"/>
        </w:rPr>
        <w:t>(</w:t>
      </w:r>
      <w:r>
        <w:rPr>
          <w:rtl w:val="true"/>
        </w:rPr>
        <w:t>القراءة العلمانية للصحابة</w:t>
      </w:r>
      <w:r>
        <w:rPr>
          <w:rtl w:val="true"/>
        </w:rPr>
        <w:t>):</w:t>
      </w:r>
      <w:bookmarkEnd w:id="763"/>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التبرير الذي تم طرحه مؤخراً، والذي يعكس في الوقت نفسه رأي بعض القدماء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من مذهب المعتزلة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يعترف بأصل النصوص الواردة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يقول إن هذه النصوص لم ترد بوصفها نصوصاً وأوامر ملزمة على المستوى الديني والشرعي والإلهي؛ إذ إن شأن النبوة في الأساس يقتصر على بيان الأمور الدينية فقط، وأما الأمور التي لا ترتبط بالدين،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والحكم فهي خارجة عن دائرة الوحي والدين، ولو ورد في هذا الشأن أمر ونص من جانب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القرآن الكريم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لن يكون ملزماً </w:t>
      </w:r>
    </w:p>
    <w:p>
      <w:pPr>
        <w:pStyle w:val="BookText"/>
        <w:rPr/>
      </w:pPr>
      <w:r>
        <w:rPr>
          <w:rFonts w:ascii="Amiri" w:hAnsi="Amiri" w:eastAsia="Amiri" w:cs="Amiri"/>
          <w:color w:val="111111"/>
          <w:sz w:val="28"/>
          <w:sz w:val="28"/>
          <w:szCs w:val="28"/>
          <w:rtl w:val="true"/>
          <w:lang w:bidi="ar-SA"/>
        </w:rPr>
        <w:t>من الناحية الدينية والشرعية وسوف يُحمل على الإرشاد وتوجيه المسلمين لا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الرؤية تذهب إلى الاعتقاد بأن المسلمين في صدر الإسلام كانوا يحملون مثل هذه القراءة والفهم لأوامر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يبذلون علي الله الغالي والنفيس من أجل امتثال الأوامر الدينية الصادرة عن النبي الأكرم، أما الأوامر الدنيوية الصادرة عنه فكانت عرضة للنقاش والأخذ والرد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بين هذه الأمور مسألة الحكم وتنصيب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للإمامة والحكم حيث رأى الصحابة أنه يندرج ضمن الأوامر الدنيوية، وحيث أنهم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لتشخيص النبي الأكرم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الاعتقاد بأن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للأسباب المتقدمة،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سنه، وكراهية العرب له، واتصافه بالدعابة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المرشح الأمثل لتولي منصب الإمامة والخلافة، فعمدوا إلى إبعاده، وعمد الأنصار والمهاجرون في الخطوة الأولى إلى تقديم مرشحين عنهم، حتى آل الأمر في السقيفة إلى إجماعهم على خلافة أبي بكر بن أبي قحافة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تقدّم فإن هذا التبرير قد ذكره بعض المطلعين على وجود النص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القرون المتقدمة، ويمكن هنا الإشارة إلى ابن أبي الحديد المعتزلي، فإنه حيث نقل نصوص الخليفة الثاني في الالتزام بالنص النبوي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حيث تقدم اعترافه في معرض الحديث عن شبهة التعارض بين النصوص في الفصل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بأن هذه النصوص تثبت ما يذهب إليه الشيعة من القول بوجود النص على الإمامة، ولذلك لجأ لحل الإشكال إلى النقيب أبي جعفر يحيى بن محمد بن أبي زيد، وأشار من جهة أخرى إلى استبعاد أن يعمل </w:t>
      </w:r>
      <w:bookmarkStart w:id="764" w:name="pg15658_147231"/>
    </w:p>
    <w:p>
      <w:pPr>
        <w:pStyle w:val="BookText"/>
        <w:rPr/>
      </w:pPr>
      <w:bookmarkEnd w:id="764"/>
      <w:r>
        <w:rPr>
          <w:rFonts w:ascii="IRNazanin" w:hAnsi="IRNazanin" w:eastAsia="IRNazanin"/>
          <w:color w:val="111111"/>
          <w:sz w:val="28"/>
          <w:sz w:val="28"/>
          <w:szCs w:val="28"/>
          <w:rtl w:val="true"/>
          <w:lang w:bidi="fa-IR"/>
        </w:rPr>
        <w:t>الصحابة على عزل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أصل التنصيب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استند الشيخ النقيب أبو جعفر يحيى بن محمد في جوابه لابن أبي الحديد إلى الحل المذكور، أي وجود قراءتين مختلفتين وفهمين متفاوتين عند الصحابة للنصوص النبوية، وأنهم كانوا يرون جواز العمل على خلاف أوامر</w:t>
      </w:r>
    </w:p>
    <w:p>
      <w:pPr>
        <w:pStyle w:val="BookText"/>
        <w:rPr/>
      </w:pPr>
      <w:r>
        <w:rPr>
          <w:rFonts w:ascii="Amiri" w:hAnsi="Amiri" w:eastAsia="Amiri" w:cs="Amiri"/>
          <w:color w:val="111111"/>
          <w:sz w:val="28"/>
          <w:sz w:val="28"/>
          <w:szCs w:val="28"/>
          <w:rtl w:val="true"/>
          <w:lang w:bidi="ar-SA"/>
        </w:rPr>
        <w:t>النبي الدنيوية، والعدول عنها إلى ما يرونه صالحاً لأنفسهم</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1030763_2142443653"/>
      <w:bookmarkStart w:id="766" w:name="_Toc277"/>
      <w:bookmarkEnd w:id="765"/>
      <w:r>
        <w:rPr>
          <w:rtl w:val="true"/>
        </w:rPr>
        <w:t>مناقشة وتحليل</w:t>
      </w:r>
      <w:r>
        <w:rPr>
          <w:rtl w:val="true"/>
        </w:rPr>
        <w:t>:</w:t>
      </w:r>
      <w:bookmarkEnd w:id="766"/>
    </w:p>
    <w:p>
      <w:pPr>
        <w:pStyle w:val="BookText"/>
        <w:rPr/>
      </w:pPr>
      <w:r>
        <w:rPr>
          <w:rFonts w:ascii="IRNazanin" w:hAnsi="IRNazanin" w:eastAsia="IRNazanin"/>
          <w:color w:val="111111"/>
          <w:sz w:val="28"/>
          <w:sz w:val="28"/>
          <w:szCs w:val="28"/>
          <w:rtl w:val="true"/>
          <w:lang w:bidi="fa-IR"/>
        </w:rPr>
        <w:t>إن أصل هذه الشبهة لا يختص بالإمامة، وإنما أراد الذين قالوا بها أن يثبتوا القول بالفصل بين الإسلام والسياسة والحكم، وذهبوا إلى الاعتقاد بأن إقامة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للحكومة الدينية إنما كان مبادرة شخصية وليست 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نحن فنفترض هنا المشروعية الإلهية والسماوية لحكومة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ونعمل على إثبات المشروعية الدينية والإلهية لحكومة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تعميم مشروعية الحكومة الإلهية وتفويضها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عن منشأ مشروعية الحكم من البحوث الهامة في الفلسفات السياسية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في القسم الأول إلى أن الفلسفة التي سادت اليونان وروما في العصور الأولى كانت تقوم على أن حكم السلاطين في الامبراطوريات تستند إلى الشرعية الإلهية، كما يمكن العثور على هذا الاتجاه باختلاف يسير في الديانة المسيحية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عصر النهضة في العالم الغربي حلت الفلسفة السياسية الديمقراطية محل الفلسفة الإلهية للحكم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رؤية الإسلام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تختلف عن كلتا الرؤيتين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أشار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طويلة إلى تقدم خلقه وخلق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موجودات عالم الإمكان في عالم العقول، ليضيف إلى ذلك بيان المشروعية الإلهية لحكومته وسياسته وحكومة وسياسة الأئمة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سادة العباد، ونحن ساسة البلاد، ونحن الكفاة والولاة والحماة والسقاة والرعاة وطريق النجاة، ونحن السبيل والسلسبيل، ونحن النهج القويم والطريق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آمن بنا آمن بالله، ومن ردّ علينا ردّ على الله، ومن شك</w:t>
      </w:r>
    </w:p>
    <w:p>
      <w:pPr>
        <w:pStyle w:val="BookText"/>
        <w:rPr/>
      </w:pPr>
      <w:r>
        <w:rPr>
          <w:rFonts w:ascii="Amiri" w:hAnsi="Amiri" w:eastAsia="Amiri" w:cs="Amiri"/>
          <w:color w:val="111111"/>
          <w:sz w:val="28"/>
          <w:sz w:val="28"/>
          <w:szCs w:val="28"/>
          <w:rtl w:val="true"/>
          <w:lang w:bidi="ar-SA"/>
        </w:rPr>
        <w:t>فينا شك في الله ، ومن عرفنا عرف الله، ومن تولى عنا تولى عن الله، ومن أطاعنا أطاع الله، و نحن الوسيلة إلى الله، والوصلة إلى رضوان الله، ولنا العصمة والخلافة والهداية، و فينا النبوة والولاية والإمامة</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الحكم وإدارة الدولة في هذه الرواية بوصفها جزءاً من الشؤون والوظائف الإلهية الملقاة على عاتقه وعاتق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صراحة بأن الخلافة والولاية والإمامة قد تلخصت فيهم، وأن إطاعتهم إطاعة الله ومخالفتهم مخالفة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دلالة هذه الرواية على المشروعية الإلهية لحكومة وسياسة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واضحة وضوح الشمس؛ إذ الرواية لا يتبين لها من معنى إلا من خلال القول بالمشروعية الإلهية لولاية النبي والأئمة</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وجود عناوين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والخلافة والولاية والإمامة، </w:t>
      </w:r>
    </w:p>
    <w:p>
      <w:pPr>
        <w:pStyle w:val="BookText"/>
        <w:rPr/>
      </w:pPr>
      <w:r>
        <w:rPr>
          <w:rFonts w:ascii="Amiri" w:hAnsi="Amiri" w:eastAsia="Amiri" w:cs="Amiri"/>
          <w:color w:val="111111"/>
          <w:sz w:val="28"/>
          <w:sz w:val="28"/>
          <w:szCs w:val="28"/>
          <w:rtl w:val="true"/>
          <w:lang w:bidi="ar-SA"/>
        </w:rPr>
        <w:t>لا يُبقي مجالاً لتوهّم اختصاص وجوب الإطاعة بدائرة العبادة والدين، وإخراج الشؤون الاجتماعية عن دائرة وجوب الإطاعة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 ابن كثير كاتب السيرة الشهير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منذ بداية النبوة يبين خليفته لا بوصفه مرشحاً من قبل الأمة، بل يصرح بأن ذلك من الشؤون الإلهية، من ذلك أننا نجد النبي قبل الهجرة يجيب زعيم قبيلة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علق إسلامه على جعل الخلافة له ولقومه بعد رحيل النبي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الملك الله يجعله حيث يشاء</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السيرة العملية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ورثة كتاب الله ونبيه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واستلهاماً من هذين المصدرين المباركين، لم يساوموا أو يتعاونوا مع أي من حكومات الظلم والجور أبداً، بل كانوا يسعون في الكثير من الموارد إلى مواجهة هذه الحكومات الطاغية والمنحرفة في سعي منهم إلى إقامة الحكومة الإسلامية الصحيحة والشريعة الحنيفة، إلا أن الظروف الاجتماعية والسياسية للمجتمع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تسمح لهم بتحقيق هذه الغاية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يتمكن أحد منهم من التصدي للحكم إلا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حكم لستة أشهر تقريباً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باستثناء الإمام الحجة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كانوا لاعتبارهم أنفسهم أصحاب الحق الشرعيين، وأنهم الأئمة الحقيقيين وورثة النبي الأكرم وعترته وأهل بيته، كانوا موضع غضب الحكام ونقمتهم على مر التاريخ، وتعرضوا لذلك إلى أنواع </w:t>
      </w:r>
    </w:p>
    <w:p>
      <w:pPr>
        <w:pStyle w:val="BookText"/>
        <w:rPr/>
      </w:pPr>
      <w:r>
        <w:rPr>
          <w:rFonts w:ascii="IRNazanin" w:hAnsi="IRNazanin" w:eastAsia="IRNazanin"/>
          <w:color w:val="111111"/>
          <w:sz w:val="28"/>
          <w:sz w:val="28"/>
          <w:szCs w:val="28"/>
          <w:rtl w:val="true"/>
          <w:lang w:bidi="fa-IR"/>
        </w:rPr>
        <w:t>السجن والتعذيب الروحي والجسدي والنفي والتشريد، وفي نهاية المطاف كانت خاتمتهم الاستشهاد في سبيل الله ذوداً عن الإسلام الحنيف، وأضحى استشهادهم رمزاً للاتحاد والتلاحم بين الدين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الأئمة كانوا لا يشكلون خطراً وجودياً على الجهاز الحاكم، ولو أنهم تركوا ما لقياصرة عصرهم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سلاطين بني أمية وبني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واكتفوا بالوعظ والعبادة في أقبية المساجد، لما وجدت الحكومات ذريعة ودافعاً إلى التعرّض لهم بالحبس والنفي والتعذيب ثم القتل، ولما أوقعوا أنفسهم في مغبة تحمل تبعات استشهادهم، لما كان يتمتع به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الاحترام والتقدير والتكريم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أعين الناس بوصفهم من كبار العلماء وذرية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وجد الحكام حاجة إلى هذه الجرائم، ولما حملوا وصمة هذا العار على جباههم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الولاية والإمامة تعني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إلى كونهم رمزاً للوحدة بين الدين والسياسة على المستوى العملي، قاموا كذلك على المستوى النظري والفكري بعرض الفلسفة السياسية للإسلام عبر مختلف التقريرات والسُبل، وفيما يأتي نشير إلى بعض هذه التقريرات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تحدثت الروايات الكثيرة عن الإمامة والولاية، حيث تم التعبير عنهما بوصفهما أحد أركان الإسلام ودعائمه </w:t>
      </w:r>
    </w:p>
    <w:p>
      <w:pPr>
        <w:pStyle w:val="BookText"/>
        <w:rPr/>
      </w:pPr>
      <w:r>
        <w:rPr>
          <w:rFonts w:ascii="Amiri" w:hAnsi="Amiri" w:eastAsia="Amiri" w:cs="Amiri"/>
          <w:color w:val="111111"/>
          <w:sz w:val="28"/>
          <w:sz w:val="28"/>
          <w:szCs w:val="28"/>
          <w:rtl w:val="true"/>
          <w:lang w:bidi="ar-SA"/>
        </w:rPr>
        <w:t>هناك احتمال للتوهم بأن يكون المراد من الإمامة هنا هو المقام والمرجعية العلمية والمعنوية، من قبيل مقام رسالة الأنبياء، وليس مقام الحكم والسياسة، وعليه لا يمكن الاستدلال بهذه الروايات على وجود فلسفة السياسة فى الإسلام، فيتخذ وثيقة بيد أنصار القول بالوحدة بين الدين والسياسة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ضعف هذا التوهّم يتضح من خلال الرجوع إلى أصحاب هذه الروايات، حيث قاموا بأنفسهم بتبيين المراد من معنى الإمامة والولاية وتفسيره،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تعني الحكومة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يكون التبرع بتأويلها وحملها على خارج سياقها والمعنى الصريح والمبين والمراد منها، من المصاديق البارزة على الاجتهاد في مقابل النص </w:t>
      </w:r>
      <w:r>
        <w:rPr>
          <w:rFonts w:eastAsia="Amiri" w:cs="Amiri" w:ascii="Amiri" w:hAnsi="Amiri"/>
          <w:color w:val="111111"/>
          <w:sz w:val="28"/>
          <w:szCs w:val="28"/>
          <w:rtl w:val="true"/>
          <w:lang w:bidi="ar-SA"/>
        </w:rPr>
        <w:t>]</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نشير إلى بعض هذه الروايات والنصوص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يقتصر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تعريف الإمامة بوصفها مجرد مرجعية علمية ودينية، بل هو منصب يجب أن يتحلّى صاحبه بالوعى السياسى وأن يكون مديراً ومدبّراً وحافظاً للحدود الإسلامية ومتصدياً لأمور الحكم،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الولاية هي حفظ الثغور وتدبير الامور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بالسياسة، قائم بالرياسة</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نورانية أخرى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 التأكيد في تعريف الإمامة على مفاهيم وقيود،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بالسياسة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أمور 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لا يبقى معه أي مجال </w:t>
      </w:r>
    </w:p>
    <w:p>
      <w:pPr>
        <w:pStyle w:val="BookText"/>
        <w:rPr/>
      </w:pPr>
      <w:r>
        <w:rPr>
          <w:rFonts w:ascii="IRNazanin" w:hAnsi="IRNazanin" w:eastAsia="IRNazanin"/>
          <w:color w:val="111111"/>
          <w:sz w:val="28"/>
          <w:sz w:val="28"/>
          <w:szCs w:val="28"/>
          <w:rtl w:val="true"/>
          <w:lang w:bidi="fa-IR"/>
        </w:rPr>
        <w:t>للشك في إطلاق الإمام والإمامة وشمولها للأمور السياسية وشؤون الحكم، يقول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الدين، ونظام المسلمين، وصلاح الدنيا 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بالسياسة، مستحق للرئاسة، 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لعباد الله</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 عن كتاب أهل الكوفة له إن شرط الإمامة والقيادة هي العمل بالقرآن وإقامة الدين وتطبيق الدين الحق، حيث قال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ما الإمام إلا العامل بالكتاب، والقائم بالقسط، والدائن بدين الحق، والسلام</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الإمامة والقيادة التي تم تفويضها إلى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أوسع من الدائرة الجغرافية، ويتجلى ذلك في القصة الشهيرة التي حدثت للمهدي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سلاطين بني العباس</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مع الإمام موسى </w:t>
      </w:r>
    </w:p>
    <w:p>
      <w:pPr>
        <w:pStyle w:val="BookText"/>
        <w:rPr/>
      </w:pPr>
      <w:r>
        <w:rPr>
          <w:rFonts w:ascii="IRNazanin" w:hAnsi="IRNazanin" w:eastAsia="IRNazanin"/>
          <w:color w:val="111111"/>
          <w:sz w:val="28"/>
          <w:sz w:val="28"/>
          <w:szCs w:val="28"/>
          <w:rtl w:val="true"/>
          <w:lang w:bidi="fa-IR"/>
        </w:rPr>
        <w:t>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أراد أن يعيد له فدكاً لبعض الدواعي السياسية في تلك الفترة، وطلب من الإمام لذلك أن يرسم له حدودها حتى يرجعها له من دون نقص</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فرسم له الإمام الحدود الجغرافية للدولة الإسلامية في ذلك العصر، في إشارة منه إلى أنّ المسألة لم تكن مسألة قطعة أرض مغتصبة، بل هو حق مستلب كان يتمثل بالإمامة وإدارة المجتمع والأمة والدولة، فحدّها له قائلاً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ascii="Amiri" w:hAnsi="Amiri" w:eastAsia="Amiri" w:cs="Amiri"/>
          <w:color w:val="111111"/>
          <w:sz w:val="28"/>
          <w:sz w:val="28"/>
          <w:szCs w:val="28"/>
          <w:rtl w:val="true"/>
          <w:lang w:bidi="ar-SA"/>
        </w:rPr>
        <w:t>حد منها جبل أحد، وحدّ منها عريش مصر، وحدّ منها سيف البحر، وحد منها 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يكون الإمام قد طالبه بإعادة الخلافة المغتصبة</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الروايات التي كانت بصدد تفسير الإمامة وأنها تشتمل على ركنين أساسيين، أي الوعي والعمل بالقرآن والعلم بشؤون العصر والسياسة، تثبت بالكناية والالتزام عدم مشروعية الحكومات الغاصبة، إذ ترى افتقار هذه الحكومات للركن الأول من أركان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الشرعية الإلهية للحكم من وجهة نظر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معرض تحليل السنة النظرية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كان يرجع منشأ مشروعية حكمه إلى الله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تواترت الروايات عن الأئمة الشيعة بهذا الشأن أيضاً، وفيما يأتي نشير إلى بعضها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عن أمر حكومة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وكيفية حرمانه من الحكم وإبعاده عن ممارسة السلطة لفترة امتدت لخمس وعشرين سنة قصة طويلة لا يتسع هذا البحث المختصر للخوض فيها، إلا أننا سنجيب عن شبهة اعتزال الإمام عن أمر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سنشير إليها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w:t>
      </w:r>
    </w:p>
    <w:p>
      <w:pPr>
        <w:pStyle w:val="BookText"/>
        <w:rPr/>
      </w:pPr>
      <w:r>
        <w:rPr>
          <w:rFonts w:ascii="IRNazanin" w:hAnsi="IRNazanin" w:eastAsia="IRNazanin"/>
          <w:color w:val="111111"/>
          <w:sz w:val="28"/>
          <w:sz w:val="28"/>
          <w:szCs w:val="28"/>
          <w:rtl w:val="true"/>
          <w:lang w:bidi="fa-IR"/>
        </w:rPr>
        <w:t>أنه ينتقد أداء الخلفاء الثلاثة الذين سبقوه، ويعتبرهم مغتصبين لحقه الخاص والمنصوص عليه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ويشكو ذلك إلى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أنه بعث بكتاب إلى أهل مصر يأسف فيه من تصدّي الأشرار للحكم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إلى لقاء الله لمشتاق، ولحسن ثوابه لمنتظر راج، ولكني آسى أن يلى هذه الأمة سفهاؤها وفجارها فيتخذوا مال الله دولاً، وعباده خولاً، والصالحين حرباً، والفاسقين حزباً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أجاب في رواية أخرى عن هذا السؤال المقدر، وهو أن الله يجب أن يعطي حق الحكم لمن يتصف بالعدل والعلم بالدين والقضاء،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وعمد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أخرى إلى بيان مزيد من التوضيح بشأن الحاكم والإمام معتبراً إياه شخص النبي ووصيه،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وصي أو شقي</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الدخول في حلبة السياسة والحكومة سيثير اعتراض المتظاهرين بالقداسة شئنا أم أبينا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بمنجى من هذا الاعتراض،وقال في جواب الأشعث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يعاني من الجمود الفكري، ويقول بضلال من يتولى أمر الحكم وكفره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متمسكاً بالسيرة العملية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ومذكراً بأن الحكم في حد ذاته عملاً عبادياً، وقد كلف الله به عباده الصالحين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الحكومة فرض من الله، وقد حكم رسول الله</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الإمام الصادق أيضاً أن الإمامة عهد من الله يفوضه إلى بعض الأشخاص المنتجبين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عهد من الله عزّ وجل معهود لرجال مسمّين</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عرف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بوصفهم قادة الناس، والقائمين بأمر الأقطار والبلدان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سادة العباد ، وساسة البلاد</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في رواية نورانية بالحكومة، وانتقد نظرية الانتخاب فيما يتعلق بكيفية تعيين شخص الحاكم والإمام مع وجود المعصوم بشدّة، وقد وصف الناس في الصدر الأول من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إعراضهم عن مسألة النص وانتخاب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بالضلال والانحراف والوقوع في حبائل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أن أمر الخلافة إذا كان متروكاً للناس بعد رحيل النبي، ولم يكن هناك نص على إمامة الإمام علي، لكان هذا الكلام من الإمام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محله 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أَتَظُنُّونَ أَنَّ ذَلِكَ يُوجَدُ فِي غَيْرِ آلِ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كَذَبَتْهُمْ وَالله أَنْفُسُهُمْ وَمَنَتْهُمُ الْأَبَاطِيلَ فَارْتَقَوْا مُرْتَقَى صَعْباً دَحْضَاً تَزِلُّ عَنْهُ إِلَى الْحَضِيضِ </w:t>
      </w:r>
    </w:p>
    <w:p>
      <w:pPr>
        <w:pStyle w:val="BookText"/>
        <w:rPr/>
      </w:pPr>
      <w:r>
        <w:rPr>
          <w:rFonts w:ascii="Amiri" w:hAnsi="Amiri" w:eastAsia="Amiri" w:cs="Amiri"/>
          <w:color w:val="111111"/>
          <w:sz w:val="28"/>
          <w:sz w:val="28"/>
          <w:szCs w:val="28"/>
          <w:rtl w:val="true"/>
          <w:lang w:bidi="ar-SA"/>
        </w:rPr>
        <w:t>أَقْدَامُهُمْ رَامُوا إِقَامَةَ الْإِمَامِ بِعُقُولٍ حَائِرَةِ بَائِرَةِ نَاقِصَةٍ وَآرَاءٍ مُضِلَّةٍ، فَلَمْ يَزْدَادُوا مِنْهُ إِلَّا بُعْداً قاتَلَهُمُ الله أَنَّى يُؤْفَكُونَ، وَلَقَدْ رَامُوا صَعْباً وَقَالُوا إِفْكَاً وَضَلُّوا ضَلالَا بَعِيداً وَوَقَعُوا فِي الخَيْرَةِ إِذْ تَرَكُوا الْإِمَامَ عَنْ بَصِيرَةٍ وَزَيَّنَ هُمُ الشَّيْطانُ أَعْمَاهُمْ فَصَدَّهُمْ عَنِ السَّبِيلِ وَكَانُوا مُسْتَبْصِرِينَ رَغِبُوا عَنِ اخْتِيَارِ الله وَاخْتِيَارِ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بَيْتِهِ إِلَى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بِاخْتِيَارِ الْإِمَامِ؟ وَالْإِمَامُ عَالِمٌ لَا يَجْهَلُ، وَرَاعٍ لَا يَنْكُلُ مَعْدِنُ الْقُدْسِ وَالطَّهَارَةِ وَالنُّسُكِ وَالزَّهَادَةِ وَالْعِلْمِ وَالْعِبَادَةِ، مَخصُوصٌ بِدَعْوَةِ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وَنَسْلِ المُطَهَّرَةِ الْبَتُولِ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أخرى ما قام به البعض من  الإعراض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وذهابهم إلى غيره، بإطفاء نور الله، إذ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جهدوا على إطفاء نور الله حين قبض الله تبارك وتعالى رسوله، وأبى الله إلا أن يتم نوره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الإمام الرضا في روايات أخرى إلى هذه النظرية حيث سيأتي بيانها في معرض الإجابة عن شبهة ولاية عهده لاحقاً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السيدة فاطمة الزهراء وإن لم تكن في عداد الأئمة، ولكنها حيث تمتاز بشخصية ومكانة مساوية لهم عند الله، وما تتصف به من العصمة، يكون كلامها وروايتها حجة ومعتبرة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سنشير إلى موقفها من مشروعية حكومة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طريق التنصيب، وعدم </w:t>
      </w:r>
    </w:p>
    <w:p>
      <w:pPr>
        <w:pStyle w:val="BookText"/>
        <w:rPr/>
      </w:pPr>
      <w:r>
        <w:rPr>
          <w:rFonts w:ascii="Amiri" w:hAnsi="Amiri" w:eastAsia="Amiri" w:cs="Amiri"/>
          <w:color w:val="111111"/>
          <w:sz w:val="28"/>
          <w:sz w:val="28"/>
          <w:szCs w:val="28"/>
          <w:rtl w:val="true"/>
          <w:lang w:bidi="ar-SA"/>
        </w:rPr>
        <w:t>شرعية حكم الخلفاء الذين اغتصبوا الخلافة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جاهدت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من أجل تولي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أنها دارت ليلاً على بيوت الأنصار تجر خلفها ولديها الصغيرين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ومعها الإمام على، تطالبهم بالبيعة للإمام، رغم أنها لم تحصل منهم على غير الاعتذار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من الناحية النظرية، عمدت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مخاطبة الناس في خطبتها الشهيرة، واعتبرت عدم انتخابهم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مساوياً للسقوط في الفتنة والانحراف، وذكرتهم قائلة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فوسمتم غير إبلكم، وأوردتم غير شربكم ، هذا والعهد قريب، والكلم رحيب، والجرح لما يندمل والرسول لما يقبر ابتداراً زعمتم خوف الفتنة و ألا في الفتنة سقطوا وإن جهنم لمحيطة بالكافرين</w:t>
      </w:r>
      <w:r>
        <w:rPr>
          <w:rStyle w:val="FootnoteAnchor"/>
          <w:rtl w:val="true"/>
        </w:rPr>
        <w:footnoteReference w:id="850"/>
      </w: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إطاعة الإمام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كثير من الروايات المتواترة التي التأكيد فيها على وجوب إطاعة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يسوقه الأئمة على ذلك هو مساواة إطاعتهم لإطاعة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 الأئمة أنفسهم في بعض الروايات على أنهم المصاديق الحقيقيين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ذلك 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قَوْمُ فَرَضَ اللَّهُ طَاعَتَنَا، وَأَنْتُمْ تَأْتُونَ بِمَنْ لَا يُعْذَرُ النَّاسُ بِجَهَالَتِهِ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علياً إمام فرض الله طاعته</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يتحدث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 عن الولاية الإلهية، وأنها جعلت في حق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واجب الناس لا يكمن في الانتخاب وإضفاء الشرعية، بل عليهم مجرد الاتباع والاقتداء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 لَا وَقَرَابَتِي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قُلْتُهُ قَطَّ، وَلَا سَمِعْتُهُ مِنْ آبَائِي قَالَهُ، وَلَا بَلَغَنِي عَنْ أَحَدٍ مِنْ آبَائِي قَالَهُ، وَلَكِنِّي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عَبِيدٌ لَنَا فِي الطَّاعَةِ، مَوَالٍ لَنَا فِي الدِّينِ</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 التأكيد في هذه الروايات على المشروعية الإلهية لحكومة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ولزوم اتباعهم من الناحية الشرعية باعتبار ذلك أمراً مسلماً ولا جدال فيه، وهذا لا ينسجم مع ادعاء عدم المشروعية الإلهية لحكومة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حصيلة ذلك أنّ أئمة الهدى قد سعوا بمختلف السبل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تحليل ماهية الإمامة، والتأكيد على المشروعية الإلهية لحكومة المعصومين، واغتصابها من قبل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تعريف الناس بمسؤوليتهم وأن لا يتخذوا موقف </w:t>
      </w:r>
      <w:bookmarkStart w:id="767" w:name="pg15658_147243"/>
    </w:p>
    <w:p>
      <w:pPr>
        <w:pStyle w:val="BookText"/>
        <w:rPr/>
      </w:pPr>
      <w:bookmarkEnd w:id="767"/>
      <w:r>
        <w:rPr>
          <w:rFonts w:ascii="Amiri" w:hAnsi="Amiri" w:eastAsia="Amiri" w:cs="Amiri"/>
          <w:color w:val="111111"/>
          <w:sz w:val="28"/>
          <w:sz w:val="28"/>
          <w:szCs w:val="28"/>
          <w:rtl w:val="true"/>
          <w:lang w:bidi="ar-SA"/>
        </w:rPr>
        <w:t xml:space="preserve">اللامبالاة تجاه الإسلام والإمامة، وأن يعتبروا أنفسهم مكلفين من الناحية الإلهية والدينية بتطبيق أحكام شريعة الإسلام والتبعية المطلقة للأئمة الأطهار، وأن لا يتركوا الساحة للعلمانيين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أمية وبني العباس</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1030765_2142443653"/>
      <w:bookmarkStart w:id="769" w:name="_Toc278"/>
      <w:bookmarkEnd w:id="768"/>
      <w:r>
        <w:rPr>
          <w:rtl w:val="true"/>
        </w:rPr>
        <w:t>رعاية المصلحة</w:t>
      </w:r>
      <w:r>
        <w:rPr>
          <w:rtl w:val="true"/>
        </w:rPr>
        <w:t>:</w:t>
      </w:r>
      <w:bookmarkEnd w:id="769"/>
    </w:p>
    <w:p>
      <w:pPr>
        <w:pStyle w:val="BookText"/>
        <w:rPr/>
      </w:pPr>
      <w:r>
        <w:rPr>
          <w:rFonts w:ascii="IRNazanin" w:hAnsi="IRNazanin" w:eastAsia="IRNazanin"/>
          <w:color w:val="111111"/>
          <w:sz w:val="28"/>
          <w:sz w:val="28"/>
          <w:szCs w:val="28"/>
          <w:rtl w:val="true"/>
          <w:lang w:bidi="fa-IR"/>
        </w:rPr>
        <w:t>إن أنصار القول بأصل الانتخاب، وبعبارة أدق إن المخالفين لأصل التنصيب في عصر انتخاب الخليفة الأول، كانوا يتمسكون لتبرير إعراضهم عن النصوص النبوية الدالة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بمستمسكات وذرائع مختلفة، ومن بين الذرائع التي تمسكوا بها ادعاء المصلحة في استبعاد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منصب الإمامة والخلافة، فقد ادعوا أن مصلحة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وربما أمكن القول بأن مصلحة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اقتضت تجريد الإمام من حقه في الخلافة، وكان المنظر لهذا الرأي والأطروحة هو الخليفة الثاني عمر بن الخطاب، حيث صرّح بها في مختلف المواضع، ومن بينها حواره مع ابن عباس في تبرير سلوكه السياسي على ما ستأتي الإشارة إليه</w:t>
      </w:r>
      <w:r>
        <w:rPr>
          <w:rFonts w:eastAsia="IRNazanin" w:cs="IRNazanin"/>
          <w:color w:val="111111"/>
          <w:sz w:val="28"/>
          <w:szCs w:val="28"/>
          <w:rtl w:val="true"/>
          <w:lang w:bidi="fa-IR"/>
        </w:rPr>
        <w:t>.</w:t>
      </w:r>
    </w:p>
    <w:p>
      <w:pPr>
        <w:pStyle w:val="Heading3"/>
        <w:numPr>
          <w:ilvl w:val="2"/>
          <w:numId w:val="1"/>
        </w:numPr>
        <w:rPr/>
      </w:pPr>
      <w:bookmarkStart w:id="770" w:name="__RefHeading___Toc11030767_2142443653"/>
      <w:bookmarkStart w:id="771" w:name="_Toc279"/>
      <w:bookmarkEnd w:id="770"/>
      <w:r>
        <w:rPr>
          <w:rtl w:val="true"/>
        </w:rPr>
        <w:t>التبرير الرابع</w:t>
      </w:r>
      <w:r>
        <w:rPr>
          <w:rtl w:val="true"/>
        </w:rPr>
        <w:t xml:space="preserve">: </w:t>
      </w:r>
      <w:r>
        <w:rPr>
          <w:rtl w:val="true"/>
        </w:rPr>
        <w:t>استصغار سن الإمام علي</w:t>
      </w:r>
      <w:r>
        <w:rPr>
          <w:rtl w:val="true"/>
        </w:rPr>
        <w:t>(</w:t>
      </w:r>
      <w:r>
        <w:rPr>
          <w:rtl w:val="true"/>
        </w:rPr>
        <w:t>علیه السّلام</w:t>
      </w:r>
      <w:r>
        <w:rPr>
          <w:rtl w:val="true"/>
        </w:rPr>
        <w:t>):</w:t>
      </w:r>
      <w:bookmarkEnd w:id="77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الأدلة، أو 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بين الذرائع والحجج التي ساقها مخالفو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لتبرير استبعاده عن الخلافة حداثة سنه وصغره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الثلاثين سنة من عمره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 عمر بن الخطاب يشيد بمكانة الإمام ومنزلته وسابقته في الإسلام، سأله بعض الحاضرين عن سبب إبعاده عن الخلافة مع أنه يتمتع بكل هذه الفضائل؟ فتذرّع بالقول إنه كان صغيراً وكان </w:t>
      </w:r>
      <w:bookmarkStart w:id="772" w:name="pg15658_147244"/>
    </w:p>
    <w:p>
      <w:pPr>
        <w:pStyle w:val="BookText"/>
        <w:rPr/>
      </w:pPr>
      <w:bookmarkEnd w:id="772"/>
      <w:r>
        <w:rPr>
          <w:rFonts w:ascii="Amiri" w:hAnsi="Amiri" w:eastAsia="Amiri" w:cs="Amiri"/>
          <w:color w:val="111111"/>
          <w:sz w:val="28"/>
          <w:sz w:val="28"/>
          <w:szCs w:val="28"/>
          <w:rtl w:val="true"/>
          <w:lang w:bidi="ar-SA"/>
        </w:rPr>
        <w:t>يؤثر بني عبد المطلب، وإليك نص الحادثة كما رواها ابن أبي الحديد في شرحه لنهج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أبو بكر الأنبارى فى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إلى عمر في المسجد وعنده ناس، فلما قام عرض واحد بذكره ونسبه إلى التيه 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لمثله أن يتيه، والله لو لا سيفه لما قام عمود الإسلام، وهو بعد أقضى الأمة وذو سابقتها وذو شرفها؛ فقال له ذلك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منعكم يا أمير المؤمنين عنه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كرهناه على حداثة السن، وحبّه بني عبد المطلب</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سعى أبو عبيدة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المخرجين البارزين الذين عملوا كل ما بوسعم من أجل إنجاح سيناريو السقيفة لمصلحة أبي بكر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إقناع الإمام علي لمبايعة أبي بكر والتنازل عن الخلافة محتجاً عليه بصغر سنه وقلة تجربته،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إنك حديث السن، وهؤلاء مشيخة قریش قومك، ليس لك مثل تجربتهم ومعرفتهم بالأمور</w:t>
      </w:r>
      <w:r>
        <w:rPr>
          <w:rFonts w:eastAsia="IRNazanin" w:cs="IRNazanin"/>
          <w:color w:val="111111"/>
          <w:sz w:val="28"/>
          <w:szCs w:val="28"/>
          <w:rtl w:val="true"/>
          <w:lang w:bidi="fa-IR"/>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ذكر عمر بن الخطاب هذا التبرير ذاته في حواره مع ابن عباس أيضاً</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1030769_2142443653"/>
      <w:bookmarkStart w:id="774" w:name="_Toc280"/>
      <w:bookmarkEnd w:id="773"/>
      <w:r>
        <w:rPr>
          <w:rtl w:val="true"/>
        </w:rPr>
        <w:t>مناقشة وتحليل</w:t>
      </w:r>
      <w:r>
        <w:rPr>
          <w:rtl w:val="true"/>
        </w:rPr>
        <w:t>:</w:t>
      </w:r>
      <w:bookmarkEnd w:id="77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النظرة السطحية إلى شخصية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وتجاهل صفاته </w:t>
      </w:r>
    </w:p>
    <w:p>
      <w:pPr>
        <w:pStyle w:val="BookText"/>
        <w:rPr/>
      </w:pPr>
      <w:r>
        <w:rPr>
          <w:rFonts w:ascii="IRNazanin" w:hAnsi="IRNazanin" w:eastAsia="IRNazanin"/>
          <w:color w:val="111111"/>
          <w:sz w:val="28"/>
          <w:sz w:val="28"/>
          <w:szCs w:val="28"/>
          <w:rtl w:val="true"/>
          <w:lang w:bidi="fa-IR"/>
        </w:rPr>
        <w:t>الكمالية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يتبادر إلى الذهن في تحليل هذا التبرير ونقده، هو أنه يُمثل الرؤية السطحية والدنيوية إلى شخصيّة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حين أنه منذ نعومة أظفاره قد تربى في حجر أطهر الناس وأعظم الأنبياء، حتى امتزجت شخصيّته وعُجنت بشخصية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تعرّضنا في الفصل الأول من هذا الكتاب في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واسطة الفيض الإلهي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الفصل الثاني في معرض نقد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في الصغر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الإمامة على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أفضلية الأئمة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علة البقاء وحفظ الأرض</w:t>
      </w:r>
    </w:p>
    <w:p>
      <w:pPr>
        <w:pStyle w:val="BookText"/>
        <w:rPr/>
      </w:pPr>
      <w:r>
        <w:rPr>
          <w:rFonts w:ascii="IRNazanin" w:hAnsi="IRNazanin" w:eastAsia="IRNazanin"/>
          <w:color w:val="111111"/>
          <w:sz w:val="28"/>
          <w:sz w:val="28"/>
          <w:szCs w:val="28"/>
          <w:rtl w:val="true"/>
          <w:lang w:bidi="fa-IR"/>
        </w:rPr>
        <w:t>والسماوات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المنازل المعنوية والروحية والكمالات والفضائل الخاصة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رأسهم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بالتفصيل، ونرجو من القارئ الكريم أن يرجع إلى تلك الروايات مرة ثانية كي يتضح له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يتمتع بشخصية خاصة تفوق الطبيعة ولا تخضع للظروف الزمنية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 إدخال عنصر صغر السن يُمثل تجاهلاً واستهانة بكل تلك الروايات النبوية المتواترة في 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تجعل منه أهلاً لتولي أي منصب ومقام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سيادة الأهلية أو النزعة الحزبية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الإشكال المتقدم، حتى إذا أردنا النظر إلى الأمر من الزاوية العادية والدنيوية، مع ذلك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هو الأوفر حظاً لتولي منصب الخلافة من بين سائر المرشحين الآخرين بمن فيهم الخليفة الأول؛ لأنه كان هو الأفضل بسبب اتصافه بجميع الخصائص اللازمة لإدارة الحكم الديني وخلافة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والتدبير، والإدارة، والشجاعة، والسابقة في الإسلام، والانتساب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من بين المبررات التي دعت إلى تعيين الخليفة الأول هو التسرع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أكثر من موضع من هذا الكتاب أن السقيفة قد تشكلت من قبل الأنصار لانتخاب قائد وخليفة من بينهم، وقد سارع عمر بن الخطاب وأبو بكر إلى التوجه نحو السقيفة كي لا يتم إخراجهم من الدائرة السياسية، فأقحما نفسيهما وأقنعا الأنصار من خلال الوعد والوعيد ليكون المنتخب هو أبو بكر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اعترف كل من أبي بكر وعمر بأن ما حدث في السقيفة كان أمر مستعجلاً ومتسرّعاً وأنه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فلتة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لم يتم أخذ الصفات التي يجب توفرها في خليفة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يتعلق بتعيين أبي بكر في حادثة السقيفة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بيان 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أبي بكر بشكل تفصيلي ومقارن، فيحتاج إلى مجال آخر</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معارضة النصوص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أثنى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مختلف المواطن والمواضع واصفاً إياه بأسمى العناوين والصفات،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الميزان والمعيار للهداية، وأنه الفارق بين الحق والباطل، وأنه الملازم للقرآن، وأنه سفينة النجاة، وأنه أمير المؤمنين وحجة الله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ويتضح من اهتمام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يتمتع بشخصية تجعله هو المؤهّل لتولي منصب الخلافة عن رسول الله، من دون أن يكون لحداثة السن أي دور أو تأثير في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أسند </w:t>
      </w:r>
    </w:p>
    <w:p>
      <w:pPr>
        <w:pStyle w:val="BookText"/>
        <w:rPr/>
      </w:pPr>
      <w:r>
        <w:rPr>
          <w:rFonts w:ascii="IRNazanin" w:hAnsi="IRNazanin" w:eastAsia="IRNazanin"/>
          <w:color w:val="111111"/>
          <w:sz w:val="28"/>
          <w:sz w:val="28"/>
          <w:szCs w:val="28"/>
          <w:rtl w:val="true"/>
          <w:lang w:bidi="fa-IR"/>
        </w:rPr>
        <w:t>له في حياته مهام خطيرة من دون أن يأخذ حداثة سنه بنظر الاعتبار کاستخلافه على المدينة المنوّرة عندما غادرها متوجها إلى جبهات القتال في بعض غزواته، وكذلك أسند له قيادة بعض السرايا والجيوش، والقضاء والإمرة على منطقة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ابن عباس ملتفتاً إلى هذه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نجده عندما يحتج عمر بن الخطاب بحداثة سن الإمام، يقول له في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الزبير بن بكار في كتاب الموفقيات،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لأماشي عمر بن الخطاب في سكة من سكك المدينة،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أرى صاحبك إلا مظلوما؛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يسبقني بها،فقلت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فاردد إليه ظلامته، فانتزع يده من يدي ومضى يهمهم ساعة ثم وقف؛ فلحقته،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ما أظنهم منعهم عنه إلا أنه استصغره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استصغره الله ورسوله حين أمراه أن يأخذ براءة من صاحبك</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النصوص النبوية المتعدّدة الدالة على تنصيب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 الحد الأدنى دلالتها على مجرد تعريفه على مستوى التريشح والأولوية من الدرجة الأولى، والذي يُمثل القدر المتيقن من دلالة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كلا الفرضيتين على الصلاحية والاستحقاق الذاتي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لتولي منصب الخلافة والإمامة رغم صغر سنه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عندما يتذرّع أمثال عمر بن الخطاب بصغر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لإبعاده عن حقع في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يرد هذا التساؤل المشروع والمنطقي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هل كان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يطرح تنصيبه أو ترشيحه للخلافة رغم علمه بحداثة سنه، فيكون الداعي إلى تصيبه وترشحه مجرد دوافع شخصية وأسرية؟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كيف يمكن لإخواننا من أهل السنة أن يجيبوا عن مثل هذه الأسئلة؟ ألا يكون في تصرف أهل السنة فيما يسوقونه من التبريرات من أجل الدفاع عن مقام الصحابة من أمثال الخليفة الأول والثاني، تجريحاً لمقام الوحي والنبوة؟ أليس في ما قاموا به من الدفاع عن بعض الصحابة تجريحاً لصحابة آخرين من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وأبي ذر والمقداد وابن عباس، والأهم من ذلك أهل بيت النبوة المتمثلين بالسيدة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 والحسين سيدي شباب أهل الجنة؟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التعارض مع مبنى وسيرة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الذين يظهرون استماتة في الدفاع عن الصحابة، نجد دفاعهم في الغالب أحادي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فيما يتعلق بالخلافة تبنوا دليل أبي بكر وعمر في عزل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وإبعاده عن السلطة، ولكن يجب عليهم الالتفات إلى أن الإمام علي قد ساق كثيراً من الروايات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تقدم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ليثبت أحقيتها بالخلافة والإمامة، وصرّح بعدم أهلية الآخرين وعدم صلاحيتهم للحكم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يطرح هذا السؤال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كاذباً في ادعائه الحق وتقدمه على الآخرين في أمر الخلافة والإمامة، ووصف الآخرين بعد الأهلية والكفاءة وأن ما قاموا به كان غصباً للخلافة؟ لو كانت مصلحة الأمة الإسلامية من بداية الأمر تكمن في خلافة أبي بكر، فلماذا أصرّ الإمام علي من خلال هذا الكم الهائل من التصريحات والمواقف لإثبات أحقيته </w:t>
      </w:r>
    </w:p>
    <w:p>
      <w:pPr>
        <w:pStyle w:val="BookText"/>
        <w:rPr/>
      </w:pPr>
      <w:r>
        <w:rPr>
          <w:rFonts w:ascii="Amiri" w:hAnsi="Amiri" w:eastAsia="Amiri" w:cs="Amiri"/>
          <w:color w:val="111111"/>
          <w:sz w:val="28"/>
          <w:sz w:val="28"/>
          <w:szCs w:val="28"/>
          <w:rtl w:val="true"/>
          <w:lang w:bidi="ar-SA"/>
        </w:rPr>
        <w:t>وأولويّته على الآخرين، بل كانت له في باكورة الأمر ممارسة عملية لاستعادة حقه في الخلافة والإمامة واستلام السلطة؟</w:t>
      </w:r>
    </w:p>
    <w:p>
      <w:pPr>
        <w:pStyle w:val="BookText"/>
        <w:rPr/>
      </w:pPr>
      <w:r>
        <w:rPr>
          <w:rFonts w:ascii="IRNazanin" w:hAnsi="IRNazanin" w:eastAsia="IRNazanin"/>
          <w:color w:val="111111"/>
          <w:sz w:val="28"/>
          <w:sz w:val="28"/>
          <w:szCs w:val="28"/>
          <w:rtl w:val="true"/>
          <w:lang w:bidi="fa-IR"/>
        </w:rPr>
        <w:t>على الإخوة من أهل السنة أن يبينوا لماذا عمدوا في دفاعهم عن الصحابة إلى الانحياز إلى جماعة من الصحابة على حساب جماعة أخرى من الصحابة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وسلمان وأبي ذر الغفاري؟</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نقضي على التذرّع بحداثة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تمسك مخالفو الإمام علي بحداثة سنه، ولأنّ أبا بكر أكبر منه سناً، ولذلك رأوا فيه الأجدر للخلافة والأولى والأنسب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لو كان كبر السن والتجربة الظاهرية في الأمور الدنيوية هو الملاك فى الأفضلية، وكان الأسن هو الأولى بالخلافة، فإنّ هناك كثيراً من الشيوخ وكبار السن الذين فاقوا أبا بكر من أمثال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يكون على هذا القياس أولى من أبي بكر، وهذا ما صرح به نفس أبي قحافة في بعض المواقف، كما أورد موقفه العلامة المجلسي في بحار الأنوار على النحو الآتي</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 أبا قحافة كان بالطائف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وبويع لأبي بكر، فكتب إلى أبيه كتاباً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خليفة رسول الله إلى أبي قحافة، أما بعد، فان الناس قد تراضوا بي، فأنا اليوم خليفة الله، فلو قدمت علينا لكان أحسن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أبو قحافة الكتاب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منعهم من علي ؟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حدث الحسن، وقد أكثر القتل في قريش وغيرها، وأبو بكر أسن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الأمر في ذلك بالسن؛ فأنا أحق من أبي بكر ، لقد ظلموا علياً حقه، ولقد بايع له النبي وأمرنا ببيعته</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النقض الآخر الذي يمكن إيراده على استدلال المخالفين للإمام علي هو توظيف الشباب وأحداث السن من قبل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لتولي مختلف المسؤوليات الحساسة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العسكرية والسياسية والاجتماعية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تقدّم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أسند النبي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من المسؤوليات في ما حياته عندما كان الإمام أحدث سناً، ومع ذلك لم يشكل ذلك مانعاً من تنصيبه من قبل سيد الحكماء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يقتصر تنصيب الرسول على الإمام علي فقط، بل أسند مسؤوليات لغيره من الشباب وكان من بينهم من لم يتخط العقد الثاني من عمره، وأمره على الكثير من الشيوخ والطاعنين في السن، كما حصل ذلك مع أسامة بن زيد حيث عقد له اللواء بيده الشريفه وجعله قائداً على أمثال أبي بكر وعمر وغيرهما، كي يؤصل لمسألة قيادة الأصلح على حساب مبدأ الأسن والأكبر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لاقى ذلك اعتراضاً على سلوك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الذين لم يدركوا لعل حقيقة مقام النبوة، إلا أن النبي أصرّ على موقفه مؤكداً أن الأفضلية والجدارة ليست بكبر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ابن واضح اليعقوبي في تاريخه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أقام أياماً وعقد لأسامة بن زيد بن حارثة على جلة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الجيش أبو بكر وعمر، وتكلم قوم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السن،وابن  سبع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طعنتم عليه، فقبله طعنتم على أبيه، وإن كانا لخليقين للإمارة</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فإن مجرد حداثة السن لا تشكل عقبة أمام تفويض المهام والمسؤوليات الكبرى للأشخاص إذا كانوا أهلاً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إقرار الخليفة الأول والثاني بصلاحية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اعترف أبو بكر بعدم صلاحيته وعدم أولويته للجلوس على مسند الخلافة في كثير من المواطن، ومن ذلك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وليت أمركم ولست بخيركم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أقيلوني ولست بخيركم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رواية بعض كلماته التعبير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أمر يُظهر أن أبا بكر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نفسه صالحاً لمنصب الخلافة بشكل مطلق، وفي بعض الروايات إنه إنما لم يكن يرى نفسه صالحاً لتولي الخلافة بسبب وجود</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هذه المسألة في خطبة له حيث يقول إن أبا بكر من جهة لا يرى صلاحية نفسه للخلافة، ولكنه من جهة أخرى يعيّن عمر بن الخطاب خليفة من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الإمام علي هنا أن هنا أن سبب عدم تنازل الخليفة عن الخلافة لصالحه هو شدة تعلق الخليفتين الأولين باحتلاب أثداء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لَشَدَّ مَا تَشَطَّرَا </w:t>
      </w:r>
    </w:p>
    <w:p>
      <w:pPr>
        <w:pStyle w:val="BookText"/>
        <w:rPr/>
      </w:pPr>
      <w:r>
        <w:rPr>
          <w:rFonts w:ascii="IRNazanin" w:hAnsi="IRNazanin" w:eastAsia="IRNazanin"/>
          <w:color w:val="111111"/>
          <w:sz w:val="28"/>
          <w:sz w:val="28"/>
          <w:szCs w:val="28"/>
          <w:rtl w:val="true"/>
          <w:lang w:bidi="fa-IR"/>
        </w:rPr>
        <w:t>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برّر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أبو حيات التوحيدي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بالخلافة من أجل المنع من الاختلاف وكذلك المنع من تقدم الأنصار على قريش في السقيفة، مذكراً بأنه لو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 لبايعه،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كنت حاضراً لبايعتك</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أقرّ الخليفة الثاني مراراً وتكراراً وفي كلماته مع ابن عباس وغيره بأحقية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وأفضليته لتولي منصب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تقدّم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بذكر ثلاثة أسباب، أو بتعبير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ذرائع</w:t>
      </w:r>
    </w:p>
    <w:p>
      <w:pPr>
        <w:pStyle w:val="BookText"/>
        <w:rPr/>
      </w:pPr>
      <w:r>
        <w:rPr>
          <w:rFonts w:ascii="Amiri" w:hAnsi="Amiri" w:eastAsia="Amiri" w:cs="Amiri"/>
          <w:color w:val="111111"/>
          <w:sz w:val="28"/>
          <w:sz w:val="28"/>
          <w:szCs w:val="28"/>
          <w:rtl w:val="true"/>
          <w:lang w:bidi="ar-SA"/>
        </w:rPr>
        <w:t>منعت من تنصيبه للخلافة،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حداثة سنه، واتصافه بالدعابة، وحبّه لبني عبد المطلب، وأنه لولا هذه الأمور، لما كان هناك من بحث ونقاش حول تنصيبه خليفة على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اثبتنا في الصفحات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نثبت فى الصفحات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الأمور التي تذرّع بها الخليفة الثاني مجرّد ادعاءات وحجج واهية، ومع إثبات هذا الأمر تتضح صلاحية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وأفضليته للإمساك بزمام الحكم والسلطة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التبرير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بالدعابة</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التبريرات التي ساقها الخليفة الثاني لإبعاد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السلطة، هي كونه ذا دعابة ومزاح، وأشار في حواره مع ابن عباس إلى ثلاثة أسباب دعت إلى استبعاد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كثرة دعابته، وبغض </w:t>
      </w:r>
      <w:bookmarkStart w:id="775" w:name="pg15658_147253"/>
    </w:p>
    <w:p>
      <w:pPr>
        <w:pStyle w:val="BookText"/>
        <w:rPr/>
      </w:pPr>
      <w:bookmarkEnd w:id="775"/>
      <w:r>
        <w:rPr>
          <w:rFonts w:ascii="Amiri" w:hAnsi="Amiri" w:eastAsia="Amiri" w:cs="Amiri"/>
          <w:color w:val="111111"/>
          <w:sz w:val="28"/>
          <w:sz w:val="28"/>
          <w:szCs w:val="28"/>
          <w:rtl w:val="true"/>
          <w:lang w:bidi="ar-SA"/>
        </w:rPr>
        <w:t>قريش له، وصغر سنه</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،وصرّح بأنه لولا هذه الخصال لم يكن هناك من هو أنسب منه للخلافة</w:t>
      </w:r>
      <w:r>
        <w:rPr>
          <w:rFonts w:eastAsia="Amiri" w:cs="Amiri" w:ascii="Amiri" w:hAnsi="Amiri"/>
          <w:color w:val="111111"/>
          <w:sz w:val="28"/>
          <w:szCs w:val="28"/>
          <w:rtl w:val="true"/>
          <w:lang w:bidi="ar-SA"/>
        </w:rPr>
        <w:t>.</w:t>
      </w:r>
    </w:p>
    <w:p>
      <w:pPr>
        <w:pStyle w:val="Heading3"/>
        <w:numPr>
          <w:ilvl w:val="2"/>
          <w:numId w:val="1"/>
        </w:numPr>
        <w:rPr/>
      </w:pPr>
      <w:bookmarkStart w:id="776" w:name="__RefHeading___Toc11030771_2142443653"/>
      <w:bookmarkStart w:id="777" w:name="_Toc281"/>
      <w:bookmarkEnd w:id="776"/>
      <w:r>
        <w:rPr>
          <w:rtl w:val="true"/>
        </w:rPr>
        <w:t>مناقشة وتحليل</w:t>
      </w:r>
      <w:r>
        <w:rPr>
          <w:rtl w:val="true"/>
        </w:rPr>
        <w:t>:</w:t>
      </w:r>
      <w:bookmarkEnd w:id="777"/>
    </w:p>
    <w:p>
      <w:pPr>
        <w:pStyle w:val="BookText"/>
        <w:rPr/>
      </w:pPr>
      <w:r>
        <w:rPr>
          <w:rFonts w:ascii="Amiri" w:hAnsi="Amiri" w:eastAsia="Amiri" w:cs="Amiri"/>
          <w:color w:val="111111"/>
          <w:sz w:val="28"/>
          <w:sz w:val="28"/>
          <w:szCs w:val="28"/>
          <w:rtl w:val="true"/>
          <w:lang w:bidi="ar-SA"/>
        </w:rPr>
        <w:t>في معرض تحليل هذه الشبهة يجدر التأمل فيما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تناسب الدعابة مع شخصيّة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المراد من كون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دعابة، أنه كان ذلك منه بشكل مفرط بحيث يهتك قيمته وكرامته لدى الآخرين، فيجب القول إن 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تؤيد ذلك، بل الملاحظ من سيرته أنه كان من أهل الحزم والجد في تنفيذ الأمور ، فلم يكن يتسامح أو يتساهل أو يمازح، وكان في سوح القتال رجلاً ماضياً شجاعاً مقداماً لا يلوي على شيء، وكانت فرائص أعدائه ترتعد خوفاً وفرقاً من سيفه وجديته في القتال، يشهد لذلك ما كان منه مع عمرو بن عبد ود في حرب الأحزاب، واقتلاعه باب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كان حازماً في تطبيق الأحكام الدينية وحدود الشريعة من دون أدنى تسامح، وقد روي 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 على جيش، وعند العودة قام بعض من في هذا الجيش بالشكاية لرسول الله من شدة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ولكن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للدفاع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مؤيداً أسلوبه الحازم، قائلاً</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لا تشكوا علياً فوالله إنه لأخشى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لأخشن، أو لأخيشن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ذات الله، أو في سبيل الله من أن يشكى</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بإعدام الذين بالغوا وغلوا في حبّه حتى ألهوه، بعد أن استنابهم، وعدم رجوعهم عن غيهم</w:t>
      </w:r>
      <w:r>
        <w:rPr>
          <w:rStyle w:val="FootnoteAnchor"/>
          <w:rtl w:val="true"/>
        </w:rPr>
        <w:footnoteReference w:id="8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أجرى الحد على أحد أصحابه وهو النجاشي بعد أن ثبت عليه أنه شرب الخمر في شهر رمضان، ولم يستمع لمن جاء يتشفّع له</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وانظر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المئة في حياة أبي الأئمة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خلال هذه الأمثلة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التى تثبت المنهج العملي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يتضح أنه لم يكن من أهل المزاح، وإنما كان سهل المعشر دمث الأخلاق طلق المحيّا، وكان يتعامل مع من حوله بلطف ودمائة، فلم يكن فظاً غليظ القلب، وقد ورد عن بعض أصحابه من أمثال سعد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يكن من ذوي الغلظة وسوء الصحبة</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تأسى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الصفة بالنبي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وصفت كتب التاريخ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يتبسط إلى الناس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دائم البشر، سهل الخلق، لين الجانب، ليس بفظ، ولا غليظ ، ولا 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في النبي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للنبي مهابة؛ فكان يبسط الناس بالدعابة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وعليه فإنّ التحلّي بالصفات الجمالية والكمالية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اللين و دماثة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يعد من الصفات السلبية للحاكم، بل على عكس ذلك تماماً؛ إذ إنّها تعدّ من الصفات الإيجابية التي تساعده على التقرب من الرعية، ولو أنها كانت تُعدُّ من الصفات القبيحة والسلبية التي تعد نقصاً في الحاكم، لما اتصف بها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الصفات المقابلة أي الخشونة والشدة والقسوة، هي</w:t>
      </w:r>
    </w:p>
    <w:p>
      <w:pPr>
        <w:pStyle w:val="BookText"/>
        <w:rPr/>
      </w:pPr>
      <w:r>
        <w:rPr>
          <w:rFonts w:ascii="IRNazanin" w:hAnsi="IRNazanin" w:eastAsia="IRNazanin"/>
          <w:color w:val="111111"/>
          <w:sz w:val="28"/>
          <w:sz w:val="28"/>
          <w:szCs w:val="28"/>
          <w:rtl w:val="true"/>
          <w:lang w:bidi="fa-IR"/>
        </w:rPr>
        <w:t xml:space="preserve">التي تعد من الصفات القبيحة والسلبية، بالنسبة إلى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كان يشترط في الحاكم أن لا يتصف بالصفات السلبية، فيجب عليه أن لا يتصف بالغلظة والشدة والقسوة وسوء الخلق، فيجب على من يخلف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يتصف بهذه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اتهام الإمام علي بهذه التهمة لم يقتصر صدوره عن الخليفة الثاني فقط، بل عمد آخرون من أمثال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أمه من ذوات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الترويج لهذه التهمة،</w:t>
      </w:r>
    </w:p>
    <w:p>
      <w:pPr>
        <w:pStyle w:val="BookText"/>
        <w:rPr/>
      </w:pPr>
      <w:r>
        <w:rPr>
          <w:rFonts w:ascii="Amiri" w:hAnsi="Amiri" w:eastAsia="Amiri" w:cs="Amiri"/>
          <w:color w:val="111111"/>
          <w:sz w:val="28"/>
          <w:sz w:val="28"/>
          <w:szCs w:val="28"/>
          <w:rtl w:val="true"/>
          <w:lang w:bidi="ar-SA"/>
        </w:rPr>
        <w:t>فردّ عليه الإمام بجواب صريح يذكّره فيه بما كانت عليه حقيقة أمه قائلاً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لِاِبْنِ النَّابِغَةِ يَزْعُمُ لِأَهْلِ الشَّامِ أَنَّ فِي دُعَابَةٌ، وَأَنِّي امْرُقٌ تِلْعَابَةٌ أَعَافِسٌ وَأَمَارِسُ، لَقَدْ قَالَ بَاطِلاً، وَنَطَقَ أَيْمَا، أَمَا وَشَرُّ الْقَوْلِ الْكَذِبُ، إِنَّهُ لَيَقُولُ فَيَكْذِبُ، وَيَعِدُ فَيُخْلِفُ، وَيُسْأَلُ فَيَبْخَلُ، وَيَسْأَلُ فَيُلْحِفُ، وَيَكُونُ </w:t>
      </w:r>
    </w:p>
    <w:p>
      <w:pPr>
        <w:pStyle w:val="BookText"/>
        <w:rPr/>
      </w:pPr>
      <w:r>
        <w:rPr>
          <w:rFonts w:ascii="Amiri" w:hAnsi="Amiri" w:eastAsia="Amiri" w:cs="Amiri"/>
          <w:color w:val="111111"/>
          <w:sz w:val="28"/>
          <w:sz w:val="28"/>
          <w:szCs w:val="28"/>
          <w:rtl w:val="true"/>
          <w:lang w:bidi="ar-SA"/>
        </w:rPr>
        <w:t xml:space="preserve">الْعَهْدَ، وَيَقْطَعُ الْإِلَّ، فَإِذَا كَانَ عِنْدَ الْحَرْبِ فَأَيُّ زَاجِرٍ وَآمِرٍ هُوَ مَا لَمْ تَأْخُذِ اَلسُّيُوفُ مَآخِذَهَا، فَإِذَا كَانَ ذَلِكَ كَانَ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مَكِيدَتِهِ أَنْ يَمْنَحَ الْقَوْمَ الْقِرْمَ سَبَّتَهُ، أَمَا وَاللَّهِ إِنِّي لَيَمْنَعُنِي مِنَ اللَّعِب ذِكْرُ الْمَوْتِ، وَ إِنَّهُ لَيَمْنَعُهُ مِنْ قَوْلِ اَلْحَقِّ نِسْيَانُ الأَخِرَةِ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انسجام التهمة مع نصوص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ذكرنا في فصل الإجابة عن شبهة عدم وجود النص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كثيراً من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والتي بموجبها تم تنصيبه إماماً وخليفة على المسلمين، فإذا صحت هذه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عدم صلاحية الإمام علي للإمامة والخلافة بسبب دعابته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يرد هذا الإشكال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تسنى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ينصبه في هذا المنصب مع علمه باتصافه بهذه الصفة؟ وهل كان النبي يجهل اتصاف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الصفة رغم أنه تربّى في حجره منذ نعومة أظفاره؟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 هذا الجانب، وعمد إلى تنصيبه في هذا المنصب الحسّاس والخطير رغم علمه بعدم صلاحيته، وأنه كان في ذلك مدفوعاً بالعواطف الشخصية،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الرابط الأسري الذي يربط بينه وبين ابن عمه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يمكن للخليفة الثاني وأفراد حاشيته وبطانته أن يلتزموا بتبعات 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النبي لمثل هذه المسألة الواضحة، وانحيازه إلى العامل الأسري والقبلي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ويدعون مع ذلك أنهم من أهل السنة والمدافعين عن السنة النبوية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انسجام التهمة مع الأولوية والأحقية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إن دلالة </w:t>
      </w:r>
    </w:p>
    <w:p>
      <w:pPr>
        <w:pStyle w:val="BookText"/>
        <w:rPr/>
      </w:pPr>
      <w:r>
        <w:rPr>
          <w:rFonts w:ascii="IRNazanin" w:hAnsi="IRNazanin" w:eastAsia="IRNazanin"/>
          <w:color w:val="111111"/>
          <w:sz w:val="28"/>
          <w:sz w:val="28"/>
          <w:szCs w:val="28"/>
          <w:rtl w:val="true"/>
          <w:lang w:bidi="fa-IR"/>
        </w:rPr>
        <w:t>النصوص النبوية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بوصفها أصلاً دينياً في مجال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نقاش، وأن هذه الدلالة بحسب المصطلح أول الكلام،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بهذه الشبهة، يبقى أصل التعارض قائماً، إذ لا نقاش في الحد الأدنى في دلالة هذه النصوص المتظافرة على ترشيح الإمام علي وتعريفه بوصفه صالحاً لتولي أمر الخلافة والإمامة وأحقيته في ذلك، وعليه يأتي السؤال المتقدم والقائل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عدم صلاحية الإمام علي لتولي مثل هذا المنصب الخطير، كيف تسنى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ترشيحه لهذا المنصب؟ هل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يجهل اتصاف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الصفة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كثرة المزاح والدعابة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أنه 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 المصالح الشخصية على مصلحة الأمة في ترشيحه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تمسك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بأحقيته وصلاحيته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تمسك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كثير من خطبه بصلاحيته الحصرية وأحقيته بمنصب الإمامة والخلافة، واصفاً نفسه فى ذلك بالقطب من الرحى، وأخذ يشكو بمرارة من اغتصاب الآخرين لحقه في الخلافة، على ما مرّت الإشارة إلى ذلك في الفصول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يطرح هذا السؤال نفسه هل كان النبي في هذه الموارد يؤكد على صلاحيته وأحقيته بالحكم والخلافة رغم علمه بعدم صلاحيته لذلك؟ ألا يعني ذلك اتهام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بالكذب؟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يبيح أهل السنة لأنفسهم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يتبجحون بالتحمّس في الدفاع عن الصحابة والقول بعد 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يتهموا الإمام علي بعلم أو بغير علم منهم بمثل هذا الاتهام، وهو الذي وصفه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بكثير من الفضائل والمناقب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الفصل بين الحق والباطل، وأنه مدار الهداية، وأنه مع </w:t>
      </w:r>
    </w:p>
    <w:p>
      <w:pPr>
        <w:pStyle w:val="BookText"/>
        <w:rPr/>
      </w:pPr>
      <w:r>
        <w:rPr>
          <w:rFonts w:ascii="Amiri" w:hAnsi="Amiri" w:eastAsia="Amiri" w:cs="Amiri"/>
          <w:color w:val="111111"/>
          <w:sz w:val="28"/>
          <w:sz w:val="28"/>
          <w:szCs w:val="28"/>
          <w:rtl w:val="true"/>
          <w:lang w:bidi="ar-SA"/>
        </w:rPr>
        <w:t>القرآن والقرآن معه، وأنه سفينة النجاة، وما إلى ذلك من الصفات الإيجابية؟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هذه التهمة مع إقراره بصلاحية الإمام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علي كان حقاً غير مؤهل لتولي منصب الخلافة من وجهة نظر عمر بن الخطاب بسبب ما وصفه به من الدعابة وكثرة المزاح، فإننا نتساءل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أباح عمر لنفسه إذن أن يرشح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ضمن الشورى المؤلفة من المرشحين الستة لأحراز هذا المنصب بعد وفاته؟ فهل تغيّر الإمام علي خلال هذه الفترة ولم تعد فيه دعابة؟ أو أن هذه الصفة لم تكن تشكل مانعاً حقيقياً لتولي هذا المنصب، أو أن هذا المنصب ينسجم تمام الانسجام مع الاتصاف بهذه الصفة ؟</w:t>
      </w:r>
    </w:p>
    <w:p>
      <w:pPr>
        <w:pStyle w:val="BookText"/>
        <w:rPr/>
      </w:pPr>
      <w:r>
        <w:rPr>
          <w:rFonts w:ascii="IRNazanin" w:hAnsi="IRNazanin" w:eastAsia="IRNazanin"/>
          <w:color w:val="111111"/>
          <w:sz w:val="28"/>
          <w:sz w:val="28"/>
          <w:szCs w:val="28"/>
          <w:rtl w:val="true"/>
          <w:lang w:bidi="fa-IR"/>
        </w:rPr>
        <w:t>تكذيب ابن أبي الحديد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ختام هذا البحث نشير إلى إقرار ابن أبي الحديد المعتزلي وإنكاره أن يكون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متصفاً بصفة الدعابة بمعناها السلبي، وذلك إذ يقول</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تأمّل كتب السير عرف صدق هذا القول وعرف أن عمرو بن العاص أخذ كلمة عمر إذ لم يقصد بها العيب فجعلها عيباً، وزاد عليها أنه كثير اللعب يعافس النساء ويمارسهن وأنه صاحب 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 الله لقد كان أبعد الناس من ذلك وأي وقت كان يتسع 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فيه على هذه الصفات، فإن أزمانه كلها في العبادة والصلاة والذكر والفتاوي والعلم، واختلاف الناس إليه في الأحكام، وتفسير القرآن ونهاره كله أو معظمه مشغول بالصوم، وليله كله أو معظمه مشغول بالصلاة، هذا في أيام سلمه، فأما أيام حربه فبالسيف الشهير والسنان الطرير وركوب الخيل، وقود الجيش ومباشرة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ليمنعني من اللعب ذكر الموت، ولكن </w:t>
      </w:r>
      <w:bookmarkStart w:id="778" w:name="pg15658_147259"/>
    </w:p>
    <w:p>
      <w:pPr>
        <w:pStyle w:val="BookText"/>
        <w:rPr/>
      </w:pPr>
      <w:bookmarkEnd w:id="778"/>
      <w:r>
        <w:rPr>
          <w:rFonts w:ascii="Amiri" w:hAnsi="Amiri" w:eastAsia="Amiri" w:cs="Amiri"/>
          <w:color w:val="111111"/>
          <w:sz w:val="28"/>
          <w:sz w:val="28"/>
          <w:szCs w:val="28"/>
          <w:rtl w:val="true"/>
          <w:lang w:bidi="ar-SA"/>
        </w:rPr>
        <w:t xml:space="preserve">الرجل الشريف النبيل الذي لا يستطيع أعداؤه أن يذكروا له عيباً، أو يعدوا عليه ،وصمة، لا بد أن يحتالوا ويبذلوا جهدهم في تحصيل أمر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يجعلونه عذراً لأنفسهم في ذمّه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1030773_2142443653"/>
      <w:bookmarkStart w:id="780" w:name="_Toc282"/>
      <w:bookmarkEnd w:id="779"/>
      <w:r>
        <w:rPr>
          <w:rtl w:val="true"/>
        </w:rPr>
        <w:t>التبرير السادس</w:t>
      </w:r>
      <w:r>
        <w:rPr>
          <w:rtl w:val="true"/>
        </w:rPr>
        <w:t xml:space="preserve">: </w:t>
      </w:r>
      <w:r>
        <w:rPr>
          <w:rtl w:val="true"/>
        </w:rPr>
        <w:t>مخالفة العرب له</w:t>
      </w:r>
      <w:r>
        <w:rPr>
          <w:rtl w:val="true"/>
        </w:rPr>
        <w:t>:</w:t>
      </w:r>
      <w:bookmarkEnd w:id="780"/>
    </w:p>
    <w:p>
      <w:pPr>
        <w:pStyle w:val="BookText"/>
        <w:rPr/>
      </w:pPr>
      <w:r>
        <w:rPr>
          <w:rFonts w:ascii="IRNazanin" w:hAnsi="IRNazanin" w:eastAsia="IRNazanin"/>
          <w:color w:val="111111"/>
          <w:sz w:val="28"/>
          <w:sz w:val="28"/>
          <w:szCs w:val="28"/>
          <w:rtl w:val="true"/>
          <w:lang w:bidi="fa-IR"/>
        </w:rPr>
        <w:t>إن من بين التبريرات التي ذكرها المخالفون لتولي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والإمامة، أن العرب وقريش كانوا يكرهون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الإمام علي قد قتل كثيراً من صناديد العرب، وخاصة من أهل مكة وقبيلة قريش في الحروب عندما لم يكونوا مسلمين، وهو أمرٌ أوغر صدور ذويهم حقداً وكراهية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الخليفة الثاني في كلام له مع ابن عباس،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والله ما فعلنا الذي فعلنا عن عداوة، ولكن استصغرناه، وخشينا أن لا تجتمع عليه العرب وقريش لما قد وترها</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تحدث مع ابن عباس عن بغض قريش بوصفه أحد التبريرات لما قام به فى يوم السقيفة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1030775_2142443653"/>
      <w:bookmarkStart w:id="782" w:name="_Toc283"/>
      <w:bookmarkEnd w:id="781"/>
      <w:r>
        <w:rPr>
          <w:rtl w:val="true"/>
        </w:rPr>
        <w:t>مناقشة وتحليل</w:t>
      </w:r>
      <w:r>
        <w:rPr>
          <w:rtl w:val="true"/>
        </w:rPr>
        <w:t>:</w:t>
      </w:r>
      <w:bookmarkEnd w:id="782"/>
    </w:p>
    <w:p>
      <w:pPr>
        <w:pStyle w:val="BookText"/>
        <w:rPr/>
      </w:pPr>
      <w:r>
        <w:rPr>
          <w:rFonts w:ascii="Amiri" w:hAnsi="Amiri" w:eastAsia="Amiri" w:cs="Amiri"/>
          <w:color w:val="111111"/>
          <w:sz w:val="28"/>
          <w:sz w:val="28"/>
          <w:szCs w:val="28"/>
          <w:rtl w:val="true"/>
          <w:lang w:bidi="ar-SA"/>
        </w:rPr>
        <w:t>في معرض تحليل وتقييم هذه النسبة يجدر التأمل في الأمور الآتية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ادعاء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يمكن قوله في تحليل هذا التبرير </w:t>
      </w:r>
    </w:p>
    <w:p>
      <w:pPr>
        <w:pStyle w:val="BookText"/>
        <w:rPr/>
      </w:pPr>
      <w:r>
        <w:rPr>
          <w:rFonts w:ascii="IRNazanin" w:hAnsi="IRNazanin" w:eastAsia="IRNazanin"/>
          <w:color w:val="111111"/>
          <w:sz w:val="28"/>
          <w:sz w:val="28"/>
          <w:szCs w:val="28"/>
          <w:rtl w:val="true"/>
          <w:lang w:bidi="fa-IR"/>
        </w:rPr>
        <w:t>فلماذا</w:t>
      </w:r>
    </w:p>
    <w:p>
      <w:pPr>
        <w:pStyle w:val="BookText"/>
        <w:rPr/>
      </w:pPr>
      <w:r>
        <w:rPr>
          <w:rFonts w:ascii="IRNazanin" w:hAnsi="IRNazanin" w:eastAsia="IRNazanin"/>
          <w:color w:val="111111"/>
          <w:sz w:val="28"/>
          <w:sz w:val="28"/>
          <w:szCs w:val="28"/>
          <w:rtl w:val="true"/>
          <w:lang w:bidi="fa-IR"/>
        </w:rPr>
        <w:t>هو أن الخليفة الثاني كيف عرف جازماً بأن العرب سوف تمتنع عن القبول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منصباً من 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له، أو أنه فى الحدّ الأدنى مؤهّل ومستحق لهذا المنصب، تمتنع الأمة عن القبول بالخليفة المرشح والمؤيّد من قبل النبي من جهة، والذي يتمتع بالحظ الأوفر لكونه الأصلح من غيره لهذا المقام من جهة أخرى؟</w:t>
      </w:r>
    </w:p>
    <w:p>
      <w:pPr>
        <w:pStyle w:val="BookText"/>
        <w:rPr/>
      </w:pPr>
      <w:r>
        <w:rPr>
          <w:rFonts w:ascii="IRNazanin" w:hAnsi="IRNazanin" w:eastAsia="IRNazanin"/>
          <w:color w:val="111111"/>
          <w:sz w:val="28"/>
          <w:sz w:val="28"/>
          <w:szCs w:val="28"/>
          <w:rtl w:val="true"/>
          <w:lang w:bidi="fa-IR"/>
        </w:rPr>
        <w:t xml:space="preserve">وعلى حد تعبير المحقق السني المعاصر والبارز والمنصف عبد الفتاح عبد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كان ينقص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مؤهلات القيادة</w:t>
      </w:r>
      <w:r>
        <w:rPr>
          <w:rStyle w:val="FootnoteAnchor"/>
          <w:rtl w:val="true"/>
        </w:rPr>
        <w:footnoteReference w:id="8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يكن عميد الأسرة الهاشمية، وحفيد عبد المطلب وهاشم وابن أبى طالب الذين توارثوا رئاسة وزعامة مكة أباً عن جد لسنوات طويلة ومتعاقبة ؟ ألم يتربّ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حجر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أن كان صغيراً حتى شب وترعرع واشتد عوده؟ ألم يكن من حيث القرابة والنسب ابن عم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وصهره ؟ ألم يختره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له ؟ ألم يكن أبا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ملاحظة هذه الخصائص يتضح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يعاني من أي نقص يمنعه من تولي رئاسة العرب، كي يتذرّع به العرب في تبرير امتناعه عن القبول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الصحابي الجليل سلمان الفارسي إلى هذه الحقيقة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أصبتم ذا السن منكم ولكنكم أخطأتم أهل بيت نبيكم، أما لو جعلتموها فيهم ما اختلف منكم اثنان، ولأكلتموها رغداً</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تأثير الحاقدين والمبغضين لو سلمنا جدلاً بتبرير عمر بأن العرب وخاصة المكيين منهم كانوا يبغضون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الحروب التي خاضها تحت لواء رسول الله ضدّهم، والتي قتل فيها وجرح كثيراً من المشركين، فجر عليه لذلك أحقاد ذويهم، فلا بد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إيضاح هذه النقطة، وهي أن القتال في تلك الأزمنة كان يتم بالسلاح الأبيض والالتحام الفردي، ولو أحصينا الذين قتلوا على يد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يكون عددهم محدوداً، وعليه لا يمكن أن يكون مؤثراً في</w:t>
      </w:r>
    </w:p>
    <w:p>
      <w:pPr>
        <w:pStyle w:val="BookText"/>
        <w:rPr/>
      </w:pPr>
      <w:r>
        <w:rPr>
          <w:rFonts w:ascii="Amiri" w:hAnsi="Amiri" w:eastAsia="Amiri" w:cs="Amiri"/>
          <w:color w:val="111111"/>
          <w:sz w:val="28"/>
          <w:sz w:val="28"/>
          <w:szCs w:val="28"/>
          <w:rtl w:val="true"/>
          <w:lang w:bidi="ar-SA"/>
        </w:rPr>
        <w:t>مخالفة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العدد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الجرحى أو أسر المقتولين وذويهم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أسلموا لاحقاً وحسن إيمانهم، وأدركوا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يقتلهم لأغراض وأحقاد شخصية، وإنما قتلهم في سبيل الله ومن أجل الإسلام، ولذلك لا يبقى لأحقادهم محل من الإعراب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أجاب به ابن عباس في حواره مع عمر بن الخطاب عندما تذرع ببغض قريش له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سلمنا بقاء شيء من الغل والحقد في قلوب البعض منهم، إلا أنهم من القلة بحيث لا يشكلون رقماً صعباً يمكنه الوقوف بوجه حكومة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وخلافته المتمثلة بقيادة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الإساءة إلى قريش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نفس نسبة الحقد والبغض للعرب وخاصة قريش وأهل مكة الذين أسلم أكثرهم لاحقاً وحسن إسلامهم، وأخلصوا إخلاصاً حقيقياً في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وحسنت صحبتهم فيه </w:t>
      </w:r>
    </w:p>
    <w:p>
      <w:pPr>
        <w:pStyle w:val="BookText"/>
        <w:rPr/>
      </w:pPr>
      <w:r>
        <w:rPr>
          <w:rFonts w:ascii="Amiri" w:hAnsi="Amiri" w:eastAsia="Amiri" w:cs="Amiri"/>
          <w:color w:val="111111"/>
          <w:sz w:val="28"/>
          <w:sz w:val="28"/>
          <w:szCs w:val="28"/>
          <w:rtl w:val="true"/>
          <w:lang w:bidi="ar-SA"/>
        </w:rPr>
        <w:t>إساءة لهم، وعليه فإن توجيه هذا النسبة لهم، يتعارض مع مبنى أهل السنة في القول بعدالة الصحابة، علاوة على أن هذه النسبة تنطوي على إساءة للعرب وقريش، إذ تعني أنهم كانوا في خياراتهم يقدمون أحقادهم وأهواءهم الشخصية على مصالح الدين الإسلامي الحنيف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حد تعبير ابن عباس في رده على مزاعم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بغض قريش له فعلى من تنقم؟ أعلى الله حين بعث فيهم نبياً، أم على نبيه ، أدّى فيهم الرسالة، أم على علي</w:t>
      </w:r>
    </w:p>
    <w:p>
      <w:pPr>
        <w:pStyle w:val="BookText"/>
        <w:rPr/>
      </w:pPr>
      <w:r>
        <w:rPr>
          <w:rFonts w:ascii="Amiri" w:hAnsi="Amiri" w:eastAsia="Amiri" w:cs="Amiri"/>
          <w:color w:val="111111"/>
          <w:sz w:val="28"/>
          <w:sz w:val="28"/>
          <w:szCs w:val="28"/>
          <w:rtl w:val="true"/>
          <w:lang w:bidi="ar-SA"/>
        </w:rPr>
        <w:t>حين قاتلهم فى سبيل الله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ضرورة السعي إلى انتخاب القائد الأصلح لا إضعافه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آمنا بصلاحية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أصلحية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مثل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للخلافة، وهو ما أذعن به الخليفة الثاني، ولكنه أشار في مقام تبرير عدم انتخابه إلى موانع مثل مخالفة قريش له واعتراضها عليه، يجب إعداد الأرضية لتولي الأصلح مقاليد الأمور، بيد أن النظر في تاريخ عصر النبي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وخاصة الأيام الأخيرة من عمره الشريف وما كان من أمر السقيفة يُثبت أن الخليفة الأول والثاني لم يقتصرا على عدم القيام بأي مسعى في هذا الاتجاه وفي 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وانتخابه بوصفه الأصلح للحكومة فحسب، بل تم السعي على العكس من هذا الاتجاه، حيث بذل المستحيل من أجل تنصيب الخليفة الأول وانتخابه، كما يتجلى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كتابة وصيته في اللحظات الأخيرة من حياته، على ما تقدم أن ذكرناه في الفصول السابقة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الوصية غير المكتوبة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وإصرار عائشة على أن يتولى 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الصلاة بالمسلمين جماعة، عندما كان النبي طريح المرض، وتداول أمر </w:t>
      </w:r>
    </w:p>
    <w:p>
      <w:pPr>
        <w:pStyle w:val="BookText"/>
        <w:rPr/>
      </w:pPr>
      <w:r>
        <w:rPr>
          <w:rFonts w:ascii="IRNazanin" w:hAnsi="IRNazanin" w:eastAsia="IRNazanin"/>
          <w:color w:val="111111"/>
          <w:sz w:val="28"/>
          <w:sz w:val="28"/>
          <w:szCs w:val="28"/>
          <w:rtl w:val="true"/>
          <w:lang w:bidi="fa-IR"/>
        </w:rPr>
        <w:t xml:space="preserve">الخلافة وتناولهما فيما بينهما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وأبي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السقيفة، من دون إتيانهما على أي ذكر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الشأن، إلى غير ذلك من الموارد التي تثبت أن الخليفتين الأولين تعاونا وتعاضدا على الاستيلاء على مسند الحكم والسلطة واغتصاب الحق من صاحبه الشرعي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مثل هذه الجهود والمساعي لا تنسجم مع مبنى الشيخين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اعترفا في أكثر من موضع بأصلحية وأحقية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بشكل صريح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تفوض الأمر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استقرار الحكومة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أننا أغمضنا الطرف عن الإشكالات السابقة، وسلّمنا بأن الأرضية لاستلام الحكم لم تكن ممهدة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لابد من التوجه إلى الخليفة الأول بالسؤال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لماذا لم ينقل السلطة بعد استقرار الأمور إلى من هو الأصلح منه بالطرق السلمية؟</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ولماذا اختار عمر بن الخطاب خليفة بعده وليس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ولماذا لم يبادر عمر بعد استتاب الأمور إلى نقل السلطة إلى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صاحبها الشرعي، وقد سبق أن اعترف له بذلك متذرعاً لإبعاده عن حقه ببغض العرب له واعتراضهم عليه ؟ ولماذا لم يجعل الخليفة الثاني مرشحه للخلافة بعده الأصلح من بين أفراد الأمة؟ بل جعله سادساً ضمن مهزلة الشورى على ما تقدّمت الإشارة لذلك، والذي كانت نتيجته الطبيعة لمصلحة انتخاب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تدلّ هذه القرائن على أن الشيخين كانا بصدد تبرير أفعالهما في اغتصاب السلطة والخلافة؟ </w:t>
      </w:r>
      <w:bookmarkStart w:id="783" w:name="pg15658_147264"/>
    </w:p>
    <w:p>
      <w:pPr>
        <w:pStyle w:val="Heading3"/>
        <w:numPr>
          <w:ilvl w:val="2"/>
          <w:numId w:val="1"/>
        </w:numPr>
        <w:rPr/>
      </w:pPr>
      <w:bookmarkStart w:id="784" w:name="__RefHeading___Toc11030777_2142443653"/>
      <w:bookmarkStart w:id="785" w:name="_Toc284"/>
      <w:bookmarkEnd w:id="783"/>
      <w:bookmarkEnd w:id="784"/>
      <w:r>
        <w:rPr>
          <w:rtl w:val="true"/>
        </w:rPr>
        <w:t>التبرير السابع</w:t>
      </w:r>
      <w:r>
        <w:rPr>
          <w:rtl w:val="true"/>
        </w:rPr>
        <w:t xml:space="preserve">: </w:t>
      </w:r>
      <w:r>
        <w:rPr>
          <w:rtl w:val="true"/>
        </w:rPr>
        <w:t>إيثار قبيلته من بني عبد المطلب</w:t>
      </w:r>
      <w:r>
        <w:rPr>
          <w:rtl w:val="true"/>
        </w:rPr>
        <w:t>:</w:t>
      </w:r>
      <w:bookmarkEnd w:id="785"/>
    </w:p>
    <w:p>
      <w:pPr>
        <w:pStyle w:val="BookText"/>
        <w:rPr/>
      </w:pPr>
      <w:r>
        <w:rPr>
          <w:rFonts w:ascii="IRNazanin" w:hAnsi="IRNazanin" w:eastAsia="IRNazanin"/>
          <w:color w:val="111111"/>
          <w:sz w:val="28"/>
          <w:sz w:val="28"/>
          <w:szCs w:val="28"/>
          <w:rtl w:val="true"/>
          <w:lang w:bidi="fa-IR"/>
        </w:rPr>
        <w:t xml:space="preserve">إن من بين الذرائع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ساقها الخليفة الثاني ونسبها إلى الإمام علي اتهامه بتقديم مصالح أقاربه وقبيلته على مصالح الدين والأمة، حيث قال في بعض تبريراته التي ذكرها لإبعاد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السلطة والخلافة أنه كان يُحبّ أبناء قبيلته، يعني بذلك أبناء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ولذلك لم يرتض العرب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نص عبارته التي ألقاها على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أما والله إن كان صاحبك هذا أولى الناس بالأمر بعد وفاة رسول الله، إلا أنا خفناه على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بمنطق لم أجد بداً معه من مسألته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خشيناه على حداثة سنه وحبّه بني عبد المطلب</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1030779_2142443653"/>
      <w:bookmarkStart w:id="787" w:name="_Toc285"/>
      <w:bookmarkEnd w:id="786"/>
      <w:r>
        <w:rPr>
          <w:rtl w:val="true"/>
        </w:rPr>
        <w:t>مناقشة وتحليل</w:t>
      </w:r>
      <w:r>
        <w:rPr>
          <w:rtl w:val="true"/>
        </w:rPr>
        <w:t>:</w:t>
      </w:r>
      <w:bookmarkEnd w:id="78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كلّ من لديه أدنى اطلاع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على نحو الإجمال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سيرة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وصفاته، سوف يأخذه العجب والذهول والحزن عند سماعه لهذه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 هذا الاتهام هو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يكن يمتلك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الإيمان والورع والعدالة ما يمنعه من إيثار مصلحة قبيلته وأسرته على مصالح الدين والمسلمين وبيت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تقدم أن ذكرنا أن بعض الذين أمر النبي الأكرم عليهم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يشكون من شدته وعدم تسامحه فيما يتعلق بأمور بيت المال، وأن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الرفض مضمون هذه الشكوى واصفاً الإمام على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لا تشكوا علياً فوالله إنه لأخشى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ذات الله، أو في سبيل الله من أن يشكى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وصل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الحكم سار سيرة عادلة، بل أكثر من ذلك على ما ورد في كثير من المشاهد الموجودة في العديد من المصادر الروائية والتاريخية عند أهل السنة والشيعة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سنكتفي بالإشارة إلى مثالين بارزين في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بلغ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شقيق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الشيخوخة، وكان يعاني من فقدان البصر، لجأ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واصطحب معه صبيته يشكو إليه شدة الفقر، وطلب منه العون من بيت المال فما كان من الإمام على إلا أن لقنه درساً عملياً بليغاً على ما هو وارد في نهج البلاغة على النحو الآتي</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لَقَدْ رَأَيْتُ عَقِيلاً وَقَدْ أَمْلَقَ، حَتَّى اسْتَمَاحَنِي مِنْ بُرَّكُمْ صَاعاً، وَرَأَيْتُ صِبْيَانَهُ شُعْثَ الشُّعُورِ، غُبْرَ الْأَلْوَانِ مِنْ فَقْرِهِمْ، كَأَنَّمَا سُوِّدَتْ وُجُوهُهُمْ بِالْعِظْلِمِ، وَعَاوَدَنِي مُؤَكَّداً ، وَكَرَّرَ عَلَيَّ الْقَوْلَ مُرَدَّداً، فَأَصْغَيْتُ إِلَيْهِ سَمَعِي، فَظَنَّ أَنِّي أَبِيعُهُ دِينِي، وَأَتَّبِعُ قِيَادَهُ مُفَارِقاً طَرِيقي، فَأَحْمَيْتُ لَهُ حَدِيدَةٌ، ثُمَّ أَدْنَيْتُهَا مِنْ جِسْمِهِ لِيَعْتَبِرَ بِهَا ، فَضَجَّ صَحِيحَ ذِي دَنَفٍ مِنْ أَلَهَا، وَكَادَ أَنْ يَحْتَرِقَ مِنْ مِيسَمِهَا،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أَتَيْنُ مِنْ حَدِيدَةٍ أَحْمَاهَا إِنْسَانُهَا لِلَعِبِهِ، وَتَجُرُّنِي إِلَى نَارٍ سَجَرَهَا جَبَّارُهَا لِغَضَبِهِ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 مِنَ الْأَذَى وَلاَ أَئِنُّ مِنْ لَظَى ؟</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على بيت مال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وكاتبه، وكان في بيت ماله عقد لؤلؤ كان أصابه يوم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فأرسلت إلي بنت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في بيت مال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لؤلؤ وهو في يدك، وأنا أحب أن تعيرنيه أتجمل به في أيام عيد الأضحى، فأرسلت إليها عارية مضمونة مردودة يابنت أمير المؤمنين؟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عارية مضمونة مردودة بعد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إليها وأن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عليها فعرفه،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صار إليك هذا العقد؟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استعرته من علي بن أبي رافع خازن بيت مال أمير المؤمنين لأتزيّن به في العيد ثم أردّه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أتخون المسلمين يا 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أخون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أعرت بنت أمير المؤمنين العقد الذي في بيت مال المسلمين بغير إذني ورضاهم؟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إنها ابنتك وسألتني أن أعيرها إياه تتزين به فأعرتها إياه عارية مضمونة مردودة، فضمنته في مالي وعلى أن أرده سليماً إلى موضعه،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من يومك، وإياك أن تعود لمثل هذا فتنالك عقوبتي، ثم أولى لابنتي لو كانت أخذت العقد على غير عارية مضمونة مردودة، لكانت إذا أول هاشمية قطعت يدها في سرقة</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فإننا نطلب من القارئ من أهل السنة ونخاطب وجدانه السليم أن يتجرد للحظة من عنوان الخليفة الثاني واسم عمر بن الخطاب، وأن يحكم </w:t>
      </w:r>
      <w:bookmarkStart w:id="788" w:name="pg15658_147267"/>
    </w:p>
    <w:p>
      <w:pPr>
        <w:pStyle w:val="BookText"/>
        <w:rPr/>
      </w:pPr>
      <w:bookmarkEnd w:id="788"/>
      <w:r>
        <w:rPr>
          <w:rFonts w:ascii="IRNazanin" w:hAnsi="IRNazanin" w:eastAsia="IRNazanin"/>
          <w:color w:val="111111"/>
          <w:sz w:val="28"/>
          <w:sz w:val="28"/>
          <w:szCs w:val="28"/>
          <w:rtl w:val="true"/>
          <w:lang w:bidi="fa-IR"/>
        </w:rPr>
        <w:t>بحيادية هل كان اتهام عمر لمن يفعل مثل هذه الأمور مع أخيه المكفوف وبنته، مبرراً ووارداً؟ أم أنها تهمة اعتباطية كبرى في حق هذا الشخص العظيم؟ وإن هذا الاتهام إنما كان مجرد تبرير ناشئ عن شدة تعلق صاحبه بالمنصب والحكم والسلطة، وإبعاد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حقه في الإمامة والخلافة</w:t>
      </w:r>
      <w:r>
        <w:rPr>
          <w:rFonts w:eastAsia="IRNazanin" w:cs="IRNazanin"/>
          <w:color w:val="111111"/>
          <w:sz w:val="28"/>
          <w:szCs w:val="28"/>
          <w:rtl w:val="true"/>
          <w:lang w:bidi="fa-IR"/>
        </w:rPr>
        <w:t>.</w:t>
      </w:r>
    </w:p>
    <w:p>
      <w:pPr>
        <w:pStyle w:val="Heading3"/>
        <w:numPr>
          <w:ilvl w:val="2"/>
          <w:numId w:val="1"/>
        </w:numPr>
        <w:rPr/>
      </w:pPr>
      <w:bookmarkStart w:id="789" w:name="__RefHeading___Toc11030781_2142443653"/>
      <w:bookmarkStart w:id="790" w:name="_Toc286"/>
      <w:bookmarkEnd w:id="789"/>
      <w:r>
        <w:rPr>
          <w:rtl w:val="true"/>
        </w:rPr>
        <w:t>التبرير الثامن</w:t>
      </w:r>
      <w:r>
        <w:rPr>
          <w:rtl w:val="true"/>
        </w:rPr>
        <w:t xml:space="preserve">: </w:t>
      </w:r>
      <w:r>
        <w:rPr>
          <w:rtl w:val="true"/>
        </w:rPr>
        <w:t xml:space="preserve">كراهة الجمع بين النبوة والإمامة في بيت واحد </w:t>
      </w:r>
      <w:r>
        <w:rPr>
          <w:rtl w:val="true"/>
        </w:rPr>
        <w:t>:</w:t>
      </w:r>
      <w:bookmarkEnd w:id="790"/>
    </w:p>
    <w:p>
      <w:pPr>
        <w:pStyle w:val="BookText"/>
        <w:rPr/>
      </w:pPr>
      <w:r>
        <w:rPr>
          <w:rFonts w:ascii="IRNazanin" w:hAnsi="IRNazanin" w:eastAsia="IRNazanin"/>
          <w:color w:val="111111"/>
          <w:sz w:val="28"/>
          <w:sz w:val="28"/>
          <w:szCs w:val="28"/>
          <w:rtl w:val="true"/>
          <w:lang w:bidi="fa-IR"/>
        </w:rPr>
        <w:t xml:space="preserve">إن من بين الأدلة التي ذكرها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تبرير 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الجمع بين النبوة والخلافة في بيت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الرغم من أن النبوة والحكومة قد اجتمعت في شخص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عمر أراد طبقاً لما رآه من المصلحة أن يفرّق بين هذين المفهومين، ونسب هذا الأمر حيناً إلى العرب، وحيناً آخر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إن العرب أو النبي قد كرهوا أن تجتمع النبوة والخلافة في بيت واحد</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هذا التبرير من قبل عمر بن الخطاب،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يفتقر إلى القاعدة والأصل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يكفي مجرد كراهية العرب أو أي أمة أخرى لأمر، ليكون يكون مسوّغاً ومبرراً لعدم امتثال أمر الله ورسوله، وإبعاد الخيار الجامع والحصري للحكومة باعترافه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أمكن لعمر أن يكتشف هذه الكراهية من قبل العرب؟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عمد عمر نفسه بنقض ما ذهب إليه، عندما قام بترشيح </w:t>
      </w:r>
      <w:bookmarkStart w:id="791" w:name="pg15658_147268"/>
    </w:p>
    <w:p>
      <w:pPr>
        <w:pStyle w:val="BookText"/>
        <w:rPr/>
      </w:pPr>
      <w:bookmarkEnd w:id="791"/>
      <w:r>
        <w:rPr>
          <w:rFonts w:ascii="IRNazanin" w:hAnsi="IRNazanin" w:eastAsia="IRNazanin"/>
          <w:color w:val="111111"/>
          <w:sz w:val="28"/>
          <w:sz w:val="28"/>
          <w:szCs w:val="28"/>
          <w:rtl w:val="true"/>
          <w:lang w:bidi="fa-IR"/>
        </w:rPr>
        <w:t>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ليكون واحداً من الستة أعضاء الشورى؟ ألا يدل هذا التصرف من قبل الخليفة على ما يخالف مواقفه السابقة على المستوى النظري والعملي؟ إن وضع اليد على هذا التناقض كان من الأسباب التي دعت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الدخول فى هذه الشورى على ما مر بيانه في الصفحات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كان مراد عمر من كراهية الجمع بين النبوة والخلافة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إلى الرواية التي أسندها أبو بكر إلى النبي، فهذا ما سوف نعرضه في الصفحات القادمة إن شاء الله، حيث سنثبت أن هذه النسبة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اتهام باطل ولا أساس له من الصحة</w:t>
      </w:r>
      <w:r>
        <w:rPr>
          <w:rFonts w:eastAsia="IRNazanin" w:cs="IRNazanin"/>
          <w:color w:val="111111"/>
          <w:sz w:val="28"/>
          <w:szCs w:val="28"/>
          <w:rtl w:val="true"/>
          <w:lang w:bidi="fa-IR"/>
        </w:rPr>
        <w:t>.</w:t>
      </w:r>
    </w:p>
    <w:p>
      <w:pPr>
        <w:pStyle w:val="Heading3"/>
        <w:numPr>
          <w:ilvl w:val="2"/>
          <w:numId w:val="1"/>
        </w:numPr>
        <w:rPr/>
      </w:pPr>
      <w:bookmarkStart w:id="792" w:name="__RefHeading___Toc11030783_2142443653"/>
      <w:bookmarkStart w:id="793" w:name="_Toc287"/>
      <w:bookmarkEnd w:id="792"/>
      <w:r>
        <w:rPr>
          <w:rtl w:val="true"/>
        </w:rPr>
        <w:t>التبرير التاسع</w:t>
      </w:r>
      <w:r>
        <w:rPr>
          <w:rtl w:val="true"/>
        </w:rPr>
        <w:t xml:space="preserve">: </w:t>
      </w:r>
      <w:r>
        <w:rPr>
          <w:rtl w:val="true"/>
        </w:rPr>
        <w:t xml:space="preserve">أصل الترتب </w:t>
      </w:r>
      <w:r>
        <w:rPr>
          <w:rtl w:val="true"/>
        </w:rPr>
        <w:t>(</w:t>
      </w:r>
      <w:r>
        <w:rPr>
          <w:rtl w:val="true"/>
        </w:rPr>
        <w:t>مرحلتان مع أولوية الخلافة</w:t>
      </w:r>
      <w:r>
        <w:rPr>
          <w:rtl w:val="true"/>
        </w:rPr>
        <w:t>):</w:t>
      </w:r>
      <w:bookmarkEnd w:id="793"/>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يؤمن بإمامة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يؤمن بوجود النصوص القرآنية والروايات النبوية بشأن إمامته وخلافته، ولكن بشكل نظري قابل للأخذ والردّ ، لا بوصفها عقيدة قطعية لا تقبل النقاش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هذا بعضهم إن هذا النوع من إمامة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يمثل المرحلة والأولوية الأولى من بين مرحلتين، أما المرحلة أو الأولوية الثانية فهي تعيين الخليفة من قبل الشورى وأهل الحل والعقد، وتبعاً لذلك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فعلية المرحلة الثانية وتنجزها ليست في عرض المرحلة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بالتنصيب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هي في طولها، بمعنى أن المسلمين مكلفون في المرحلة الأولى بتطبيق نصوص التنصيب،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إمامة وخلافة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حالة العصيان وعدم امتثال هذه المرحلة، يُصار إلى المرحلة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المتمثلة بتعيين الخليفة عن طريق الشورى والبيعة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يقول أحد المعاصرين من خلال طرح هذه الرؤية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بحث طويل في هذا النوع من المسائل توصلت لا إلى عقيدة قطعية، وإنما إلى رؤية قابلة للدراسة في الحد الأدنى، وهي أن مسألة الخلافة ذات مرحلتين وأولويتين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الأولوية الأولى تتمثل بالالتزام بالنص على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وأبنائه وإمامتهم، بالنظر إلى الأدلة والشواهد الكثيرة الواردة في هذا الشأن والتي لا يمكن إنكارها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والأولوية الثانية تأتي في ظلّ ظروف خاصة،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توفّر الأرضية الاجتماعية لتحصيل الأولوية الأولى، أو عصيان المجتمع الإسلامي وأكثرية الأمة لسبب وآخر، يُصار من باب الضرورة أو لقطع الطريق على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يخالفون أصل</w:t>
      </w:r>
    </w:p>
    <w:p>
      <w:pPr>
        <w:pStyle w:val="BookText"/>
        <w:rPr/>
      </w:pPr>
      <w:r>
        <w:rPr>
          <w:rFonts w:ascii="IRNazanin" w:hAnsi="IRNazanin" w:eastAsia="IRNazanin"/>
          <w:color w:val="111111"/>
          <w:sz w:val="28"/>
          <w:sz w:val="28"/>
          <w:szCs w:val="28"/>
          <w:rtl w:val="true"/>
          <w:lang w:bidi="fa-IR"/>
        </w:rPr>
        <w:t>الإسلام، ولما يشكلونه من الخطر على بيضة الإسلام بعد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 لكثير من الشواهد التاريخية والنصوص القرآنية والروايات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الحالة إلى خيار الشورى وأهل الحل والعقد من المهاجرين والأنصار الذين كان بإمكانهم الوقوف بوجه المنافقين والمرتدين وكذلك اليهود والنصارى</w:t>
      </w:r>
    </w:p>
    <w:p>
      <w:pPr>
        <w:pStyle w:val="BookText"/>
        <w:rPr/>
      </w:pPr>
      <w:r>
        <w:rPr>
          <w:rFonts w:ascii="IRNazanin" w:hAnsi="IRNazanin" w:eastAsia="IRNazanin"/>
          <w:color w:val="111111"/>
          <w:sz w:val="28"/>
          <w:sz w:val="28"/>
          <w:szCs w:val="28"/>
          <w:rtl w:val="true"/>
          <w:lang w:bidi="fa-IR"/>
        </w:rPr>
        <w:t>من الذين كانوا يتربصون بالإسلام، ويتحينون فرصة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يكن هناك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المصير إلى الخيار والأولوية الثانية، وقد أعطى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لخلفاء عصره مثل هذا الاعتبار بالنظر إلى هذه الشرائط ، وأذعن لذلك عملاً من أجل الحفاظ على بيضة الإسلام</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وعمد إلى بيان المرحلة الثانية وتبريرها من خلال سلوك طريقين، وهما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بيان المرحلة الأولى وشرحها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على طريقة الترتب، بمعنى اتباع القاعدة الأصولية الهامة فيما يتعلق بالحكمين المتعارضين اللذين يكون هناك ترتب طولي بينهما، والتي يكون الحكم الأول فيها مطلقاً، ويكون الحكم الثاني فيها مشروطاً بعصيان 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المكلفين لو أطاعوا الحكم الأول، لا تصل النوبة إلى الحكم الثاني، وأما إذا عصوا الحكم الأول، ففي مثل هذه الحالة سوف تتحقق فعلية الحكم الثاني بلحاظ أهمية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نحن فيه كان المسلمون مكلّفين بالالتزام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عصوا هذا التكليف، وبذلك نصل إلى فعلية التكليف الثاني ومشروعيته الذي يعني إقامة الخلافة من خلال إجماع المهاجرين والأنصار، والمراد من الإجماع هنا بطبيعة الحال هو اتباع رأي الأكثرية من دون الإجماع الكامل، وعليه لا ينبغي التشبث بتخلف عدد محدود من الأفراد للقول بانخرام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تكون هذه الفعلية والمشروعية للحكم الثاني بلحاظ الظرف الحساس الذي كان يعيشه الإسلام في تلك الفترة</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صرّح القائل بهذه النظرية على أساس أصل الترتب المقترح من ،قبله بأن هذه النظرية لا تبرئ ساحة الذين اختاروا الحكم الثاني، إذ يقول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 هذا الوجه لا يبرئ الصحابة، أو أنه فى الحد الأدنى يحمّل المسؤولية لأولئك الذين لعبوا دوراً محورياً في مسألة الخلافة، وبذلك فإن هذا الوجه يأخذ بنظر الاعتبار ويتفهم أسباب غضب وانزعاج أتباع وشيعة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bookmarkStart w:id="794" w:name="pg15658_147271"/>
    </w:p>
    <w:p>
      <w:pPr>
        <w:pStyle w:val="BookText"/>
        <w:rPr/>
      </w:pPr>
      <w:bookmarkEnd w:id="794"/>
      <w:r>
        <w:rPr>
          <w:rFonts w:ascii="IRNazanin" w:hAnsi="IRNazanin" w:eastAsia="IRNazanin"/>
          <w:color w:val="111111"/>
          <w:sz w:val="28"/>
          <w:sz w:val="28"/>
          <w:szCs w:val="28"/>
          <w:rtl w:val="true"/>
          <w:lang w:bidi="fa-IR"/>
        </w:rPr>
        <w:t>يمكن العثور على جذور هذه النظرية عند بعض الفرق الشيعية،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فطبقاً لتقرير النوبختي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كانوا يعتقدون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الأولى بالخلافة من غيره، وإنما قبلوا خلافة أبي بكر وعمر، لأن الإمام علي قد رضي بها في نهاية الأمر، وقد صرّحوا في الوقت نفسه بأنه لولا رضا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وتسليمه لكان أبو بكر في ضلال وهلكة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1030785_2142443653"/>
      <w:bookmarkStart w:id="796" w:name="_Toc288"/>
      <w:bookmarkEnd w:id="795"/>
      <w:r>
        <w:rPr>
          <w:rtl w:val="true"/>
        </w:rPr>
        <w:t>مناقشة وتحليل</w:t>
      </w:r>
      <w:r>
        <w:rPr>
          <w:rtl w:val="true"/>
        </w:rPr>
        <w:t>:</w:t>
      </w:r>
      <w:bookmarkEnd w:id="796"/>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أن المرحلة الأولى من هذه النظرية ليست شيئاً جديداً؛ إذ إنّها ذات نظرية الشيعة الذين يصرون على أن الإمامة بجميع توابعها ومتفرعاتها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في ذلك مسألة الحكم والسياسة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منصوص عليه من قبل الله حيث تم 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المسلمين كانوا مكلفين بالعمل على طبق هذا الحكم الإلهى، وأنهم إذا امتنعوا عن البيعة للإمام </w:t>
      </w:r>
    </w:p>
    <w:p>
      <w:pPr>
        <w:pStyle w:val="BookText"/>
        <w:rPr/>
      </w:pPr>
      <w:r>
        <w:rPr>
          <w:rFonts w:ascii="Amiri" w:hAnsi="Amiri" w:eastAsia="Amiri" w:cs="Amiri"/>
          <w:color w:val="111111"/>
          <w:sz w:val="28"/>
          <w:sz w:val="28"/>
          <w:szCs w:val="28"/>
          <w:rtl w:val="true"/>
          <w:lang w:bidi="ar-SA"/>
        </w:rPr>
        <w:t>علي وامتثال الأمر الإلهي في ذلك يكونون من العصاة لتركهم الأمر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المرحلة الثانية من هذه النظرية، بمعنى ضرورة أن تكون هناك حكومة تعمل على تنظيم أمور المجتمع، والعمل إلى حد ما على حفظ أصل الإسلام فهي ثابتة بحكم العقل وسيرة العقلاء القائمة على ضرورة إقامة الحكم وتعيين الحاكم، وهو ما يؤكد عليه الحديث المأثور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أمير برّ أو فاجر</w:t>
      </w:r>
      <w:r>
        <w:rPr>
          <w:rFonts w:eastAsia="IRNazanin" w:cs="IRNazanin"/>
          <w:color w:val="111111"/>
          <w:sz w:val="28"/>
          <w:szCs w:val="28"/>
          <w:rtl w:val="true"/>
          <w:lang w:bidi="fa-IR"/>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أذعن المسلمون في صدرالإسلام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للحفاظ على نظم المجتمع واستمرار المجتمع الإسلامي على المستويات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للشورى وتعيين الحاكم، وبعبارة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رضخوا لحكم الخليفة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طرح هذا الأمر من باب اللجوء إلى أقل المحذورين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هذا الأمر يأتي بوصفه حكماً عقلياً إرشادياً، ولا يرقى ليكون حكماً شرعياً،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مصدراً يُثبت الشرعية لحكومة الخلفاء الذين اغتصبوا الحق من صاحبه الشرعي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لا يمكن تسمية المرحلة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الأولوية الشرعية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لم يرد نص على هذا المدعى، بل الأمر على عكس ذلك تماماً، إذ 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وصف الخلفاء في عصره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لحقه الثابت، وهذا لا ينسجم مع افتراض الشرعية ولو على مستوى المرحلة الثانية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الروايات التى تدل على مصدر شرعية البيعة، فسوف يأتي تحليلها في الصفحات القادمة بالتفصيل، وسوف نذكر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اعتبارها يقتصر على الموارد غير المنصوصة، أو المورد الذى يسحب فيه الشخص المنصوص </w:t>
      </w:r>
      <w:bookmarkStart w:id="797" w:name="pg15658_147273"/>
    </w:p>
    <w:p>
      <w:pPr>
        <w:pStyle w:val="BookText"/>
        <w:rPr/>
      </w:pPr>
      <w:bookmarkEnd w:id="797"/>
      <w:r>
        <w:rPr>
          <w:rFonts w:ascii="Amiri" w:hAnsi="Amiri" w:eastAsia="Amiri" w:cs="Amiri"/>
          <w:color w:val="111111"/>
          <w:sz w:val="28"/>
          <w:sz w:val="28"/>
          <w:szCs w:val="28"/>
          <w:rtl w:val="true"/>
          <w:lang w:bidi="ar-SA"/>
        </w:rPr>
        <w:t xml:space="preserve">نفسه ويتنازل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لسبب من الأسباب عن حقه في الحكم بكامل 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مشروعية البيعة ليست مطلقة، وإنما هي مختصة بالحاكم الذي يتصف بالحد الأدنى من الشرائط والصفات التي يجب أن يتصف بها الحاكم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فيما يتعلق بتحقق الإجماع بشأن الخليفة الأول أم لا؟ فقد أشرنا</w:t>
      </w:r>
    </w:p>
    <w:p>
      <w:pPr>
        <w:pStyle w:val="BookText"/>
        <w:rPr/>
      </w:pPr>
      <w:r>
        <w:rPr>
          <w:rFonts w:ascii="Amiri" w:hAnsi="Amiri" w:eastAsia="Amiri" w:cs="Amiri"/>
          <w:color w:val="111111"/>
          <w:sz w:val="28"/>
          <w:sz w:val="28"/>
          <w:szCs w:val="28"/>
          <w:rtl w:val="true"/>
          <w:lang w:bidi="ar-SA"/>
        </w:rPr>
        <w:t xml:space="preserve">في الصفحات السابقة إلى المخالفين لهذه البيعة المدعاة، وقلنا بأن الخليفة الثاني نفسه قد عد خلافة الخليفة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فلتة</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أمر بقتل من يعود إلى مثلها</w:t>
      </w:r>
      <w:r>
        <w:rPr>
          <w:rFonts w:eastAsia="Amiri" w:cs="Amiri" w:ascii="Amiri" w:hAnsi="Amiri"/>
          <w:color w:val="111111"/>
          <w:sz w:val="28"/>
          <w:szCs w:val="28"/>
          <w:rtl w:val="true"/>
          <w:lang w:bidi="ar-SA"/>
        </w:rPr>
        <w:t>]</w:t>
      </w:r>
      <w:r>
        <w:rPr>
          <w:rStyle w:val="FootnoteAnchor"/>
          <w:rtl w:val="true"/>
        </w:rPr>
        <w:footnoteReference w:id="890"/>
      </w:r>
    </w:p>
    <w:p>
      <w:pPr>
        <w:pStyle w:val="Heading3"/>
        <w:numPr>
          <w:ilvl w:val="2"/>
          <w:numId w:val="1"/>
        </w:numPr>
        <w:rPr/>
      </w:pPr>
      <w:bookmarkStart w:id="798" w:name="__RefHeading___Toc11030787_2142443653"/>
      <w:bookmarkStart w:id="799" w:name="_Toc289"/>
      <w:bookmarkEnd w:id="798"/>
      <w:r>
        <w:rPr>
          <w:rtl w:val="true"/>
        </w:rPr>
        <w:t xml:space="preserve">التبرير العاشر </w:t>
      </w:r>
      <w:r>
        <w:rPr>
          <w:rtl w:val="true"/>
        </w:rPr>
        <w:t xml:space="preserve">: </w:t>
      </w:r>
      <w:r>
        <w:rPr>
          <w:rtl w:val="true"/>
        </w:rPr>
        <w:t>أصل الضرورة والحكم الثانوي</w:t>
      </w:r>
      <w:r>
        <w:rPr>
          <w:rtl w:val="true"/>
        </w:rPr>
        <w:t>:</w:t>
      </w:r>
      <w:bookmarkEnd w:id="799"/>
    </w:p>
    <w:p>
      <w:pPr>
        <w:pStyle w:val="Heading4"/>
        <w:numPr>
          <w:ilvl w:val="3"/>
          <w:numId w:val="1"/>
        </w:numPr>
        <w:rPr/>
      </w:pPr>
      <w:bookmarkStart w:id="800" w:name="__RefHeading___Toc11030789_2142443653"/>
      <w:bookmarkStart w:id="801" w:name="_Toc290"/>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في القراءة السابقة كانت المرحلة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تعيين الخليفة من طريق شورى أهل الحل والعقد أو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على العصيان وعدم امتثال المرحلة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التنصيب الإلهى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القراءة الجديدة فتنكر حصول المعصية عند عدم تحقق المرحلة الأولى، إذ طبقاً لهذه القراءة تكون المرحلة الأولى الحكم الأولي للمسلمين، وأما عند عدم تحققها لعدم وجود الأرضية اللازمة والمناسبة لخلافة الإمام المنصوب مثلاً، تصل النوبة إلى تعيين الخليفة من طريق أهل الحل والعقد والبيعة من باب الضرورة كى لا يتمّ تعطيل الأحكام الإسلامية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 لهذه القراءة لا يكون هناك بتجاوز المرحلة الأولى أي عصيان أو </w:t>
      </w:r>
      <w:bookmarkStart w:id="802" w:name="pg15658_147274"/>
    </w:p>
    <w:p>
      <w:pPr>
        <w:pStyle w:val="BookText"/>
        <w:rPr/>
      </w:pPr>
      <w:bookmarkEnd w:id="802"/>
      <w:r>
        <w:rPr>
          <w:rFonts w:ascii="Amiri" w:hAnsi="Amiri" w:eastAsia="Amiri" w:cs="Amiri"/>
          <w:color w:val="111111"/>
          <w:sz w:val="28"/>
          <w:sz w:val="28"/>
          <w:szCs w:val="28"/>
          <w:rtl w:val="true"/>
          <w:lang w:bidi="ar-SA"/>
        </w:rPr>
        <w:t>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أحد المعاصرين في بيانه وتبريره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نحو الترتّب والقول بالتقصير، وتحميل المسؤولية على المتسببين الأصليين، بل من باب الضرورة، وعدم إمكان العمل بالأولوية الأولى، وعدم توفّر الأرضية لتطبيق النص والالتزام بمضمونه على المستوى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الرؤية الثانية تستلزم القول بشرعية خلافة الخلفاء في الظروف الخاصة التي حصلت بوصفها ضرورة ومن باب رعاية المصالح الإسلامية والحفاظ على كيان الإسلام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3" w:name="__RefHeading___Toc11030791_2142443653"/>
      <w:bookmarkStart w:id="804" w:name="_Toc291"/>
      <w:bookmarkEnd w:id="803"/>
      <w:r>
        <w:rPr>
          <w:rtl w:val="true"/>
        </w:rPr>
        <w:t xml:space="preserve">أدلة هذه الرؤية </w:t>
      </w:r>
      <w:r>
        <w:rPr>
          <w:rtl w:val="true"/>
        </w:rPr>
        <w:t>(</w:t>
      </w:r>
      <w:r>
        <w:rPr>
          <w:rtl w:val="true"/>
        </w:rPr>
        <w:t>البيعة المنتجة للشرعية</w:t>
      </w:r>
      <w:r>
        <w:rPr>
          <w:rtl w:val="true"/>
        </w:rPr>
        <w:t>):</w:t>
      </w:r>
      <w:bookmarkEnd w:id="804"/>
    </w:p>
    <w:p>
      <w:pPr>
        <w:pStyle w:val="BookText"/>
        <w:rPr/>
      </w:pPr>
      <w:r>
        <w:rPr>
          <w:rFonts w:ascii="Amiri" w:hAnsi="Amiri" w:eastAsia="Amiri" w:cs="Amiri"/>
          <w:color w:val="111111"/>
          <w:sz w:val="28"/>
          <w:sz w:val="28"/>
          <w:szCs w:val="28"/>
          <w:rtl w:val="true"/>
          <w:lang w:bidi="ar-SA"/>
        </w:rPr>
        <w:t>يذهب القائلون بهذه الرؤية إلى الاعتقاد بأن نفس مبايعة الناس الخليفة، تُعد مصدراً لإثبات شرعيته ومشروعية حكمه، وإن الله بدوره يرضى بتحقق مثل هذه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القاعدة التي استند إليها القائلون بهذه النظرية، فهي عبارة عن آيات وروايات واردة في باب مبايعة الناس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الرواية المأثورة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تعبيره عن الرضا بالخلفاء السابقين بسبب مبايعة الناس لهم، وفيما يأتي نشير إلى ذلك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إلى معاوية، وكان مما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فَلَمْ يَكُنْ لِلشَّاهِدِ أَنْ يَخْتَارَ، وَلاَ لِلغَائِبِ أَنْ يَرُدَّ، وَإِنَّمَا السُّورَى لِلْمُهَاجِرِينَ وَالْأَنْصَارِ، فَإِنِ اجْتَمَعُوا عَلَى رَجُلٍ وَسَمَّوْهُ إِمَاماً كَانَ ذلِكَ الله </w:t>
      </w:r>
    </w:p>
    <w:p>
      <w:pPr>
        <w:pStyle w:val="BookText"/>
        <w:rPr/>
      </w:pPr>
      <w:r>
        <w:rPr>
          <w:rFonts w:ascii="Amiri" w:hAnsi="Amiri" w:eastAsia="Amiri" w:cs="Amiri"/>
          <w:color w:val="111111"/>
          <w:sz w:val="28"/>
          <w:sz w:val="28"/>
          <w:szCs w:val="28"/>
          <w:rtl w:val="true"/>
          <w:lang w:bidi="ar-SA"/>
        </w:rPr>
        <w:t>رِضَى، فَإِنْ خَرَجَ عَنْ أَمْرِهِمْ خَارِجٌ بِطَعْنِ أَوْبِدْعَةٍ رَدُّوهُ إِلَى مَاخَرَجَ مِنْهُ، فَإِنْ أَبِي قَاتَلُوهُ عَلَى اتَّبَاعِهِ غَيْرَ سَبِيلِ الْمُؤْمِنِينَ، وَوَلَاهُ اللَّهُ مَا تَوَلَّى</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الذي تبنى هذه الرؤية في تقرير هذه الرسالة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الرسالة بأن إجماع المهاجرين والأنصار على إمامة شخص يضفي عليه الشرعية، بما في ذلك خلافته وإمامته،معتبراً هذه البيعة مورداً لرضا الله، والطعن فيمن يخالفها، وحلّية قتال من يتمرد عليها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عندما صار أمر الشورى إلى 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بِهَا مِنْ غَيْرِي، وَوَالله لَأَسْلِمَنَّ مَا سَلِمَتْ أُمُورُ الْمُسْلِمِينَ، وَلَمْ يَكُنْ فِيهَا جَوْرٌ إِلا عَلَيَّ خَاصَّةً</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هذا البيان يصرح الإمام بأحقيته في منصب الحكم، ولكنه إنما يرضى بنتيجة الشورى رعاية لمصالح المسلمين، مؤكداً على أن الظلم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عليه خاصة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 عن سؤال بعض أصحابه،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عدي، وعمرو بن الحمق بشأن موقفه من الخليفة الأول والثاني في رسالة ضمنها شكواه من عدم اختياره بوصفه خليفة للمسلمين</w:t>
      </w:r>
      <w:r>
        <w:rPr>
          <w:rFonts w:eastAsia="IRNazanin" w:cs="IRNazanin"/>
          <w:color w:val="111111"/>
          <w:sz w:val="28"/>
          <w:szCs w:val="28"/>
          <w:rtl w:val="true"/>
          <w:lang w:bidi="fa-IR"/>
        </w:rPr>
        <w:t xml:space="preserve">: </w:t>
      </w:r>
      <w:bookmarkStart w:id="805" w:name="pg15658_147276"/>
    </w:p>
    <w:p>
      <w:pPr>
        <w:pStyle w:val="BookText"/>
        <w:rPr/>
      </w:pPr>
      <w:bookmarkEnd w:id="8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 تنازع المسلمون الأمر بعده، فو الله ما كان يلقى في روعي ولا يخطر على بالي أن العرب تعدل هذا الأمر بعد محمد عن أهل بيته، ولا أنهم منحوه عني من بعده، فما راعني إلا انثيال الناس على أبي بكر وإجفالهم إليه ليبايعوه، فأمسكت يدي ورأيت أني أحق بمقام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الناس ممن تولى الأمر من بعده، فلبثت بذاك ما شاء الله حتى رأيت راجعة من الناس رجعت عن الإسلام، يدعون إلى محق دين الله وملة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فخشيت إن لم أنصر الإسلام وأهله أن أرى فيه ثلماً وهدماً يكون المصاب بهما علي أعظم من فوات ولاية أموركم التي إنما هي متاع أيام قلائل، ثم يزول ما كان منها كما يزول السراب وكما يتقشع السحاب، فمشيت عند ذلك إلى أبي بكر فبايعته ونهضت في تلك الأحداث حتى زاغ الباطل وزهق، وكانت كلمة الله هي العليا ولو كره الكافرون</w:t>
      </w:r>
      <w:r>
        <w:rPr>
          <w:rFonts w:eastAsia="IRNazanin" w:cs="IRNazanin"/>
          <w:color w:val="111111"/>
          <w:sz w:val="28"/>
          <w:szCs w:val="28"/>
          <w:rtl w:val="true"/>
          <w:lang w:bidi="fa-IR"/>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11030793_2142443653"/>
      <w:bookmarkStart w:id="807" w:name="_Toc292"/>
      <w:bookmarkEnd w:id="806"/>
      <w:r>
        <w:rPr>
          <w:rtl w:val="true"/>
        </w:rPr>
        <w:t>مناقشة وتحليل</w:t>
      </w:r>
      <w:r>
        <w:rPr>
          <w:rtl w:val="true"/>
        </w:rPr>
        <w:t>:</w:t>
      </w:r>
      <w:bookmarkEnd w:id="807"/>
    </w:p>
    <w:p>
      <w:pPr>
        <w:pStyle w:val="BookText"/>
        <w:rPr/>
      </w:pPr>
      <w:r>
        <w:rPr>
          <w:rFonts w:ascii="Amiri" w:hAnsi="Amiri" w:eastAsia="Amiri" w:cs="Amiri"/>
          <w:color w:val="111111"/>
          <w:sz w:val="28"/>
          <w:sz w:val="28"/>
          <w:szCs w:val="28"/>
          <w:rtl w:val="true"/>
          <w:lang w:bidi="ar-SA"/>
        </w:rPr>
        <w:t>يجدر الانتباه في معرض تحليل هذه الشبهة إلى الأمور الآتية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بالشرعية الإلهية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يُصطلح على الشرعية في اللغة الإنجليزية بـ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Legitimacy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حق الحاكمية القانوني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نظرية الشرعية إلى تبرير حاكمية القطب الحاكم من خلال ويسعى طرح مختلف النظريات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لتعدّد النظريات واختلافها في هذا الشأن أسباب مختلفة، ومن أهمها تعريف الإنسان ونوع ارتباطه بالخالق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كان الإنسان ملحداً من الطبيعي أن لا يكون لديه أدنى معرفة بالله وخالقه والعالم الذي يعيش فيه، ولن يعترف بأي دور أو منزلة لله سبحانه وتعالى في إضفاء الشرعية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الإنسان متألهاً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إذا كان متألهاً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تم التأكيد في كتابه السماوي على مسائل وقواعد النظام السياسي الذي تقدّم بحثه في نقد شبهة تبرير الإمامة وتفسيرها بالعلمانية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يسعه أن يتجاهل الدور الإلهي في هذا الشأن من خلال قراءة آيات القرآن الكريم يتضح أن الحق الأول لله على الناس هو حق الحاكمية، وليس لأحد من الناحية العقلية حق تعيين التكليف ودائرته في إطار القانون والحكومة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من حكم العقل هذا فقدان حتى القانون والتكليف الذي تضعه الأكثرية للشرعية بالنسبة إلى تطبيقه في حق الأقلية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هذا البحث في الصفحات السابقة عند بحث نواقص الديمقراطية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فإن المصدر الوحيد لإثبات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المسلمين في الحد الأدنى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سبحانه وتعالى حيث يجعله في عباده الصالحين تحت عنوان الأنبياء، وعلى رأسهم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المصداق البارز للنبي الذي أعطاه الله النبوة والإمامة بمعناها الكامل، فأصبح النبي بذلك مكتسباً للشرعية الإلهية لممارسة السلطة بوصفه خليفة من قبل الله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 للكثير من النصوص الواردة في القرآن الكريم وأحاديث شخص النبی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التي تقدم تفصيلها في نص هذا الكتاب وخاصة في نقد شبهة فقدان النص فى الكتاب والسنة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خليفة النبي في حقل بيان الدين وتفسيره وإدارة السلطة وممارسة الحكم على الناس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لازم التمرد على الشرعية الإلهية ارتكاب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الشرعية الإلهية للحكم ولازمها، هو أنه يجب على الآخرين من الناحية الشرعية والدينية أن يدافعوا عن صاحب الشرعية الإلهية في ممارسة الحكم والسلطة، والعمل على تمكينه من الوصول إلى سدة الحكم وإدارة الدولة، وإذا تخلفوا عن ذلك يكونون قد ارتكبوا ذنباً ومعصية شرعية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النصوص التي تدعى اختصاص الوصية والإمامة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ناظرة بأجمعها إلى الشرعية الإلهية، وللأسف الشديد فقد تم تجاهل هذه الشرعية من قبل الخلفاء الثلاثة الأوائل وأتباعهم، حيث عملوا على إبعاد الشخص المنصوص عليه، واغتصبوا حقه في الخلافة، من هنا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يصرح بأنهم مغتصبين لحقه</w:t>
      </w:r>
      <w:r>
        <w:rPr>
          <w:rStyle w:val="FootnoteAnchor"/>
          <w:rtl w:val="true"/>
        </w:rPr>
        <w:footnoteReference w:id="897"/>
      </w:r>
      <w:r>
        <w:rPr>
          <w:rFonts w:ascii="Amiri" w:hAnsi="Amiri" w:eastAsia="Amiri" w:cs="Amiri"/>
          <w:color w:val="111111"/>
          <w:sz w:val="28"/>
          <w:sz w:val="28"/>
          <w:szCs w:val="28"/>
          <w:rtl w:val="true"/>
          <w:lang w:bidi="ar-SA"/>
        </w:rPr>
        <w:t>، ويشكو من تجاهلهم لشرعيته الإلهية باستمرار</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الجمع بين الشرعية الإلهية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الدقيقة في باب الشرعية تكمن في طرفها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طبقاً للروايات النبوية كان </w:t>
      </w:r>
    </w:p>
    <w:p>
      <w:pPr>
        <w:pStyle w:val="BookText"/>
        <w:rPr/>
      </w:pPr>
      <w:r>
        <w:rPr>
          <w:rFonts w:ascii="IRNazanin" w:hAnsi="IRNazanin" w:eastAsia="IRNazanin"/>
          <w:color w:val="111111"/>
          <w:sz w:val="28"/>
          <w:sz w:val="28"/>
          <w:szCs w:val="28"/>
          <w:rtl w:val="true"/>
          <w:lang w:bidi="fa-IR"/>
        </w:rPr>
        <w:t>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الخليفة الوحيد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حقل الدين والحكم، إلا أن ممارسة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للسلطة لم تكن مطلقة، بل كانت طبقاً للروايات النبوية مشروطة بتحقق بعض الأمور، ومن أهمها إقبال الناس عليه، وعدم الاختلاف بشأنه، دفعاً لمحذور الاختلاف بما ينعكس سلباً على جوهر الإسلام، على ما تقدم نقل بعض الروايات في هذا الشأن في هامش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أصر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معرض تلبيته لرغبة الناس في مبايعته بعد قتل الخليفة الثالث، على أن بيعته يجب أن تكون علنية، وأن يبايعه الناس عن رضا وطيب خاطر، إذ ورد في هذا الشأن عن محمد بن الحنفية،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حين قتل عثمان رضي الله عنه؛ فقام فدخل منزله فأتاه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قتل، ولا بد للناس من إمام، ولا نجد اليوم أحداً أحق بهذا الأمر منك، لا أقدم سابقة ولا أقرب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تفعلوا، فإني أكون وزيراً خير من أن أكون أميراً؛ فقالوا لا والله ما نحن بفاعلين حتى نبايعك،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المسجد، فإن بيعتى لا تكون خفياً، ولا تكون إلا عن رضا</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له إلى معاوية أن الشورى وحق اختيار الحاكم من شأن المهاجرين والأنصار، الذين يرضى الله عن إجماعهم واتفاقهم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الشُّورَى لِلْمُهَاجِرِينَ وَالْأَنْصَارِ، فَإِنِ اجْتَمَعُوا عَلَى رَجُلٍ </w:t>
      </w:r>
    </w:p>
    <w:p>
      <w:pPr>
        <w:pStyle w:val="BookText"/>
        <w:rPr/>
      </w:pPr>
      <w:r>
        <w:rPr>
          <w:rFonts w:ascii="Amiri" w:hAnsi="Amiri" w:eastAsia="Amiri" w:cs="Amiri"/>
          <w:color w:val="111111"/>
          <w:sz w:val="28"/>
          <w:sz w:val="28"/>
          <w:szCs w:val="28"/>
          <w:rtl w:val="true"/>
          <w:lang w:bidi="ar-SA"/>
        </w:rPr>
        <w:t>وَسَمَّوْهُ إِمَاماً كَانَ ذلِكَ الله رِضى</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بأن الحكم وانتخاب الحاكم من حقوق الناس التى لا يشاركهم فيها أحد، وذلك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عن ملاء وإذن إن هذا أمركم ليس لأحد فيه حق إلا من أمرتم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ليس لي أمر دونكم إلا أن مفاتيح مالكم معي</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بعض الروايات المثبتة للمشروعية السياسية للناس في</w:t>
      </w:r>
    </w:p>
    <w:p>
      <w:pPr>
        <w:pStyle w:val="BookText"/>
        <w:rPr/>
      </w:pPr>
      <w:r>
        <w:rPr>
          <w:rFonts w:ascii="Amiri" w:hAnsi="Amiri" w:eastAsia="Amiri" w:cs="Amiri"/>
          <w:color w:val="111111"/>
          <w:sz w:val="28"/>
          <w:sz w:val="28"/>
          <w:szCs w:val="28"/>
          <w:rtl w:val="true"/>
          <w:lang w:bidi="ar-SA"/>
        </w:rPr>
        <w:t>معرض تحليل ونقد شبهة عدم انسجام الديمقراطية مع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الروايات المتقدم ذكرها هو أن على الناس من خلال مسؤوليتهم الدينية والإلهية بعد رحيل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وحقهم في انتخاب الحاكم، أن يجعلوا الشرعية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طول الشرعية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يقبلوا على من اختاره الله وينتخبوه إماماً لهم، وحاكماً عليهم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هذا الأمر لم يكتب له التحقق للأسف الشديد، ووجد الناس أنفسهم أمام أمر واقع فرضته عليهم أحداث السقيفة، وأقبلوا على مرشح السقيفة، لمختلف الذرائع والتبريرات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تقدم ذكرها في الصفحات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وقاموا بدعمه، وكان لازم ذلك إبعاد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حرمانه من ممارسة حقه السياسي في الحكم والسلطة، وفي ظل هذه الظروف اضطر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رغم تصريحاته المتكررة بحقه الحصري في الشرعية الإلهية، واعتبار الآخرين غاصبين لهذا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الانسحاب واعتزال السلطة، وقد تقدم منا أن ذكرنا أساب سكوته، وبيعته لأبي بكر بعد ستة أشهر، واشتراكه في قضية </w:t>
      </w:r>
    </w:p>
    <w:p>
      <w:pPr>
        <w:pStyle w:val="BookText"/>
        <w:rPr/>
      </w:pPr>
      <w:r>
        <w:rPr>
          <w:rFonts w:ascii="Amiri" w:hAnsi="Amiri" w:eastAsia="Amiri" w:cs="Amiri"/>
          <w:color w:val="111111"/>
          <w:sz w:val="28"/>
          <w:sz w:val="28"/>
          <w:szCs w:val="28"/>
          <w:rtl w:val="true"/>
          <w:lang w:bidi="ar-SA"/>
        </w:rPr>
        <w:t>الشورى التي دعا إليها عمر بن الخطاب، وسبب امتناعه عن قبول الحكم بعد مقتل عثمان للوهلة الأولى، فى فصل شبهات حول التنصيب بالتفصيل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لا تهافت بين ترك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لمنصب الحكم وشرعيته الإلهية، بل إن دليل ذلك عدم تحقق المشروعية السياسية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حيث يشترط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توليه الحكم من خلال مبايعة الناس له بشكل علني، وذلك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كان يمثل في ذلك العصر رمز السلطة الدينية الرسمي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المبرر لذلك،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تدعيم أسس حكمه،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باب الذرائع على بعض المتخلفين عن بيعته في المستقبل،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بين الشرعية الإلهية والشرعية السياسية، على ما تقدم بيانه في معرض بيان هذه الأسباب في نقد شبهة رفض الإمام للحكم بعد مقتل عثمان بن عفان في فصل أصل التنصيب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كلمات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تأييد بيعة الناس والشرعية السياسية دون الشرعية الإلهية، فإن ذلك وإن كان بسبب الإعراض عن الحاكم، يعني المبادرة إلى ارتكاب ما يخالف الشرع، ويعد لذلك ذنباً ومعصية، ولكنه قابل للتبرير بوصفه مرحلة ثانية في ظل بعض الشرائط الخاصة على ما سيأتي توضيحه والإشارة إليه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تقييد البيعة بالحاكم الواجد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الحاكمية والسيادة وإقامة الحكومة والسلطة في النظام السياسي للإسلام، تتقوم وتتوقف على عنصرين من عناصر المشروعية،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المشروعية الإلهية والسياسية، فإن توفرت شرائط اجتماع هذين العنصرين، تشكلت هذه الحكومة الدينية والشرعية بشكل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المرحلة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تخلّف المسلمين عن انتخاب الحاكم </w:t>
      </w:r>
    </w:p>
    <w:p>
      <w:pPr>
        <w:pStyle w:val="BookText"/>
        <w:rPr/>
      </w:pPr>
      <w:r>
        <w:rPr>
          <w:rFonts w:ascii="Amiri" w:hAnsi="Amiri" w:eastAsia="Amiri" w:cs="Amiri"/>
          <w:color w:val="111111"/>
          <w:sz w:val="28"/>
          <w:sz w:val="28"/>
          <w:szCs w:val="28"/>
          <w:rtl w:val="true"/>
          <w:lang w:bidi="ar-SA"/>
        </w:rPr>
        <w:t>المنصوص عليه من قبل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عليهم الانصياع إلى حكم العقل والعقلاء، وذلك بانتخاب حاكم من بينهم، ولكن يجب أن يتصف هذا الحاكم بالصفات والشرائط التي يجب توفرها في الحاكم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حال العدول عن الحاكم المنصوص عليه، وجب أن يُصار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الأصلح فالأصلح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يتم في الحد الأدنى أنتخاب الشخص الأقرب من الفرد المنصوص عليه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فعلوا ذلك فإنهم على الرغم من عصيانهم بترك الإمام والخليفة المنصوص عليه، إلا أنهم في المرحلة التالية حيث ينتخبون الأقرب منه في الصفات، يكون هذا الاختيار والانتخاب منهم مرضياً ومقبولاً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بدّ من الالتفات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هذا الرضا من قبل الله نسبي ومقرون في الوقت نفسه بعدم الرضا على تجاوز الفرد المنصوص عليه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الآخر هو أن هذا الرضا النسبي من قبل الله إنما يقتصر على الناس الذين أقبلوا على انتخاب الحاكم المتصف بالشرائط والصفات النسبية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الأصلح فالأصلح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يشمل الحاكم المنتخب من قبلهم؛ إذ كان بالإمكان لو انسحب من الترشح أن يصل الفرد المنصوص عليه من قبل الله إلى الحكم، وبذلك لا يكون مرتكباً للذنب والمعصية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في إثبات رضا الله عن بيعة الناس وانتخاب الخليفة مطلق، وغير مقيد بقيد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يجب القول في 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الخليفة المتصف بالشرائط والصفات الدينية 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ضروريات النظام السياسي في الإسلام؛ إذ من البديهي أنه لا يمكن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يريد أن </w:t>
      </w:r>
    </w:p>
    <w:p>
      <w:pPr>
        <w:pStyle w:val="BookText"/>
        <w:rPr/>
      </w:pPr>
      <w:r>
        <w:rPr>
          <w:rFonts w:ascii="IRNazanin" w:hAnsi="IRNazanin" w:eastAsia="IRNazanin"/>
          <w:color w:val="111111"/>
          <w:sz w:val="28"/>
          <w:sz w:val="28"/>
          <w:szCs w:val="28"/>
          <w:rtl w:val="true"/>
          <w:lang w:bidi="fa-IR"/>
        </w:rPr>
        <w:t xml:space="preserve">يكون على رأس السلطة من أجل تطبيق أحكام الدين وتحصيل مقاصده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يحقق أهداف الإسلام من دون أن تتوفّر فيه صلاحية الحاكم الديني، والشيعة والسنة متفقون على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يُفهم من النصوص المأثورة عن النبي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الحاكم الدينى بالإضافة إلى الشرائط العامة، يجب أن يتحلّى بسلسلة من الصفات والشرائط الخاصة أيضاً، فقد روى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رجلاً قط أمرها وفيهم أعلم منه إلا لم يزل أمرهم يذهب سفالاً حتى يرجعوا إلى ما تركوا</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الحكومة، فإن الحكومة إنما هي للإمام العالم بالقضاء، العادل في المسلمين</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أعرب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موضع آخر عن تأسفه لصيرورة الحكم في أيدي السفهاء والفجّار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 معاوية بن أبي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ولكني أسى أن يلي أمر هذه الأمة سفهاؤها وفجارها</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عمد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موضع آخر إلى بيان أركان الإسلام الخمسة،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والزكاة، والصيام، والحج، والولاية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جاعلاً الحكم والولاية خامس أركان الإسلام لكونه حافظاً وصائناً لجميع الفرائض والسنن؛ إذ يقول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فرضه الله عز وجل من الفرائض في كتابه فدعائم الإسلام، وهي خمس دعائم، وعلى هذه الفرائض بني الإسلام، فجعل سبحانه لكل فريضة من هذه الفرائض أربعة حدود، لا أحداً جهلها، أولها الصلاة، ثم يسع الزكاة، ثم الصيام، ثم الحج، ثم الولاية، وهي خاتمتها، والحافظة لجميع الفرائض والسنن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أن الإمام يرى في انتخاب الإمام والخليفة بوصفه عملاً واجباً له، إلا أنه يقيد ذلك بقيود،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العفيف، والعالم، والمتقي، والمختص بأمور القضاء والسنة النبوية،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في حكم الله وحكم الإسلام على المسلمين بعد ما يموت إمامهم أو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ضالاً كان أو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يعملوا عملاً، ولا يقدموا يداً ولا رجلاً، قبل أن يختاروا لأنفسهم إماماً عفيفاً عالماً ورعاً عارفاً بالقضاء والسنة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وفضلاً عن هذه الموارد التي يُصرّح فيها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بالشرائط والصفات الخاصة التى يجب أن تتوفر في الحاكم الديني بشكل عام، هناك لحسن الحظ نص خاص في مسألة تعيين الخليفة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جواب تبرير طلحة في بيعته لأبي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ادعى أن النصوص على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نسخت بالحديث النبوي القائل بعدم اجتماع النبوة والخلافة في بيت واحد، وعلى أساس ذلك كان على الإمام علي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أبا بكر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إلى حديث الثقلين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فينبغي أن لا يكون الخليفة على الأمة إلا أعلمهم بكتاب الله وسنة نبيه </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عمد الإمام إلى تأييد كلامه ومدعاه وإثباتهما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أعلمية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والروايات النبوية، ومن الآيات التي تمسك بها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النصوص التي تحدّث فيها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تأييد انتخاب الناس للخليفة والحاكم، إنما هي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بموارد فقدان الإمام والحاكم المنصوص عليه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 مبايعته إنما تكون مبررة إذا إبعاد الإمام المنصوص عليه لأي سبب من الأسباب،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إقبال الناس عليه، ووجود المانع، أو عدم توفر الأرضية المناسبة وما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مقبولية مثل هذه البيعة ليست مطلقة، وإنما تختص بالحاكم الذي تتوفر فيه الصفات والشرائط اللازمة التي تثبت صلاحيته لتولي هذا المنصب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تعيين مصداق البيعة المقبول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أن أشرنا إلى أن أصل بيعة الأمة للحاكم الذى تتوفّر فيه الصفات اللازمة للقيادة والإمامة، يُعد مقبولاً من وجهة نظر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يجب الالتفات إلى أنه مع وجود الإمام والقائد المنصوب من قبل الله يجب أن تتجه بيعة الناس إلى هذا الإمام، وعند العدول عنه، يكون المخالفون لأمر الله مذنبين وعصاة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المرحلة رغم كون العدول عن الإمام المنصوص عليه من قبل الله معصية، إلا أن الأمة تبقى مكلفة بالبيعة للحاكم المتصف بالصفات اللازمة للقيام بأعباء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تكون بيعتهم الثانية عملاً مقبولاً </w:t>
      </w:r>
    </w:p>
    <w:p>
      <w:pPr>
        <w:pStyle w:val="BookText"/>
        <w:rPr/>
      </w:pPr>
      <w:r>
        <w:rPr>
          <w:rFonts w:ascii="Amiri" w:hAnsi="Amiri" w:eastAsia="Amiri" w:cs="Amiri"/>
          <w:color w:val="111111"/>
          <w:sz w:val="28"/>
          <w:sz w:val="28"/>
          <w:szCs w:val="28"/>
          <w:rtl w:val="true"/>
          <w:lang w:bidi="ar-SA"/>
        </w:rPr>
        <w:t>ومرضيّاً عند الله سبحانه وتعالى على نحو نسبي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الدقيقة في هذا البحث هي أن بالإمكان استنباط هذا الأمر من خلال الفلسفة السياسية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مقام الثبوت والتنظير، وأما في مقام الإثبات والتطبيق على المصاديق فهو بحث آخر فهل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في الخلفاء الثلاثة الذين اغتصبوا حقه مصاديق لهذا النوع من البيعة أم لا؟</w:t>
      </w:r>
    </w:p>
    <w:p>
      <w:pPr>
        <w:pStyle w:val="BookText"/>
        <w:rPr/>
      </w:pPr>
      <w:r>
        <w:rPr>
          <w:rFonts w:ascii="IRNazanin" w:hAnsi="IRNazanin" w:eastAsia="IRNazanin"/>
          <w:color w:val="111111"/>
          <w:sz w:val="28"/>
          <w:sz w:val="28"/>
          <w:szCs w:val="28"/>
          <w:rtl w:val="true"/>
          <w:lang w:bidi="fa-IR"/>
        </w:rPr>
        <w:t>إن الإجابة عن هذا السؤال بحاجة إلى مزيد من التأمل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افتراض قبول الإمام علي بهم يتوقف على أنهم كانوا هم الأفضل بعد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سائر الصحابة الآخرين،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الفارسي، وأبي ذر الغفاري، والمقداد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يبقوا طوال حكمهم محافظين على صفة الأفضلية على غيرهم من الصحابة</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إثبات هذين الأمرين لا يحتاج إلى مزيد من البحث والمؤونة، إذ إنّ القرائن والشواهد تثبت عدم اتصافهم بالأفضلية على 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البداية فضلاً عن الاستمرار في الحفاظ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وصف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بأنهم غاصبون لحق أهل البيت</w:t>
      </w:r>
      <w:r>
        <w:rPr>
          <w:rStyle w:val="FootnoteAnchor"/>
          <w:rtl w:val="true"/>
        </w:rPr>
        <w:footnoteReference w:id="909"/>
      </w:r>
      <w:r>
        <w:rPr>
          <w:rFonts w:ascii="IRNazanin" w:hAnsi="IRNazanin" w:eastAsia="IRNazanin"/>
          <w:color w:val="111111"/>
          <w:sz w:val="28"/>
          <w:sz w:val="28"/>
          <w:szCs w:val="28"/>
          <w:rtl w:val="true"/>
          <w:lang w:bidi="fa-IR"/>
        </w:rPr>
        <w:t>عن سابق عمد وإصرار، وما إلى ذلك من الأمور التي واكبت عملية مصادرة حق الإمام في الخلافة،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مصادرة أرض فدك وسلب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حقها في إرث رسول الله من قبل الخليفة الأول والثاني، وما قام به الخلفاء الثلاثة من البدع والانحراف في الدين </w:t>
      </w:r>
    </w:p>
    <w:p>
      <w:pPr>
        <w:pStyle w:val="BookText"/>
        <w:rPr/>
      </w:pPr>
      <w:r>
        <w:rPr>
          <w:rFonts w:ascii="Amiri" w:hAnsi="Amiri" w:eastAsia="Amiri" w:cs="Amiri"/>
          <w:color w:val="111111"/>
          <w:sz w:val="28"/>
          <w:sz w:val="28"/>
          <w:szCs w:val="28"/>
          <w:rtl w:val="true"/>
          <w:lang w:bidi="ar-SA"/>
        </w:rPr>
        <w:t>والشريعة</w:t>
      </w:r>
      <w:r>
        <w:rPr>
          <w:rStyle w:val="FootnoteAnchor"/>
          <w:rtl w:val="true"/>
        </w:rPr>
        <w:footnoteReference w:id="910"/>
      </w:r>
      <w:r>
        <w:rPr>
          <w:rFonts w:ascii="Amiri" w:hAnsi="Amiri" w:eastAsia="Amiri" w:cs="Amiri"/>
          <w:color w:val="111111"/>
          <w:sz w:val="28"/>
          <w:sz w:val="28"/>
          <w:szCs w:val="28"/>
          <w:rtl w:val="true"/>
          <w:lang w:bidi="ar-SA"/>
        </w:rPr>
        <w:t xml:space="preserve">، حتى اضطر الإمام إلى تصحيح بعضها، في حين تعذر عليه إصلاح البعض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يثبت أنهم لم يكونوا أفضل الصحابة، إذا لم نقل إنهم كانوا أسوأ من الكثير من الصحابة</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يضاف إلى ذلك أن الخليفة الأول عمد إلى تنصيب عمر بن الخطاب بوصفه خليفة له على المسلمين، على الرغم من وجود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أي مبرر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عمر بدوره بتعيين الخليفة الذي يليه من خلال الشورى التى جعلها في ستة، والتي تمخضت عن خلافة عثمان، وهو أمر كان متوقع منذ البداية على ما صرح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تقدم توضيحه في نقد شبهة اشتراك الإمام في هذه الشورى</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الجدل في البيعة لفرد خاص هناك من العلماء من سعى إلى حمل جميع كلمات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مشروعية بيعة الناس وحقهم في اختيار الحاكم، على أنه يأتي في سياق الجدل مع مناوئيه من أمثال معاوية بن أبي سفيان</w:t>
      </w:r>
      <w:r>
        <w:rPr>
          <w:rStyle w:val="FootnoteAnchor"/>
          <w:rtl w:val="true"/>
        </w:rPr>
        <w:footnoteReference w:id="912"/>
      </w:r>
      <w:r>
        <w:rPr>
          <w:rFonts w:ascii="IRNazanin" w:hAnsi="IRNazanin" w:eastAsia="IRNazanin"/>
          <w:color w:val="111111"/>
          <w:sz w:val="28"/>
          <w:sz w:val="28"/>
          <w:szCs w:val="28"/>
          <w:rtl w:val="true"/>
          <w:lang w:bidi="fa-IR"/>
        </w:rPr>
        <w:t>، بمعنى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وجد المخالفين يستدلون بالبيعة </w:t>
      </w:r>
    </w:p>
    <w:p>
      <w:pPr>
        <w:pStyle w:val="BookText"/>
        <w:rPr/>
      </w:pPr>
      <w:r>
        <w:rPr>
          <w:rFonts w:ascii="Amiri" w:hAnsi="Amiri" w:eastAsia="Amiri" w:cs="Amiri"/>
          <w:color w:val="111111"/>
          <w:sz w:val="28"/>
          <w:sz w:val="28"/>
          <w:szCs w:val="28"/>
          <w:rtl w:val="true"/>
          <w:lang w:bidi="ar-SA"/>
        </w:rPr>
        <w:t xml:space="preserve">وانتخاب الناس، وأنهم اختاروا الخلفاء الذين سبقوه بالانتخاب، وجد نفسه مضطراً إلى عدم الاستدلال بأصل النصّ والتنصيب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يؤدي إلى الاعتقاد بعدم شرعية خلافة الخلفاء الذين سبقوه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صار إلى توظيف أدلة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باب الجدل بالتي هي أحسن، وإلزام الخصم بما ألزم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تأييد الإمام لبيعة الناس للخلفاء الثلاثة الذين سبقوه لا يمثل اعتقاداً من الإمام بذلك حقيقة، وإنما يأتي في سياق إلزام الخصم والمخالف بأصل ألزم به نفسه، لكي يثبت مشروعية حكمه لهؤلاء المخالفين من أمثال معاوية وطلحة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يبدو من ظاهر بعض الأدلة وكلمات الإمام أنها في سياق تأييد أصل بيعة الأمة للحاكم الذي يتصف بصفات الحاكم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تقدمت الإشارة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تقييدها أو حملها على الجدل بحاجة إلى دليل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عندما يستدل الإمام ببيعة الناس للخلفاء المعينين والمعروفين، فإن هذا النوع من البيعات بشكل مطلق غير ظاهر في تأييد خلافة خليفة بعينه، وإنما ينصب اهتمام الإمام فيها على الاستدلال بالجزء الأول فقط،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الأمة، وأنها تمثل دعامة لحكومة الإمام أيضاً، ولكن هل حصلت مثل هذه البيعة من قبل الناس للخلفاء الذين سبقوه وفق الضوابط والشرائط اللازمة أم لا؟ هذا ما لا يمكن لنا أن نفهمه من كلمات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إن كلمات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للتعبير الأصولي والحقوقي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ناظرة إلى هذه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ربما أمكن الادعاء بأن كلمات الإمام كانت ناظرة إلى عدم مشروعية الخليفة المنتخب من قبل الأمة أيضاً؛ وذلك حيث يُحجم الإمام عن مبايعة الخليفة الأول، ويكون بصدد إعداد جيش للقضاء عليه، ولكنه لم ينجح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bookmarkStart w:id="808" w:name="pg15658_147289"/>
    </w:p>
    <w:p>
      <w:pPr>
        <w:pStyle w:val="BookText"/>
        <w:rPr/>
      </w:pPr>
      <w:bookmarkEnd w:id="808"/>
      <w:r>
        <w:rPr>
          <w:rFonts w:ascii="Amiri" w:hAnsi="Amiri" w:eastAsia="Amiri" w:cs="Amiri"/>
          <w:color w:val="111111"/>
          <w:sz w:val="28"/>
          <w:sz w:val="28"/>
          <w:szCs w:val="28"/>
          <w:rtl w:val="true"/>
          <w:lang w:bidi="ar-SA"/>
        </w:rPr>
        <w:t>ما تقدم بيانه في نقد شبهة عدم قيام الإمام باتخاذ أي إجراء لاستعادة حقه في الحكم، في فصل أصل التنصيب</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11030795_2142443653"/>
      <w:bookmarkStart w:id="810" w:name="_Toc293"/>
      <w:bookmarkEnd w:id="809"/>
      <w:r>
        <w:rPr>
          <w:rtl w:val="true"/>
        </w:rPr>
        <w:t>التبرير الحادي عشر</w:t>
      </w:r>
      <w:r>
        <w:rPr>
          <w:rtl w:val="true"/>
        </w:rPr>
        <w:t xml:space="preserve">: </w:t>
      </w:r>
      <w:r>
        <w:rPr>
          <w:rtl w:val="true"/>
        </w:rPr>
        <w:t>إمامة الإمام علي</w:t>
      </w:r>
      <w:r>
        <w:rPr>
          <w:rtl w:val="true"/>
        </w:rPr>
        <w:t>(</w:t>
      </w:r>
      <w:r>
        <w:rPr>
          <w:rtl w:val="true"/>
        </w:rPr>
        <w:t>علیه السّلام</w:t>
      </w:r>
      <w:r>
        <w:rPr>
          <w:rtl w:val="true"/>
        </w:rPr>
        <w:t>)</w:t>
      </w:r>
      <w:r>
        <w:rPr>
          <w:rtl w:val="true"/>
        </w:rPr>
        <w:t>رهن بسعيه إليها</w:t>
      </w:r>
      <w:r>
        <w:rPr>
          <w:rtl w:val="true"/>
        </w:rPr>
        <w:t>:</w:t>
      </w:r>
      <w:bookmarkEnd w:id="810"/>
    </w:p>
    <w:p>
      <w:pPr>
        <w:pStyle w:val="BookText"/>
        <w:rPr/>
      </w:pPr>
      <w:r>
        <w:rPr>
          <w:rFonts w:ascii="IRNazanin" w:hAnsi="IRNazanin" w:eastAsia="IRNazanin"/>
          <w:color w:val="111111"/>
          <w:sz w:val="28"/>
          <w:sz w:val="28"/>
          <w:szCs w:val="28"/>
          <w:rtl w:val="true"/>
          <w:lang w:bidi="fa-IR"/>
        </w:rPr>
        <w:t>هناك من ذهب إلى القول بدلالة النصوص النبوية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الخلافة والسلطة،بید أن تنجز ذلك وفعليته يتوقف على سعي الإمام علي ومبادرته إلى استلام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والخلافة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من حق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شرعاً، إلا أن هذا يتوقف على قيام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لما يراه من طبقاً لما يراه من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باستلام الحكم والتصدّي لمنصب الخلافة على المستوى العملي، أما إذا ترك المطالبة بالسلطة وعدم قيامه بشيء من ذلك، تبقى النصوص الشرعية على إمامته معلقة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الحقيقة فيما يتعلق بتعيين الحاكم الإسلامي في هذا الفرض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الإمام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النصوص الواردة كالملغاة، ويعود الأمر فيما يتعلق بالحكم إلى اختيار الأمة والبيعة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فيما يتعلق بمقام الإثبات والخارج، فهل حصل تعيين وانتخاب للخليفة الأول، وهل كانت هناك انتخابات حقيقية، أم الأن الأمر كان كما قال عمر بن الخطاب فلتة وأمر متسرع حدث على عجل؟</w:t>
      </w:r>
      <w:r>
        <w:rPr>
          <w:rFonts w:eastAsia="Amiri" w:cs="Amiri" w:ascii="Amiri" w:hAnsi="Amiri"/>
          <w:color w:val="111111"/>
          <w:sz w:val="28"/>
          <w:szCs w:val="28"/>
          <w:rtl w:val="true"/>
          <w:lang w:bidi="ar-SA"/>
        </w:rPr>
        <w:t>!</w:t>
      </w:r>
      <w:r>
        <w:rPr>
          <w:rStyle w:val="FootnoteAnchor"/>
          <w:rtl w:val="true"/>
        </w:rPr>
        <w:footnoteReference w:id="913"/>
      </w:r>
      <w:r>
        <w:rPr>
          <w:rFonts w:ascii="Amiri" w:hAnsi="Amiri" w:eastAsia="Amiri" w:cs="Amiri"/>
          <w:color w:val="111111"/>
          <w:sz w:val="28"/>
          <w:sz w:val="28"/>
          <w:szCs w:val="28"/>
          <w:rtl w:val="true"/>
          <w:lang w:bidi="ar-SA"/>
        </w:rPr>
        <w:t>فهذا ما يجب الحصول على جوابه في موضع آخر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التبرير السابق هو الذي ذهبت له شريحة خاصة من المعتزلة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قال ابن أبي الحديد </w:t>
      </w:r>
      <w:bookmarkStart w:id="811" w:name="pg15658_147290"/>
    </w:p>
    <w:p>
      <w:pPr>
        <w:pStyle w:val="BookText"/>
        <w:rPr/>
      </w:pPr>
      <w:bookmarkEnd w:id="8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شرحنا من قول شيوخنا البغداديين ما محصله أن الإمامة كانت العلي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رغب فيها ونازع عليها، وإن أقرها في غيره وسكت عنها، تولينا ذلك الغير وقلنا بصحة خلافته،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ينازع الأئمة الثلاثة، ولا جرد السيف، ولا استنجد بالناس عليهم؛ فدل ذلك على إقراره لهم على ما كانوا فيه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2" w:name="__RefHeading___Toc11030797_2142443653"/>
      <w:bookmarkStart w:id="813" w:name="_Toc294"/>
      <w:bookmarkEnd w:id="812"/>
      <w:r>
        <w:rPr>
          <w:rtl w:val="true"/>
        </w:rPr>
        <w:t>مناقشة وتحليل</w:t>
      </w:r>
      <w:r>
        <w:rPr>
          <w:rtl w:val="true"/>
        </w:rPr>
        <w:t>:</w:t>
      </w:r>
      <w:bookmarkEnd w:id="813"/>
    </w:p>
    <w:p>
      <w:pPr>
        <w:pStyle w:val="BookText"/>
        <w:rPr/>
      </w:pPr>
      <w:r>
        <w:rPr>
          <w:rFonts w:ascii="Amiri" w:hAnsi="Amiri" w:eastAsia="Amiri" w:cs="Amiri"/>
          <w:color w:val="111111"/>
          <w:sz w:val="28"/>
          <w:sz w:val="28"/>
          <w:szCs w:val="28"/>
          <w:rtl w:val="true"/>
          <w:lang w:bidi="ar-SA"/>
        </w:rPr>
        <w:t>في معرض تحليل هذا التبرير يجدر الالتفات إلى الأمور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دعوى من 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تقييد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وخلافته بقيامه العملي وسعيه إلى السلطة، وذلك بإشهار السيف والثورة المسلّحة، مجرد ادّعاء لا يؤيّده الدليل؛ إذ لا يمكن استنتاج ذلك من الروايات، ولذلك لم يذكر أصحاب هذه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تتبعي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واحدة لإثبات ما ذهبوا إليه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السعي العملي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الأمر الآخر أننا إذا عدنا إلى الأحداث الأولى التي أعقبت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سيتضح لنا 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 بعض الإجراءات العملية لاستلام السلطة، كمطالبته الناس بالنصرة والبيعة له، وخروج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وسبطي رسول الله الإمامين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ليلاً يقرع أبواب الصحابة طلباً للنصرة على ما مر بيانه وتفصيله في شبهة عدم قيام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سعيه إلى المطالبة بالخلافة والسلطة</w:t>
      </w:r>
      <w:r>
        <w:rPr>
          <w:rFonts w:eastAsia="IRNazanin" w:cs="IRNazanin"/>
          <w:color w:val="111111"/>
          <w:sz w:val="28"/>
          <w:szCs w:val="28"/>
          <w:rtl w:val="true"/>
          <w:lang w:bidi="fa-IR"/>
        </w:rPr>
        <w:t xml:space="preserve">. </w:t>
      </w:r>
      <w:bookmarkStart w:id="814" w:name="pg15658_147291"/>
    </w:p>
    <w:p>
      <w:pPr>
        <w:pStyle w:val="BookText"/>
        <w:rPr/>
      </w:pPr>
      <w:bookmarkEnd w:id="81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إنكاره على الخلفاء الذين سبقوه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يقم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 بادرة إلى الحكم، لكان عليه عدم الشكوى مما فعله الخلفاء الذين سبقوه، في حين أن أدنى قراءة لكلمات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أنه كان يشكو في كثير من المواضع المتعدّدة والمتواترة من غصب الخلفاء لحقه، وذمهم وشجب صنيعهم، وقد تقدّم بيان جانب من هذه الكلمات في الصفحات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مراعاة مصلحة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رأى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يمتلك العدد الكافي من الأنصار، ووجد أن القيام بهذه العصبة لن يحقق الهدف والغاية، بل سيؤدي إلى إضعاف شجرة الإسلام الفتية، آثر التنازل عن حقه الثابت له وإرثه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حد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حفاظاً على وحدة المسلمين، وتفويت الفرصة على المنافقين والأعداء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الإمام بذلك في العديد من المواطن على ما مر تفصيله في بحث أسباب سكوته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15" w:name="__RefHeading___Toc11030799_2142443653"/>
      <w:bookmarkStart w:id="816" w:name="_Toc295"/>
      <w:bookmarkEnd w:id="815"/>
      <w:r>
        <w:rPr>
          <w:rtl w:val="true"/>
        </w:rPr>
        <w:t>التبرير الثاني عشر</w:t>
      </w:r>
      <w:r>
        <w:rPr>
          <w:rtl w:val="true"/>
        </w:rPr>
        <w:t xml:space="preserve">: </w:t>
      </w:r>
      <w:r>
        <w:rPr>
          <w:rtl w:val="true"/>
        </w:rPr>
        <w:t xml:space="preserve">إمامة الإمام رهن ببيعة الأمة </w:t>
      </w:r>
      <w:r>
        <w:rPr>
          <w:rtl w:val="true"/>
        </w:rPr>
        <w:t>(</w:t>
      </w:r>
      <w:r>
        <w:rPr>
          <w:rtl w:val="true"/>
        </w:rPr>
        <w:t>الشرعية السياسية</w:t>
      </w:r>
      <w:r>
        <w:rPr>
          <w:rtl w:val="true"/>
        </w:rPr>
        <w:t>):</w:t>
      </w:r>
      <w:bookmarkEnd w:id="816"/>
    </w:p>
    <w:p>
      <w:pPr>
        <w:pStyle w:val="BookText"/>
        <w:rPr/>
      </w:pPr>
      <w:r>
        <w:rPr>
          <w:rFonts w:ascii="IRNazanin" w:hAnsi="IRNazanin" w:eastAsia="IRNazanin"/>
          <w:color w:val="111111"/>
          <w:sz w:val="28"/>
          <w:sz w:val="28"/>
          <w:szCs w:val="28"/>
          <w:rtl w:val="true"/>
          <w:lang w:bidi="fa-IR"/>
        </w:rPr>
        <w:t>هناك من يذهب إلى الاعتقاد بورود النص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وخلافته، ولكنه يرى تحقق الإمامة وتنجزها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السياسي والاجتماعى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متوقفاً على بيعة الناس، كما قال بعضهم</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تنصيب الحاكم والقائد السياسي في الإسلام من خلال بيعة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ما لم تنعقد البيعة للحاكم من قبل الناس، لن تقوم له الحجة في أعناقهم، ولكنهم ما أن يبايعوه حتى يكون حكمه ملزماً لهم، وتغدو سلطته شرعية، وتجب عليهم الطاعة له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 </w:t>
      </w:r>
    </w:p>
    <w:p>
      <w:pPr>
        <w:pStyle w:val="BookText"/>
        <w:rPr/>
      </w:pPr>
      <w:r>
        <w:rPr>
          <w:rFonts w:ascii="IRNazanin" w:hAnsi="IRNazanin" w:eastAsia="IRNazanin"/>
          <w:color w:val="111111"/>
          <w:sz w:val="28"/>
          <w:sz w:val="28"/>
          <w:szCs w:val="28"/>
          <w:rtl w:val="true"/>
          <w:lang w:bidi="fa-IR"/>
        </w:rPr>
        <w:t>في صحراء الغدير إلى أخذ البيعة من الناس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يكتف بإعلان الولاية له على الناس فقط بل إن البيعة بوصفها حق للحاكم على الناس تضفي الشرعية على سلطته</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رواية 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إنك ستلقى بعدي من قريش شدة، من تظاهرهم عليك وظلمهم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أعواناً عليهم فجاهدهم وقاتل من خالفك بمن وافقك، فإن لم تجد أعواناً فاصبر وكف يدك ولا تلق بيدك إلى التهلكة؛ فإنك مني بمنزلة هارون من موسى، ولك بهارون 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لأخيه موسى إِنَّ الْقَوْمَ اسْتَضْعَفُونِي وَكَادُوا يَقْتُلُونَنِي</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قال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 الله بن مسعود حين سأله عن خلافة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بايعتموه وأطعتموه، أدخلكم الجنة أكتعين</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أسند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حكمه مراراً إلى بيعة الأمة له، وقد تجلى ذلك في استجابته لإصرار الصحابة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استلام السلطة ومبايعتهم له، حيث قال لهم بعد امتناع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المسجد، فإن بيعتي لا تكون خفياً، ولا تكون إلا عن رضا المسلمين</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وكتب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رسالة منه إلى معاوية بن أبي سفيان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الشُّورَى لِلْمُهَاجِرِينَ وَالْأَنْصَارِ، فَإِنِ اجْتَمَعُوا عَلَى رَجُلٍ وَسَمَّوْهُ إِمَاماً كَانَ ذلِكَ الله رِضى</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هذه الرواية يُثبت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تأييده لمبدأ الشورى، وحق هذه الشورى في اختيار الحاكم، معتبراً ذلك مورداً لمرضاة الله سبحانه وتعالى</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بين الأسس والثوابت التي يمكن لها تأييد هذا الرأي روايات تم التأكيد فيها على أن الإمام بمثابة الكعبة التي يقصدها الناس ولا تقصدهم، فعلى الناس أن يقصدوا الإمام، لا أن يقصدهم الإمام ويستجدي منهم حقه في الخلافة، ومن ذلك قول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علي أنت بمنزلة الكعبة تؤتى ولا تأتى، فإن أتاك هؤلاء القوم فسلموها إليك فاقبل منهم، وإن لم يأتوك فلا تأتهم حتى يأتوك</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تراجع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المطالبة بحقه في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الإمام مثل الكعبة؛ إذ تؤتى ولا تأتي</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سوف نعمل في الصفحات القادمة على نقد الشبهة المتقدمة على هامش شبهة المشروعية الشعبية للحكومة بالتفصيل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هنا فنشير إلى أن روايات البيعة ليست نافية لأصل التنصيب في الإمامة بمعنى الخلافة والحكومة، بل وتؤيد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تم التأكيد والتصريح في هذه الروايات بالحق الإلهي الثابت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الإمامة والخلافة، وتمت مطالبة الناس فيها مبايعته، 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بيعة الأمة المسلمة للإمام المنصوص والمنصوب من قبل الله ورسوله واجب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ولابد من التذكير هنا بوجود نقطة دقيقة بين الشرعية الإلهية والشرعية السياسية، ويجب عدم الخلط بين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إمامة الأئمة وحكومتهم قد تم التنصيص عليها من طريق الوحي، وإن مصدر شرعيتهم هو مصدر سماوي وديني، وأن الناس مكلفون باتباعهم في جميع الحقول والمجالات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المنصوبين للحكم والإمامة والخلافة من قبل الله يتعين عليهم عدم ممارسة حاكميتهم الدينية من خلال استخدام القوة والقهر والغلبة وفرض سلطتهم على الناس بالسلاح، بل إن الطريق العملي لتطبيق الشرعية الدينية يمر عبر إرادة واختيار الأمة ورضا عامة الناس، وهو ما يمكن التعبير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المشروعية الشعبية والأرضية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بحكومة الأئمة تم الجمع بين مشروعيتين؛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المشروعية السماوية والإلهية،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المشروعية الشعبية والأرضية، أو الفاعلية والوضعية بتعبير آخر</w:t>
      </w:r>
      <w:r>
        <w:rPr>
          <w:rFonts w:eastAsia="Amiri" w:cs="Amiri" w:ascii="Amiri" w:hAnsi="Amiri"/>
          <w:color w:val="111111"/>
          <w:sz w:val="28"/>
          <w:szCs w:val="28"/>
          <w:rtl w:val="true"/>
          <w:lang w:bidi="ar-SA"/>
        </w:rPr>
        <w:t xml:space="preserve">. </w:t>
      </w:r>
      <w:bookmarkStart w:id="817" w:name="pg15658_147295"/>
    </w:p>
    <w:p>
      <w:pPr>
        <w:pStyle w:val="BookText"/>
        <w:rPr/>
      </w:pPr>
      <w:bookmarkEnd w:id="817"/>
      <w:r>
        <w:rPr>
          <w:rFonts w:ascii="IRNazanin" w:hAnsi="IRNazanin" w:eastAsia="IRNazanin"/>
          <w:color w:val="111111"/>
          <w:sz w:val="28"/>
          <w:sz w:val="28"/>
          <w:szCs w:val="28"/>
          <w:rtl w:val="true"/>
          <w:lang w:bidi="fa-IR"/>
        </w:rPr>
        <w:t>من هنا يتضح أن حكومة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الحكومة الوحيدة التي توفرت على كلا عنصري المشروعية،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التنصيب السماوي وانتخاب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فإنّ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مختلف المواضع وبما يتناسب وظرفية المخاطب يستند فى إثبات شرعيته إلى النصوص الدينية،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 ويستند إلى البيعة أيضاً، وإن استناده إلى أحدهما لا ينفى الآخر؛ لأن إثبات الشيء لا ينفي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الكلام أنّ تبرير نصوص الإمامة وتأويلها بمعنى الخلافة على أساس البيعة يمكن جمعه مع أصل نظرية الإمامة، إلا أن فروع الإمامة الأخرى،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المرجعية العلمية، والدينية، والولاية المعنوية، فلا علاقة لها بانتخاب الناس، وأن إمامة الأمة من هذه الناحية كاملة ومطلقة</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1030801_2142443653"/>
      <w:bookmarkStart w:id="819" w:name="_Toc296"/>
      <w:bookmarkEnd w:id="818"/>
      <w:r>
        <w:rPr>
          <w:rtl w:val="true"/>
        </w:rPr>
        <w:t xml:space="preserve">التبرير الثالث عشر </w:t>
      </w:r>
      <w:r>
        <w:rPr>
          <w:rtl w:val="true"/>
        </w:rPr>
        <w:t xml:space="preserve">: </w:t>
      </w:r>
      <w:r>
        <w:rPr>
          <w:rtl w:val="true"/>
        </w:rPr>
        <w:t>ادعاء نسخ إمامة الإمام علي</w:t>
      </w:r>
      <w:r>
        <w:rPr>
          <w:rtl w:val="true"/>
        </w:rPr>
        <w:t>(</w:t>
      </w:r>
      <w:r>
        <w:rPr>
          <w:rtl w:val="true"/>
        </w:rPr>
        <w:t>علیه السّلام</w:t>
      </w:r>
      <w:r>
        <w:rPr>
          <w:rtl w:val="true"/>
        </w:rPr>
        <w:t>):</w:t>
      </w:r>
      <w:bookmarkEnd w:id="81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أصحاب مشروع السقيفة الذين عملوا على 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دائرة السلطة والخلافة، عمدوا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لتبرير فعلتهم وإضفاء المشروعية على حكمهم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وضع الحديث على لسان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ادعى أبو بكر أنه سمع من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الخلافة والنبوة في بيت واحد بعدي، ولمّا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بيت النبي، يكون هذا الحديث من النبي رجوعاً رجوعاً وعدولاً وعدولاً عن جميع الروايات التي وردت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استمع أبو بكر لجميع أدلة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وبراهينه المتقنة والمنطقية بشأن إمامته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قلت حق قد سمعناه بآذاننا وعرفناه ووعته قلوبنا، ولكن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بعد هذا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اصطفانا الله وأكرمنا واختار لنا الآخرة على الدنيا، وإن الله لم يكن ليجمع لنا أهل البيت النبوة والخلافة</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كرّر أبو بكر ادعاءه سماع هذا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 لشيعة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وبريدة</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لعب هذا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كبيراً في التأثير على عامة الناس، وزعزعة عزيمتهم في دعم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ونصرته، وترك بعض الناس في حيرة من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 طلحة بن عبيد الله أشار في احتجاجه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هذه الشبهة التي أثارها أبو بكر،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فكيف نصنع بما ادعى أبو بكر وعمر وأصحابه </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لهذا التبرير أثر قوي على حرف أذهان الناس، بحيث أن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إلى هذه الشبهة بعد سنوات واصفاً إياها بأنها هي السبب في اشتباه الأمر على الناس وعدم تشخيص الحق، على ما روي عنه أنه قال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فتظاهروا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فاحتج عليهم بما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وما سمعته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قال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قد نسخه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أكرمنا الله عز وجل واصطفانا ولم يرض لنا بالدنيا، وإن الله لا يجمع لنا النبوة والخلافة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بذلك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وأبو عبيدة ومعاذ بن جبل وسالم مولى أبي حذيفة، فشبّهوا على العامة وصدقوهم وردّوهم على </w:t>
      </w:r>
      <w:bookmarkStart w:id="820" w:name="pg15658_147297"/>
    </w:p>
    <w:p>
      <w:pPr>
        <w:pStyle w:val="BookText"/>
        <w:rPr/>
      </w:pPr>
      <w:bookmarkEnd w:id="820"/>
      <w:r>
        <w:rPr>
          <w:rFonts w:ascii="Amiri" w:hAnsi="Amiri" w:eastAsia="Amiri" w:cs="Amiri"/>
          <w:color w:val="111111"/>
          <w:sz w:val="28"/>
          <w:sz w:val="28"/>
          <w:szCs w:val="28"/>
          <w:rtl w:val="true"/>
          <w:lang w:bidi="ar-SA"/>
        </w:rPr>
        <w:t>أدبارهم، وأخرجوها من معدنها من حيث جعلها الله</w:t>
      </w:r>
      <w:r>
        <w:rPr>
          <w:rFonts w:eastAsia="Amiri" w:cs="Amiri" w:ascii="Amiri" w:hAnsi="Amiri"/>
          <w:color w:val="111111"/>
          <w:sz w:val="28"/>
          <w:szCs w:val="28"/>
          <w:rtl w:val="true"/>
          <w:lang w:bidi="ar-SA"/>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من اعترف من علماء أهل السنة المنصفين بدور هذه الشبهة في حرف أذهان الصحابة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وإقبالهم على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نجد النقيب أبا جعفر يحيى ابن أبي زيد</w:t>
      </w:r>
      <w:r>
        <w:rPr>
          <w:rStyle w:val="FootnoteAnchor"/>
          <w:rtl w:val="true"/>
        </w:rPr>
        <w:footnoteReference w:id="927"/>
      </w:r>
      <w:r>
        <w:rPr>
          <w:rFonts w:ascii="Amiri" w:hAnsi="Amiri" w:eastAsia="Amiri" w:cs="Amiri"/>
          <w:color w:val="111111"/>
          <w:sz w:val="28"/>
          <w:sz w:val="28"/>
          <w:szCs w:val="28"/>
          <w:rtl w:val="true"/>
          <w:lang w:bidi="ar-SA"/>
        </w:rPr>
        <w:t>يذكر هذا الحديث المدعى من قبل أبي بكر في جوابه عن ابن أبي الحديد المعتزلي</w:t>
      </w:r>
      <w:r>
        <w:rPr>
          <w:rStyle w:val="FootnoteAnchor"/>
          <w:rtl w:val="true"/>
        </w:rPr>
        <w:footnoteReference w:id="928"/>
      </w:r>
      <w:r>
        <w:rPr>
          <w:rFonts w:ascii="IRNazanin" w:hAnsi="IRNazanin" w:eastAsia="IRNazanin"/>
          <w:color w:val="111111"/>
          <w:sz w:val="28"/>
          <w:sz w:val="28"/>
          <w:szCs w:val="28"/>
          <w:rtl w:val="true"/>
          <w:lang w:bidi="fa-IR"/>
        </w:rPr>
        <w:t>في بيان أسباب عدم عمل الصحابة بنصوص الإمامة الواردة بشأن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11030803_2142443653"/>
      <w:bookmarkStart w:id="822" w:name="_Toc297"/>
      <w:bookmarkEnd w:id="821"/>
      <w:r>
        <w:rPr>
          <w:rtl w:val="true"/>
        </w:rPr>
        <w:t>مناقشة وتحليل</w:t>
      </w:r>
      <w:r>
        <w:rPr>
          <w:rtl w:val="true"/>
        </w:rPr>
        <w:t>:</w:t>
      </w:r>
      <w:bookmarkEnd w:id="822"/>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الحديث المنسوب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هو من وضع الواضعين، </w:t>
      </w:r>
    </w:p>
    <w:p>
      <w:pPr>
        <w:pStyle w:val="BookText"/>
        <w:rPr/>
      </w:pPr>
      <w:r>
        <w:rPr>
          <w:rFonts w:ascii="Amiri" w:hAnsi="Amiri" w:eastAsia="Amiri" w:cs="Amiri"/>
          <w:color w:val="111111"/>
          <w:sz w:val="28"/>
          <w:sz w:val="28"/>
          <w:szCs w:val="28"/>
          <w:rtl w:val="true"/>
          <w:lang w:bidi="ar-SA"/>
        </w:rPr>
        <w:t>ويشهد على اختلاقه القرائن الآتية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ادعاء أحد لهذا الحديث أو سماعه في عهد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نقطة تثار حول اختلاق هذا الحديث المنسوب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عدم الإتيان على ذكره إلا في سياق أحداث السقيفة، إذ إن أبا بكر وعمر عمدا لإثبات شرعية حكمهما في مواجهة الأدلة المتقنة التي ساقها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إلى الروايات المتعددة والمتواترة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الدالة على 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وتنصيبه بوصفه إماماً للمسلمين وخليفة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في مواجهة تمسك شيعته بالنصوص النبوية، حيث عمدا إلى اختلاق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والسؤال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مثل هذا الحديث قد صدر حقاً عن النبي الأكرم، فلماذا لم يسمع به أحد في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يدع سماعه إلا أبطال السقيفة من أمثال أبي بكر وعمر الذين اغتصبوا حق الإمام علي في الخلافة، وذلك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مجال لتكذيبه من قبل النبي</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انتماء شهود الحديث إلى أبطال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المصادر التاريخية أن الذي صاغ هذا الحديث هو أبو بكر، وذلك في مواجهة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والذين شهدوا له بصدور هذا الحديث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وأبو عبيدة بن الجراح، وسالم مولى أبي حذيفة، ومعاذ بن جبل</w:t>
      </w:r>
      <w:r>
        <w:rPr>
          <w:rStyle w:val="FootnoteAnchor"/>
          <w:rtl w:val="true"/>
        </w:rPr>
        <w:footnoteReference w:id="930"/>
      </w:r>
      <w:r>
        <w:rPr>
          <w:rFonts w:ascii="IRNazanin" w:hAnsi="IRNazanin" w:eastAsia="IRNazanin"/>
          <w:color w:val="111111"/>
          <w:sz w:val="28"/>
          <w:sz w:val="28"/>
          <w:szCs w:val="28"/>
          <w:rtl w:val="true"/>
          <w:lang w:bidi="fa-IR"/>
        </w:rPr>
        <w:t>، وهم بأجمعهم من الأوائل الذين اصطفوا مع أبي بكر في ادعاء الخلافة، بل إن هؤلاء هم الذين سبق لهم أن تعاقدوا في الكعبة وأبرموا عهداً يقضى بسلب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حقهم في الخلافة والإمامة مهما كلف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صرّح به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إذ </w:t>
      </w:r>
    </w:p>
    <w:p>
      <w:pPr>
        <w:pStyle w:val="BookText"/>
        <w:rPr/>
      </w:pPr>
      <w:r>
        <w:rPr>
          <w:rFonts w:ascii="Amiri" w:hAnsi="Amiri" w:eastAsia="Amiri" w:cs="Amiri"/>
          <w:color w:val="111111"/>
          <w:sz w:val="28"/>
          <w:sz w:val="28"/>
          <w:szCs w:val="28"/>
          <w:rtl w:val="true"/>
          <w:lang w:bidi="ar-SA"/>
        </w:rPr>
        <w:t>كشف عن مؤامرة أبي بكر من وراء اختلاق هذا الحديث ومن شهد له بصحته</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الذي يرد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الحديث صادراً عن النبي الأكرم حقيقة، فلماذا لم يسمعه الصحابة الآخرون،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وأبي ذر، والمقداد، والزبير، بل إن جميع هؤلاء قد أنكروا صدور هذا الحديث، وتشبّثوا بنصوص النبي الأكرم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مر تقريره في فصل أصل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يمكن التشكيك في صحة هذا الحديث المنسوب إلى النبي، بل القطع باختلاقه بالنظر إلى الشواهد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عمر من كتابة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لوصيته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ذكرنا في فصل تنصيب الإمام، ونقد الشبهات الواردة في هذا الشأن أن تعرضنا إلى نقد شبهة عدم وجود النص في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هامش حديث الدواة والقلم، وذلك عندما أمر النبي بأن يؤتى له بدواة وكتف ليكتب للمسلمين وصيته الأخيرة، إلا أن عمر بذل المستحيل من أجل منع النبي من ذلك، حتى بلغ حد اتهام النبي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يهجر، حتى كان له ذلك</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الذي يفرض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رجع حقاً عن جميع النصوص الإلهية الواردة في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قام بكل تلك الجهود المضنية عندما سمع النبي يأمر بإحضار الدواة والكتف، ولم يسمح للنبي بتنفيذ وصيته؟ ألا يدلّ ذلك على عدم وجود نسخ من الأساس، </w:t>
      </w:r>
    </w:p>
    <w:p>
      <w:pPr>
        <w:pStyle w:val="BookText"/>
        <w:rPr/>
      </w:pPr>
      <w:r>
        <w:rPr>
          <w:rFonts w:ascii="IRNazanin" w:hAnsi="IRNazanin" w:eastAsia="IRNazanin"/>
          <w:color w:val="111111"/>
          <w:sz w:val="28"/>
          <w:sz w:val="28"/>
          <w:szCs w:val="28"/>
          <w:rtl w:val="true"/>
          <w:lang w:bidi="fa-IR"/>
        </w:rPr>
        <w:t>وأن النبي كان يريد من وراء كتابة تلك الوصية التأكيد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تدوينها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للأسف الشديد عمد الطامعون في بلوغ الخلافة إلى منع إبرام هذا الكتاب الذي كان من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تعبير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يمنع الأمة من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إنكار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الصحابة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الآخر على اختلاق هذا الحديث إنكاره من قبل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مستهل الترويج له من قبل أبي بكر، وقد تكرر هذا الإنكار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مواطن أخرى، ومن ذلك عندما أعاد طلحة بن عبید الله الاستناد إلى هذا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يبقى أمام المسلمين إلا واحد من طريقين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التصديق بالحديث الذى ادعاه أبو بكر وشهد له به أربعة نفر من أنصاره وأعوانه، ولازم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علمه بنسخ إمامته مصراً على تشبثه بنصوص الإمامة، وتكذيب حديث أبي بكر، مما يعني نسبة الكذب والتمرد للحصول على السلطة حتى ولو كان على حساب تكذيب رواية الني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يلزم من القول بالحديث المدعى من قبل أبي بكر، هو تكذيب الصحابة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وابن عباس، وسلمان، وأبي ذر، والمقداد، والإمام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وسائر الأئمة الذين أكدوا فيما بعد على أصل التنصيب واستندوا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فضلاً عن على هذا اللازم الباطل، فإن أهل السنة لم يتمكنوا من إقامة أي دليل أو شاهد عليه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والطريق الآخر أن يذهب المسلمون إلى تبني إنكار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لهذا الحديث المدعى من قبل أبي بكر، والالتزام بأن أبا بكر وجماعته قد اختلقوا هذا الحديث طمعاً في الاستيلاء على السلطة واغتصابها من أصحابها الشرعيين، وقد تقدمت الإشارة إلى أدلة وشواهد هذه الفرضية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وعلاوة على ذلك بالالتفات إلى كون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بيت النبوة، ومن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البيت أعلم بما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مكة أدرى بشعابها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الأعلم بموضوع الإمامة والخلافة من الآخرين، ولذلك فإننا</w:t>
      </w:r>
    </w:p>
    <w:p>
      <w:pPr>
        <w:pStyle w:val="BookText"/>
        <w:rPr/>
      </w:pPr>
      <w:r>
        <w:rPr>
          <w:rFonts w:ascii="IRNazanin" w:hAnsi="IRNazanin" w:eastAsia="IRNazanin"/>
          <w:color w:val="111111"/>
          <w:sz w:val="28"/>
          <w:sz w:val="28"/>
          <w:szCs w:val="28"/>
          <w:rtl w:val="true"/>
          <w:lang w:bidi="fa-IR"/>
        </w:rPr>
        <w:t>ننحاز إلى موقفه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الثالث في تأييد موقف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إطلاق النصوق من القرآن والسنة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إمامته، مضافاً إلى الشواهد الأخرى التي سنأتي على ذكرها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 الخليفة الثاني بأصل التنصيب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أقر عمر بن الخطاب بأحقية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وأولويته بمنصب الإمامة والخلافة، والأهم من ذلك اعترافه بأصل تنصيبه من قبل النبيالأكرم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وتكراراً، على ما مرّ بيانه في نقد شبهة تعارض النصوص، في فصل أصل التنصيب، فلا حاجة إلى الإعادة هنا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فإن عمر لا يكتفي بعدم ذكر أي دليل على أصل النسخ فحسب، بل يعترف بوجود أصل التنصيب، وإنه لجأ أحياناً لتبرير الاستيلاء على الخلافة بأمور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وكراهة العرب لخلافته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ففي الحقيقة لم يكن هناك للنسخ أثر؛ إذ لو كان النسخ حاصلاً على أرض الواقع، لما كان هناك من وجه لذهاب عمر بن الخطاب إلى تلك التبريرات والاعترافات، هذا أولاً ، 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يكفي لعمر وأبي بكر أن </w:t>
      </w:r>
    </w:p>
    <w:p>
      <w:pPr>
        <w:pStyle w:val="BookText"/>
        <w:rPr/>
      </w:pPr>
      <w:r>
        <w:rPr>
          <w:rFonts w:ascii="Amiri" w:hAnsi="Amiri" w:eastAsia="Amiri" w:cs="Amiri"/>
          <w:color w:val="111111"/>
          <w:sz w:val="28"/>
          <w:sz w:val="28"/>
          <w:szCs w:val="28"/>
          <w:rtl w:val="true"/>
          <w:lang w:bidi="ar-SA"/>
        </w:rPr>
        <w:t>يتمسكوا بهذا النسخ بوصفه فصل الخطاب دائماً وأبداً، من دون الحاجة إلى تكلّف الأعذار الواهية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ترشيح عمر للإمام على في الشورى السداسية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الحديث المدعى من قبل أبي بكر وعمر القائم على عدم الجمع بين النبوة والخلافة في أهل بيت النبي صحيحاً، وأن الله كره لهم ذلك، فالسؤال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عمد عمر إلى ترشيح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الشورى التي دعا إليها ضمن الأعضاء الستة الذين رشحهم، وبذلك يكون قد اعترف بصلاحيته لتولي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يكون هنا بأس في أن يجمع هذا البيت بين الخلافة والنبوة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فإذا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 للحديث المدعى من قبل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صالح لتولي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جعله عمر بن الخطاب واحداً من الأعضاء المرشحين في الشورى؟</w:t>
      </w:r>
    </w:p>
    <w:p>
      <w:pPr>
        <w:pStyle w:val="BookText"/>
        <w:rPr/>
      </w:pPr>
      <w:r>
        <w:rPr>
          <w:rFonts w:ascii="IRNazanin" w:hAnsi="IRNazanin" w:eastAsia="IRNazanin"/>
          <w:color w:val="111111"/>
          <w:sz w:val="28"/>
          <w:sz w:val="28"/>
          <w:szCs w:val="28"/>
          <w:rtl w:val="true"/>
          <w:lang w:bidi="fa-IR"/>
        </w:rPr>
        <w:t>وإذا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صالحاً لتولي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أن هذا الحديث المدعى مجرد حديث مختلق، وإن صلاحيته قد انتهت بعد انقضاء فترة من الزمن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تعارض الحديث مع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ذكرنا في فصل أصل التنصيب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هامش شبهة عدم النصّ 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الآيات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التطهير، والإنذار، والولاية، والتبليغ، وإكمال الدين، وأولي الأمر، والتي أثبتنا بموجبها أنّ الإمام </w:t>
      </w:r>
    </w:p>
    <w:p>
      <w:pPr>
        <w:pStyle w:val="BookText"/>
        <w:rPr/>
      </w:pP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إماماً وخليفة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كان تنصيب الإمام علي قد ورد في القرآن الكريم ومن قبل الله، فإن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بدوره مأموراً بإبلاغ ذلك، ولم يكن بوسعه أن يغيّره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فإن دعوى نسخ إمامة الإمام علي وخلافته مخالف لآيات القرآن، مضافاً إلى أنه عند حصول التعارض بين رواية وبين القرآن يكون التقدم للقرآن، خاصة إذا كانت الرواية ينفرد بروايتها أربعة أشخاص فقط لدوافع سياسية، وكانت الأدلة والشواهد تثبت اختلاقها على ما مر بيانه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حكومة غير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للأسس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رصدت الآيات القرآنية الكريمة والروايات الشريفة للحاكم الإسلامي صفات وشرائط، ومن أهمها بعد العدالة والورع والتقوى، الأفضلية والأعلمية، بحيث يجب على الحاكم الديني أن يكون أفضل من الآخرين من حيث الصلاحية والاستحاق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 في محكم كتابه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الآية تذكر أن الذي يتصف لزوماً بالهداية إلى الحق يستحق الاتباع وممارسة الحكم والسلطة،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الشخص الهادي يجب أن يكون معصوماً في أمر الهداية، وأن يكون مهدياً بالفيض الإلهي بالذات، وأن يكون هادياً للآخرين من خلال الاتصال بالحق تعالى، وإلا فإن غير المعصوم لا يمكن أن يكون هادياً لزوماً ومنطقياً</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وإذا فقد الهادي المعصوم، يتضح من مفهوم الآية الشريفة أنه إذا كان هناك هاديان، وكان أحدهما أهدى من الآخر كان ملاك تبعيته أكثر من تبعية الآخرى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طبقاً لمذهب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طبقاً لمذهب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بأعلمية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يكون الإمام علي على كل حال هو الأنسب والأجدر والأصلح لتولي الحكم من غيره، وإن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 لهذه الآية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ملزمون باتباعه والرجوع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حدد شرط الحاكمية باتصاف الحاكم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ولت أمة رجلاً قط أمرها وفيهم أعلم منه إلا لم يزل أمرهم يذهب سفالاً حتى يرجعوا إلى ما تركوا</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أوصى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التبعية لعترته الطاهرة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الثقلين الشهير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فيما يتعلق بأفضلية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سائر الخلفاء، واستحقاقه للخلافة، ليس هناك إجماع من قبل الشيعة وبعض المعتزلة من أهل السنة على ذلك فحسب، بل تقدم في فصل أصل التنصيب اعترافات على لسان الخليفة الأول والثاني بأولوية وتنصيب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خليفة وإماماً على المسلمين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 أن أبا بكر قد اعترف في مواضع مختلفة أنه ليس الأنسب والأصلح للحكم، وكان يدعو المسلمين إلى التماس غيره، وجاء في بعض الروايات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بخيركم، وعلى فيكم</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هذا الأساس مع وجود الشخص الأعلم والأفضل مثل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يصل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النصوص الدينية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خلافة أمثال أبي بكر وعمر، وعلى فرض عدم وجود أي نص بشأن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تقدم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كان يجب على الأمة أن تختار الأعلم والأفضل وهو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ليكون هو الحاكم والخليفة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كيف يمكن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تلا بنفسه آيات القرآن الكريم بشأن لزوم اتباع الهادي إلى الحق، وصدر عنه حديث لزوم اتصاف الإمام والحاكم بالأعلمية مضافاً إلى حديث الثقلين والعترة، كيف يمكن له أن يعمل على خلاف مضمون القرآن الكريم وصريحه والأحاديث التي نطق بها بنفسه، ليعدل عن تعيين الخليفة الأفضل والأعلم وتنصيبه، ويعمل على نسخها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أشار له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جوابه عن الحديث المدعى من قبل أبي بكر بن أبي قحافة</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يتضح من هذا الجواب أنه حتى لو فرضنا جدلاً وقبلنا بورود الحديث الناسخ لتنصيب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 يبقى الحق بالخلافة محصوراً بالإمام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الشخص الوحيد الذي يتصف بالصفات اللازمة لتولي الحكم والخلافة في الحد الأعلى والأكمل، وإن حديث النسخ المدعى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ينسخ أصل التنصيب، ولكنه لا يمنع استحقاق الإمام علي للإمامة والخلافة لتوفر الصفات والشروط التي تؤهله لذلك فيه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استحالة تبرير أصل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النسخ في الأحكام والقوانين الفردية والاجتماعية والسياسية أمر ممكن، بل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بد لكل نسخ علة وتغيير من وسبب مقنع، ولا يمكن تغيير أي قانون أو حكم من دون سبب أو مبرر وجيه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هذه المقدّمة لا بد من السؤال بشأن الحديث المدعى من قبل أمثال أبي بكر وعمر، والمنسوب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عدل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لحظة واحدة عن جميع النصوص الواردة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الفترة الممتدة من بداية رسالته إلى أواخر عمره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لينسخها بأجمعها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هذا الحديث اليتيم الذي لم يسمعه من كل الصحابة سوى عدد يسير لا يتجاوز أصابع اليد الواحدة،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والثلاثة الذين شهدوا لهما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حصل هناك أمر خاص ؟ هل صدر عن 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معصية تعارض الدين؟ أم هل ظهر بين الصحابة من هو أعلم وافضل من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من صاغ هذا الحديث أن يجيب عن هذه الأسئلة المشروعة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وبطبيعة الحال قد يلجأ بعضهم للإجابة عن هذه الأسئلة إلى اجترار الأعذار السابقة،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حداثة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ومخالفة الناس له، مما هو بأجمعه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كالحديث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مختلق، وقد تقدم أن أجبنا عنه في معرض نقد شبهة فلسفة بيعة الناس لأبي بكر تحت عنوان 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الخلافة بمختلف الأعذار التي تقدم نقدها بالتفصيل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انقضاء زمن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أشرنا إلى أن هذه الرواية مختلقة ولا أساس لها من الصحة، وعلاوة على ذلك يطرح السؤال نفسه بشأن زمن صدورها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صدورها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ما قبل رحيل النبي الأكرم بثلاثة أيام لم تصدر مثل هذه الرواية عنه، بل هناك قرائن </w:t>
      </w:r>
      <w:bookmarkStart w:id="823" w:name="pg15658_147307"/>
    </w:p>
    <w:p>
      <w:pPr>
        <w:pStyle w:val="BookText"/>
        <w:rPr/>
      </w:pPr>
      <w:bookmarkEnd w:id="823"/>
      <w:r>
        <w:rPr>
          <w:rFonts w:ascii="IRNazanin" w:hAnsi="IRNazanin" w:eastAsia="IRNazanin"/>
          <w:color w:val="111111"/>
          <w:sz w:val="28"/>
          <w:sz w:val="28"/>
          <w:szCs w:val="28"/>
          <w:rtl w:val="true"/>
          <w:lang w:bidi="fa-IR"/>
        </w:rPr>
        <w:t>مثل حديث الدوات والقلم وشغب عمر ومنعه من تنفيذ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 عن اعتبار واستمرار النصوص النبوية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بغض النظر عن الإشكال السابق المطروح بشأن ما هو الحدث الهام الذي دعا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نسخ جميع النصوص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،يطرح هذا التساؤل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تأخر النبي في الإعلان عن هذا الحديث الهام والمصيري؟ فقد ألف الناس سماع النصوص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مراراً وتكراراً منذ بداية النبوة والبعثة إلى الأيام الأخيرة من حياته المباركة عندما أمر بإحضار الدواة والقلم، مضافاً إلى عشرات الآلاف من الحجاج الذين شهدوا يوم غدير خم والإعلان عن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نقلوه في جميع البلدان التي انتشروا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حكم آلاف المسلمين الذين لم يسمعوا بالحديث المدعى من قبل أبي بكر، وتمسكوا بالعمل على طبق نصوص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وعليه يتضح أن زمن نسخ أصل هام مثل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قد انتهى، وإن الحديث المدعى من قبل أبي بكر وشهوده لم يكن في المستوى والحد الذي يمكن أن يورث اليقين والاطمئنان، ولذلك كان أمثال الإمام</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وسلمان، وأبي ذر والمقداد، وقبيلة بني هاشم، وسائر الصحابة يميلون إلى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تكن بيعتهم لأبي بكر إلا عن ضغط وإكراه على ما مرّ بيانه في فصل أصل التنصيب</w:t>
      </w:r>
      <w:r>
        <w:rPr>
          <w:rFonts w:eastAsia="IRNazanin" w:cs="IRNazanin"/>
          <w:color w:val="111111"/>
          <w:sz w:val="28"/>
          <w:szCs w:val="28"/>
          <w:rtl w:val="true"/>
          <w:lang w:bidi="fa-IR"/>
        </w:rPr>
        <w:t>.</w:t>
      </w:r>
    </w:p>
    <w:p>
      <w:pPr>
        <w:pStyle w:val="Heading3"/>
        <w:numPr>
          <w:ilvl w:val="2"/>
          <w:numId w:val="1"/>
        </w:numPr>
        <w:rPr/>
      </w:pPr>
      <w:bookmarkStart w:id="824" w:name="__RefHeading___Toc11030805_2142443653"/>
      <w:bookmarkStart w:id="825" w:name="_Toc298"/>
      <w:bookmarkEnd w:id="824"/>
      <w:r>
        <w:rPr>
          <w:rtl w:val="true"/>
        </w:rPr>
        <w:t>التبرير الرابع عشر</w:t>
      </w:r>
      <w:r>
        <w:rPr>
          <w:rtl w:val="true"/>
        </w:rPr>
        <w:t xml:space="preserve">: </w:t>
      </w:r>
      <w:r>
        <w:rPr>
          <w:rtl w:val="true"/>
        </w:rPr>
        <w:t>تعارض النصوص</w:t>
      </w:r>
      <w:r>
        <w:rPr>
          <w:rtl w:val="true"/>
        </w:rPr>
        <w:t>:</w:t>
      </w:r>
      <w:bookmarkEnd w:id="82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أهل السنة من ذهب إلى القول بورود كثير من النصوص </w:t>
      </w:r>
      <w:bookmarkStart w:id="826" w:name="pg15658_147308"/>
    </w:p>
    <w:p>
      <w:pPr>
        <w:pStyle w:val="BookText"/>
        <w:rPr/>
      </w:pPr>
      <w:bookmarkEnd w:id="826"/>
      <w:r>
        <w:rPr>
          <w:rFonts w:ascii="IRNazanin" w:hAnsi="IRNazanin" w:eastAsia="IRNazanin"/>
          <w:color w:val="111111"/>
          <w:sz w:val="28"/>
          <w:sz w:val="28"/>
          <w:szCs w:val="28"/>
          <w:rtl w:val="true"/>
          <w:lang w:bidi="fa-IR"/>
        </w:rPr>
        <w:t>والروايات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 الإمامة والخلافة، وهي تنقسم إلى نوعين من النصوص، حيث تشمل النص الجلي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والخفي، وبعضها ظاهر في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وبعضها الآخر ظاهر في خلافة أبي بكر، وبذلك يقع التعارض بين هذه النصوص، ويصير الأمر إلى سقوطها عن</w:t>
      </w:r>
    </w:p>
    <w:p>
      <w:pPr>
        <w:pStyle w:val="BookText"/>
        <w:rPr/>
      </w:pPr>
      <w:r>
        <w:rPr>
          <w:rFonts w:ascii="IRNazanin" w:hAnsi="IRNazanin" w:eastAsia="IRNazanin"/>
          <w:color w:val="111111"/>
          <w:sz w:val="28"/>
          <w:sz w:val="28"/>
          <w:szCs w:val="28"/>
          <w:rtl w:val="true"/>
          <w:lang w:bidi="fa-IR"/>
        </w:rPr>
        <w:t>الاعتبار</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تقدّم بحث التعارض بين النصوص في الفصل السابق عند الحديث عن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وعمدنا إلى نقدها، ولذلك نحيل القارئ الكريم إلى ذلك البحث، ولا نرى حاجة إلى الإعادة ولكن نكتفي هنا بذكر خلاصة ذلك البحث وهي أن أكثر أهل السنة أنكروا وجود النص على أبي بكر، ومن خلال التبريرات التي تقدمت في فصل التبريرات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بعضها الآخر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أنهم كانوا يؤمنون بنوع خاص من النص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ولكنهم صاروا بصدد تأويله بشكل وآخر، بيد أن جميع تلك التأويلات لم تكن ناهضة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تكون هذه الشبهة صالحة لتبرير 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السلطة</w:t>
      </w:r>
      <w:r>
        <w:rPr>
          <w:rFonts w:eastAsia="IRNazanin" w:cs="IRNazanin"/>
          <w:color w:val="111111"/>
          <w:sz w:val="28"/>
          <w:szCs w:val="28"/>
          <w:rtl w:val="true"/>
          <w:lang w:bidi="fa-IR"/>
        </w:rPr>
        <w:t>.</w:t>
      </w:r>
    </w:p>
    <w:p>
      <w:pPr>
        <w:pStyle w:val="Heading3"/>
        <w:numPr>
          <w:ilvl w:val="2"/>
          <w:numId w:val="1"/>
        </w:numPr>
        <w:rPr/>
      </w:pPr>
      <w:bookmarkStart w:id="827" w:name="__RefHeading___Toc11030807_2142443653"/>
      <w:bookmarkStart w:id="828" w:name="_Toc299"/>
      <w:bookmarkEnd w:id="827"/>
      <w:r>
        <w:rPr>
          <w:rtl w:val="true"/>
        </w:rPr>
        <w:t>التبرير الخامس عشر</w:t>
      </w:r>
      <w:r>
        <w:rPr>
          <w:rtl w:val="true"/>
        </w:rPr>
        <w:t xml:space="preserve">: </w:t>
      </w:r>
      <w:r>
        <w:rPr>
          <w:rtl w:val="true"/>
        </w:rPr>
        <w:t>إثبات مطلق الخلافة دون الخلافة المباشرة</w:t>
      </w:r>
      <w:r>
        <w:rPr>
          <w:rtl w:val="true"/>
        </w:rPr>
        <w:t>:</w:t>
      </w:r>
      <w:bookmarkEnd w:id="828"/>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الأخيرة أو الدفاع الأخير لأهل السنة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وجهة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النصوص الصريحة على إمامة الإمام على ،وخلافته تظهر من خلال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الواردة بشأن الإمامة والخلافة</w:t>
      </w:r>
    </w:p>
    <w:p>
      <w:pPr>
        <w:pStyle w:val="BookText"/>
        <w:rPr/>
      </w:pPr>
      <w:r>
        <w:rPr>
          <w:rFonts w:ascii="IRNazanin" w:hAnsi="IRNazanin" w:eastAsia="IRNazanin"/>
          <w:color w:val="111111"/>
          <w:sz w:val="28"/>
          <w:sz w:val="28"/>
          <w:szCs w:val="28"/>
          <w:rtl w:val="true"/>
          <w:lang w:bidi="fa-IR"/>
        </w:rPr>
        <w:t>عن النبي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بألفاظ من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إمامة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تثبت أصل الإمامة والخلافة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ليست بصدد نفي إمامة الآخرين وخلافتهم من أمثال الخلفاء الثلاثة الذين سبقوا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ممارسة السلطة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التفتزاني بعد تقرير الروايات النبوية الصريحة في 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معرض تبريرها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سلم، فغايته إثبات خلافته، لا نفي خلافة الآخرين</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فإنه كان بصدد بيان الأصل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 الشيء لا ينفى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التبرير يُعدّ من التبريرات الضعيفة والواهية لأهل السنة؛ إذ تأتي على خلاف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إمامة الأمة وخلافة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أنها تخالف العقل والعقلاء، على ما سنوضحه تباعاً ضمن الفقرات الآتية</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الآيات في الخليفة والإمام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أننا ألقينا نظرة فاحصة على الآيات القرآنية الواردة بشأن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إكمال الدين وإتمام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941"/>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يَئِسَ الَّذِينَ كَفَرُوا مِنْ دِينِكُمْ فَلاَ تَخْشَوْهُمْ وَاخْشَوْنِي الْيَوْمَ أَكْمَلْتُ لَكُمْ دِينَكُمْ وَأَقْمْتُ عَلَيْكُمْ نِعْمَتِي وَرَضِيتُ لَكُمُ الإِسْلَامَ دِينًا</w:t>
      </w:r>
      <w:r>
        <w:rPr>
          <w:rStyle w:val="FootnoteAnchor"/>
          <w:rtl w:val="true"/>
        </w:rPr>
        <w:footnoteReference w:id="9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 الأمر منكم</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سيتضح لنا أنها بصدد البيان والإعلان عن خليفة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وتنصيبه بعده حاكماً وخليفة له على المسلمين مباشرة وبلا فصل؛ إذ إن هذه الآيات تثبت أن ولي المسلمين وحاكمهم هو الله ورسوله والذين يتصفون بهذه الصفات التي تذكرها هذه الآيات، والتي لا نجد مصداقها في غير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الآيات في مقام بيان وتبيين أصل ديني هام، وهو تحديد هوية الحاكم والخليفة الذي يجب أن يتولى إمامة المسلمين وخلافة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رحيله، وفي مقام بيان الصفات التي يجب أن تتوفر في خليفة رسول الله لم تذكر هذه الآيات سوى الصفات التي لا تنطبق إلا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هناك من يمكن له أن يتولى إمامة المسلمين وخلافة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عرض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أحجمت الآيات عن ذكر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لازم عدم ذكر صفات هؤلاء مع استحقاقهم وأهليتهم لتولي منصب الإمامة والخلافة، هو قصور البيان ونقصانه، 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إغراء المخاطبين وإبقائهم في دائرة الجهل، وهذا بعيد كل البعد عن طبيعة آخر الكتب السماوية الذي يتصف بأنه الكتاب الأكمل والذي يصفه الله سبحانه وتعالى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تِبْيَانًا لِكُلِّ شَيْءٍ وَهُدًى وَرَحْمَةٌ وَبُشْرَى لِلْمُسْلِمِينَ</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 الروايات النبوية في الخليفة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ما تقدم من الآيات، نجد الروايات النبوية 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صريحة ونص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إثبات الإمامة والخلافة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وبلا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الحديث النبوي المعروف الذي قاله في بداية الجهر بالدعوة حيث دعا إليه كبار عشيرته الأقربين، وقال لهم في تلك الدعوة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أعلم شاباً في العرب جاء قومه بأفضل مما جئتكم به، إني قد جئتكم بخير الدنيا والآخرة، وقد أمرني الله أن أدعوكم إليه، فأيكم يؤازرني على هذا الأمر على أن يكون أخي ووصيي وخليفتي فيكم؟</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المراد من هذا أن يكون خليفة له بشكل غير مباشر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وجود روايات نبوية أخرى صريحة في خلافة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 مباشرة ومن غير فصل، من قبيل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المسلمين وأمير المؤمنين ومولاهم بعد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الإمام والخليفة بعدي</w:t>
      </w:r>
      <w:r>
        <w:rPr>
          <w:rFonts w:eastAsia="Amiri" w:cs="Amiri" w:ascii="Amiri" w:hAnsi="Amiri"/>
          <w:color w:val="111111"/>
          <w:sz w:val="28"/>
          <w:szCs w:val="28"/>
          <w:rtl w:val="true"/>
          <w:lang w:bidi="ar-SA"/>
        </w:rPr>
        <w:t>»</w:t>
      </w:r>
      <w:r>
        <w:rPr>
          <w:rStyle w:val="FootnoteAnchor"/>
          <w:rtl w:val="true"/>
        </w:rPr>
        <w:footnoteReference w:id="9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وليكم بعدي</w:t>
      </w:r>
      <w:r>
        <w:rPr>
          <w:rFonts w:eastAsia="Amiri" w:cs="Amiri" w:ascii="Amiri" w:hAnsi="Amiri"/>
          <w:color w:val="111111"/>
          <w:sz w:val="28"/>
          <w:szCs w:val="28"/>
          <w:rtl w:val="true"/>
          <w:lang w:bidi="ar-SA"/>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أليست هذه الأحاديث والروايات نصوصاً صريحة في بيان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إلا إذا ظهر من بين أهل السنة مكابر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الروايات مطلقة، وتشمل فترة ما بعد النبي بربع قرن من الزمن أو أكثر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الروايات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نص الروايات النبوية، يمكن أن نستنبط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عمومها أيضاً، وذلك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الدالة على إمامة الإمام علي عامة وتشمل كل زمان من حين صدورها، وبذلك تكون الإمامة بمعنى المرجعية العلمية والدينية والولاية صلى الله المعنوية والقيادية قد تحققت حتى في عصر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قام النبي مراراً وتكراراً بتعريف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مرجعاً علمياً والدينية وحجّة الحق ومدار الهداية، وقد تقدم ذكر الروايات الدالة على هذه المعاني في الفصول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من معاني الإمامة سوى بعد الخلافة والحكومة حيث لم تتحقق فعليتها في حياة النبي الأكرم؛ لأن ماهية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من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الاستخلاف والحلول محل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رحيله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 مراد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النصوص الكثيرة في تعريف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وتنصيبه في مقام الإمامة لم يكن عاماً، كان عليه منذ البداية أن يقيده بزمنه، كي لا يلزم من ذلك تأخير البيان عن وقت الحاجة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وفيما يلي نقدّم توضيحاً مختصراً لرواية الغدير مع الإشارة إلى كيفية استفادة العموم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تدل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حديث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العموم، بمعنى أن كل من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 ومقتداه وقائده وإمامه، كان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الآن فصاعداً مولاه ومقتداه وقائده وإمامه، وهذا العموم يسري في حق الناس جميعهم حتى الخلفاء الثلاثة الأوائل ؛ فكان عليهم أن يعتبروا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وإماماً لهم في جميع الأمور، وأن يرجعوا إليه بعد رحيل رسول الله لمعرفة مسؤولياتهم وتكاليفهم، لا أن يغتنموا غيابه وانشغاله للتآمر عليه في السقيفة ويسلبوا منه حقه في الخلافة، بل ويجبروه على مبايعة أبي بكر تحت الضغط والتهديد، فهل هذا هو المفهوم من المولوية؟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الروايات النبوية الدالة على عدم خلافة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بعض الصحابة يسألون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ترشيح بعض الصحابة للخلافة، من أمثال أبي بكر وعمر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في روايات الفريقين أنه كان يجيب بالنفي عن سؤال كل من يطرح احتمال ترشيح أبي بكر وعمر، ولكن ما أن كان يؤتى على اسم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ذاك</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صلى يستفاد من هذه الروايات أن مراد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إمامة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خلافته وإمامته المباشرة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الفصل بين مهام الإمام ذكرنا في الفصل الأول في تعريف </w:t>
      </w:r>
    </w:p>
    <w:p>
      <w:pPr>
        <w:pStyle w:val="BookText"/>
        <w:rPr/>
      </w:pPr>
      <w:r>
        <w:rPr>
          <w:rFonts w:ascii="IRNazanin" w:hAnsi="IRNazanin" w:eastAsia="IRNazanin"/>
          <w:color w:val="111111"/>
          <w:sz w:val="28"/>
          <w:sz w:val="28"/>
          <w:szCs w:val="28"/>
          <w:rtl w:val="true"/>
          <w:lang w:bidi="fa-IR"/>
        </w:rPr>
        <w:t>الإمام وماهيته بالتفصيل أن للإمام ثلاثة شؤون ووظائف ومسؤوليات هامة،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المرجعية العلمية والدينية، والحكم، والولاية المعنوية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المرجعية العلمية والولاية المعنوية تكمن في النفس القدسية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نحو تكويني، ولا يمكن فصلها عنه أو فرض زمن محدد لها، فلا يمكن القول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اتصافه بجميع صفات وشرائط الأعلمية وملاكات الأحقية على النحو الأكمل والأتم، إلا أن فعلية إمامته وحجيتها لن تتحقق إلا بعد انتهاء فترة الخلفاء الثلاثة الذين سبقوه في التربع على سدة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يهتم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لهم من قراءة خاصة بشأن حقيقة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الحالة المترابطة والشؤون والمسؤوليات المتماسكة والتي لا تقبل الفصل في مفهوم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مسألة فصل الحكم مخالف لظهور الآيات والروايات ونصها على ما مر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سيرة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نظرنا إلى سيرة الحكام الدينيين وغير الدينيين وتاريخهم، فسوف ندرك أنهم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التعريف بمن يخلفهم أو تنصيبه، ويمهدون الأرضية لذلك، ومن بين وسائل ذلك بيان الخصائص البارزة التي يجب توفرها في القيادة، ويقومون بتطبيق تلك الخصائص على المرشح المنشود لهم، ويتم التصريح أحياناً باسم الخليفة أو الوريث لعرش المملكة والحكم والدولة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ظهر في جميع هذه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فيها الحكام بتعيين من يخلفهم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أو باحث احتمل أن يكون المراد من هذا التعيين والاستخلاف هو الاستخلاف غير المباشر؟ لو عُثر على مثل هذا المحقق، فإننا بدورنا سوف نعطي الحق لأهل السنة في طرح هذا الاحتمال بشأن النصوص </w:t>
      </w:r>
    </w:p>
    <w:p>
      <w:pPr>
        <w:pStyle w:val="BookText"/>
        <w:rPr/>
      </w:pPr>
      <w:r>
        <w:rPr>
          <w:rFonts w:ascii="IRNazanin" w:hAnsi="IRNazanin" w:eastAsia="IRNazanin"/>
          <w:color w:val="111111"/>
          <w:sz w:val="28"/>
          <w:sz w:val="28"/>
          <w:szCs w:val="28"/>
          <w:rtl w:val="true"/>
          <w:lang w:bidi="fa-IR"/>
        </w:rPr>
        <w:t>الدالة على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التاريخ لم يشهد مثل هذه الظاهرة أبداً، لأن هذه الظاهرة أساساً على خلاف السيرة العقلائية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جميع عقلاء العالم يحملون ويُفسّرون مثل هذا النص والتنصيب على التنصيب والاستخلاف المباشر</w:t>
      </w:r>
    </w:p>
    <w:p>
      <w:pPr>
        <w:pStyle w:val="BookText"/>
        <w:rPr/>
      </w:pPr>
      <w:r>
        <w:rPr>
          <w:rFonts w:ascii="IRNazanin" w:hAnsi="IRNazanin" w:eastAsia="IRNazanin"/>
          <w:color w:val="111111"/>
          <w:sz w:val="28"/>
          <w:sz w:val="28"/>
          <w:szCs w:val="28"/>
          <w:rtl w:val="true"/>
          <w:lang w:bidi="fa-IR"/>
        </w:rPr>
        <w:t>ثم إذا كانت هناك من عقبة أو مشكلة خاصة تمنع من فعلية لوازم التنصيب وتحققه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حداثة السن أو المرض وما إلى ذلك، مما يتوقف فعلية هذا التنصيب على رفع هذا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لحسن الحظ فإن أهل السنة ومن صاغ هذه الشبهة لم يأتوا على ذكر هذه الموانع، بل لم تكن هناك أي مشكلة أو عقبة تحول دون تولي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وتسلّمه للحكم والسلطة، بل كان هو الأفضل والأولى من الجميع والأصلح لخلافة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تعدّد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هذه الشبهة كان يدعي أن غاية ما تدل عليه الروايات النبوية هو المشروعية المطلقة لخلافة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تنفي مشروعية خلافة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القول في نقد هذا الجانب من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نص على أشخاص عدة لتولي منصب الخلافة، لكان هناك مجال للاستدلال على هذه الفرضية؛ إذ مع افتراض تعدد المرشحين للخلافة وعدم تحديد فترة حكوماتهم، يحظى جميعهم بالمشروعية اللازمة والمطلوبة، ولكن طبقاً لرأي المشهور من أهل السنة، فإنهم يخالفون وينكرون وجود النص على خلافة شخص بعينه، وحتى خلافة أبي بكر لا يرون أنها كانت بالنص، وإنما يثبتونها بالبيعة وما إلى ذلك</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الافتراض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التنصيب بشخص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لم يتم تنصيب هذا الشخص في منصبه مباشرة، وتم تنصيب غير المنصوص عليه، للزم من </w:t>
      </w:r>
    </w:p>
    <w:p>
      <w:pPr>
        <w:pStyle w:val="BookText"/>
        <w:rPr/>
      </w:pPr>
      <w:r>
        <w:rPr>
          <w:rFonts w:ascii="IRNazanin" w:hAnsi="IRNazanin" w:eastAsia="IRNazanin"/>
          <w:color w:val="111111"/>
          <w:sz w:val="28"/>
          <w:sz w:val="28"/>
          <w:szCs w:val="28"/>
          <w:rtl w:val="true"/>
          <w:lang w:bidi="fa-IR"/>
        </w:rPr>
        <w:t>ذلك تقديم غير المنصوص عليه على المنصوص عليه، وهذا مخالف لأصل التنصيب وغايته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بعبارة أخرى إن غير المنصوب الذي يعتبر من وجهة نظر الله ورسوله بوصفه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يمتلك صلاحية الإمام والخليفة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تم تنصيبه من قبل الله ورسوله، ولا يحق له الجلوس في منصب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رأي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هذا الرأي كان مطروحاً في حياة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لوجب أن يتم تداوله في الأبحاث السياسية التي احتدمت في تلك الفترة التي أعقبت رحيل رسول الله،مثل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 السقيفة، ولاستدل بها الأنصار والمهاجرون، ولكننا لو ألقينا نظرة على الجدل المحتدم آنذاك لما وقفنا على أثر من ذلك، من هنا يتضح أن فرضية تعدّد خلفاء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تكن مطروحة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 أنه لو لم تكن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وإمامته مباشرة، وإنما كان لا بد لها من مضى فترة على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على الإمام علي أن يذعن لهذا الأمر، لا أن يعتصم في بيت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يدور بالسيدة الزهراء مع الحسنين على بيوت المؤثرين من المهاجرين والأنصار من أصحاب بدر ليلاً يستنصرهم في استرجاع حقه في الحكم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كانت خلافة الإمام على غير مباشرة، فلماذا تحدث عن حقه الثابت المسلوب والمغتصب، ولم يترك الشكوى من الخلفاء الثلاثة في كثير من المواقف والمواضع؟</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الأسئلة التي لا يسعنا الإجابة عنها جميعاً، مكتفين </w:t>
      </w:r>
      <w:bookmarkStart w:id="829" w:name="pg15658_147317"/>
    </w:p>
    <w:p>
      <w:pPr>
        <w:pStyle w:val="BookText"/>
        <w:rPr/>
      </w:pPr>
      <w:bookmarkEnd w:id="829"/>
      <w:r>
        <w:rPr>
          <w:rFonts w:ascii="IRNazanin" w:hAnsi="IRNazanin" w:eastAsia="IRNazanin"/>
          <w:color w:val="111111"/>
          <w:sz w:val="28"/>
          <w:sz w:val="28"/>
          <w:szCs w:val="28"/>
          <w:rtl w:val="true"/>
          <w:lang w:bidi="fa-IR"/>
        </w:rPr>
        <w:t xml:space="preserve">بالقول إلى القول بأنه 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نعتبر جميع أنواع الشكوى والاعتراض الصادر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وشيعته أموراً غير مبررة، كي نبرر بذلك أفعال الخلفاء الثلاثة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الأمر الأخير فيتعلق بالأصل العقلي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الشيء لا ينفي 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أنفسهم لا يرتضونه فيما يتعلق بإمامة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الأصل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إثبات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المسألة مورد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الخلافة المباشرة للإمام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لهم أولاً من القول بهذا النوع من الحكم والإمامة، كي يصل الأمر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يتولى الحكم بعد إمامة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ثبتت له مباشرة بعد 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الآيات والروايات المثبتة لإمامة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تثبت الإمامة المباشرة للإمام علي حصرياً، وأما بشأن إمامة غيره وخلافته فهي ساكتة ولا تتطرق إليها نفياً ولا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 الشيعة إمامة سائر الأئمة بالروايات النبوية الأخرى، مضافاً إلى الروايات المروية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Heading3"/>
        <w:numPr>
          <w:ilvl w:val="2"/>
          <w:numId w:val="1"/>
        </w:numPr>
        <w:rPr/>
      </w:pPr>
      <w:bookmarkStart w:id="830" w:name="__RefHeading___Toc11030809_2142443653"/>
      <w:bookmarkStart w:id="831" w:name="_Toc300"/>
      <w:bookmarkEnd w:id="830"/>
      <w:r>
        <w:rPr>
          <w:rtl w:val="true"/>
        </w:rPr>
        <w:t>التبرير السادس عشر</w:t>
      </w:r>
      <w:r>
        <w:rPr>
          <w:rtl w:val="true"/>
        </w:rPr>
        <w:t xml:space="preserve">: </w:t>
      </w:r>
      <w:r>
        <w:rPr>
          <w:rtl w:val="true"/>
        </w:rPr>
        <w:t>اختصاص الإمامة بالولاية المعنوية</w:t>
      </w:r>
      <w:r>
        <w:rPr>
          <w:rtl w:val="true"/>
        </w:rPr>
        <w:t>:</w:t>
      </w:r>
      <w:bookmarkEnd w:id="83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بعض أهل التصوّف الذين يؤولون ويُفسّرون أكثر الظواهر والنصوص الدينية من خلال قناة التصوّف والعرفان ومسالكهم الخاصة، ومن </w:t>
      </w:r>
    </w:p>
    <w:p>
      <w:pPr>
        <w:pStyle w:val="BookText"/>
        <w:rPr/>
      </w:pPr>
      <w:r>
        <w:rPr>
          <w:rFonts w:ascii="IRNazanin" w:hAnsi="IRNazanin" w:eastAsia="IRNazanin"/>
          <w:color w:val="111111"/>
          <w:sz w:val="28"/>
          <w:sz w:val="28"/>
          <w:szCs w:val="28"/>
          <w:rtl w:val="true"/>
          <w:lang w:bidi="fa-IR"/>
        </w:rPr>
        <w:t>ذلك أنهم فسّروا الإمامة لا في القيادة السياسية والاجتماعية، بل في الأمور المعنوية ومن خلال سلوك الطريقة والأخبار عن المعارف والأسرار الغيبية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محيي الدين بن عربي إلى تقسيم الخليفة إلى قسمين؛ خليفة من قبل الله، وخليفة من قبل النبي، وقال بأن الأول غير قابل للتنصيب، أما الثاني فهو قابل للتنصيب، ولكنه يؤكد بأن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 عن الدنيا ولم ينصب أحداً للخلافة بعده، معللاً ذلك بأن النبي كان يعلم أن في الأمة من أخذ الخلافة عن الله، إذ 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النبي عن الله عين ما أخذه منه الرسول، فنقول فيه بلسان الكشف خليفة الله وبلسان الظاهر خليفة رسول الله، وهذا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نص بخلافة عنه إلى أحد ولا عيّنه؛ لعلمه أن فى أمته من يأخذ الخلافة عن ربه</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مراده من الولاية هي الولاية الباطنية التي لا تحتاج إلى نص وتنصيب، خلافاً للخلافة والولاية السياسية التي لا تحتاج إلى تنصيب؛ لكونها من الأمور التواضعية والاعتبارية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آخرون إلى حمل النصوص النبوية الأخرى الدالة على </w:t>
      </w:r>
      <w:bookmarkStart w:id="832" w:name="pg15658_147319"/>
    </w:p>
    <w:p>
      <w:pPr>
        <w:pStyle w:val="BookText"/>
        <w:rPr/>
      </w:pPr>
      <w:bookmarkEnd w:id="832"/>
      <w:r>
        <w:rPr>
          <w:rFonts w:ascii="IRNazanin" w:hAnsi="IRNazanin" w:eastAsia="IRNazanin"/>
          <w:color w:val="111111"/>
          <w:sz w:val="28"/>
          <w:sz w:val="28"/>
          <w:szCs w:val="28"/>
          <w:rtl w:val="true"/>
          <w:lang w:bidi="fa-IR"/>
        </w:rPr>
        <w:t>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قبيل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وفسروها على هذا المعنى أيضاً</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3" w:name="__RefHeading___Toc11030811_2142443653"/>
      <w:bookmarkStart w:id="834" w:name="_Toc301"/>
      <w:bookmarkEnd w:id="833"/>
      <w:r>
        <w:rPr>
          <w:rtl w:val="true"/>
        </w:rPr>
        <w:t>مناقشة وتحليل</w:t>
      </w:r>
      <w:r>
        <w:rPr>
          <w:rtl w:val="true"/>
        </w:rPr>
        <w:t>:</w:t>
      </w:r>
      <w:bookmarkEnd w:id="83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هذا الاتجاه لا ينسجم مع النصوص القرآنية والروائية المتظافرة الدالة على التفسير الجامع لمسألة الإمامة، ولضعفها الواضح من خلال النظر في المسائل المتقدّمة، نرى عدم ضرورة إلى الدخول في تفاصيل الإجابة عن هذه الشبهة، ولذلك سنكتفي بإرجاع القارئ الكريم إلى تلك المسائل</w:t>
      </w:r>
      <w:r>
        <w:rPr>
          <w:rFonts w:eastAsia="Amiri" w:cs="Amiri" w:ascii="Amiri" w:hAnsi="Amiri"/>
          <w:color w:val="111111"/>
          <w:sz w:val="28"/>
          <w:szCs w:val="28"/>
          <w:rtl w:val="true"/>
          <w:lang w:bidi="ar-SA"/>
        </w:rPr>
        <w:t xml:space="preserve">. </w:t>
      </w:r>
      <w:bookmarkStart w:id="835" w:name="pg15658_147320"/>
    </w:p>
    <w:p>
      <w:pPr>
        <w:pStyle w:val="Heading2"/>
        <w:numPr>
          <w:ilvl w:val="1"/>
          <w:numId w:val="1"/>
        </w:numPr>
        <w:rPr/>
      </w:pPr>
      <w:bookmarkStart w:id="836" w:name="__RefHeading___Toc11030813_2142443653"/>
      <w:bookmarkStart w:id="837" w:name="_Toc302"/>
      <w:bookmarkEnd w:id="835"/>
      <w:bookmarkEnd w:id="836"/>
      <w:r>
        <w:rPr>
          <w:rtl w:val="true"/>
        </w:rPr>
        <w:t>الفضل السادين</w:t>
      </w:r>
      <w:bookmarkEnd w:id="83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38" w:name="__RefHeading___Toc11030815_2142443653"/>
      <w:bookmarkStart w:id="839" w:name="_Toc303"/>
      <w:bookmarkEnd w:id="838"/>
      <w:r>
        <w:rPr>
          <w:rtl w:val="true"/>
        </w:rPr>
        <w:t>شبهات حول صفات الإمام</w:t>
      </w:r>
      <w:r>
        <w:rPr>
          <w:rtl w:val="true"/>
        </w:rPr>
        <w:t>(</w:t>
      </w:r>
      <w:r>
        <w:rPr>
          <w:rtl w:val="true"/>
        </w:rPr>
        <w:t>علیه السّلام</w:t>
      </w:r>
      <w:r>
        <w:rPr>
          <w:rtl w:val="true"/>
        </w:rPr>
        <w:t>)</w:t>
      </w:r>
      <w:bookmarkEnd w:id="839"/>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0" w:name="pg15658_147322"/>
      <w:bookmarkStart w:id="841" w:name="pg15658_147322"/>
      <w:bookmarkEnd w:id="841"/>
    </w:p>
    <w:p>
      <w:pPr>
        <w:pStyle w:val="Heading3"/>
        <w:numPr>
          <w:ilvl w:val="2"/>
          <w:numId w:val="1"/>
        </w:numPr>
        <w:rPr/>
      </w:pPr>
      <w:bookmarkStart w:id="842" w:name="pg15658_147322"/>
      <w:bookmarkStart w:id="843" w:name="__RefHeading___Toc11030817_2142443653"/>
      <w:bookmarkStart w:id="844" w:name="_Toc304"/>
      <w:bookmarkEnd w:id="842"/>
      <w:bookmarkEnd w:id="843"/>
      <w:r>
        <w:rPr>
          <w:rtl w:val="true"/>
        </w:rPr>
        <w:t xml:space="preserve">الشبهة الأولى </w:t>
      </w:r>
      <w:r>
        <w:rPr>
          <w:rtl w:val="true"/>
        </w:rPr>
        <w:t xml:space="preserve">: </w:t>
      </w:r>
      <w:r>
        <w:rPr>
          <w:rtl w:val="true"/>
        </w:rPr>
        <w:t>إنكار علم الأئمة للغيب</w:t>
      </w:r>
      <w:r>
        <w:rPr>
          <w:rtl w:val="true"/>
        </w:rPr>
        <w:t>:</w:t>
      </w:r>
      <w:bookmarkEnd w:id="844"/>
    </w:p>
    <w:p>
      <w:pPr>
        <w:pStyle w:val="Heading4"/>
        <w:numPr>
          <w:ilvl w:val="3"/>
          <w:numId w:val="1"/>
        </w:numPr>
        <w:rPr/>
      </w:pPr>
      <w:bookmarkStart w:id="845" w:name="__RefHeading___Toc11030819_2142443653"/>
      <w:bookmarkStart w:id="846" w:name="_Toc305"/>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إن من بين الصفات اللازمة للإمام صفة العلم الكامل والجامع بتعاليم الدين والشريعة، والتي تم التعبير عنها في بعض الروايات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أهل السنة</w:t>
      </w:r>
      <w:r>
        <w:rPr>
          <w:rStyle w:val="FootnoteAnchor"/>
          <w:rtl w:val="true"/>
        </w:rPr>
        <w:footnoteReference w:id="953"/>
      </w:r>
      <w:r>
        <w:rPr>
          <w:rFonts w:ascii="Amiri" w:hAnsi="Amiri" w:eastAsia="Amiri" w:cs="Amiri"/>
          <w:color w:val="111111"/>
          <w:sz w:val="28"/>
          <w:sz w:val="28"/>
          <w:szCs w:val="28"/>
          <w:rtl w:val="true"/>
          <w:lang w:bidi="ar-SA"/>
        </w:rPr>
        <w:t>وبعض المعاصرين</w:t>
      </w:r>
      <w:r>
        <w:rPr>
          <w:rStyle w:val="FootnoteAnchor"/>
          <w:rtl w:val="true"/>
        </w:rPr>
        <w:footnoteReference w:id="954"/>
      </w:r>
      <w:r>
        <w:rPr>
          <w:rFonts w:ascii="Amiri" w:hAnsi="Amiri" w:eastAsia="Amiri" w:cs="Amiri"/>
          <w:color w:val="111111"/>
          <w:sz w:val="28"/>
          <w:sz w:val="28"/>
          <w:szCs w:val="28"/>
          <w:rtl w:val="true"/>
          <w:lang w:bidi="ar-SA"/>
        </w:rPr>
        <w:t>إلى إنكار مثل هذا العلم، وقالوا بأن علم الإمام هو علم مادي كعلم أي إنسان آخر، وليس لعلمه أيّ مزية على العلوم التي يكتسبها سائر الناس، ومن ثُمَّ فإن علم الأئمة هو علم اجتهادي خاضع لأصل القبض والبسط في المعارف البشرية وقابل للخطأ وإن بنسبة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هؤلاء إلى نسبة العلم بالغيب وغير المحدود وما إلى ذلك إلى الأئمة الأطهار لغلاة الشيعة، واقتصروا على وصف الأئمة بـ </w:t>
      </w:r>
      <w:bookmarkStart w:id="847" w:name="pg15658_147323"/>
    </w:p>
    <w:p>
      <w:pPr>
        <w:pStyle w:val="BookText"/>
        <w:rPr/>
      </w:pPr>
      <w:bookmarkEnd w:id="847"/>
      <w:r>
        <w:rPr>
          <w:rFonts w:ascii="IRNazanin" w:hAnsi="IRNazanin" w:eastAsia="IRNazanin"/>
          <w:color w:val="111111"/>
          <w:sz w:val="28"/>
          <w:sz w:val="28"/>
          <w:szCs w:val="28"/>
          <w:rtl w:val="true"/>
          <w:lang w:bidi="fa-IR"/>
        </w:rPr>
        <w:t>العلماء الأبرار</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معرض تحليل هذه الشبهة وتقييمها لابد من التأمل في المسائل الآتية </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030821_2142443653"/>
      <w:bookmarkStart w:id="849" w:name="_Toc306"/>
      <w:bookmarkEnd w:id="848"/>
      <w:r>
        <w:rPr>
          <w:rtl w:val="true"/>
        </w:rPr>
        <w:t xml:space="preserve">أ </w:t>
      </w:r>
      <w:r>
        <w:rPr>
          <w:rtl w:val="true"/>
        </w:rPr>
        <w:t xml:space="preserve">- </w:t>
      </w:r>
      <w:r>
        <w:rPr>
          <w:rtl w:val="true"/>
        </w:rPr>
        <w:t>القراءة المختلفة لحقيقة الإمامة</w:t>
      </w:r>
      <w:r>
        <w:rPr>
          <w:rtl w:val="true"/>
        </w:rPr>
        <w:t>:</w:t>
      </w:r>
      <w:bookmarkEnd w:id="849"/>
    </w:p>
    <w:p>
      <w:pPr>
        <w:pStyle w:val="BookText"/>
        <w:rPr/>
      </w:pPr>
      <w:r>
        <w:rPr>
          <w:rFonts w:ascii="Amiri" w:hAnsi="Amiri" w:eastAsia="Amiri" w:cs="Amiri"/>
          <w:color w:val="111111"/>
          <w:sz w:val="28"/>
          <w:sz w:val="28"/>
          <w:szCs w:val="28"/>
          <w:rtl w:val="true"/>
          <w:lang w:bidi="ar-SA"/>
        </w:rPr>
        <w:t>إن أول مسألة تبدو للناظر بشأن اعتبار أو عدم اعتبار علم الغيب في الإمامة وشخص الإمام، وجود قراءتين مختلفتين عن حقيقة الإمامة عند أهل السنة والشيعة</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السنة حيث ينظرون إلى الإمام وحقيقة الإمامة بوصفه مجرد حاكم تنفيذي منتخب من قبل الناس بالبيعة أو الشورى بل وحتى القهر والغلبة، لا يرون أي صلة له بالغيب وعالم ما وراء الطبيعة، وغاية ما يثبتونه للحاكم هو القول بأنه عالم بمسائل الدين على مستوى الاجتهاد، بل وأدنى من ذلك</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خلال التأمل فى آراء علماء أهل السنة، وخاصة مع الالتفات إلى مصاديق خلفائهم، يتضح أن هذه القراءة متطابقة مع خلفائهم؛ لأن أفضلهم هو أبو بكر وعمر، ومع ذلك فقد اعترفا بعجزهما العلمي، خاصة بالقياس إلى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سمع الناس في الكثير من المواطن اعتراف عمر بن الخطاب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bookmarkStart w:id="850" w:name="pg15658_147324"/>
    </w:p>
    <w:p>
      <w:pPr>
        <w:pStyle w:val="BookText"/>
        <w:rPr/>
      </w:pPr>
      <w:bookmarkEnd w:id="850"/>
      <w:r>
        <w:rPr>
          <w:rFonts w:ascii="IRNazanin" w:hAnsi="IRNazanin" w:eastAsia="IRNazanin"/>
          <w:color w:val="111111"/>
          <w:sz w:val="28"/>
          <w:sz w:val="28"/>
          <w:szCs w:val="28"/>
          <w:rtl w:val="true"/>
          <w:lang w:bidi="fa-IR"/>
        </w:rPr>
        <w:t>أما الشيعة فبالالتفات إلى فلسفة الحاجة إلى الإمامة في عصر الخاتمية ووجود أئمة مثل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لديهم قراءة مختلفة عن قراءة أهل السنة لحقيقة الإمامة، وفي ضوء ذلك يرون أن الإمام هو الشخص الأعلم من سواه وهو الذي يتمتع بعلم الغيب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من الشيعة المعاصرين من ابتلى بهذه الآفة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خلال تنزيله مقام الإمامة والأئمة إلى مستوى العلماء العاديين، وأنهم من ثَمَّ قد يخطئون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عن إدراك مقام الإمامة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ذكرنا في الصفحات السابقة العديد من الروايات المأثورة عن الأئمة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المقام السامي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نكتفي بطرح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سماع صوت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ومشاهدته من قبل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وتأييد ذلك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والعديد من الأخبار الغيبية المأثورة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دليل على مدعى الشيعة القائل بأن جوهر الإمامة وشخصيّة الأئمة لا يمكن أن تقاس بغيرهم من الأشخاص الاعتياديين؟</w:t>
      </w:r>
      <w:r>
        <w:rPr>
          <w:rFonts w:eastAsia="IRNazanin" w:cs="IRNazanin"/>
          <w:color w:val="111111"/>
          <w:sz w:val="28"/>
          <w:szCs w:val="28"/>
          <w:rtl w:val="true"/>
          <w:lang w:bidi="fa-IR"/>
        </w:rPr>
        <w:t>!</w:t>
      </w:r>
    </w:p>
    <w:p>
      <w:pPr>
        <w:pStyle w:val="Heading4"/>
        <w:numPr>
          <w:ilvl w:val="3"/>
          <w:numId w:val="1"/>
        </w:numPr>
        <w:rPr/>
      </w:pPr>
      <w:bookmarkStart w:id="851" w:name="__RefHeading___Toc11030823_2142443653"/>
      <w:bookmarkStart w:id="852" w:name="_Toc307"/>
      <w:bookmarkEnd w:id="851"/>
      <w:r>
        <w:rPr>
          <w:rtl w:val="true"/>
        </w:rPr>
        <w:t xml:space="preserve">ب </w:t>
      </w:r>
      <w:r>
        <w:rPr>
          <w:rtl w:val="true"/>
        </w:rPr>
        <w:t xml:space="preserve">- </w:t>
      </w:r>
      <w:r>
        <w:rPr>
          <w:rtl w:val="true"/>
        </w:rPr>
        <w:t>اعتبار علم الغيب في حقل الدين</w:t>
      </w:r>
      <w:r>
        <w:rPr>
          <w:rtl w:val="true"/>
        </w:rPr>
        <w:t>:</w:t>
      </w:r>
      <w:bookmarkEnd w:id="85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المسألة الثانية فهي أن العلم بالغيب والعلم اللدنّي الذي يؤكد الشيعة على اعتباره وضرورته بالنسبة إلى الإمام، فهو ليس مطلقاً وغير عام، وإنما يختص بحقل الدين وتعاليمه الأعم من الدائرة المعرفية والتشريعية، بمعنى أن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بتعاليم الدين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يتحلى بالعلم المؤيَّد من قبل الله تعالى، بحيث لا تكون هناك من شاردة وواردة في الدين إلا ويعلمها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غير الحقل الديني من قبيل العلم بالغيب فيما يتعلق بالأحداث الماضية والمقبلة، والأمور الغيبية بشكل عام والتى لا صلة لها بالدين، مثل علم الإمام </w:t>
      </w:r>
      <w:bookmarkStart w:id="853" w:name="pg15658_147325"/>
    </w:p>
    <w:p>
      <w:pPr>
        <w:pStyle w:val="BookText"/>
        <w:rPr/>
      </w:pPr>
      <w:bookmarkEnd w:id="853"/>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باستشهاده في يوم عاشوراء، أو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بجرحه واستشهاده في ليلة التاسع عشر والحادي والعشرين من شهر رمضان، هناك اختلاف في الآراء بين علماء الإمامية، ولمّا كان الشيعة لا يعتبرون مثل هذا العلم شرطاً في حقيقة الإمامة</w:t>
      </w:r>
      <w:r>
        <w:rPr>
          <w:rStyle w:val="FootnoteAnchor"/>
          <w:rtl w:val="true"/>
        </w:rPr>
        <w:footnoteReference w:id="957"/>
      </w:r>
      <w:r>
        <w:rPr>
          <w:rFonts w:ascii="Amiri" w:hAnsi="Amiri" w:eastAsia="Amiri" w:cs="Amiri"/>
          <w:color w:val="111111"/>
          <w:sz w:val="28"/>
          <w:sz w:val="28"/>
          <w:szCs w:val="28"/>
          <w:rtl w:val="true"/>
          <w:lang w:bidi="ar-SA"/>
        </w:rPr>
        <w:t>، فإن نفيه أو إثباته لن يؤثر في أصل تحقق الإمامة، ولذلك فإننا لا نرى ضرورة هنا إلى الدخول في تفاصيل هذه المسألة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4" w:name="__RefHeading___Toc11030825_2142443653"/>
      <w:bookmarkStart w:id="855" w:name="_Toc308"/>
      <w:bookmarkEnd w:id="854"/>
      <w:r>
        <w:rPr>
          <w:rtl w:val="true"/>
        </w:rPr>
        <w:t xml:space="preserve">ج </w:t>
      </w:r>
      <w:r>
        <w:rPr>
          <w:rtl w:val="true"/>
        </w:rPr>
        <w:t xml:space="preserve">. - </w:t>
      </w:r>
      <w:r>
        <w:rPr>
          <w:rtl w:val="true"/>
        </w:rPr>
        <w:t>فلسفة الإمامة الملازمة لعلم الغيب</w:t>
      </w:r>
      <w:r>
        <w:rPr>
          <w:rtl w:val="true"/>
        </w:rPr>
        <w:t>:</w:t>
      </w:r>
      <w:bookmarkEnd w:id="855"/>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أشرنا في الفصل الأول إلى بعض المسائل والنقاط بشأن ضرورة وجود الإمام بعد رحيل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بوصفه خاتم الأنبياء والمرسلين، حيث ذكرنا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رحيل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لا يكون هناك نبي بعده بحسب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سيكون المجتمع والدين بحاجة إلى إمام يكون شبه رسول الله في كل شيء باستثناء نزول الوحي والنبوة، لكي يعمل على صيانة الاسلام الفتي من أيّ آفة من تحريف أو بدعة، وأن يقف في وجه أعداء الإسلام، وأن يجيب عن المسائل المستحدثة بشكل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لأن فلسفة وجود الإمام هي التفسير الصحيح للتعاليم الدينية، فإذا كان علم الإمام عادياً، ويجوز عليه الخطأ في تفسير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بالنظر إلى أن هذا الدين هو خاتم الأديان وأنه الدين الكامل والخالد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سيكون عرضة للآفات والمشاكل قد تصل إلى مستوى التحريف والبدع، وعليه سوف تتعرض فلسفة الخاتمية </w:t>
      </w:r>
      <w:bookmarkStart w:id="856" w:name="pg15658_147326"/>
    </w:p>
    <w:p>
      <w:pPr>
        <w:pStyle w:val="BookText"/>
        <w:rPr/>
      </w:pPr>
      <w:bookmarkEnd w:id="856"/>
      <w:r>
        <w:rPr>
          <w:rFonts w:ascii="Amiri" w:hAnsi="Amiri" w:eastAsia="Amiri" w:cs="Amiri"/>
          <w:color w:val="111111"/>
          <w:sz w:val="28"/>
          <w:sz w:val="28"/>
          <w:szCs w:val="28"/>
          <w:rtl w:val="true"/>
          <w:lang w:bidi="ar-SA"/>
        </w:rPr>
        <w:t>والخلود إلى الضياع والزوال</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7" w:name="__RefHeading___Toc11030827_2142443653"/>
      <w:bookmarkStart w:id="858" w:name="_Toc309"/>
      <w:bookmarkEnd w:id="857"/>
      <w:r>
        <w:rPr>
          <w:rtl w:val="true"/>
        </w:rPr>
        <w:t xml:space="preserve">د </w:t>
      </w:r>
      <w:r>
        <w:rPr>
          <w:rtl w:val="true"/>
        </w:rPr>
        <w:t xml:space="preserve">- </w:t>
      </w:r>
      <w:r>
        <w:rPr>
          <w:rtl w:val="true"/>
        </w:rPr>
        <w:t>علم الغيب ثمرة الولاية الباطنية للإمام</w:t>
      </w:r>
      <w:r>
        <w:rPr>
          <w:rtl w:val="true"/>
        </w:rPr>
        <w:t>:</w:t>
      </w:r>
      <w:bookmarkEnd w:id="858"/>
    </w:p>
    <w:p>
      <w:pPr>
        <w:pStyle w:val="BookText"/>
        <w:rPr/>
      </w:pPr>
      <w:r>
        <w:rPr>
          <w:rFonts w:ascii="IRNazanin" w:hAnsi="IRNazanin" w:eastAsia="IRNazanin"/>
          <w:color w:val="111111"/>
          <w:sz w:val="28"/>
          <w:sz w:val="28"/>
          <w:szCs w:val="28"/>
          <w:rtl w:val="true"/>
          <w:lang w:bidi="fa-IR"/>
        </w:rPr>
        <w:t>سبق أن أشرنا إلى أن أهل السنة قد فسّروا الإمام والخليفة بأنه لا يتجاوز الإنسان العادي، وغاية ما أثبتوا له من العلم والمعرفة ما كان في حدّ الاجتهاد والعدالة، في حين ذهب الشيعة إلى رفع الإمامة إلى مستوى النبوة بل إلى ما هو أسمى منها، واستدلوا لذلك بإعطاء النبي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الإمامة بعد مقام النبوة، على ما مرّ توضيحه في الفصل الأول في معرض تفسير الإمامة من وجهة نظر أهل السنة والشيعة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فإن للإمام عند الشيعة مقاماً معنوياً خاصاً، حيث يتمكن من الارتباط بعالم الغيب، ويحصل على علمه من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روايات وتوضيحات هذا البحث في فصل شبهة تعارض الإمامة والخاتمية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الغيب ثمرة الولاية الباطنية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ارتباط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بالملائكة والتعبير عن ذلك في الروايات بأن بيوتهم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والتعبير عن الأئمة أنفسهم 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محدثون</w:t>
      </w:r>
      <w:r>
        <w:rPr>
          <w:rFonts w:eastAsia="IRNazanin" w:cs="IRNazanin"/>
          <w:color w:val="111111"/>
          <w:sz w:val="28"/>
          <w:szCs w:val="28"/>
          <w:rtl w:val="true"/>
          <w:lang w:bidi="fa-IR"/>
        </w:rPr>
        <w:t>»</w:t>
      </w:r>
      <w:r>
        <w:rPr>
          <w:rStyle w:val="FootnoteAnchor"/>
          <w:rtl w:val="true"/>
        </w:rPr>
        <w:footnoteReference w:id="960"/>
      </w:r>
      <w:r>
        <w:rPr>
          <w:rFonts w:ascii="Amiri" w:hAnsi="Amiri" w:eastAsia="Amiri" w:cs="Amiri"/>
          <w:color w:val="111111"/>
          <w:sz w:val="28"/>
          <w:sz w:val="28"/>
          <w:szCs w:val="28"/>
          <w:rtl w:val="true"/>
          <w:lang w:bidi="ar-SA"/>
        </w:rPr>
        <w:t>، يثبت ارتباطهم بالغيب ومن ثُمَّ أخذهم علمهم من هذه القناة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مسألة علم الأئمة مطروحة في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أنفسهم، إذ كان يُقال إن مصدر علم الأئمة هو الارتباط الغيبي مع الملائكة، </w:t>
      </w:r>
    </w:p>
    <w:p>
      <w:pPr>
        <w:pStyle w:val="BookText"/>
        <w:rPr/>
      </w:pPr>
      <w:r>
        <w:rPr>
          <w:rFonts w:ascii="IRNazanin" w:hAnsi="IRNazanin" w:eastAsia="IRNazanin"/>
          <w:color w:val="111111"/>
          <w:sz w:val="28"/>
          <w:sz w:val="28"/>
          <w:szCs w:val="28"/>
          <w:rtl w:val="true"/>
          <w:lang w:bidi="fa-IR"/>
        </w:rPr>
        <w:t>ولذلك كان أصحاب الأئمة لتأييد هذا الرأي والحصول على الاطمئنان القلبي بهذا الأمر يسألون الأئمة، وكان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جاء في مختلف الروايات</w:t>
      </w:r>
    </w:p>
    <w:p>
      <w:pPr>
        <w:pStyle w:val="BookText"/>
        <w:rPr/>
      </w:pPr>
      <w:r>
        <w:rPr>
          <w:rFonts w:ascii="Amiri" w:hAnsi="Amiri" w:eastAsia="Amiri" w:cs="Amiri"/>
          <w:color w:val="111111"/>
          <w:sz w:val="28"/>
          <w:sz w:val="28"/>
          <w:szCs w:val="28"/>
          <w:rtl w:val="true"/>
          <w:lang w:bidi="ar-SA"/>
        </w:rPr>
        <w:t>يؤيدون مضمون ذلك بعبارات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النماذج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عَنِ الْحَارِثِ بْنِ الْمُغِيرَةِ،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عِلم عَالِمِكُمْ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نَتَحَدَّثُ أَنَّهُ يُقْذَفُ فِي قُلُوبِكُمْ وَيُنْكَتُ فِي آذَانِكُمْ؟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ذَاكَ </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الحسن بن موسى الخشاب، عن إبراهيم بن أبي سماك، عن داود عن الحرث النضري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يسأل الشيء الذي ليس عنده شيء من أين يعلمه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ينكت في القلب نكتاً، وينقر في الأذن نقراً </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السَّائِي، عَنْ أَبِي الْحَسَنِ الْأَوَّلِ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عِلْمِنَا عَلَى ثَلَاثَةِ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وَغَابِرٍ وَحَادِثٍ، فَأَمَّا الْمَاضِي فَمُفَسَّرْ، وَأَمَّا الْغَابِرُ فَمَزْبُورٌ، وَأَمَّا الْحَادِثُ فَقَذْفٌ فِي الْقُلُوبِ، وَنَقْرٌ فِي الْأَسْمَاعِ، وَهُوَ أَفْضَلُ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نَبِيَّ بَعْدَ نَبِيِّنَا</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أقام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بين الإمامة بمعنى المرجعية العلمية والدينية وبين العلم الذي هو من نوع الإلهام، وأكد على ذلك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w:t>
      </w:r>
      <w:bookmarkStart w:id="859" w:name="pg15658_147328"/>
    </w:p>
    <w:p>
      <w:pPr>
        <w:pStyle w:val="BookText"/>
        <w:rPr/>
      </w:pPr>
      <w:bookmarkEnd w:id="859"/>
      <w:r>
        <w:rPr>
          <w:rFonts w:ascii="Amiri" w:hAnsi="Amiri" w:eastAsia="Amiri" w:cs="Amiri"/>
          <w:color w:val="111111"/>
          <w:sz w:val="28"/>
          <w:sz w:val="28"/>
          <w:szCs w:val="28"/>
          <w:rtl w:val="true"/>
          <w:lang w:bidi="ar-SA"/>
        </w:rPr>
        <w:t>إِذَا اخْتَارَهُ الله عَزَّ وَجَلَّ لِأُمُورِ عِبَادِهِ شَرَحَ صَدْرَهُ لِذَلِكَ، وَأَوْدَعَ قَلْبَهُ يَنَابِيعَ الحِكْمَةِ، وَأَهْمَهُ الْعِلْمَ الْمَاماً، فَلَمْ يَعْيَ بَعْدَهُ بِجَوَابٍ، وَلَا يُخَيَّرُ فِيهِ عَنِ الصَّوَابِ، فَهُوَ مُؤَيَّدٌ مُوَفَّقٌ مُسَدَّدٌ، قَدْ أَمِنَ مِنَ الْخَطَايَا وَالزَّلَلِ وَالْعِثَارِ، يَخْصُّهُ الله بِذَلِكَ لِيَكُونَ حُجَّتَهُ عَلَى عِبَادِهِ، وَشَاهِدَهُ عَلَى خَلْقِهِ</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11030829_2142443653"/>
      <w:bookmarkStart w:id="861" w:name="_Toc310"/>
      <w:bookmarkEnd w:id="860"/>
      <w:r>
        <w:rPr>
          <w:rtl w:val="true"/>
        </w:rPr>
        <w:t xml:space="preserve">هـ </w:t>
      </w:r>
      <w:r>
        <w:rPr>
          <w:rtl w:val="true"/>
        </w:rPr>
        <w:t xml:space="preserve">- </w:t>
      </w:r>
      <w:r>
        <w:rPr>
          <w:rtl w:val="true"/>
        </w:rPr>
        <w:t>علم الغيب من لوازم العصمة والحجة الإلهية</w:t>
      </w:r>
      <w:r>
        <w:rPr>
          <w:rtl w:val="true"/>
        </w:rPr>
        <w:t>:</w:t>
      </w:r>
      <w:bookmarkEnd w:id="861"/>
    </w:p>
    <w:p>
      <w:pPr>
        <w:pStyle w:val="BookText"/>
        <w:rPr/>
      </w:pPr>
      <w:r>
        <w:rPr>
          <w:rFonts w:ascii="IRNazanin" w:hAnsi="IRNazanin" w:eastAsia="IRNazanin"/>
          <w:color w:val="111111"/>
          <w:sz w:val="28"/>
          <w:sz w:val="28"/>
          <w:szCs w:val="28"/>
          <w:rtl w:val="true"/>
          <w:lang w:bidi="fa-IR"/>
        </w:rPr>
        <w:t xml:space="preserve">تم التعبير في كثير من الروايات النبوية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بتعبيرات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الاتباع، وأنه حجة الله، وإثبات العصمة له، وأنه ميزان الحق، وأن الحق يدور معه حيثما دار، وأنه مع الحق والحق معه، وإن الاهتداء بأهل البيت ملازم للنجاة، وأنه معدن العلم، مما لازمه العلم الإلهي الخاص الممتنع عن الخطأ، وإلا فإن نسبة هذه الصفات المذكورة للإمام الذي يجوز عليه الخطأ في الأحكام والآراء لن يكون صحيحاً ولا مبرراً</w:t>
      </w:r>
      <w:r>
        <w:rPr>
          <w:rFonts w:eastAsia="IRNazanin" w:cs="IRNazanin"/>
          <w:color w:val="111111"/>
          <w:sz w:val="28"/>
          <w:szCs w:val="28"/>
          <w:rtl w:val="true"/>
          <w:lang w:bidi="fa-IR"/>
        </w:rPr>
        <w:t>.</w:t>
      </w:r>
    </w:p>
    <w:p>
      <w:pPr>
        <w:pStyle w:val="Heading4"/>
        <w:numPr>
          <w:ilvl w:val="3"/>
          <w:numId w:val="1"/>
        </w:numPr>
        <w:rPr/>
      </w:pPr>
      <w:bookmarkStart w:id="862" w:name="__RefHeading___Toc11030831_2142443653"/>
      <w:bookmarkStart w:id="863" w:name="_Toc311"/>
      <w:bookmarkEnd w:id="862"/>
      <w:r>
        <w:rPr>
          <w:rtl w:val="true"/>
        </w:rPr>
        <w:t xml:space="preserve">و </w:t>
      </w:r>
      <w:r>
        <w:rPr>
          <w:rtl w:val="true"/>
        </w:rPr>
        <w:t xml:space="preserve">- </w:t>
      </w:r>
      <w:r>
        <w:rPr>
          <w:rtl w:val="true"/>
        </w:rPr>
        <w:t>الروايات الدالة على علم الأئمة للغيب</w:t>
      </w:r>
      <w:r>
        <w:rPr>
          <w:rtl w:val="true"/>
        </w:rPr>
        <w:t>:</w:t>
      </w:r>
      <w:bookmarkEnd w:id="863"/>
    </w:p>
    <w:p>
      <w:pPr>
        <w:pStyle w:val="BookText"/>
        <w:rPr/>
      </w:pPr>
      <w:r>
        <w:rPr>
          <w:rFonts w:ascii="IRNazanin" w:hAnsi="IRNazanin" w:eastAsia="IRNazanin"/>
          <w:color w:val="111111"/>
          <w:sz w:val="28"/>
          <w:sz w:val="28"/>
          <w:szCs w:val="28"/>
          <w:rtl w:val="true"/>
          <w:lang w:bidi="fa-IR"/>
        </w:rPr>
        <w:t>فضلاً عن الأدلة المتقدمة فإنه قد تم التأكيد على علم الأئمة للغيب والعلم الإلهي في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غضضنا الطرف عن الأدلة العقلية السابقة، وكان ملاكنا هو مجرد الروايات، فإن هذا المعنى من العلم بالنسبة إلى الإمام سيكون قابلا للإثبات أيضاً، وفيما يأتي نشير إلى بعض هذه الروايات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رواية متفق عليها من قبل</w:t>
      </w:r>
    </w:p>
    <w:p>
      <w:pPr>
        <w:pStyle w:val="BookText"/>
        <w:rPr/>
      </w:pPr>
      <w:r>
        <w:rPr>
          <w:rFonts w:ascii="Amiri" w:hAnsi="Amiri" w:eastAsia="Amiri" w:cs="Amiri"/>
          <w:color w:val="111111"/>
          <w:sz w:val="28"/>
          <w:sz w:val="28"/>
          <w:szCs w:val="28"/>
          <w:rtl w:val="true"/>
          <w:lang w:bidi="ar-SA"/>
        </w:rPr>
        <w:t xml:space="preserve">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السنة والشيعة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ينظر إلى آدم في علمه، وإلى نوح في عزمه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إبراهيم في حلمه، وإلى موسى في فطنته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عيسى في 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فلينظر إلى علي بن أبي طالب</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وحيث كان علم آدم بالأسماء فوق علم الملائكة، يتضح أن علمه كان علماً خاصاً ومن قبيل العلم اللدنّي، وتبعاً لذلك كان علم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سنخ علم آدم، وأنه من العلم الإلهي اللدني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خزان علم الله، ونحن معدن وحي الله</w:t>
      </w:r>
      <w:r>
        <w:rPr>
          <w:rFonts w:eastAsia="IRNazanin" w:cs="IRNazanin"/>
          <w:color w:val="111111"/>
          <w:sz w:val="28"/>
          <w:szCs w:val="28"/>
          <w:rtl w:val="true"/>
          <w:lang w:bidi="fa-IR"/>
        </w:rPr>
        <w:t>»</w:t>
      </w:r>
      <w:r>
        <w:rPr>
          <w:rStyle w:val="FootnoteAnchor"/>
          <w:rtl w:val="true"/>
        </w:rPr>
        <w:footnoteReference w:id="966"/>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وَلَاهُ أَمْرِ الله وَخَزَنَةٌ عِلْم الله ، وَعَيْبَةٌ وَحْي الله</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أخبر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وجود روح خاص بالأنبياء والأوصياء يتعرفون من خلاله على جميع ما يحدث من أخبار ووقائع ما بين العرش والأرض،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ما تحت العرش الى ما تحت الثرى</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المخصوص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دهره، لا يدانيه أحد، ولا يعادله عالم، ولا يوجد منه بدل، ولا له مثل ولا نظیر، مخصوص بالفعل كله من غير طلب منه له ولا اكتساب، بل اختصاص </w:t>
      </w:r>
      <w:bookmarkStart w:id="864" w:name="pg15658_147330"/>
    </w:p>
    <w:p>
      <w:pPr>
        <w:pStyle w:val="BookText"/>
        <w:rPr/>
      </w:pPr>
      <w:bookmarkEnd w:id="864"/>
      <w:r>
        <w:rPr>
          <w:rFonts w:ascii="Amiri" w:hAnsi="Amiri" w:eastAsia="Amiri" w:cs="Amiri"/>
          <w:color w:val="111111"/>
          <w:sz w:val="28"/>
          <w:sz w:val="28"/>
          <w:szCs w:val="28"/>
          <w:rtl w:val="true"/>
          <w:lang w:bidi="ar-SA"/>
        </w:rPr>
        <w:t xml:space="preserve">من المفضل الوهاب فمن ذا الذي يبلغ معرفه الإمام ويمكنه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عالم لا يجهل </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الالتفات إلى هذه الروايات وما تقدّم من الأدلة هل يمكن الادعاء بأن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جميع الجهات مثل علم سائر البشر، بمعنى أنه علم اجتهادي، ومن ثُمَّ يجوز عليهم الخطأ؟ أليست هذه الدعوى مخالفة للواقعية</w:t>
      </w:r>
    </w:p>
    <w:p>
      <w:pPr>
        <w:pStyle w:val="BookText"/>
        <w:rPr/>
      </w:pPr>
      <w:r>
        <w:rPr>
          <w:rFonts w:ascii="Amiri" w:hAnsi="Amiri" w:eastAsia="Amiri" w:cs="Amiri"/>
          <w:color w:val="111111"/>
          <w:sz w:val="28"/>
          <w:sz w:val="28"/>
          <w:szCs w:val="28"/>
          <w:rtl w:val="true"/>
          <w:lang w:bidi="ar-SA"/>
        </w:rPr>
        <w:t>التاريخية والنصوص الدينية القطعية؟</w:t>
      </w:r>
    </w:p>
    <w:p>
      <w:pPr>
        <w:pStyle w:val="Heading3"/>
        <w:numPr>
          <w:ilvl w:val="2"/>
          <w:numId w:val="1"/>
        </w:numPr>
        <w:rPr/>
      </w:pPr>
      <w:bookmarkStart w:id="865" w:name="__RefHeading___Toc11030833_2142443653"/>
      <w:bookmarkStart w:id="866" w:name="_Toc312"/>
      <w:bookmarkEnd w:id="865"/>
      <w:r>
        <w:rPr>
          <w:rtl w:val="true"/>
        </w:rPr>
        <w:t>الشبهة الثانية</w:t>
      </w:r>
      <w:r>
        <w:rPr>
          <w:rtl w:val="true"/>
        </w:rPr>
        <w:t xml:space="preserve">: </w:t>
      </w:r>
      <w:r>
        <w:rPr>
          <w:rtl w:val="true"/>
        </w:rPr>
        <w:t>إن علم الأئمة بالغيب من اختلاقات المتكلمين</w:t>
      </w:r>
      <w:r>
        <w:rPr>
          <w:rtl w:val="true"/>
        </w:rPr>
        <w:t>:</w:t>
      </w:r>
      <w:bookmarkEnd w:id="866"/>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يتضح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التأكيد على ثبوت علم الغيب للأئمة وكونه من نوع الإلهام، وكذلك وجود هذه الرؤية في عصر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أنفسهم بين الشيعة، وتوجيه السؤال إليهم بهذا الخصوص، وتأييد الأئمة وتصريحهم بوجود هذا النوع من العلم لديهم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بأنه من موضوعات المتكلمين الشيعة في القرون الأولى التي أعقبت عصر الغیبة</w:t>
      </w:r>
      <w:r>
        <w:rPr>
          <w:rStyle w:val="FootnoteAnchor"/>
          <w:rtl w:val="true"/>
        </w:rPr>
        <w:footnoteReference w:id="970"/>
      </w:r>
      <w:r>
        <w:rPr>
          <w:rFonts w:ascii="Amiri" w:hAnsi="Amiri" w:eastAsia="Amiri" w:cs="Amiri"/>
          <w:color w:val="111111"/>
          <w:sz w:val="28"/>
          <w:sz w:val="28"/>
          <w:szCs w:val="28"/>
          <w:rtl w:val="true"/>
          <w:lang w:bidi="ar-SA"/>
        </w:rPr>
        <w:t>،هو في حد ذاته مختلق، فهو لا يعدو أن يكون تحريفاً للحقائق الدينية والتاريخية، والتي نشأت من تأمّل من صاغ هذه الشبهة في النصوص الروائية</w:t>
      </w:r>
      <w:r>
        <w:rPr>
          <w:rFonts w:eastAsia="Amiri" w:cs="Amiri" w:ascii="Amiri" w:hAnsi="Amiri"/>
          <w:color w:val="111111"/>
          <w:sz w:val="28"/>
          <w:szCs w:val="28"/>
          <w:rtl w:val="true"/>
          <w:lang w:bidi="ar-SA"/>
        </w:rPr>
        <w:t xml:space="preserve">. </w:t>
      </w:r>
      <w:bookmarkStart w:id="867" w:name="pg15658_147331"/>
    </w:p>
    <w:p>
      <w:pPr>
        <w:pStyle w:val="BookText"/>
        <w:rPr/>
      </w:pPr>
      <w:bookmarkEnd w:id="867"/>
      <w:r>
        <w:rPr>
          <w:rFonts w:ascii="IRNazanin" w:hAnsi="IRNazanin" w:eastAsia="IRNazanin"/>
          <w:color w:val="111111"/>
          <w:sz w:val="28"/>
          <w:sz w:val="28"/>
          <w:szCs w:val="28"/>
          <w:rtl w:val="true"/>
          <w:lang w:bidi="fa-IR"/>
        </w:rPr>
        <w:t>إن السؤال عما إذا كان المتكلمون يتفقون في تفسير علم الأئمة ومدى سعة هذا العلم، أو أنهم يختلفون في الآراء بهذا الشأن؟ يحتاج إلى بحث مستقل، ولكن يكفي هنا التذكير بأنهم متفقون على امتلاك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يعرف بالعلم اللدني في حقل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القول بأن علم الأئمة بالغيب لا وجود له في المصادر الدينية الأصيلة، وأنه من وضع المتكلمين واختلاقهم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ينسجم مع المصادر التاريخية والروائية، فهو في حد ذاته مجرد ادعاء واختلاق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 بعض الروايات الأخرى التي تثبت علم الغيب للأئمة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كانت مستنداً للقول بعلم الأئمة بالغيب منذ القدم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الصفحات القادمة إن شاء الله </w:t>
      </w:r>
      <w:r>
        <w:rPr>
          <w:rFonts w:eastAsia="IRNazanin" w:cs="IRNazanin"/>
          <w:color w:val="111111"/>
          <w:sz w:val="28"/>
          <w:szCs w:val="28"/>
          <w:rtl w:val="true"/>
          <w:lang w:bidi="fa-IR"/>
        </w:rPr>
        <w:t>.</w:t>
      </w:r>
    </w:p>
    <w:p>
      <w:pPr>
        <w:pStyle w:val="Heading3"/>
        <w:numPr>
          <w:ilvl w:val="2"/>
          <w:numId w:val="1"/>
        </w:numPr>
        <w:rPr/>
      </w:pPr>
      <w:bookmarkStart w:id="868" w:name="__RefHeading___Toc11030835_2142443653"/>
      <w:bookmarkStart w:id="869" w:name="_Toc313"/>
      <w:bookmarkEnd w:id="868"/>
      <w:r>
        <w:rPr>
          <w:rtl w:val="true"/>
        </w:rPr>
        <w:t>الشبهة الثالثة</w:t>
      </w:r>
      <w:r>
        <w:rPr>
          <w:rtl w:val="true"/>
        </w:rPr>
        <w:t xml:space="preserve">: </w:t>
      </w:r>
      <w:r>
        <w:rPr>
          <w:rtl w:val="true"/>
        </w:rPr>
        <w:t>نفي علم الغيب في بعض الروايات</w:t>
      </w:r>
      <w:bookmarkEnd w:id="869"/>
    </w:p>
    <w:p>
      <w:pPr>
        <w:pStyle w:val="Heading4"/>
        <w:numPr>
          <w:ilvl w:val="3"/>
          <w:numId w:val="1"/>
        </w:numPr>
        <w:rPr/>
      </w:pPr>
      <w:bookmarkStart w:id="870" w:name="__RefHeading___Toc11030837_2142443653"/>
      <w:bookmarkStart w:id="871" w:name="_Toc314"/>
      <w:bookmarkEnd w:id="870"/>
      <w:r>
        <w:rPr>
          <w:rtl w:val="true"/>
        </w:rPr>
        <w:t>اشارة</w:t>
      </w:r>
      <w:bookmarkEnd w:id="871"/>
    </w:p>
    <w:p>
      <w:pPr>
        <w:pStyle w:val="BookText"/>
        <w:rPr/>
      </w:pPr>
      <w:r>
        <w:rPr>
          <w:rFonts w:ascii="IRNazanin" w:hAnsi="IRNazanin" w:eastAsia="IRNazanin"/>
          <w:color w:val="111111"/>
          <w:sz w:val="28"/>
          <w:sz w:val="28"/>
          <w:szCs w:val="28"/>
          <w:rtl w:val="true"/>
          <w:lang w:bidi="fa-IR"/>
        </w:rPr>
        <w:t>ربما تم طرح هذه الشبهة أو التساؤل هنا،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أصل العلم بالغيب، أو بعبارة أدق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اللدني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أصلاً ثابتاً، فلماذا تمّ نفيه في بعض الروايات، حيث أنكره بعض الأئمة في سياق الإجابة عن تساؤلات أصحابهم؟</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نقد هذه الشبهة لا بدّ من الإشارة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030839_2142443653"/>
      <w:bookmarkStart w:id="873" w:name="_Toc315"/>
      <w:bookmarkEnd w:id="872"/>
      <w:r>
        <w:rPr>
          <w:rtl w:val="true"/>
        </w:rPr>
        <w:t xml:space="preserve">أ  </w:t>
      </w:r>
      <w:r>
        <w:rPr>
          <w:rtl w:val="true"/>
        </w:rPr>
        <w:t xml:space="preserve">- </w:t>
      </w:r>
      <w:r>
        <w:rPr>
          <w:rtl w:val="true"/>
        </w:rPr>
        <w:t>رعاية القدرة الاستيعابية للمخاطب المقصر</w:t>
      </w:r>
      <w:r>
        <w:rPr>
          <w:rtl w:val="true"/>
        </w:rPr>
        <w:t>:</w:t>
      </w:r>
      <w:bookmarkEnd w:id="873"/>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القدرة الاستيعابية للمخاطب المقصر</w:t>
      </w:r>
      <w:r>
        <w:rPr>
          <w:rStyle w:val="FootnoteAnchor"/>
          <w:rtl w:val="true"/>
        </w:rPr>
        <w:footnoteReference w:id="971"/>
      </w:r>
      <w:bookmarkStart w:id="874" w:name="pg15658_147332"/>
    </w:p>
    <w:p>
      <w:pPr>
        <w:pStyle w:val="BookText"/>
        <w:rPr/>
      </w:pPr>
      <w:bookmarkEnd w:id="874"/>
      <w:r>
        <w:rPr>
          <w:rFonts w:ascii="Amiri" w:hAnsi="Amiri" w:eastAsia="Amiri" w:cs="Amiri"/>
          <w:color w:val="111111"/>
          <w:sz w:val="28"/>
          <w:sz w:val="28"/>
          <w:szCs w:val="28"/>
          <w:rtl w:val="true"/>
          <w:lang w:bidi="ar-SA"/>
        </w:rPr>
        <w:t>ورد في القرآن الكريم أن علم الغيب من مختصات الله سبحانه وتعالى، إذ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 لاَ يَعْلَمُهَا إِلا هُوَ</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بعض عوام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يستطيعون استيعاب أن يكون للأئمة القدرة على العلم بالغيب وهو من مختصات الله سبحانه حيث يعلمه بشكل ذاتي واستقلالي، حتى ولو قلنا بأن علم الأئمة</w:t>
      </w:r>
    </w:p>
    <w:p>
      <w:pPr>
        <w:pStyle w:val="BookText"/>
        <w:rPr/>
      </w:pPr>
      <w:r>
        <w:rPr>
          <w:rFonts w:ascii="IRNazanin" w:hAnsi="IRNazanin" w:eastAsia="IRNazanin"/>
          <w:color w:val="111111"/>
          <w:sz w:val="28"/>
          <w:sz w:val="28"/>
          <w:szCs w:val="28"/>
          <w:rtl w:val="true"/>
          <w:lang w:bidi="fa-IR"/>
        </w:rPr>
        <w:t>بتعليم من الله، فإنهم على كل حال لا يطيقون أن يكون الإمام عالماً بالغيب سواء على نحو الاستقلال أو التبعية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كان الأئمة يراعون هذه الجماعة من الشيعة التي لم تكن لديها القدرة على التحليل العقلاني لمسألة الغيب؛ فكانوا لذلك ينكرون وينفون نسبة علم الغيب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الأمثلة على ذلك ما ورد في ذكر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أخبار الملاحم والفتن حيث أثار استغراب بعض أصحابه ودهشتهم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أعطيت يا أمير المؤمنين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للرجل وكان كلبياً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كَلْبِ، لَيْسَ هُوَ بِعِلْمٍ غَيْبٍ، وَإِنَّمَا هُوَ عَلَّمُ مِنْ ذِي عِلْمٍ</w:t>
      </w:r>
      <w:r>
        <w:rPr>
          <w:rFonts w:eastAsia="IRNazanin" w:cs="IRNazanin"/>
          <w:color w:val="111111"/>
          <w:sz w:val="28"/>
          <w:szCs w:val="28"/>
          <w:rtl w:val="true"/>
          <w:lang w:bidi="fa-IR"/>
        </w:rPr>
        <w:t>»</w:t>
      </w:r>
      <w:r>
        <w:rPr>
          <w:rStyle w:val="FootnoteAnchor"/>
          <w:rtl w:val="true"/>
        </w:rPr>
        <w:footnoteReference w:id="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 الرواية لاحقاً</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1030841_2142443653"/>
      <w:bookmarkStart w:id="876" w:name="_Toc316"/>
      <w:bookmarkEnd w:id="875"/>
      <w:r>
        <w:rPr>
          <w:rtl w:val="true"/>
        </w:rPr>
        <w:t xml:space="preserve">ب </w:t>
      </w:r>
      <w:r>
        <w:rPr>
          <w:rtl w:val="true"/>
        </w:rPr>
        <w:t xml:space="preserve">- </w:t>
      </w:r>
      <w:r>
        <w:rPr>
          <w:rtl w:val="true"/>
        </w:rPr>
        <w:t>رعاية القدرة الاستيعابية للمخاطب الغالي</w:t>
      </w:r>
      <w:r>
        <w:rPr>
          <w:rtl w:val="true"/>
        </w:rPr>
        <w:t>:</w:t>
      </w:r>
      <w:bookmarkEnd w:id="876"/>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بعض الشيعة من مخاطبي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ناحية أخرى يعانون من سذاجة وبساطة من نوع آخر، حيث لا يدركون حقيقة علم الغيب، وتبعية </w:t>
      </w:r>
    </w:p>
    <w:p>
      <w:pPr>
        <w:pStyle w:val="BookText"/>
        <w:rPr/>
      </w:pPr>
      <w:r>
        <w:rPr>
          <w:rFonts w:ascii="IRNazanin" w:hAnsi="IRNazanin" w:eastAsia="IRNazanin"/>
          <w:color w:val="111111"/>
          <w:sz w:val="28"/>
          <w:sz w:val="28"/>
          <w:szCs w:val="28"/>
          <w:rtl w:val="true"/>
          <w:lang w:bidi="fa-IR"/>
        </w:rPr>
        <w:t>علم الأئمة بالغيب لعلم الله، ولذلك كانوا لدى أدنى مشاهدة لما يثبت علم الأئمة الخارق يرفعونهم إلى مستوى النبوة، بل قد يصل بهم الأمر إلى حد الغلو والتأليه أحياناً من هنا عندما كان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يستشعرون من السائل وجود أرضية للغلو، كانوا يبادرون إلى مواجهة هذه الظاهرة الخطيرة، ويسعون إلى القضاء عليها في مهدها، ولتحقيق ذلك لم يكن أمامهم من بد أحياناً غير إنكار علمهم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مثلاً الحادثة الآتية</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وَأَبُو بَصِيرٍ، وَيَحْيَى الْبَزَّازُ، وَدَاوُدُ بْنُ كَثِيرِ، فِي مَجْلِسِ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خَرَجَ إِلَيْنَا وَهُوَ مُغْضَبٌ، فَلَما أَخَذَ تَجْلِسَهُ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لا قوامٍ ير أَنَّا نَعْلَمُ الْغَيْبَ مَا يَعْلَمُ الْغَيْبَ إِلَّا الله عَزَّ وَجَلَّ، لَقَدْ هَمَمْتُ بِضَرْبِ جَارِيَتِي فُلَانَةَ فَهَرَبَتْ مِنِّي ، فَما عَلِمْتُ فِي أَيِّ بُيُوتِ الدَّارِ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تَجْلِسِهِ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عِلْماً كَثِيراً، وَلَا نَنْسُبُكَ إِلَى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أَلَمْ تَقْرَأ الْقُرْآنَ؟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974"/>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وَهَلْ عَلِمْتَ مَا كَانَ عِنْدَهُ مِنْ عِلْمِ الْكِتَابِ؟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قَطْرَةِ مِنَ الماءِ فِي الْبَحْرِ الْأَخْضَرِ ، فَمَا يَكُونُ ذَلِكَ مِنْ عِلْمِ الْكِتَابِ؟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أَقَلَّ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مَا أَكْثَرَ هَذَا أَنْ يَنْسُبَهُ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الْعِلْمِ الَّذِي أُخْبِرُكَ بِهِ يَا سَدِيرُ فَهَلْ وَجَدْتَ فِيمَا قَرَأْتَ مِنْ </w:t>
      </w:r>
      <w:bookmarkStart w:id="877" w:name="pg15658_147334"/>
    </w:p>
    <w:p>
      <w:pPr>
        <w:pStyle w:val="BookText"/>
        <w:rPr/>
      </w:pPr>
      <w:bookmarkEnd w:id="877"/>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w:t>
      </w:r>
      <w:r>
        <w:rPr>
          <w:rStyle w:val="FootnoteAnchor"/>
          <w:rtl w:val="true"/>
        </w:rPr>
        <w:footnoteReference w:id="975"/>
      </w:r>
      <w:r>
        <w:rPr>
          <w:rFonts w:ascii="Amiri" w:hAnsi="Amiri" w:eastAsia="Amiri" w:cs="Amiri"/>
          <w:color w:val="111111"/>
          <w:sz w:val="28"/>
          <w:sz w:val="28"/>
          <w:szCs w:val="28"/>
          <w:rtl w:val="true"/>
          <w:lang w:bidi="ar-SA"/>
        </w:rPr>
        <w:t xml:space="preserve">؟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عِنْدَهُ عِلْمٌ الْكِتَابِ كُلُّهُ أَفْهَمُ أَمْ مَنْ عِنْدَهُ عِلْمُ الْكِتَابِ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مَنْ عِنْدَهُ عِلْمُ الْكِتَابِ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وَالله عِنْدَنَا، عِلْمُ الْكِتَابِ وَالله كُلُّهُ عِنْدَنَا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يتبين لنا من هذا النص بوضوح تام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يراعي القدرة الاستيعابية لدى المخاطب، ويوازن ما بين العامة والخاصة من شيعته وأصحابه</w:t>
      </w:r>
      <w:r>
        <w:rPr>
          <w:rFonts w:eastAsia="IRNazanin" w:cs="IRNazanin"/>
          <w:color w:val="111111"/>
          <w:sz w:val="28"/>
          <w:szCs w:val="28"/>
          <w:rtl w:val="true"/>
          <w:lang w:bidi="fa-IR"/>
        </w:rPr>
        <w:t>.</w:t>
      </w:r>
    </w:p>
    <w:p>
      <w:pPr>
        <w:pStyle w:val="Heading4"/>
        <w:numPr>
          <w:ilvl w:val="3"/>
          <w:numId w:val="1"/>
        </w:numPr>
        <w:rPr/>
      </w:pPr>
      <w:bookmarkStart w:id="878" w:name="__RefHeading___Toc11030843_2142443653"/>
      <w:bookmarkStart w:id="879" w:name="_Toc317"/>
      <w:bookmarkEnd w:id="878"/>
      <w:r>
        <w:rPr>
          <w:rtl w:val="true"/>
        </w:rPr>
        <w:t xml:space="preserve">ج </w:t>
      </w:r>
      <w:r>
        <w:rPr>
          <w:rtl w:val="true"/>
        </w:rPr>
        <w:t xml:space="preserve">- </w:t>
      </w:r>
      <w:r>
        <w:rPr>
          <w:rtl w:val="true"/>
        </w:rPr>
        <w:t>نفي العلم الاستقلالي دون التبعي</w:t>
      </w:r>
      <w:r>
        <w:rPr>
          <w:rtl w:val="true"/>
        </w:rPr>
        <w:t>:</w:t>
      </w:r>
      <w:bookmarkEnd w:id="87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الثالث في تفسير الروايات النافية لعلم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 فهو أن مراد الأئمة من هذا النفي هو علم الغيب الاستقلالي، بمعنى أن يدعي الأئمة علمهم بالغيب من عندهم ومن دون عناية أو إذن من الله سبحانه وتعالى، فهذا النوع من العلم هو المنفي في الروايات المأثورة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هذا الشأن، وحتى علم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علماً تبعياً يتنزل عليه برعاية وعناية من السماء ومخزون العلم الإلهي، وإن قول الله تعالى على لسان النبي الأكرم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Style w:val="FootnoteAnchor"/>
          <w:rtl w:val="true"/>
        </w:rPr>
        <w:footnoteReference w:id="977"/>
      </w:r>
      <w:r>
        <w:rPr>
          <w:rFonts w:ascii="Amiri" w:hAnsi="Amiri" w:eastAsia="Amiri" w:cs="Amiri"/>
          <w:color w:val="111111"/>
          <w:sz w:val="28"/>
          <w:sz w:val="28"/>
          <w:szCs w:val="28"/>
          <w:rtl w:val="true"/>
          <w:lang w:bidi="ar-SA"/>
        </w:rPr>
        <w:t xml:space="preserve">، إنما ينفي عنه هذا النوع من العلم الاستقلالي بالغيب دون العلم الذي يفتحه الله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ولحسن الحظ فقد جاء بيان التفريق بين هذين النوعين من علم الغيب في الروايات المأثورة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 الرواية التي تقدمت الإشارة إليها في بيان بعض المغيّبات على لسان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وإليك تفصيلها من كتاب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كَأَنِّي بِهِ وَقَدْ سَارَ بِالْجُيْشِ الَّذِي لَا يَكُونُ لَهُ غُبَارٌ وَلَا تَجَبٌ، وَلَا قَعْقَعَةُ مُجمٍ، وَلَا حَمْحَمَةٌ خَيْلٍ، يُثِيرُونَ الْأَرْضَ بِأَقْدَامِهِمْ كَأَنَّهَا أَقْدَامُ النَّعَامِ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لِسِكَكِكُمُ الْعَامِرَةِ، وَدُورِكم المُزَخْرَفَةِ الَّتِي لَهَا أَجْنِحَةُ</w:t>
      </w:r>
    </w:p>
    <w:p>
      <w:pPr>
        <w:pStyle w:val="BookText"/>
        <w:rPr/>
      </w:pPr>
      <w:r>
        <w:rPr>
          <w:rFonts w:ascii="Amiri" w:hAnsi="Amiri" w:eastAsia="Amiri" w:cs="Amiri"/>
          <w:color w:val="111111"/>
          <w:sz w:val="28"/>
          <w:sz w:val="28"/>
          <w:szCs w:val="28"/>
          <w:rtl w:val="true"/>
          <w:lang w:bidi="ar-SA"/>
        </w:rPr>
        <w:t>لا كَأَجْنَحَةِ النُّسُورِ، وَخَرَاطِيمُ كَخَرَاطِيمِ الْفِيَلَةِ، مِنْ أُولئِكَ الَّذِينَ لَا يُنْدَبُ قَتِيلُهُمْ، وَلاَ يُفْقَدُ غَائِبُهُمْ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كَابُّ الدُّنْيَا لِوَجْهِهَا، وَقَادِرُهَا بِقَدْرِهَا، وَنَاظِرُهَا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أَرَاهُمْ قَوْماً كَأَنَّ وَجُوهَهُمُ المَجَانُ المُطَرَّقَةُ، يَلْبَسُونَ السَّرَقَ وَالدِّيباج، وَيَعْتَقِبُونَ الْخَيْلَ الْعِتَاقَ، وَيَكُونُ هُنَاكَ اسْتِحْرَارُ قَتْلِ، حَتَّى يَمْشِيَ المَجْرُوحُ عَلَى المُقْتُولِ، وَيَكُونَ الْمُفْلِتُ أَقَلَّ مِنَ المَأْسُورٍ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كَلْبِ، لَيْسَ هُوَ بِعِلْمٍ غَيْبٍ، وَإِنَّمَا هُوَ تَعَلُّمٌ مِنْ ذِي عِلْمٍ، وَإِنَّمَا عِلْمُ الْغَيْبِ عِلْمُ السَّاعَةِ</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أردف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عَلْمُ الْغَيْبِ الَّذِي لاَ يَعْلَمُهُ أَحَدٌ إِلا اللهُ، وَمَا سِوَى ذلِكَ فَعِلْمٌ عَلَّمَهُ اللهُ نَبِيَّهُ فَعَلَّمَنِيهِ، وَدَعَا لِي بِأَنْ يَعِيَهُ صَدْرِي، وَتَضْطَمَّ عَلَيْهِ جَوَانِحِي</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880" w:name="pg15658_147336"/>
    </w:p>
    <w:p>
      <w:pPr>
        <w:pStyle w:val="Heading4"/>
        <w:numPr>
          <w:ilvl w:val="3"/>
          <w:numId w:val="1"/>
        </w:numPr>
        <w:rPr/>
      </w:pPr>
      <w:bookmarkStart w:id="881" w:name="__RefHeading___Toc11030845_2142443653"/>
      <w:bookmarkStart w:id="882" w:name="_Toc318"/>
      <w:bookmarkEnd w:id="880"/>
      <w:bookmarkEnd w:id="881"/>
      <w:r>
        <w:rPr>
          <w:rtl w:val="true"/>
        </w:rPr>
        <w:t xml:space="preserve">د </w:t>
      </w:r>
      <w:r>
        <w:rPr>
          <w:rtl w:val="true"/>
        </w:rPr>
        <w:t xml:space="preserve">- </w:t>
      </w:r>
      <w:r>
        <w:rPr>
          <w:rtl w:val="true"/>
        </w:rPr>
        <w:t>نفي العلم الفعلي دون مطلق العلم</w:t>
      </w:r>
      <w:r>
        <w:rPr>
          <w:rtl w:val="true"/>
        </w:rPr>
        <w:t>:</w:t>
      </w:r>
      <w:bookmarkEnd w:id="882"/>
    </w:p>
    <w:p>
      <w:pPr>
        <w:pStyle w:val="BookText"/>
        <w:rPr/>
      </w:pPr>
      <w:r>
        <w:rPr>
          <w:rFonts w:ascii="Amiri" w:hAnsi="Amiri" w:eastAsia="Amiri" w:cs="Amiri"/>
          <w:color w:val="111111"/>
          <w:sz w:val="28"/>
          <w:sz w:val="28"/>
          <w:szCs w:val="28"/>
          <w:rtl w:val="true"/>
          <w:lang w:bidi="ar-SA"/>
        </w:rPr>
        <w:t>المسألة الأخرى التي تستنتج من بعض الروايات هي أن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يحيطون بجميع الأمور والعلوم بشكل فعلي، وإنما يعلمون ذلك إذا أرادوا بتعليم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يظهر جلياً من سؤال عمار الساباطي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 الغيب،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إِذَا أَرَادَ أَنْ يَعْلَمَ الشَّيْءَ أَعْلَمَهُ الله ذَلِكَ</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11030847_2142443653"/>
      <w:bookmarkStart w:id="884" w:name="_Toc319"/>
      <w:bookmarkEnd w:id="883"/>
      <w:r>
        <w:rPr>
          <w:rtl w:val="true"/>
        </w:rPr>
        <w:t>الشبهة الرابعة</w:t>
      </w:r>
      <w:r>
        <w:rPr>
          <w:rtl w:val="true"/>
        </w:rPr>
        <w:t xml:space="preserve">: </w:t>
      </w:r>
      <w:r>
        <w:rPr>
          <w:rtl w:val="true"/>
        </w:rPr>
        <w:t>عدم اعتبار علم الغيب في الإمام والإمامة</w:t>
      </w:r>
      <w:r>
        <w:rPr>
          <w:rtl w:val="true"/>
        </w:rPr>
        <w:t>:</w:t>
      </w:r>
      <w:bookmarkEnd w:id="884"/>
    </w:p>
    <w:p>
      <w:pPr>
        <w:pStyle w:val="Heading4"/>
        <w:numPr>
          <w:ilvl w:val="3"/>
          <w:numId w:val="1"/>
        </w:numPr>
        <w:rPr/>
      </w:pPr>
      <w:bookmarkStart w:id="885" w:name="__RefHeading___Toc11030849_2142443653"/>
      <w:bookmarkStart w:id="886" w:name="_Toc320"/>
      <w:bookmarkEnd w:id="885"/>
      <w:r>
        <w:rPr>
          <w:rtl w:val="true"/>
        </w:rPr>
        <w:t>اشارة</w:t>
      </w:r>
      <w:bookmarkEnd w:id="886"/>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تنزلوا بمقام الإمامة والإمام إلى مستوى الحاكم أو إلى مجرد عالم في الدين، يطرحون شبهة حول اعتبار علم الغيب في الإمام والإمامة، حيث قالوا بعدم اشتراط علم الغيب أو العلم اللدني في مقام الإمامة وشخص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أهل السنة منذ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للتعريف الذي يقدمونه للإمام والإمامة، على ما مر بيانه في الفصل الأول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المنكرين للعلم اللدني بالنسبة إلى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تداول هذه الشبهة بين بعضهم في الآونة الأخيرة، حيث يتمسكون بمقتطفات من الروايات والكلمات المروية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بينها كلمات أمير المؤمنين في نهج البلاغة، من 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 وَبَرَأَ النَّسَمَةَ لَوْلاَ حُضُورُ الْحَاضِرِ ، وَقِيَامُ الْحُجَّةِ ، بِوُجُودِ النَّاصِرِ، وَمَا أَخَذَ اللَّهُ عَلَى العُلَمَاءِ أَلا يُقَارُّوا عَلَى كِظَّةِ ظَالِمٍ، وَلا سَغَبِ مَظْلُومِ، لَأَلْقَيْتُ حَبْلَهَا عَلَى غَارِبِهَا، وَلَسَقَيْتُ آخِرَهَا بِكَأْسٍ أَوَّلِها</w:t>
      </w:r>
      <w:r>
        <w:rPr>
          <w:rFonts w:eastAsia="Amiri" w:cs="Amiri" w:ascii="Amiri" w:hAnsi="Amiri"/>
          <w:color w:val="111111"/>
          <w:sz w:val="28"/>
          <w:szCs w:val="28"/>
          <w:rtl w:val="true"/>
          <w:lang w:bidi="ar-SA"/>
        </w:rPr>
        <w:t>»</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ليثبتوا </w:t>
      </w:r>
      <w:bookmarkStart w:id="887" w:name="pg15658_147337"/>
    </w:p>
    <w:p>
      <w:pPr>
        <w:pStyle w:val="BookText"/>
        <w:rPr/>
      </w:pPr>
      <w:bookmarkEnd w:id="887"/>
      <w:r>
        <w:rPr>
          <w:rFonts w:ascii="IRNazanin" w:hAnsi="IRNazanin" w:eastAsia="IRNazanin"/>
          <w:color w:val="111111"/>
          <w:sz w:val="28"/>
          <w:sz w:val="28"/>
          <w:szCs w:val="28"/>
          <w:rtl w:val="true"/>
          <w:lang w:bidi="fa-IR"/>
        </w:rPr>
        <w:t>بذلك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سوى عالم دين، إذ إنّه يعرف نفسه في هذه الكلمات بوصفه مصداقاً لـ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يتنافى مع اعتبار اشتراط علم الغيب 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الشيخ محسن كديور مستنداً إلى هذه الفقرة من 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يعرف نفسه في هذه الكلمة بأنه سيّد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نهج البلاغة بدلاً من أن يعرف نفسه بامتلاكه لعلم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يحلو للمتكلمين أن يصفوه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يتحدث عن العهد الذي أخذه الله على العلماء، ونحن نؤمن بأن الإمام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أعلم العلماء إن بحثنا يدور حول ما 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في الإمامة أم لا؟ وعلى أي حال فإن أصل علمه بالغيب ليس محور بحثنا، وإنما الذي يشكل محور بحثنا هو شرطيته في الإمامة</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معرض نقد هذه الشبهة لا بد من التذكير بالأمور الآتية</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1030851_2142443653"/>
      <w:bookmarkStart w:id="889" w:name="_Toc321"/>
      <w:bookmarkEnd w:id="888"/>
      <w:r>
        <w:rPr>
          <w:rtl w:val="true"/>
        </w:rPr>
        <w:t xml:space="preserve">أ </w:t>
      </w:r>
      <w:r>
        <w:rPr>
          <w:rtl w:val="true"/>
        </w:rPr>
        <w:t xml:space="preserve">- </w:t>
      </w:r>
      <w:r>
        <w:rPr>
          <w:rtl w:val="true"/>
        </w:rPr>
        <w:t>التنزل بمقام الإمامة إلى مستوى الحاكم والفرد العادي</w:t>
      </w:r>
      <w:r>
        <w:rPr>
          <w:rtl w:val="true"/>
        </w:rPr>
        <w:t>:</w:t>
      </w:r>
      <w:bookmarkEnd w:id="889"/>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في معرض تعريف الإمامة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السنة قد نظروا إلى موضوع الإمامة بنظرة سطحية، وقد تنزلوا بمقام الإمام إلى مستوى الحاكم الديني، ومن ثم إلى مجرد العالم والمجتهد الذي يجوز عليه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الإمامية فقد استلهموا من آيات القرآن الكريم، من قبيل الآية </w:t>
      </w:r>
      <w:bookmarkStart w:id="890" w:name="pg15658_147338"/>
    </w:p>
    <w:p>
      <w:pPr>
        <w:pStyle w:val="BookText"/>
        <w:rPr/>
      </w:pPr>
      <w:bookmarkEnd w:id="890"/>
      <w:r>
        <w:rPr>
          <w:rFonts w:ascii="IRNazanin" w:hAnsi="IRNazanin" w:eastAsia="IRNazanin"/>
          <w:color w:val="111111"/>
          <w:sz w:val="28"/>
          <w:sz w:val="28"/>
          <w:szCs w:val="28"/>
          <w:rtl w:val="true"/>
          <w:lang w:bidi="fa-IR"/>
        </w:rPr>
        <w:t>التي تثبت رفع الله سبحانه للنبي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مستوى الإمامة بعد أن أعطاه النبوة</w:t>
      </w:r>
      <w:r>
        <w:rPr>
          <w:rStyle w:val="FootnoteAnchor"/>
          <w:rtl w:val="true"/>
        </w:rPr>
        <w:footnoteReference w:id="983"/>
      </w:r>
      <w:r>
        <w:rPr>
          <w:rFonts w:ascii="IRNazanin" w:hAnsi="IRNazanin" w:eastAsia="IRNazanin"/>
          <w:color w:val="111111"/>
          <w:sz w:val="28"/>
          <w:sz w:val="28"/>
          <w:szCs w:val="28"/>
          <w:rtl w:val="true"/>
          <w:lang w:bidi="fa-IR"/>
        </w:rPr>
        <w:t>،ليجعلوا شأن الإمامة مساوياً لشأن النبوّة أو أعلى منها، ولمّا كان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انتخبوا لمنصب الإمامة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سيكونون قد تحلوا بالضرورة بصفات الإمام وحالاته، هذا فضلاً عن أن الروايات النبوية قد صرحت بالصفات العليا للإمام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والعلم اللدني أيضاً</w:t>
      </w:r>
      <w:r>
        <w:rPr>
          <w:rFonts w:eastAsia="IRNazanin" w:cs="IRNazanin"/>
          <w:color w:val="111111"/>
          <w:sz w:val="28"/>
          <w:szCs w:val="28"/>
          <w:rtl w:val="true"/>
          <w:lang w:bidi="fa-IR"/>
        </w:rPr>
        <w:t>.</w:t>
      </w:r>
    </w:p>
    <w:p>
      <w:pPr>
        <w:pStyle w:val="Heading4"/>
        <w:numPr>
          <w:ilvl w:val="3"/>
          <w:numId w:val="1"/>
        </w:numPr>
        <w:rPr/>
      </w:pPr>
      <w:bookmarkStart w:id="891" w:name="__RefHeading___Toc11030853_2142443653"/>
      <w:bookmarkStart w:id="892" w:name="_Toc322"/>
      <w:bookmarkEnd w:id="891"/>
      <w:r>
        <w:rPr>
          <w:rtl w:val="true"/>
        </w:rPr>
        <w:t xml:space="preserve">ب </w:t>
      </w:r>
      <w:r>
        <w:rPr>
          <w:rtl w:val="true"/>
        </w:rPr>
        <w:t xml:space="preserve">- </w:t>
      </w:r>
      <w:r>
        <w:rPr>
          <w:rtl w:val="true"/>
        </w:rPr>
        <w:t>مخالفة الروايات</w:t>
      </w:r>
      <w:r>
        <w:rPr>
          <w:rtl w:val="true"/>
        </w:rPr>
        <w:t>:</w:t>
      </w:r>
      <w:bookmarkEnd w:id="892"/>
    </w:p>
    <w:p>
      <w:pPr>
        <w:pStyle w:val="BookText"/>
        <w:rPr/>
      </w:pPr>
      <w:r>
        <w:rPr>
          <w:rFonts w:ascii="Amiri" w:hAnsi="Amiri" w:eastAsia="Amiri" w:cs="Amiri"/>
          <w:color w:val="111111"/>
          <w:sz w:val="28"/>
          <w:sz w:val="28"/>
          <w:szCs w:val="28"/>
          <w:rtl w:val="true"/>
          <w:lang w:bidi="ar-SA"/>
        </w:rPr>
        <w:t>ربما أمكن القول هنا إن لازم ما تقدّم من القول بالتنزل بمقام الإمامة إلى مستوى الفرد العادي، هو ما يدعيه المنكرون ويلتزمون به، وفي هذه الحالة يرد إشكال آخر على هذه الشبهة، وهو أنه لا بد من تحديد المعيار والملاك في تعريف الإمام والإمامة والشرائط والصفات الداخلة والمؤثرة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يمكن لكل شخص أن يعرف الإمام وصفاته وينكر الصفات الأخرى كما يحلو له؟</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لأصحاب هذه الشبهة والمخالفين لصفات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اللدني 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في تعريف الإمام والإمامة يجب أن نرجع إما إلى القرآن والروايات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أو أن نتعرف على حقيقة الإمامة من خلال توظيفنا للتحليل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إلى كشف حقيقة الإمام والإمامة من خلال مقام النقل أو العقل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دخلنا من قناة العقل، فقد ذكرنا في الفصل الأول في معرض الحديث عن فلسفة الإمامة أن المجتمع الإسلامي بحاجة ماسة ومبرمة لإمام يتمتع بصفات العصمة والعلم اللدني في عصر ما بعد رحيل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كيما تواصل شجرة الإسلام الفتية نموها وتقدمها وازدهارها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هناك بعض التوضيحات في نقد شبهة أفضلية الإمامة على النبوة في 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مفصلاً في الصفحات السابقة أن علم الغيب من لوازم الولاية الباطنية والعصمة وكون الإمام حجة 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أردنا بحث اعتبار الصفات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اللدني والعصمة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من خلال النقل، فيجب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لحسن الحظ كثير من الروايات الواردة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بعدم ورود هذه الصفات في النصوص الروائية،</w:t>
      </w:r>
    </w:p>
    <w:p>
      <w:pPr>
        <w:pStyle w:val="BookText"/>
        <w:rPr/>
      </w:pPr>
      <w:r>
        <w:rPr>
          <w:rFonts w:ascii="Amiri" w:hAnsi="Amiri" w:eastAsia="Amiri" w:cs="Amiri"/>
          <w:color w:val="111111"/>
          <w:sz w:val="28"/>
          <w:sz w:val="28"/>
          <w:szCs w:val="28"/>
          <w:rtl w:val="true"/>
          <w:lang w:bidi="ar-SA"/>
        </w:rPr>
        <w:t xml:space="preserve">والقول بأنها من مبتدعات المتكلمين فى القرن الهجري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الصفحات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عن الجهل والغفلة عن الروايات، وفيما يأتي نشير إلى بعض الروايات الواردة في هذا المعنى على سبيل التمثيل دون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زين العابدين وسيد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مطولة يثبت فيها الصفات الاستثنائية والخاصة بالإمامة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أئمة</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المسلمين، وحجج الله على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على الأرض إلا بإذنه، وبنا يمسك الأرض أن تميد بأهلها، وبنا ينزل الغيث، وبنا ينشر الرحمة، ويخرج بركات الأرض، ولولا ما في الأرض منا لساخت بأهلها</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تعريف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المخصوص بالعلم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واحد دهره لا يدانيه أحد، ولا يعادله عالم، ولا يوجد منه بدل ولا مثل ولا نظير مخصوص بالفضل كله من غير طلب منه له ولا اكتساب، بل اختصاص من المفضل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عالم لا يجهل، وأودع قلبه ينابيع الحكمه وألهمه العلم إلهاماً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الرواية بصدد التعريف والتشريح الدقيق والتخصصي لحقيقة الإمام وماهيّته ومقام الإمامة، وقد تم التصريح في مستهل الرواية أن الإمامة من حيث علوّ شانها ومنزلتها أكبر وأجلّ من أن تدرك كنهها وحقيقتها عقول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الإمام في هذه الرواية علم الإمام بأنه علم خاص ليس له نظير، بل لا يمكن لأيّ عالم أن يقترب أو يدنو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الإمام لا يتطرق إليه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علم الإمام إن هو إلا تفضّل من الله اختص به الأئمة وألهمه إليهم إلهاماً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هل يمكن القول بعد هذا أن الأئمة لم يستخدموا الصفات الميتافيزيقية وما فوق البشرية في وصف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القول بأن علم الإمام هو مثل سائر العلوم الاعتيادية، وإن الإمام واحد من بين سائر العلماء الآخرين، غاية ما هنالك أنه أعلمهم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الكلام حري بأن يصدر من محقق؟ وهل هو ينسجم مع منزلة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نهج البلاغة في خصوص أخذ الله العهد من العلماء والذي يقول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وَالَّذِي فَلَقَ الحَبَّةَ ، وَبَرَأَ النَّسَمَةَ ، لَوْلاَ حُضُورُ </w:t>
      </w:r>
    </w:p>
    <w:p>
      <w:pPr>
        <w:pStyle w:val="BookText"/>
        <w:rPr/>
      </w:pPr>
      <w:r>
        <w:rPr>
          <w:rFonts w:ascii="Amiri" w:hAnsi="Amiri" w:eastAsia="Amiri" w:cs="Amiri"/>
          <w:color w:val="111111"/>
          <w:sz w:val="28"/>
          <w:sz w:val="28"/>
          <w:szCs w:val="28"/>
          <w:rtl w:val="true"/>
          <w:lang w:bidi="ar-SA"/>
        </w:rPr>
        <w:t>الْحَاضِرِ ، وَقِيَامُ الْحُجَّةِ بِوُجُودِ النَّاصِرِ ، وَمَا أَخَذَ اللَّهُ عَلَى العُلَمَاءِ أَلأَيْقَارُوا عَلَى كِظَلَّةِ ظَالِمٍ، وَلا سَغَبِ مَظْلُوم</w:t>
      </w:r>
      <w:r>
        <w:rPr>
          <w:rFonts w:eastAsia="Amiri" w:cs="Amiri" w:ascii="Amiri" w:hAnsi="Amiri"/>
          <w:color w:val="111111"/>
          <w:sz w:val="28"/>
          <w:szCs w:val="28"/>
          <w:rtl w:val="true"/>
          <w:lang w:bidi="ar-SA"/>
        </w:rPr>
        <w:t>»</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وتطبيقه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فيجب القول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هنا بصدد بيان فلسفة القبول بتولي مقاليد الحكم، والقول بأن تولي السلطة والدفاع عن حقوق الجياع والوقوف مع المظلومين بوجه الظالمين، لا يقتصر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وإنما هو واجب على جميع العلماء،ولذلك لا يمكن الاستناد إلى هذا الكلام والقول بأن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بصدد تعريف الإمامة بالعلم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النوع من الاستدلال يذكرنا بالمثل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الغريق يتشبّث بكل حشيش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لنا أن نسأل صاحب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تجاهلت الروايات والنصوص الأخرى الواردة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والتي يذكر فيها الصفات الخارقة التي يتمتع بها والتي لا يمكن للإنسان الاعتيادي أن يتصف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حيث يشتكي من تجاهل الصحابة وأبناء عصره لمقام الإمامة وحقيقتها وأصلها الواردة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عَمِلَتِ الْوُلَاةُ قَبْلِي أَعْمَالَا خَالَفُوا فِيهَا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مُتَعَمِّدِينَ لخلافِهِ، نَاقِضِينَ لِعَهْدِهِ، مُغَيّرِينِ لِسُتَّهِ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النَّاسَ عَلَى تَرْكِهَا وَحَوَّلْتُهَا إِلَى مَوَاضِعِهَا وَإِلَى مَا كَانَتْ فِي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لَتَفَرَّقَ عَنِّي جُنْدِي حَتَّى أَبْقَى وَحْدِي أَوْ قَلِيلٌ مِنْ شِيعَتِيَ الَّذِينَ عَرَفُوا فَضْلِي وَفَرْضَ إِمَامَتِي مِنْ كِتَابِ الله عَزَّ وَجَلَّ وَسُنَّةِ رَسُولِ الله </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وعشرات بل مئات الروايات الأخرى التي تحدث فيها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893" w:name="pg15658_147342"/>
    </w:p>
    <w:p>
      <w:pPr>
        <w:pStyle w:val="BookText"/>
        <w:rPr/>
      </w:pPr>
      <w:bookmarkEnd w:id="893"/>
      <w:r>
        <w:rPr>
          <w:rFonts w:ascii="IRNazanin" w:hAnsi="IRNazanin" w:eastAsia="IRNazanin"/>
          <w:color w:val="111111"/>
          <w:sz w:val="28"/>
          <w:sz w:val="28"/>
          <w:szCs w:val="28"/>
          <w:rtl w:val="true"/>
          <w:lang w:bidi="fa-IR"/>
        </w:rPr>
        <w:t>عن خلقته الخاصة، واتحاد روحه بروح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تحدث فيها عن حقيقة أصل التنصيب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الانسجام مع فلسفة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نفينا العلم اللدنّي والإلهي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وتنزلنا بهم إلى مستوى العلماء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لا يتجاوز علمهم العلم البشري العادي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مثل هذه الرؤية إلى الإمامة سوف تمثل تجاهلاً لفلسفة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أشرنا في الفصل الأول بالتفصيل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بيان فلسفة الإمامة وتقريرها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شؤون مثل الهداية، والمرجعية الدينية، وتشريع الأحكام الفرعية، وتحقيق هذه الأمور رهن باتصاف الإمام وتمتعه بالعلم الإلهي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ولمزيد من التوضيح راجع الفصل الأول</w:t>
      </w:r>
      <w:r>
        <w:rPr>
          <w:rFonts w:eastAsia="IRNazanin" w:cs="IRNazanin"/>
          <w:color w:val="111111"/>
          <w:sz w:val="28"/>
          <w:szCs w:val="28"/>
          <w:rtl w:val="true"/>
          <w:lang w:bidi="fa-IR"/>
        </w:rPr>
        <w:t>.</w:t>
      </w:r>
    </w:p>
    <w:p>
      <w:pPr>
        <w:pStyle w:val="Heading3"/>
        <w:numPr>
          <w:ilvl w:val="2"/>
          <w:numId w:val="1"/>
        </w:numPr>
        <w:rPr/>
      </w:pPr>
      <w:bookmarkStart w:id="894" w:name="__RefHeading___Toc11030855_2142443653"/>
      <w:bookmarkStart w:id="895" w:name="_Toc323"/>
      <w:bookmarkEnd w:id="894"/>
      <w:r>
        <w:rPr>
          <w:rtl w:val="true"/>
        </w:rPr>
        <w:t>الشبهة الخامسة</w:t>
      </w:r>
      <w:r>
        <w:rPr>
          <w:rtl w:val="true"/>
        </w:rPr>
        <w:t xml:space="preserve">: </w:t>
      </w:r>
      <w:r>
        <w:rPr>
          <w:rtl w:val="true"/>
        </w:rPr>
        <w:t>عدم انسجام علم الغيب مع بعض أفعال الأئمة الأطهار</w:t>
      </w:r>
      <w:r>
        <w:rPr>
          <w:rtl w:val="true"/>
        </w:rPr>
        <w:t>(</w:t>
      </w:r>
      <w:r>
        <w:rPr>
          <w:rtl w:val="true"/>
        </w:rPr>
        <w:t>علیهم السّلام</w:t>
      </w:r>
      <w:r>
        <w:rPr>
          <w:rtl w:val="true"/>
        </w:rPr>
        <w:t>):</w:t>
      </w:r>
      <w:bookmarkEnd w:id="895"/>
    </w:p>
    <w:p>
      <w:pPr>
        <w:pStyle w:val="Heading4"/>
        <w:numPr>
          <w:ilvl w:val="3"/>
          <w:numId w:val="1"/>
        </w:numPr>
        <w:rPr/>
      </w:pPr>
      <w:bookmarkStart w:id="896" w:name="__RefHeading___Toc11030857_2142443653"/>
      <w:bookmarkStart w:id="897" w:name="_Toc324"/>
      <w:bookmarkEnd w:id="896"/>
      <w:r>
        <w:rPr>
          <w:rtl w:val="true"/>
        </w:rPr>
        <w:t>اشارة</w:t>
      </w:r>
      <w:bookmarkEnd w:id="897"/>
    </w:p>
    <w:p>
      <w:pPr>
        <w:pStyle w:val="BookText"/>
        <w:rPr/>
      </w:pPr>
      <w:r>
        <w:rPr>
          <w:rFonts w:ascii="IRNazanin" w:hAnsi="IRNazanin" w:eastAsia="IRNazanin"/>
          <w:color w:val="111111"/>
          <w:sz w:val="28"/>
          <w:sz w:val="28"/>
          <w:szCs w:val="28"/>
          <w:rtl w:val="true"/>
          <w:lang w:bidi="fa-IR"/>
        </w:rPr>
        <w:t>لو قلنا بالصفات ما فوق البشرية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بالغيب في جميع الأمور وجزئيات الأحداث في الماضي والمستقبل، فإننا سنواجه عجزاً في تبرير وتفسير بعض أفعال وأعمال الأئمة الأطهار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توجّه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مسجد الكوفة، مع أن الفرض يقضي بأنه يجب أن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طريق علم 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سيتعرض لعملية اغتيال سينفذها ابن ملجم المرادي</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الأمر بالنسبة إلى إرسال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سفيره مسلم بن عقيل إلى الكوفة، وكذلك خروجه إلى كربلاء رغم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الفرض </w:t>
      </w:r>
      <w:r>
        <w:rPr>
          <w:rFonts w:eastAsia="IRNazanin" w:cs="IRNazanin"/>
          <w:color w:val="111111"/>
          <w:sz w:val="28"/>
          <w:szCs w:val="28"/>
          <w:rtl w:val="true"/>
          <w:lang w:bidi="fa-IR"/>
        </w:rPr>
        <w:t xml:space="preserve">- </w:t>
      </w:r>
      <w:bookmarkStart w:id="898" w:name="pg15658_147343"/>
    </w:p>
    <w:p>
      <w:pPr>
        <w:pStyle w:val="BookText"/>
        <w:rPr/>
      </w:pPr>
      <w:bookmarkEnd w:id="898"/>
      <w:r>
        <w:rPr>
          <w:rFonts w:ascii="Amiri" w:hAnsi="Amiri" w:eastAsia="Amiri" w:cs="Amiri"/>
          <w:color w:val="111111"/>
          <w:sz w:val="28"/>
          <w:sz w:val="28"/>
          <w:szCs w:val="28"/>
          <w:rtl w:val="true"/>
          <w:lang w:bidi="ar-SA"/>
        </w:rPr>
        <w:t>أن ذلك سيقوده وسيقود ابن عمه إلى القتل والشهادة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سنخ هذه الشبهة شبهة تناول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للسم، وقد كان أكثرهم قد تمت تصفيته من قبل الخلفاء بدس السم إليهم في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بحث موضوع علم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 في حد ذاته يحتاج إلى كتاب مستقل، ولكننا سنكتفي هنا بذكر بعض الأمور باختصار لغرض الإجابة عن هذه الشبهة</w:t>
      </w:r>
      <w:r>
        <w:rPr>
          <w:rFonts w:eastAsia="IRNazanin" w:cs="IRNazanin"/>
          <w:color w:val="111111"/>
          <w:sz w:val="28"/>
          <w:szCs w:val="28"/>
          <w:rtl w:val="true"/>
          <w:lang w:bidi="fa-IR"/>
        </w:rPr>
        <w:t>:</w:t>
      </w:r>
    </w:p>
    <w:p>
      <w:pPr>
        <w:pStyle w:val="Heading4"/>
        <w:numPr>
          <w:ilvl w:val="3"/>
          <w:numId w:val="1"/>
        </w:numPr>
        <w:rPr/>
      </w:pPr>
      <w:bookmarkStart w:id="899" w:name="__RefHeading___Toc11030859_2142443653"/>
      <w:bookmarkStart w:id="900" w:name="_Toc325"/>
      <w:bookmarkEnd w:id="899"/>
      <w:r>
        <w:rPr>
          <w:rtl w:val="true"/>
        </w:rPr>
        <w:t xml:space="preserve">أ </w:t>
      </w:r>
      <w:r>
        <w:rPr>
          <w:rtl w:val="true"/>
        </w:rPr>
        <w:t xml:space="preserve">- </w:t>
      </w:r>
      <w:r>
        <w:rPr>
          <w:rtl w:val="true"/>
        </w:rPr>
        <w:t>الآراء المختلفة بشأن علم الإمام بالغيب</w:t>
      </w:r>
      <w:r>
        <w:rPr>
          <w:rtl w:val="true"/>
        </w:rPr>
        <w:t>:</w:t>
      </w:r>
      <w:bookmarkEnd w:id="900"/>
    </w:p>
    <w:p>
      <w:pPr>
        <w:pStyle w:val="BookText"/>
        <w:rPr/>
      </w:pPr>
      <w:r>
        <w:rPr>
          <w:rFonts w:ascii="Amiri" w:hAnsi="Amiri" w:eastAsia="Amiri" w:cs="Amiri"/>
          <w:color w:val="111111"/>
          <w:sz w:val="28"/>
          <w:sz w:val="28"/>
          <w:szCs w:val="28"/>
          <w:rtl w:val="true"/>
          <w:lang w:bidi="ar-SA"/>
        </w:rPr>
        <w:t>تقدّم أن أشرنا إلى أن الشيعة يذهبون إلى اعتبار أصل علم الإمام بالغيب شرطا في الإمام في الجملة وليس بالجملة، ولكن هل الأئمة بالإضافة إلى الأحكام والتعاليم الدينية يعلمون بالغيب في كل ما يتعلق بأمور العالم الأعم من الماضي والمستقبل، وذلك بشكل مطلق وعام وبجميع الأمور الجزئية والكلية وعلى نحو فعلي؟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العلم ليس شرطاً في تحقق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علماء الإمامية رفضوا ذلك، وأضافوا له بعض القيود، و حاصل ذلك تعدد الآراء والأقوال في هذا الشأن، ويمكن بيان هذه الأقوال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الغيب المطلق والفعلي بلوح المحو والإثبات واللوح المحفوظ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الغيب المطلق والفعلي بلوح المحو والإثبات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الإمام بالغيب منوط بطلبه من الله</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توقف علم الأئمة بجزئيات الأمور إلى الأئمة الأطهار </w:t>
      </w:r>
      <w:bookmarkStart w:id="901" w:name="pg15658_147344"/>
    </w:p>
    <w:p>
      <w:pPr>
        <w:pStyle w:val="BookText"/>
        <w:rPr/>
      </w:pPr>
      <w:bookmarkEnd w:id="901"/>
      <w:r>
        <w:rPr>
          <w:rFonts w:ascii="IRNazanin" w:hAnsi="IRNazanin" w:eastAsia="IRNazanin"/>
          <w:color w:val="111111"/>
          <w:sz w:val="28"/>
          <w:sz w:val="28"/>
          <w:szCs w:val="28"/>
          <w:rtl w:val="true"/>
          <w:lang w:bidi="fa-IR"/>
        </w:rPr>
        <w:t>أنفسهم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طرح أصل الشبهة بناء على القول بالرأي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الرأي الثالث، فإن الإمام لا يعلم بأحداث الماضي والمستقبل بالفعل، وإنما تنفتح عليهم أبواب العلم بالغيب من خلال طلبهم ذلك من الله واستجابة الله لهم، وليس من اللازم أن يطلب الأئمة علماً إلهياً خاصاً لكل أمر ، ومن هنا يُحتمل أن تكون الموارد المذكورة في الشبهة هي من الأمور التي لم يطلب الأئمة علمها من الله، وبذلك يرتفع أصل الإشكال</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1030861_2142443653"/>
      <w:bookmarkStart w:id="903" w:name="_Toc326"/>
      <w:bookmarkEnd w:id="902"/>
      <w:r>
        <w:rPr>
          <w:rtl w:val="true"/>
        </w:rPr>
        <w:t xml:space="preserve">ب </w:t>
      </w:r>
      <w:r>
        <w:rPr>
          <w:rtl w:val="true"/>
        </w:rPr>
        <w:t xml:space="preserve">- </w:t>
      </w:r>
      <w:r>
        <w:rPr>
          <w:rtl w:val="true"/>
        </w:rPr>
        <w:t>محاذير العمل بعلم الغيب</w:t>
      </w:r>
      <w:r>
        <w:rPr>
          <w:rtl w:val="true"/>
        </w:rPr>
        <w:t>:</w:t>
      </w:r>
      <w:bookmarkEnd w:id="903"/>
    </w:p>
    <w:p>
      <w:pPr>
        <w:pStyle w:val="BookText"/>
        <w:rPr/>
      </w:pPr>
      <w:r>
        <w:rPr>
          <w:rFonts w:ascii="IRNazanin" w:hAnsi="IRNazanin" w:eastAsia="IRNazanin"/>
          <w:color w:val="111111"/>
          <w:sz w:val="28"/>
          <w:sz w:val="28"/>
          <w:szCs w:val="28"/>
          <w:rtl w:val="true"/>
          <w:lang w:bidi="fa-IR"/>
        </w:rPr>
        <w:t>على الرغم من علم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 وأحداث وأعمال الناس وتصرفاتهم، كان الأئمة مكلفين بالعمل على طبق علمهم الظاهري والعادي، وإلا لزم من ذلك اختلال الأمور، وفيما يأتي نشير إلى بعض المحاذير المترتبة على عمل الأئمة على طبق علمهم بالغيب</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لزم ترتيب الآثار على علم الأئمة بالغيب، وخاصة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تمكن من ممارسة الحكم، للزم من ذلك أن يُبادر الإمام في الحد الأدنى إلى أن يزج في السجن كل من علم بأنه سوف يقترف اليوم أو في المستقبل جريمة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السرقة أو الزنا أو القتل وما إلى ذلك، وذلك للحيلولة دون وقوع الجرم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هذه الصورة كان يتعين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يزج كثيراً من الناس في السجن على أمور لم يرتكبوها بعد، ولا يخفى ما في ذلك </w:t>
      </w:r>
    </w:p>
    <w:p>
      <w:pPr>
        <w:pStyle w:val="BookText"/>
        <w:rPr/>
      </w:pPr>
      <w:r>
        <w:rPr>
          <w:rFonts w:ascii="Amiri" w:hAnsi="Amiri" w:eastAsia="Amiri" w:cs="Amiri"/>
          <w:color w:val="111111"/>
          <w:sz w:val="28"/>
          <w:sz w:val="28"/>
          <w:szCs w:val="28"/>
          <w:rtl w:val="true"/>
          <w:lang w:bidi="ar-SA"/>
        </w:rPr>
        <w:t>من المحاذير المضرة بالمجتمع والحكومة والسلطة الدينية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بهذا النوع من ترتيب الآثار على علم الأئمة بالغيب يتمّ طرح سؤال جديد، وهو أيّ الأفراد الذين سيرتكبون المعصية في المستقبل سيتم حبسهم؟ هل أولئك الذين سيركتبون الجرم غداً، فيتم إلقاء القبض عليهم اليوم؟ أم حيث أن علم الإمام بالغيب مطلق ويشمل حتى آخر يوم من حياة الأفراد، يتم القبض على جميع الذين سيرتكبون الذنوب حتى بعد خمسين سنة؟ فهل يمكن تصور إمكان هاتين الفرضيتين؟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النوع من المواجهة مع المذنبين والعصاة، ينافي أصل القول باختيار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بلوغ الإنسان مقام الخلافة الإلهية إنما يتم من خلال الابتعاد عن الذنوب واجتناب المعاصي عن حرية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الفرض المذكور فإن الناس سيبتعدون عن ارتكاب الذنوب بسبب علم الإمام بالغيب وما ينتظرهم من العقوبة المعجّلة، ومثل هذا الأمر لا يستحق عليه الإنسان أن يكون خليفة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مثل هذا التعامل مع من يفترض فيه علم الإمام بأنه سيقترف الذنب، قد يحمله على الاعتراض والقول إنه ربما ندم في المستقبل على ما اقترفت يداه وأنه سيتوب إلى الله توبة نصوحاً، ولا يمكن لعلم الإمام الغيبي أن يكون مقنعاً بالنسبة له في الحد الأدنى</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معاقبة المذنبين سيشمل الاعتياديين من الناس والأصحاب المقربين وحتى المسؤولين في سلك الدولة، وفي هذه الحال فإن انكشاف أمرهم وفضحهم وزجهم في السجون سيضعف جبهة الإمام والمسؤولين في حكومته الدينية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والمشكلة الأخرى تكمن فيما يتعلق بأولئك الذين ارتكبوا المعاصي والذنوب في السابق، فيلزم من ذلك أن يعمل الإمام على حبس أعداد غفيرة من الناس ومعاقبتهم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يضاف إلى المشاكل والمحاذير السابقة المذنبين الذين يسكنون في المدن النائية، فكيف للإمام والحاكم الدينى أن يجمعهم ويسجنهم؟ فعلى سبيل المثال هل يعمد الإمام إلى إعداد قائمة في كل يوم بأسماء الذين سيقترفون الذنوب غداً ويرسلها إلى جميع عماله في الأمصار ليقوموا بإلقاء القبض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أن تتضمن القائمة عناوينهم الدقيقة كي لا يفلت منهم أحداً؟ إذا كان الأمر كذلك، سوف لا يكون لدى الإمام من مهام سوى إعداد هذه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ذلك عملياً؟ أليس للإمام من شأن ومنزلة غير الإنشغال بهذه السفاسف؟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على الإمام أن يرتب الآثار فيما يتعلق بعلمه بالغيب على الأمور الخاصة به فقط، كأن يسارع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إلقاء القبض على قاتله عبد الرحمن بن ملجم، فلا بد من القول في هذا 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لابن ملجم أن ينكر إضماره هذه النية الغاشمة</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اعتقال شخص لمجرد الاستناد إلى علم الإمام بالغيب؟ فإذا كان الجواب بالإيجاب، فما هي المدة التي يجب أن يقضيها في السجن؟ في المحاكم الاعتيادية حيث لا يكون هناك علم بما يضمره المرء في خبيئته، يتم الحكم عليه لفترة من الزمن ثم يُطلق سراحه، أما بالنسبة إلى الإمام حيث يقوم الفرض على أنه يعلم الغيب ويعلم بالنوايا الفاسدة التي تنطوي عليها صدور الناس، ويعلم عدم توبة أمثال ابن ملجم، فعليه أن يسجن كثيراً من الناس </w:t>
      </w:r>
      <w:bookmarkStart w:id="904" w:name="pg15658_147347"/>
    </w:p>
    <w:p>
      <w:pPr>
        <w:pStyle w:val="BookText"/>
        <w:rPr/>
      </w:pPr>
      <w:bookmarkEnd w:id="904"/>
      <w:r>
        <w:rPr>
          <w:rFonts w:ascii="Amiri" w:hAnsi="Amiri" w:eastAsia="Amiri" w:cs="Amiri"/>
          <w:color w:val="111111"/>
          <w:sz w:val="28"/>
          <w:sz w:val="28"/>
          <w:szCs w:val="28"/>
          <w:rtl w:val="true"/>
          <w:lang w:bidi="ar-SA"/>
        </w:rPr>
        <w:t>ويحكم عليهم بالحبس المؤبد؟ وعلاوة على الشخص المنفذ نفسه ألا يجب اعتقال المتواطئين معه وقدموا له المساعدة لتحقيق غايته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للمعتقل أو المعتقلين أن يدعوا احتمال توبتهم، وعدم قيامهم بما كانوا بصدد القيام به في اللحظة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هل يمكن عندها هل يصح التمسك بعلم الغيب دليلاً دامغاً لإدانة المتهمين في المحاكم القضائية، وهل يمكن اعتماد هذا الدليل للحكم عليهم بالقصاص أو الحبس المؤبد أو المؤقت؟</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القاتل، هل يجب على الإمام أن يُلقي القبض على الذين يسعون أو يهمون بإلحاق أنواع الضرر بالإمام،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في الحرب، والاتهام وأنواع الإيذاء الأخرى أيضاً؟ عندها سيكون عدد المعتقلين كثيراً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اقتصر الإمام على معاقبة الخاطئين بحقه الخاص والشخصي فقط استناداً لعلمه الغيبي، عندها يحق للمجتمع أن يعترض على الإمام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المحاباة، إذ تعاقب من يضمرون السوء لك، ولا تعاقب الذين يضمرون الشرِّ للأمة وابنائها والذين يعبثون بقوت الناس وبيت المال؟</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030863_2142443653"/>
      <w:bookmarkStart w:id="906" w:name="_Toc327"/>
      <w:bookmarkEnd w:id="905"/>
      <w:r>
        <w:rPr>
          <w:rtl w:val="true"/>
        </w:rPr>
        <w:t>شبهة علم الإمام الحسين</w:t>
      </w:r>
      <w:r>
        <w:rPr>
          <w:rtl w:val="true"/>
        </w:rPr>
        <w:t>(</w:t>
      </w:r>
      <w:r>
        <w:rPr>
          <w:rtl w:val="true"/>
        </w:rPr>
        <w:t>علیه السّلام</w:t>
      </w:r>
      <w:r>
        <w:rPr>
          <w:rtl w:val="true"/>
        </w:rPr>
        <w:t>)</w:t>
      </w:r>
      <w:r>
        <w:rPr>
          <w:rtl w:val="true"/>
        </w:rPr>
        <w:t>بالغيب</w:t>
      </w:r>
      <w:r>
        <w:rPr>
          <w:rtl w:val="true"/>
        </w:rPr>
        <w:t>:</w:t>
      </w:r>
      <w:bookmarkEnd w:id="906"/>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يتعلق بإرسال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سفيره مسلم بن عقيل إلى الكوفة، وتوجهه شخصيّاً إلى كربلاء،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مأموراً بالعمل بحسب العلم الظاهري، ولم يكن بإمكانه تجنّب إرسال مسلم أو يمتنع عن التوجه إلى كربلاء استناداً إلى علم الغيب؛ إذ إنّ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 هذه الحالة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يسجلون موقفهم وشهادتهم للتاريخ بأنهم رغم استعدادهم </w:t>
      </w:r>
      <w:bookmarkStart w:id="907" w:name="pg15658_147348"/>
    </w:p>
    <w:p>
      <w:pPr>
        <w:pStyle w:val="BookText"/>
        <w:rPr/>
      </w:pPr>
      <w:bookmarkEnd w:id="907"/>
      <w:r>
        <w:rPr>
          <w:rFonts w:ascii="Amiri" w:hAnsi="Amiri" w:eastAsia="Amiri" w:cs="Amiri"/>
          <w:color w:val="111111"/>
          <w:sz w:val="28"/>
          <w:sz w:val="28"/>
          <w:szCs w:val="28"/>
          <w:rtl w:val="true"/>
          <w:lang w:bidi="ar-SA"/>
        </w:rPr>
        <w:t xml:space="preserve">لإقامة الحكومة الدينية وإرسال الرسائل والكتب العديدة إلى الإمام الحسين بهذا الشأن للقدوم إليهم وتولي قيادة ثورتهم، إلا أنه لم يستجب لدعوتهم وندائهم، وسوف يُتهم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خاف على نفسه وعلى أسرته؟</w:t>
      </w:r>
    </w:p>
    <w:p>
      <w:pPr>
        <w:pStyle w:val="BookText"/>
        <w:rPr/>
      </w:pPr>
      <w:r>
        <w:rPr>
          <w:rFonts w:ascii="IRNazanin" w:hAnsi="IRNazanin" w:eastAsia="IRNazanin"/>
          <w:color w:val="111111"/>
          <w:sz w:val="28"/>
          <w:sz w:val="28"/>
          <w:szCs w:val="28"/>
          <w:rtl w:val="true"/>
          <w:lang w:bidi="fa-IR"/>
        </w:rPr>
        <w:t>في حالة ترتيب الآثار على علم الغيب سيعمد المؤرخون من أهل السنة وغير المسلمين من الذين لا يعترفون بعلم الغيب للإمام، سيرسمون صورة سلبية عن الإمام، ولما تم الحصول على كل النتائج والآثار المباركة لثورة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فقد أدرك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مصلحته ومصلحة المجتمع تكمن في عدم ترتيب الآثار على علمه بالغيب</w:t>
      </w:r>
      <w:r>
        <w:rPr>
          <w:rFonts w:eastAsia="IRNazanin" w:cs="IRNazanin"/>
          <w:color w:val="111111"/>
          <w:sz w:val="28"/>
          <w:szCs w:val="28"/>
          <w:rtl w:val="true"/>
          <w:lang w:bidi="fa-IR"/>
        </w:rPr>
        <w:t>.</w:t>
      </w:r>
    </w:p>
    <w:p>
      <w:pPr>
        <w:pStyle w:val="Heading4"/>
        <w:numPr>
          <w:ilvl w:val="3"/>
          <w:numId w:val="1"/>
        </w:numPr>
        <w:rPr/>
      </w:pPr>
      <w:bookmarkStart w:id="908" w:name="__RefHeading___Toc11030865_2142443653"/>
      <w:bookmarkStart w:id="909" w:name="_Toc328"/>
      <w:bookmarkEnd w:id="908"/>
      <w:r>
        <w:rPr>
          <w:rtl w:val="true"/>
        </w:rPr>
        <w:t>تناول الأئمة</w:t>
      </w:r>
      <w:r>
        <w:rPr>
          <w:rtl w:val="true"/>
        </w:rPr>
        <w:t>(</w:t>
      </w:r>
      <w:r>
        <w:rPr>
          <w:rtl w:val="true"/>
        </w:rPr>
        <w:t>علیهم السّلام</w:t>
      </w:r>
      <w:r>
        <w:rPr>
          <w:rtl w:val="true"/>
        </w:rPr>
        <w:t>)</w:t>
      </w:r>
      <w:r>
        <w:rPr>
          <w:rtl w:val="true"/>
        </w:rPr>
        <w:t>للسم</w:t>
      </w:r>
      <w:r>
        <w:rPr>
          <w:rtl w:val="true"/>
        </w:rPr>
        <w:t>:</w:t>
      </w:r>
      <w:bookmarkEnd w:id="909"/>
    </w:p>
    <w:p>
      <w:pPr>
        <w:pStyle w:val="BookText"/>
        <w:rPr/>
      </w:pPr>
      <w:r>
        <w:rPr>
          <w:rFonts w:ascii="Amiri" w:hAnsi="Amiri" w:eastAsia="Amiri" w:cs="Amiri"/>
          <w:color w:val="111111"/>
          <w:sz w:val="28"/>
          <w:sz w:val="28"/>
          <w:szCs w:val="28"/>
          <w:rtl w:val="true"/>
          <w:lang w:bidi="ar-SA"/>
        </w:rPr>
        <w:t>وأما فيما يتعلق بشبهة تناول الإمام للطعام المسموم، فيجب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رغم علمه بكون الطعام مسموماً، ولكنه حيث كان مكرهاً على تناوله، لم يكن له بد من تناوله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أنه لو أصرّ على عدم تناول السم، فإن الخليفة والحاكم كان يقتله بطريقة أخرى، فرأى الإمام أن المصلحة في أن يكون استشهاده بتناول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السرّ في ذلك خافياً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أمكن القول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اختيار الإمام هذه الطريقة لاغتياله من قبل الحاكم، لأنها تنطوي على شيء من التكتم، وعدم افتضاح أمر الحاكم وجريمته النكراء، ولما كان الحاكم إنما يختار هذه الطريقة في التخلّص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سوف يستمر في الحفاظ على الشكليات الظاهرية، فلا يتعرّض لأتباعه وأسرته، بمن فيهم ابن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910" w:name="pg15658_147349"/>
    </w:p>
    <w:p>
      <w:pPr>
        <w:pStyle w:val="BookText"/>
        <w:rPr/>
      </w:pPr>
      <w:bookmarkEnd w:id="910"/>
      <w:r>
        <w:rPr>
          <w:rFonts w:ascii="Amiri" w:hAnsi="Amiri" w:eastAsia="Amiri" w:cs="Amiri"/>
          <w:color w:val="111111"/>
          <w:sz w:val="28"/>
          <w:sz w:val="28"/>
          <w:szCs w:val="28"/>
          <w:rtl w:val="true"/>
          <w:lang w:bidi="ar-SA"/>
        </w:rPr>
        <w:t xml:space="preserve">الذي سيتولى مقاليد الإمامة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ويوفر لهم الحماية، أو أن لا يظهر العداء لهم علناً 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يوفر الأرضية المناسبة لاستمرار حياة الشيعة في الوسط المخالف</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1030867_2142443653"/>
      <w:bookmarkStart w:id="912" w:name="_Toc329"/>
      <w:bookmarkEnd w:id="911"/>
      <w:r>
        <w:rPr>
          <w:rtl w:val="true"/>
        </w:rPr>
        <w:t>حمل الاعتراف والأعمال المخالفة لعلم الغيب على العلم الظاهري</w:t>
      </w:r>
      <w:r>
        <w:rPr>
          <w:rtl w:val="true"/>
        </w:rPr>
        <w:t>:</w:t>
      </w:r>
      <w:bookmarkEnd w:id="912"/>
    </w:p>
    <w:p>
      <w:pPr>
        <w:pStyle w:val="BookText"/>
        <w:rPr/>
      </w:pPr>
      <w:r>
        <w:rPr>
          <w:rFonts w:ascii="IRNazanin" w:hAnsi="IRNazanin" w:eastAsia="IRNazanin"/>
          <w:color w:val="111111"/>
          <w:sz w:val="28"/>
          <w:sz w:val="28"/>
          <w:szCs w:val="28"/>
          <w:rtl w:val="true"/>
          <w:lang w:bidi="fa-IR"/>
        </w:rPr>
        <w:t>اتضح مما تقدم، كما تم التأكيد أيضاً على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يعملون بمقتضى علمهم الاعتيادي والظاهري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لو اعترف الأئمة أنفسهم في بعض الروايات بعدم علمهم بأمور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اختباء العدو </w:t>
      </w:r>
      <w:r>
        <w:rPr>
          <w:rStyle w:val="FootnoteAnchor"/>
          <w:rtl w:val="true"/>
        </w:rPr>
        <w:footnoteReference w:id="988"/>
      </w:r>
      <w:r>
        <w:rPr>
          <w:rFonts w:ascii="Amiri" w:hAnsi="Amiri" w:eastAsia="Amiri" w:cs="Amiri"/>
          <w:color w:val="111111"/>
          <w:sz w:val="28"/>
          <w:sz w:val="28"/>
          <w:szCs w:val="28"/>
          <w:rtl w:val="true"/>
          <w:lang w:bidi="ar-SA"/>
        </w:rPr>
        <w:t>، أو الموضع الذي أختبأت فيه الجارية</w:t>
      </w:r>
      <w:r>
        <w:rPr>
          <w:rStyle w:val="FootnoteAnchor"/>
          <w:rtl w:val="true"/>
        </w:rPr>
        <w:footnoteReference w:id="989"/>
      </w:r>
      <w:r>
        <w:rPr>
          <w:rFonts w:ascii="IRNazanin" w:hAnsi="IRNazanin" w:eastAsia="IRNazanin"/>
          <w:color w:val="111111"/>
          <w:sz w:val="28"/>
          <w:sz w:val="28"/>
          <w:szCs w:val="28"/>
          <w:rtl w:val="true"/>
          <w:lang w:bidi="fa-IR"/>
        </w:rPr>
        <w:t>، أو الاعتماد على صلاح الأشخاص بحسب الظاهر</w:t>
      </w:r>
      <w:r>
        <w:rPr>
          <w:rStyle w:val="FootnoteAnchor"/>
          <w:rtl w:val="true"/>
        </w:rPr>
        <w:footnoteReference w:id="990"/>
      </w:r>
      <w:r>
        <w:rPr>
          <w:rFonts w:ascii="Amiri" w:hAnsi="Amiri" w:eastAsia="Amiri" w:cs="Amiri"/>
          <w:color w:val="111111"/>
          <w:sz w:val="28"/>
          <w:sz w:val="28"/>
          <w:szCs w:val="28"/>
          <w:rtl w:val="true"/>
          <w:lang w:bidi="ar-SA"/>
        </w:rPr>
        <w:t>، أمكن تفسير ذلك وحمله على القاعدة السابقة، والقول بأن الأئمة فى هذه الموارد بصدد العمل على طبق علمهم الظاهري، وإن الأئمة طبقاً لعلمهم العادي والظاهري لم يكونوا يعلمون بموضع اختباء العدو أو الجارية أو معرفة الأشخاص على حقيقتهم، رغم علمهم بجميع ذلك بواسطة علمهم الغيبي</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تأس أييد هذا القول يمكن الإشارة إلى قضية إرسال أبي موسى الأشعري بوصفه حكماً وممثلاً من قبل الإمام علي في قضية التحكيم المشهورة بعد حرب صفين للتفاوض مع عمرو بن العاص، حيث تنبأ الإمام بأن عمراً سيخدعه،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به وقد 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قام أحد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ويدعى عبد </w:t>
      </w:r>
    </w:p>
    <w:p>
      <w:pPr>
        <w:pStyle w:val="BookText"/>
        <w:rPr/>
      </w:pPr>
      <w:r>
        <w:rPr>
          <w:rFonts w:ascii="Amiri" w:hAnsi="Amiri" w:eastAsia="Amiri" w:cs="Amiri"/>
          <w:color w:val="111111"/>
          <w:sz w:val="28"/>
          <w:sz w:val="28"/>
          <w:szCs w:val="28"/>
          <w:rtl w:val="true"/>
          <w:lang w:bidi="ar-SA"/>
        </w:rPr>
        <w:t>الله ابن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يستوعب عدم ترتيب الإمام لأثر علمه بالغيب؛ فسأل الإمام عن سبب إرساله أبي موسى الأشعري رغم علمه بأنه سينخدع، فأشار الإمام في جوابه إلى فلسفة إرسال الله سبحانه وتعالى للرسل والأنبياء والسفراء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رغم علمه الأزلي بأن قوم يونس وغيرهم من الأمم الأخرى مثلاً سوف لا يؤمنون وأنهم سيتعرضون للعذاب الدنيوي، إلا أنه مع ذلك لم يرتب الآثار على علمه الأزلي، وأرسل إليهم الرسل ليتم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 هذه الرواية على لسان ابن أبي رافع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أبي رافع قال حضرت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وجه أبا موسی الأشعري،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أحكم بكتاب الله ولا تجاوزه، فلما أدبر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وقد خدع،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فلم توجهه وأنت تعلم أنه مخدوع؟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لو عمل الله في خلقه بعلمه ما احتج عليهم بالرسل</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المؤيد الآخر نراه في الحديث الذي يُصرّح فيه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علمه بموضع اختباء 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سدير الصيرفي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قَامَ مِنْ تَجْلِسِهِ وَصَارَ فِي مَنْزِلِهِ دَخَلْتُ أَنا وَأَبُو بَصِيرٍ وَمُيَسِّر،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سَمِعْنَاكَ وَأَنتَ تَقُولُ كَذَا وَكَذَا فِي أَمْرِ جَارِيَتِكَ، وَنَحْنُ نَعْلَمُ أَنَّكَ تَعْلَمُ عِلْا كَثِيراً، وَلَا نَنْسُبُكَ إِلَى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 فِيمَا قَرَأْتَ مِنْ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Style w:val="FootnoteAnchor"/>
          <w:rtl w:val="true"/>
        </w:rPr>
        <w:footnoteReference w:id="992"/>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 الرَّجُلَ؟ وَهَلْ عَلِمْتَ مَا كَانَ عِنْدَهُ </w:t>
      </w:r>
      <w:bookmarkStart w:id="913" w:name="pg15658_147351"/>
    </w:p>
    <w:p>
      <w:pPr>
        <w:pStyle w:val="BookText"/>
        <w:rPr/>
      </w:pPr>
      <w:bookmarkEnd w:id="913"/>
      <w:r>
        <w:rPr>
          <w:rFonts w:ascii="Amiri" w:hAnsi="Amiri" w:eastAsia="Amiri" w:cs="Amiri"/>
          <w:color w:val="111111"/>
          <w:sz w:val="28"/>
          <w:sz w:val="28"/>
          <w:szCs w:val="28"/>
          <w:rtl w:val="true"/>
          <w:lang w:bidi="ar-SA"/>
        </w:rPr>
        <w:t>مِنْ عِلْمِ الْكِتَابِ؟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فِي الْبَحْرِ الْأَخْضَرِ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تتمة هذا الحديث أن إنكار الإمام لعلمه بالغيب في بداية الحديث كان بداعي رعاية مقتضى حال المخاطبين، وإلا فإن خاتمة الحديث سوف تتهافت مع بدايته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1030869_2142443653"/>
      <w:bookmarkStart w:id="915" w:name="_Toc330"/>
      <w:bookmarkEnd w:id="914"/>
      <w:r>
        <w:rPr>
          <w:rtl w:val="true"/>
        </w:rPr>
        <w:t>الشبهة السادسة</w:t>
      </w:r>
      <w:r>
        <w:rPr>
          <w:rtl w:val="true"/>
        </w:rPr>
        <w:t xml:space="preserve">: </w:t>
      </w:r>
      <w:r>
        <w:rPr>
          <w:rtl w:val="true"/>
        </w:rPr>
        <w:t>عدم توظيف الأئمة</w:t>
      </w:r>
      <w:r>
        <w:rPr>
          <w:rtl w:val="true"/>
        </w:rPr>
        <w:t>(</w:t>
      </w:r>
      <w:r>
        <w:rPr>
          <w:rtl w:val="true"/>
        </w:rPr>
        <w:t>علیهم السّلام</w:t>
      </w:r>
      <w:r>
        <w:rPr>
          <w:rtl w:val="true"/>
        </w:rPr>
        <w:t>)</w:t>
      </w:r>
      <w:r>
        <w:rPr>
          <w:rtl w:val="true"/>
        </w:rPr>
        <w:t>لصفاتهم الخارقة في التعريف بأنفسهم</w:t>
      </w:r>
      <w:bookmarkEnd w:id="915"/>
    </w:p>
    <w:p>
      <w:pPr>
        <w:pStyle w:val="BookText"/>
        <w:rPr/>
      </w:pPr>
      <w:r>
        <w:rPr>
          <w:rFonts w:ascii="IRNazanin" w:hAnsi="IRNazanin" w:eastAsia="IRNazanin"/>
          <w:color w:val="111111"/>
          <w:sz w:val="28"/>
          <w:sz w:val="28"/>
          <w:szCs w:val="28"/>
          <w:rtl w:val="true"/>
          <w:lang w:bidi="fa-IR"/>
        </w:rPr>
        <w:t>هناك من الذين ينكرون الصفات ما فوق البشرية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يسعى إلى القول بأن الأئمة أنفسهم لم يقولوا بأنهم مصداق لمثل هذه الصفات، ولم يستفيدوا من هذه الصفات للتعريف بأنفسهم</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الخلاف والجدال بين الشيعة في هذا الشأن كانوا ينحازون إلى الدفاع عن الموقف الذي ينفي عنهم هذه الصفات</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اتضح من الروايات الأخيرة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يتوانوا عن التعريف عن أنفسهم بهذه الصفات عندما كانوا يأنسون من المخاطب الأهلية والقدرة على تحمل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يأتي نكتفي بذكر خطبة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مسجد الكوفة، حيث قال في التعريف بأهل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16" w:name="pg15658_147352"/>
    </w:p>
    <w:p>
      <w:pPr>
        <w:pStyle w:val="BookText"/>
        <w:rPr/>
      </w:pPr>
      <w:bookmarkEnd w:id="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اتقوا الله فينا، فإنا ،أمراؤكم، وإنا أضيافكم، ونحن أهل البيت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هذا التعريف نجد تأكيداً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أصل التنصيب الإلهي، وعلى أصل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المشكلة التي كان يعاني منها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تكمن في عدم وجود من يعرف منزلتهم الحقيقية سوى النزر القليل من خلّص أصحابهم، ويبدو أن هذه الآفة لا زالت ضاربة بجرائها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للأسف الشديد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بعد مضي أربعة عشر قرناً من تاريخ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تكون الشبهة التي أثارها بعضهم والتي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أنفسهم لم يستفيدوا من هذه الصفات للتعريف بأنفسهم، باطلة من الأساس</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11030871_2142443653"/>
      <w:bookmarkStart w:id="918" w:name="_Toc331"/>
      <w:bookmarkEnd w:id="917"/>
      <w:r>
        <w:rPr>
          <w:rtl w:val="true"/>
        </w:rPr>
        <w:t xml:space="preserve">الشبهة السابعة </w:t>
      </w:r>
      <w:r>
        <w:rPr>
          <w:rtl w:val="true"/>
        </w:rPr>
        <w:t xml:space="preserve">: </w:t>
      </w:r>
      <w:r>
        <w:rPr>
          <w:rtl w:val="true"/>
        </w:rPr>
        <w:t>إنكار عصمة الأئمة</w:t>
      </w:r>
      <w:r>
        <w:rPr>
          <w:rtl w:val="true"/>
        </w:rPr>
        <w:t>(</w:t>
      </w:r>
      <w:r>
        <w:rPr>
          <w:rtl w:val="true"/>
        </w:rPr>
        <w:t>علیهم السّلام</w:t>
      </w:r>
      <w:r>
        <w:rPr>
          <w:rtl w:val="true"/>
        </w:rPr>
        <w:t>):</w:t>
      </w:r>
      <w:bookmarkEnd w:id="918"/>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الشبهات القديمة التي يسوقها أهل السنة وبعض المعاصرين</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إنكارهم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بأن صفة العصمة من مقترحات هشام بن الحكم أو أنها من مختلقات المتكلمين في القرنين الثاني </w:t>
      </w:r>
    </w:p>
    <w:p>
      <w:pPr>
        <w:pStyle w:val="BookText"/>
        <w:rPr/>
      </w:pPr>
      <w:r>
        <w:rPr>
          <w:rFonts w:ascii="Amiri" w:hAnsi="Amiri" w:eastAsia="Amiri" w:cs="Amiri"/>
          <w:color w:val="111111"/>
          <w:sz w:val="28"/>
          <w:sz w:val="28"/>
          <w:szCs w:val="28"/>
          <w:rtl w:val="true"/>
          <w:lang w:bidi="ar-SA"/>
        </w:rPr>
        <w:t>والثالث للهجرة</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هذه التهمة ناشئة عن الرؤية السطحية لتعريف الإمامة وحقيقتها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أجبنا عن هذه الشبهة بالأدلة العقلية والنقلية في 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 الإمامة مع الخاتمية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ذكر شبهة عدم انسجام الخاتمية مع العصمة بالتفصيل، ولذلك نحيل القارئ الكريم إلى ذلك الموضع، كي لا نضطر إلى التكرار الممل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نكتفي هنا بذكر هذه النقطة،وهي أن الروايات النبويّة الدالة على صفة العصمة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ضعف هذا الادعاء القائل بأن العصمة من مقترحات هشام بن الحكم</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كان لهشام بن الحكم فضل كبير في الجهود التي بذلها من أجل الاستدلال على العصمة الثابتة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بالأدلة النقلية والعقلية، وكما قال تلميذه ابن أبي عُمير فإن بعض الأدلة التي ذكرها هشام بن الحكم في إثبات نظرية العصمة لم يسبقه إليها أحد قبله،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التمسك بقوله تعالى </w:t>
      </w:r>
      <w:r>
        <w:rPr>
          <w:rFonts w:eastAsia="IRNazanin" w:cs="IRNazanin"/>
          <w:color w:val="111111"/>
          <w:sz w:val="28"/>
          <w:szCs w:val="28"/>
          <w:rtl w:val="true"/>
          <w:lang w:bidi="fa-IR"/>
        </w:rPr>
        <w:t xml:space="preserve">: </w:t>
      </w:r>
      <w:bookmarkStart w:id="919" w:name="pg15658_147354"/>
    </w:p>
    <w:p>
      <w:pPr>
        <w:pStyle w:val="BookText"/>
        <w:rPr/>
      </w:pPr>
      <w:bookmarkEnd w:id="919"/>
      <w:r>
        <w:rPr>
          <w:rFonts w:ascii="Amiri" w:hAnsi="Amiri" w:eastAsia="Amiri" w:cs="Amiri"/>
          <w:color w:val="111111"/>
          <w:sz w:val="28"/>
          <w:sz w:val="28"/>
          <w:szCs w:val="28"/>
          <w:rtl w:val="true"/>
          <w:lang w:bidi="ar-SA"/>
        </w:rPr>
        <w:t>لاَ يَنَالُ عَهْدِي الظَّالِمِينَ</w:t>
      </w:r>
      <w:r>
        <w:rPr>
          <w:rStyle w:val="FootnoteAnchor"/>
          <w:rtl w:val="true"/>
        </w:rPr>
        <w:footnoteReference w:id="1000"/>
      </w:r>
      <w:r>
        <w:rPr>
          <w:rFonts w:ascii="IRNazanin" w:hAnsi="IRNazanin" w:eastAsia="IRNazanin"/>
          <w:color w:val="111111"/>
          <w:sz w:val="28"/>
          <w:sz w:val="28"/>
          <w:szCs w:val="28"/>
          <w:rtl w:val="true"/>
          <w:lang w:bidi="fa-IR"/>
        </w:rPr>
        <w:t>،</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قرائن وشواهد أخرى تنفي نسبة القول بأن العصمة من مبتدعات هشام بن الحكم،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هذه النسبة إلى هشام في أيواحد من المصادر الشيعية، وحتى الشيخ الصدوق الذي يصفه البعض بأنه من أشدّ المخالفين لوصف الأئمة بالصفات ما فوق البشرية لم يؤثر عنه أنه نسب هذا الاتهام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من المحققين الغربيين من يذهب إلى الاعتقاد بأن نظرية العصمة كانت سائدة قبل عصر هشام وفي زمن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إن الشيخ الصدوق يثبت في كتابه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الحكم قد استلهم العصمة وحقيقتها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0" w:name="__RefHeading___Toc11030873_2142443653"/>
      <w:bookmarkStart w:id="921" w:name="_Toc332"/>
      <w:bookmarkEnd w:id="920"/>
      <w:r>
        <w:rPr>
          <w:rtl w:val="true"/>
        </w:rPr>
        <w:t>الشبهة الثامنة</w:t>
      </w:r>
      <w:r>
        <w:rPr>
          <w:rtl w:val="true"/>
        </w:rPr>
        <w:t xml:space="preserve">: </w:t>
      </w:r>
      <w:r>
        <w:rPr>
          <w:rtl w:val="true"/>
        </w:rPr>
        <w:t>تعارض عصمة الأئمة مع الأدعية والروايات</w:t>
      </w:r>
      <w:r>
        <w:rPr>
          <w:rtl w:val="true"/>
        </w:rPr>
        <w:t>:</w:t>
      </w:r>
      <w:bookmarkEnd w:id="921"/>
    </w:p>
    <w:p>
      <w:pPr>
        <w:pStyle w:val="Heading4"/>
        <w:numPr>
          <w:ilvl w:val="3"/>
          <w:numId w:val="1"/>
        </w:numPr>
        <w:rPr/>
      </w:pPr>
      <w:bookmarkStart w:id="922" w:name="__RefHeading___Toc11030875_2142443653"/>
      <w:bookmarkStart w:id="923" w:name="_Toc333"/>
      <w:bookmarkEnd w:id="922"/>
      <w:r>
        <w:rPr>
          <w:rtl w:val="true"/>
        </w:rPr>
        <w:t>اشارة</w:t>
      </w:r>
      <w:bookmarkEnd w:id="92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 أن أشرنا إلى أن العصمة من الصفات اللازمة لمقام الإمامة، وقد تم التأكيد على هذا المعنى في الآيات والروايات المستفيضة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أهل السنة حيث تنزلوا بمقام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مستوى الحاكم أو العالم الديني، فقد تمسكوا لإثبات مدعاهم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عصمة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بروايات عن الأئمة لم يصفوا أنفسهم فيها بالعصمة، بل على عكس ذلك تماماً فقد اعترفوا بعدم </w:t>
      </w:r>
      <w:bookmarkStart w:id="924" w:name="pg15658_147355"/>
    </w:p>
    <w:p>
      <w:pPr>
        <w:pStyle w:val="BookText"/>
        <w:rPr/>
      </w:pPr>
      <w:bookmarkEnd w:id="924"/>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نخوض في تحليل تلك الروايات، ونعمل على نقد استناد المخالفين إليها</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ذلك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تَكْفُوا عَنْ مَقَالَةٍ بِحَقِّ أَوْ مَشُورَةٍ بِعَدْلٍ، فَإِنِّي لَسْتُ فِي نَفْسِي بِفَوْقِ أَنْ أُخْطِيَ، وَلَا آمَنُ ذَلِكَ مِنْ فِعْلِي</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استند أصحاب هذه الشبهة إلى فقرة من دعاء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مَا أَنْتَ أَعْلَمُ بِهِ مِنِّي، فَإِنْ عُدْتُ فَعُدْ عَلَيَّ بِالْمَغْفِرَةِ، اللَّهُمَّ اغْفِرْ لي مَا وَأَيْتُ مِنْ نَفْسِي وَلَمْ تَجِدْ لَهُ وَفَاء عِنْدِي، اللَّهُمَّ اغْفِرْ لي مَا تَقَرَّبْتُ بِهِ إِلَيْكَ بِلِسَانِي، ثُمَّ خَالَفَهُ قَلْبِي، اللَّهُمَّ اغْفِرْ لي رَمَزَاتِ الْأَلْحَاظِ، وَسَقَطَاتِ الْأَلْفَاظِ ، وَشَهَوَاتِ الْجَنَانِ، وَهَفَوَاتِ اللَّسَانِ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دراسة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بنقد هذه الشبهة يجدر الالتفات إلى الأمور الآتية</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11030877_2142443653"/>
      <w:bookmarkStart w:id="926" w:name="_Toc334"/>
      <w:bookmarkEnd w:id="925"/>
      <w:r>
        <w:rPr>
          <w:rtl w:val="true"/>
        </w:rPr>
        <w:t xml:space="preserve">أ </w:t>
      </w:r>
      <w:r>
        <w:rPr>
          <w:rtl w:val="true"/>
        </w:rPr>
        <w:t xml:space="preserve">- </w:t>
      </w:r>
      <w:r>
        <w:rPr>
          <w:rtl w:val="true"/>
        </w:rPr>
        <w:t>مخالفتها للآيات والروايات النبوية</w:t>
      </w:r>
      <w:r>
        <w:rPr>
          <w:rtl w:val="true"/>
        </w:rPr>
        <w:t>:</w:t>
      </w:r>
      <w:bookmarkEnd w:id="926"/>
    </w:p>
    <w:p>
      <w:pPr>
        <w:pStyle w:val="BookText"/>
        <w:rPr/>
      </w:pPr>
      <w:r>
        <w:rPr>
          <w:rFonts w:ascii="Amiri" w:hAnsi="Amiri" w:eastAsia="Amiri" w:cs="Amiri"/>
          <w:color w:val="111111"/>
          <w:sz w:val="28"/>
          <w:sz w:val="28"/>
          <w:szCs w:val="28"/>
          <w:rtl w:val="true"/>
          <w:lang w:bidi="ar-SA"/>
        </w:rPr>
        <w:t xml:space="preserve">لقد شرحنا في الفصل الثالث مباني عصمة الإمام وعلى رأسها الآيات والروايات النبوية في معرض الحديث بشأن نقد 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انسجام الإمامة مع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ولذلك نحيل القارئ الكريم إلى ذلك الموضع، خوفاً من</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 xml:space="preserve">. </w:t>
      </w:r>
      <w:bookmarkStart w:id="927" w:name="pg15658_147356"/>
    </w:p>
    <w:p>
      <w:pPr>
        <w:pStyle w:val="BookText"/>
        <w:rPr/>
      </w:pPr>
      <w:bookmarkEnd w:id="927"/>
      <w:r>
        <w:rPr>
          <w:rFonts w:ascii="IRNazanin" w:hAnsi="IRNazanin" w:eastAsia="IRNazanin"/>
          <w:color w:val="111111"/>
          <w:sz w:val="28"/>
          <w:sz w:val="28"/>
          <w:szCs w:val="28"/>
          <w:rtl w:val="true"/>
          <w:lang w:bidi="fa-IR"/>
        </w:rPr>
        <w:t>طبقاً لهذه النصوص المتقنة، لا بد من اتصاف الإمام بالعصمة، كما أن الآيات والروايات فيما يتعلق بخصوص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صريحة في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إذا واجهنا مورداً أو عدداً قليلاً من النصوص الدالة عل خلاف العصمة الثابتة بتلك الأدلة المستفيضة، يجب العمل على تفسيرها وتبيينها بما يتناسب ودلالة تلك الأدلة والنصوص على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عمد شخص منذ البداية إلى التنزل بمقام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مستوى الخلفاء الثلاثة الذين سبقوه، بل أدنى من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يذهب أكثر أهل السنة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متجاهلاً بذلك كثيراً من الآيات والروايات الدالة على 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يكون قد سار على خلاف هذه الآيات والروايات، وأقام مذهبه على ظاهر نصوص يتيمة هي في حدّ ذاتها بحاجة إلى تبرير عقلائي</w:t>
      </w:r>
      <w:r>
        <w:rPr>
          <w:rFonts w:eastAsia="IRNazanin" w:cs="IRNazanin"/>
          <w:color w:val="111111"/>
          <w:sz w:val="28"/>
          <w:szCs w:val="28"/>
          <w:rtl w:val="true"/>
          <w:lang w:bidi="fa-IR"/>
        </w:rPr>
        <w:t>.</w:t>
      </w:r>
    </w:p>
    <w:p>
      <w:pPr>
        <w:pStyle w:val="Heading4"/>
        <w:numPr>
          <w:ilvl w:val="3"/>
          <w:numId w:val="1"/>
        </w:numPr>
        <w:rPr/>
      </w:pPr>
      <w:bookmarkStart w:id="928" w:name="__RefHeading___Toc11030879_2142443653"/>
      <w:bookmarkStart w:id="929" w:name="_Toc335"/>
      <w:bookmarkEnd w:id="928"/>
      <w:r>
        <w:rPr>
          <w:rtl w:val="true"/>
        </w:rPr>
        <w:t xml:space="preserve">ب </w:t>
      </w:r>
      <w:r>
        <w:rPr>
          <w:rtl w:val="true"/>
        </w:rPr>
        <w:t xml:space="preserve">- </w:t>
      </w:r>
      <w:r>
        <w:rPr>
          <w:rtl w:val="true"/>
        </w:rPr>
        <w:t>كلام الإمام يُشير إلى أصل عام ولا يختص بشخصه</w:t>
      </w:r>
      <w:r>
        <w:rPr>
          <w:rtl w:val="true"/>
        </w:rPr>
        <w:t>:</w:t>
      </w:r>
      <w:bookmarkEnd w:id="929"/>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فيما يتعلق بكلام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ومطالبته من الناس أن يشيروا عليه بحق؛ لأنه ليس بمأمن الخطأ، يجب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طالعنا الخطبة التي ورد فيها هذا النص بشكل كامل، سوف يتضح لنا أن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هذه الخطبة في أحداث حرب صفين، وفي الأثناء قام شخص من بين أصحابه وبدأ بإطرائه ومدحه وثنائه بكلمات يظهر منها التملّق، وحيث كان الإمام يكره المديح والثناء، فقد أضاف إلى كلمته هذه الفقرة مذكراً الناس أن الأجدر بهم بدل الثناء على الحاكم أن يشيروا عليه بما هو حق؛ ذلك لأن الحاكم من موقعه أحوج إلى الكلمة الناصحة من الكلمات المداهنة، وبطبيعة الحال حيث كان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حينها هو الحاكم، لم يكن يرى لنفسه من الناحية الأخلاقية أفضلية على الآخرين، ومن هنا تأتي إشارته إلى نفسه وأنه ليس </w:t>
      </w:r>
      <w:bookmarkStart w:id="930" w:name="pg15658_147357"/>
    </w:p>
    <w:p>
      <w:pPr>
        <w:pStyle w:val="BookText"/>
        <w:rPr/>
      </w:pPr>
      <w:bookmarkEnd w:id="930"/>
      <w:r>
        <w:rPr>
          <w:rFonts w:ascii="Amiri" w:hAnsi="Amiri" w:eastAsia="Amiri" w:cs="Amiri"/>
          <w:color w:val="111111"/>
          <w:sz w:val="28"/>
          <w:sz w:val="28"/>
          <w:szCs w:val="28"/>
          <w:rtl w:val="true"/>
          <w:lang w:bidi="ar-SA"/>
        </w:rPr>
        <w:t>استثناء من احتمال الخطأ والحاجة إلى المشورة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الواقع فإن لب مراده هو ذمّ مدح وثناء الحاكم، وبيان أصل عام للحكام فيما يتعلق بضرورة التشاور 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شخص الإمام فكان معصوماً ومبرءاً من الخطأ، ولذلك</w:t>
      </w:r>
    </w:p>
    <w:p>
      <w:pPr>
        <w:pStyle w:val="BookText"/>
        <w:rPr/>
      </w:pPr>
      <w:r>
        <w:rPr>
          <w:rFonts w:ascii="Amiri" w:hAnsi="Amiri" w:eastAsia="Amiri" w:cs="Amiri"/>
          <w:color w:val="111111"/>
          <w:sz w:val="28"/>
          <w:sz w:val="28"/>
          <w:szCs w:val="28"/>
          <w:rtl w:val="true"/>
          <w:lang w:bidi="ar-SA"/>
        </w:rPr>
        <w:t>فإنه كان في غنى عن الاستشارة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النصوص والكلمات الواردة عنه بهذا الشأن حيث يصرح فيها بعصمته وعدم حاجته إلى المشورة لعلمه التام والجامع بجميع أبعاد وزوايا الحكم والموضوع، وقد تقدم أن ذكرنا الروايات الواردة في هذا الشأن في الصفحات السابقة</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11030881_2142443653"/>
      <w:bookmarkStart w:id="932" w:name="_Toc336"/>
      <w:bookmarkEnd w:id="931"/>
      <w:r>
        <w:rPr>
          <w:rtl w:val="true"/>
        </w:rPr>
        <w:t xml:space="preserve">ج </w:t>
      </w:r>
      <w:r>
        <w:rPr>
          <w:rtl w:val="true"/>
        </w:rPr>
        <w:t xml:space="preserve">- </w:t>
      </w:r>
      <w:r>
        <w:rPr>
          <w:rtl w:val="true"/>
        </w:rPr>
        <w:t>تعليق إمكان صدور الخطأ على عدم تدخل العناية الإلهية</w:t>
      </w:r>
      <w:r>
        <w:rPr>
          <w:rtl w:val="true"/>
        </w:rPr>
        <w:t>:</w:t>
      </w:r>
      <w:bookmarkEnd w:id="932"/>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على المنكرين للعصمة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يقولون بإمكان صدور الخطأ والمعصية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يستشهدوا بروايات صريحة في دلالاتها على صدور المعصية والخطأ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خطبة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نهج البلاغة فغاية ما تدلّ عليه هو الطبيعة الإنسانية للإمام، والقول بأنها بحيث لو خلّيت وطبعها، أمكن أن تكون منشأ لصدور الخطأ والمعصية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يدل ويشهد له بشكل كامل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لَسْتُ فِي نَفْسِي بِفَوْقِ أَنْ أُخْطِىَ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تكون هذه النفس والطبيعة التي يتحلى بها الإمام باقية على هذه الشاكلة أم لا؟ فيمكن للفقرة الثانية في الخطبة نفسها أن تجيب عنها،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يَكْفِيَ الله مِنْ نَفْسِي مَا هُوَ أَمْلَكُ بِهِ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هذه الفقرة تجعل إمكان صدور الخطأ والمعصية عنه معلقاً على عدم كفاية الله له من نفسه وتركه وشأنه، ولمّا كان قد ثبت في موضعه عند إثبات العصمة بالأدلة العقلية والنقلية، أن الله سبحانه قد كفاه من نفسه بالعصمة، فيكون مستثنى من ذلك الحكم العام، فلا يكون صدور الخطأ والمعصية في حقه ممكناً</w:t>
      </w:r>
      <w:r>
        <w:rPr>
          <w:rFonts w:eastAsia="IRNazanin" w:cs="IRNazanin"/>
          <w:color w:val="111111"/>
          <w:sz w:val="28"/>
          <w:szCs w:val="28"/>
          <w:rtl w:val="true"/>
          <w:lang w:bidi="fa-IR"/>
        </w:rPr>
        <w:t xml:space="preserve">. </w:t>
      </w:r>
      <w:bookmarkStart w:id="933" w:name="pg15658_147358"/>
    </w:p>
    <w:p>
      <w:pPr>
        <w:pStyle w:val="BookText"/>
        <w:rPr/>
      </w:pPr>
      <w:bookmarkEnd w:id="933"/>
      <w:r>
        <w:rPr>
          <w:rFonts w:ascii="Amiri" w:hAnsi="Amiri" w:eastAsia="Amiri" w:cs="Amiri"/>
          <w:color w:val="111111"/>
          <w:sz w:val="28"/>
          <w:sz w:val="28"/>
          <w:szCs w:val="28"/>
          <w:rtl w:val="true"/>
          <w:lang w:bidi="ar-SA"/>
        </w:rPr>
        <w:t>وعليه يكون صاحب هذه الشبهة قد ارتكب مغالطة حذف النص وتقطيعه، وحجب الاستثناء الوارد في الفقرة التي جعلها دليلاً على مدعاه</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1030883_2142443653"/>
      <w:bookmarkStart w:id="935" w:name="_Toc337"/>
      <w:bookmarkEnd w:id="934"/>
      <w:r>
        <w:rPr>
          <w:rtl w:val="true"/>
        </w:rPr>
        <w:t xml:space="preserve">د </w:t>
      </w:r>
      <w:r>
        <w:rPr>
          <w:rtl w:val="true"/>
        </w:rPr>
        <w:t xml:space="preserve">- </w:t>
      </w:r>
      <w:r>
        <w:rPr>
          <w:rtl w:val="true"/>
        </w:rPr>
        <w:t>نصوص الإمام الدالة على عصمته</w:t>
      </w:r>
      <w:r>
        <w:rPr>
          <w:rtl w:val="true"/>
        </w:rPr>
        <w:t>:</w:t>
      </w:r>
      <w:bookmarkEnd w:id="935"/>
    </w:p>
    <w:p>
      <w:pPr>
        <w:pStyle w:val="BookText"/>
        <w:rPr/>
      </w:pPr>
      <w:r>
        <w:rPr>
          <w:rFonts w:ascii="IRNazanin" w:hAnsi="IRNazanin" w:eastAsia="IRNazanin"/>
          <w:color w:val="111111"/>
          <w:sz w:val="28"/>
          <w:sz w:val="28"/>
          <w:szCs w:val="28"/>
          <w:rtl w:val="true"/>
          <w:lang w:bidi="fa-IR"/>
        </w:rPr>
        <w:t>أشرنا في العنوان المتقدّم إلى أن غاية ما تدلّ عليه الخطبة أعلاه هو طبيعة وإمكان صدور الخطأ من دون وقوعه حقيقة، وأضفنا إلى ذلك أن هذا الإمكان قد تم نفيه من قبل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فقرة أخرى من الخطبة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روايات أخرى مأثورة عن الإمام تدلّ على عصمته وعدم صدور الخطأ عنه نشير إليها فيما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هذه الخطبة رغم مطالبته من الحاضرين أن لا يبخلوا عليه بالمشورة، إلا أنه يُصرّح في موضع آخر بأنه غير محتاج إلى المشورة أصلاً، وذلك لعدم إمكان صدور الجهل والخطأ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يظهر ذلك من جوابه عن عتاب طلحة والزبير وانتقادهما له بعدم استشارتهما، إذ أورد الشريف الرضي في نهج البلاغة قائلاً</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 به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بيعته بالخلافة و قد عتبا عليه من ترك مشورتهما، والاستعانة في الأمور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نَقَمْتُها يَسِيراً وَأَرْجَأْتُمَا كَثِيرًا، أَلَا تُخْبِرَانِي أَيُّ شَيْءٍ كَانَ لَكُمَا فِيهِ حَقٌّ دَفَعْتُكُمَا عَنْهُ، أَمْ أَيُّ قَسْمِ اسْتَأْثَرْتُ عَلَيْكُما بِهِ، أَمْ أَيُّ حَقٌّ رَفَعَهُ إِلَيَّ أَحَدٌ مِنَ الْمُسْلِمِينَ، ضَعْفْتُ عَنْهُ أَمْ جَهِلْتُهُ أَمْ أَخْطَأْتُ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أَحْتَجْ فِي ذَلِكَ إِلَى رَأْيِكُمَا وَلَا رَأْي غَيْرِ كُمَا، وَلَا وَقَعَ حُكْمٌ جَهِلْتُهُ فَأَسْتَشِيرَكُما وَإِخْوَانِي مِنَ الْمُسْلِمِينَ، وَلَوْ كَانَ ذَلِكَ لَمْ أَرْغَبْ عَنْكُما وَلَا عَنْ غَيْرِ كُما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936" w:name="pg15658_147359"/>
    </w:p>
    <w:p>
      <w:pPr>
        <w:pStyle w:val="BookText"/>
        <w:rPr/>
      </w:pPr>
      <w:bookmarkEnd w:id="936"/>
      <w:r>
        <w:rPr>
          <w:rFonts w:ascii="IRNazanin" w:hAnsi="IRNazanin" w:eastAsia="IRNazanin"/>
          <w:color w:val="111111"/>
          <w:sz w:val="28"/>
          <w:sz w:val="28"/>
          <w:szCs w:val="28"/>
          <w:rtl w:val="true"/>
          <w:lang w:bidi="fa-IR"/>
        </w:rPr>
        <w:t>وقال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مقتل طلحة والزبير، مبيناً عدم تردّده وشكه في معرفة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اهْتَدَيْتُمْ فِي الظُّلْمَاءِ، وَتَسَنَّمْتُمْ ذُرْوَةَ الْعَلْيَاءِ، وَبِنَا أَفْجَرْتُمْ عَنِ السَّرَارِ، وَقِرَ سَمْعٌ لَمْ يَفْقَهِ الْوَاعِيَةَ، وَكَيْفَ يُرَاعِي النَّبأَةَ مَنْ أَصَمَّتْهُ الصَّيْحَةُ، رُبطَ جَنَانٌ لَمْ يُفَارِقْهُ الْخَفَقَانُ، مَا زِلْتُ أَنْتَظِرُ بِكُمْ عَوَاقِبَ الْغَدْرِ، وَأَتَوَسَّمُكُمْ بِحِلْيَةِ المُغْتَرِّينَ، حَتَّى سَتَرَنِي عَنْكُمْ جِلْبَابُ الدِّينِ، وَبَصَّرَنِيكُمْ صِدْقُ النِّيَّةِ، أَقَمْتُ لَكُمْ عَلَى سَنَنِ الحَقِّ فِي جَوَادُ المُضَلَّةِ، حَيْثُ تَلْتَقُونَ وَلَا دَلِيلَ، وَتَحْتَفِرُونَ وَلَا تُميهُونَ، الْيَوْمَ أُنْطِقُ لَكُمُ الْعَجْمَاءَ ذَاتَ الْبَيَانِ، عَزَبَ رَأْيُّ امْرِئٍ تَخَلَّفَ عَنِّي، مَا شَكَكْتُ فِي الحَقِّ مُذْ أُرِيتُهُ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الا بشأن عصمته وعدم صدور الكذب والضلال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كَذَبْتُ وَلَا كُذَّبْتُ وَلَا ضَلَلْتُ وَلَا ضُلَّ بي</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11030885_2142443653"/>
      <w:bookmarkStart w:id="938" w:name="_Toc338"/>
      <w:bookmarkEnd w:id="937"/>
      <w:r>
        <w:rPr>
          <w:rtl w:val="true"/>
        </w:rPr>
        <w:t>تقرير آخر للشبهة</w:t>
      </w:r>
      <w:r>
        <w:rPr>
          <w:rtl w:val="true"/>
        </w:rPr>
        <w:t xml:space="preserve">: </w:t>
      </w:r>
      <w:r>
        <w:rPr>
          <w:rtl w:val="true"/>
        </w:rPr>
        <w:t>اعتراف الأئمة في أدعيتهم بأنهم مذنبون</w:t>
      </w:r>
      <w:r>
        <w:rPr>
          <w:rtl w:val="true"/>
        </w:rPr>
        <w:t>:</w:t>
      </w:r>
      <w:bookmarkEnd w:id="938"/>
    </w:p>
    <w:p>
      <w:pPr>
        <w:pStyle w:val="Heading5"/>
        <w:numPr>
          <w:ilvl w:val="4"/>
          <w:numId w:val="1"/>
        </w:numPr>
        <w:rPr/>
      </w:pPr>
      <w:bookmarkStart w:id="939" w:name="__RefHeading___Toc11030887_2142443653"/>
      <w:bookmarkStart w:id="940" w:name="_Toc339"/>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إن من بين التقريرات الأخرى لشبهة إنكار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،التمسك بالأدعية المتعدّدة الواردة عنهم والتي يعترفون فيها بذنوبهم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معرض تحليل هذه الشبهة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مباحث المعاني والألفاظ </w:t>
      </w:r>
      <w:bookmarkStart w:id="941" w:name="pg15658_147360"/>
    </w:p>
    <w:p>
      <w:pPr>
        <w:pStyle w:val="BookText"/>
        <w:rPr/>
      </w:pPr>
      <w:bookmarkEnd w:id="941"/>
      <w:r>
        <w:rPr>
          <w:rFonts w:ascii="Amiri" w:hAnsi="Amiri" w:eastAsia="Amiri" w:cs="Amiri"/>
          <w:color w:val="111111"/>
          <w:sz w:val="28"/>
          <w:sz w:val="28"/>
          <w:szCs w:val="28"/>
          <w:rtl w:val="true"/>
          <w:lang w:bidi="ar-SA"/>
        </w:rPr>
        <w:t>تعد اليوم من المباحث الهامة في العلوم الإنسانية، ولأهمية هذه المباحث وارتباطها بالتعاليم والنصوص الدينية في علم فلسفة الدين والبحث الديني والتفسير، فإنها تحظى بأهمية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لغة الدين؟ وهل هي ذات اللغة العرفية أم أنها تختلف عنها ؟ وما هو مكمن الاختلاف بينهما؟ إن القدر المتيقن هو أن لغة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لغة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عن لغة العرف من الناحية الماهوية، فإنها مثلها في الاشتمال على الاستعارة والكناية والتعليم والمبالغة، وفي الوقت نفسه تشتمل على معاني سامية وعميقة لا تتوفر في لغة العرف</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11030889_2142443653"/>
      <w:bookmarkStart w:id="943" w:name="_Toc340"/>
      <w:bookmarkEnd w:id="942"/>
      <w:r>
        <w:rPr>
          <w:rtl w:val="true"/>
        </w:rPr>
        <w:t xml:space="preserve">أ </w:t>
      </w:r>
      <w:r>
        <w:rPr>
          <w:rtl w:val="true"/>
        </w:rPr>
        <w:t xml:space="preserve">- </w:t>
      </w:r>
      <w:r>
        <w:rPr>
          <w:rtl w:val="true"/>
        </w:rPr>
        <w:t>التفسير العرفاني</w:t>
      </w:r>
      <w:r>
        <w:rPr>
          <w:rtl w:val="true"/>
        </w:rPr>
        <w:t>:</w:t>
      </w:r>
      <w:bookmarkEnd w:id="943"/>
    </w:p>
    <w:p>
      <w:pPr>
        <w:pStyle w:val="BookText"/>
        <w:rPr/>
      </w:pPr>
      <w:r>
        <w:rPr>
          <w:rFonts w:ascii="Amiri" w:hAnsi="Amiri" w:eastAsia="Amiri" w:cs="Amiri"/>
          <w:color w:val="111111"/>
          <w:sz w:val="28"/>
          <w:sz w:val="28"/>
          <w:szCs w:val="28"/>
          <w:rtl w:val="true"/>
          <w:lang w:bidi="ar-SA"/>
        </w:rPr>
        <w:t>يمثل الدعاء نوعاً أخص من لغة الدين، فهو يمثل في الحقيقة لغة وواسطة الارتباط بين الداعي وبين الله والمعبود والعالم القدسي وما فوق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الداعي يرى نفسه أمام خالق الوجود وواهب الحياة في غاية التضاؤل والعدم، فهو يرى نفسه متقوماً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لحظة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الوجود القدسي، ولذلك يرى وجوده إلى وجود ذلك الخالق بمنزلة وجود قطرة الماء إلى المحيط الهادر، وأن ليس له من وظيفة سوى عبادة أوامر ذلك المعبود الفياض وإطاعته، ويرى كل خطوة يرفعها في هذا المسير باتجاه مرضاة المحبوب والمعبود، وتبعاً لذلك يضمن النجاح والفوز والفلاح، وبعكس ذلك فإن كل فعل ولحظة تؤدّي إلى الابتعاد عن غايته ومعبوده، تستتبع خسراناً وإثماً لا كفارة له حتى وإن كان ذلك لا يعد معصية وذنباً في إطار الشريعة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العارف الذي لا يكتفي بترك المحرمات فحسب، بل يُضيف لها ترك المكروهات، بل حتى بعض المباحات لغاية القيام بالمستحبات والواجبات، </w:t>
      </w:r>
      <w:bookmarkStart w:id="944" w:name="pg15658_147361"/>
    </w:p>
    <w:p>
      <w:pPr>
        <w:pStyle w:val="BookText"/>
        <w:rPr/>
      </w:pPr>
      <w:bookmarkEnd w:id="944"/>
      <w:r>
        <w:rPr>
          <w:rFonts w:ascii="Amiri" w:hAnsi="Amiri" w:eastAsia="Amiri" w:cs="Amiri"/>
          <w:color w:val="111111"/>
          <w:sz w:val="28"/>
          <w:sz w:val="28"/>
          <w:szCs w:val="28"/>
          <w:rtl w:val="true"/>
          <w:lang w:bidi="ar-SA"/>
        </w:rPr>
        <w:t xml:space="preserve">تكمن غايته ودافعه في الوصول إلى هدفه الأخير المتمثل بالاتصال بالمحيط الإلهي الذي يتم التعبير عنه في المصطلح العرفاني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شخصية مثل شخصية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يمثل قمة العارفين، وأفضل الكائنات بعد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مر بيانه وذكرنا رواياته في الفصل الأول والثاني عند بحث مقام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بذل كل وجوده من أجل الوصول إلى المقصود وكمال الله اللامتناهي، ويرى كل فعل أو حركة أو كلمة تبعده عن غايته، بل حتى إذا أدت إلى عرقلة حركته إلى الله أو كبحها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خطأ وزلّة وذنباً، من هنا فإنه يلجأ لذلك إلى الدعاء والاستغفار وطلب الصفح</w:t>
      </w:r>
    </w:p>
    <w:p>
      <w:pPr>
        <w:pStyle w:val="BookText"/>
        <w:rPr/>
      </w:pPr>
      <w:r>
        <w:rPr>
          <w:rFonts w:ascii="IRNazanin" w:hAnsi="IRNazanin" w:eastAsia="IRNazanin"/>
          <w:color w:val="111111"/>
          <w:sz w:val="28"/>
          <w:sz w:val="28"/>
          <w:szCs w:val="28"/>
          <w:rtl w:val="true"/>
          <w:lang w:bidi="fa-IR"/>
        </w:rPr>
        <w:t>من هنا فقد صدر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 من الأدعية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كميل ودعاء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الشأن، وهي تنطوي بأجمعها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لغة الدعاء وطلب العفو والصفح عن المكروهات والمباحات التي لا تُعدُّ ذنباً في إطار الشريعة، وإنما هي معصية في حقل العرفان والإنسان الكامل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11030891_2142443653"/>
      <w:bookmarkStart w:id="946" w:name="_Toc341"/>
      <w:bookmarkEnd w:id="945"/>
      <w:r>
        <w:rPr>
          <w:rtl w:val="true"/>
        </w:rPr>
        <w:t xml:space="preserve">ب </w:t>
      </w:r>
      <w:r>
        <w:rPr>
          <w:rtl w:val="true"/>
        </w:rPr>
        <w:t xml:space="preserve">- </w:t>
      </w:r>
      <w:r>
        <w:rPr>
          <w:rtl w:val="true"/>
        </w:rPr>
        <w:t>التفسير العلمي والتربوي</w:t>
      </w:r>
      <w:r>
        <w:rPr>
          <w:rtl w:val="true"/>
        </w:rPr>
        <w:t>:</w:t>
      </w:r>
      <w:bookmarkEnd w:id="946"/>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الثاني هو القول بأن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يرومون من خلال هذه الأدعية تعليم الآخرين كيفية الدعاء والارتباط مع الله في خطابهم، فهم بصدد تعليم المذنبين بشكل غير مباشر كيفية تطهير صدورهم وجلاء قلوبهم من الأدران من خلال الاعتراف بذنوبهم بشكل مستمر، والانطلاق بذلك نحو مصدر النور </w:t>
      </w:r>
      <w:bookmarkStart w:id="947" w:name="pg15658_147362"/>
    </w:p>
    <w:p>
      <w:pPr>
        <w:pStyle w:val="BookText"/>
        <w:rPr/>
      </w:pPr>
      <w:bookmarkEnd w:id="947"/>
      <w:r>
        <w:rPr>
          <w:rFonts w:ascii="Amiri" w:hAnsi="Amiri" w:eastAsia="Amiri" w:cs="Amiri"/>
          <w:color w:val="111111"/>
          <w:sz w:val="28"/>
          <w:sz w:val="28"/>
          <w:szCs w:val="28"/>
          <w:rtl w:val="true"/>
          <w:lang w:bidi="ar-SA"/>
        </w:rPr>
        <w:t>والطهر والنقاء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هناك من لا يرى هذا الجواب مقنعاً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1030893_2142443653"/>
      <w:bookmarkStart w:id="949" w:name="_Toc342"/>
      <w:bookmarkEnd w:id="948"/>
      <w:r>
        <w:rPr>
          <w:rtl w:val="true"/>
        </w:rPr>
        <w:t xml:space="preserve">ج </w:t>
      </w:r>
      <w:r>
        <w:rPr>
          <w:rtl w:val="true"/>
        </w:rPr>
        <w:t xml:space="preserve">- </w:t>
      </w:r>
      <w:r>
        <w:rPr>
          <w:rtl w:val="true"/>
        </w:rPr>
        <w:t>الحمل على الاستغفار الدفعي</w:t>
      </w:r>
      <w:r>
        <w:rPr>
          <w:rtl w:val="true"/>
        </w:rPr>
        <w:t>:</w:t>
      </w:r>
      <w:bookmarkEnd w:id="949"/>
    </w:p>
    <w:p>
      <w:pPr>
        <w:pStyle w:val="BookText"/>
        <w:rPr/>
      </w:pPr>
      <w:r>
        <w:rPr>
          <w:rFonts w:ascii="IRNazanin" w:hAnsi="IRNazanin" w:eastAsia="IRNazanin"/>
          <w:color w:val="111111"/>
          <w:sz w:val="28"/>
          <w:sz w:val="28"/>
          <w:szCs w:val="28"/>
          <w:rtl w:val="true"/>
          <w:lang w:bidi="fa-IR"/>
        </w:rPr>
        <w:t>قال بعض المعاصرين فى تحليل اعتراف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وتبريره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الاستغفار الوارد في هذه الأدعية هو من الاستغفار الدفعي، بمعنى الاستغفار الذي يحول دون عروض الغفلة والمعصية، وليس من الاستغفار الرفعي الذي يأتي بعد اقتراف الذنوب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ذلك مثل الغطاء الذي يوضع على المرآة كي لا يقع عليها شيء من الغبار، لا كمثل المنديل الذي يمسح به الغبار الواقع عليها أصلاً</w:t>
      </w:r>
      <w:r>
        <w:rPr>
          <w:rFonts w:eastAsia="IRNazanin" w:cs="IRNazanin"/>
          <w:color w:val="111111"/>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0" w:name="__RefHeading___Toc11030895_2142443653"/>
      <w:bookmarkStart w:id="951" w:name="_Toc343"/>
      <w:bookmarkEnd w:id="950"/>
      <w:r>
        <w:rPr>
          <w:rtl w:val="true"/>
        </w:rPr>
        <w:t xml:space="preserve">د </w:t>
      </w:r>
      <w:r>
        <w:rPr>
          <w:rtl w:val="true"/>
        </w:rPr>
        <w:t xml:space="preserve">- </w:t>
      </w:r>
      <w:r>
        <w:rPr>
          <w:rtl w:val="true"/>
        </w:rPr>
        <w:t>طلب الاستغفار لذنوب الأمة</w:t>
      </w:r>
      <w:r>
        <w:rPr>
          <w:rtl w:val="true"/>
        </w:rPr>
        <w:t>:</w:t>
      </w:r>
      <w:bookmarkEnd w:id="951"/>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الآخر الذى يمكن أن نستفيده من بعض الروايات</w:t>
      </w:r>
      <w:r>
        <w:rPr>
          <w:rStyle w:val="FootnoteAnchor"/>
          <w:rtl w:val="true"/>
        </w:rPr>
        <w:footnoteReference w:id="1014"/>
      </w:r>
      <w:r>
        <w:rPr>
          <w:rFonts w:ascii="IRNazanin" w:hAnsi="IRNazanin" w:eastAsia="IRNazanin"/>
          <w:color w:val="111111"/>
          <w:sz w:val="28"/>
          <w:sz w:val="28"/>
          <w:szCs w:val="28"/>
          <w:rtl w:val="true"/>
          <w:lang w:bidi="fa-IR"/>
        </w:rPr>
        <w:t xml:space="preserve">هو أن </w:t>
      </w:r>
    </w:p>
    <w:p>
      <w:pPr>
        <w:pStyle w:val="BookText"/>
        <w:rPr/>
      </w:pPr>
      <w:r>
        <w:rPr>
          <w:rFonts w:ascii="IRNazanin" w:hAnsi="IRNazanin" w:eastAsia="IRNazanin"/>
          <w:color w:val="111111"/>
          <w:sz w:val="28"/>
          <w:sz w:val="28"/>
          <w:szCs w:val="28"/>
          <w:rtl w:val="true"/>
          <w:lang w:bidi="fa-IR"/>
        </w:rPr>
        <w:t>أولئك السادة الهداة أنفسهم معصومون ومبرأون من الأخطاء والذنوب، ولكن حيث كانوا مثل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هداية الأمة المسلمة على المستوى الروحي والمعنوي، وأنهم اضطلعوا بشكل وآخر بمهمة هداية الناس، فإنه وإن لم تتوفر لهم الأرضية المناسبة للهداية، ولكنهم مع ذلك كانوا يشعرون بالمسؤولية، وكانوا يعتبرون أخطاء الناس أخطاءهم، فكانوا لذلك يستغفرون الله منها ويطلبون منه العفو والصفح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تشبيه ذلك بالخطأ الذي يرتكبه الولد؛ فيأخذ الوالد خطأ الولد وكأنه صادر عنه، وهكذا نرى الوالدين يتحملان تبعات أخطاء أبنائهما، ويتوجهان إلى الشخص الذي أخطأ ابنهما في حقه؛ فيطلبان منه الصفح ويسألانه أن يقبل اعتذارهما، وهكذا كان الأمر بالنسبة إلى الأئمة بوصفهم آباء للأمة الإسلامية، وهذا ما تؤكد عليه النصوص الروائية، مثل الحديث النبوي الشريف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أبوا هذه الأمة</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والذي يؤيد هذا الأمر والتفسير، جواب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نسبة الذنب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1016"/>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 له ذنب ولكن الله ضمن له أن يغفر ذنوب شيعة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ذنبهم وما تأخر</w:t>
      </w:r>
      <w:r>
        <w:rPr>
          <w:rFonts w:eastAsia="IRNazanin" w:cs="IRNazanin"/>
          <w:color w:val="111111"/>
          <w:sz w:val="28"/>
          <w:szCs w:val="28"/>
          <w:rtl w:val="true"/>
          <w:lang w:bidi="fa-IR"/>
        </w:rPr>
        <w:t>»</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ذنب، ولا هم بذنب، ولكن الله حمله ذنوب شيعته ثم غفرها له</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952" w:name="pg15658_147364"/>
    </w:p>
    <w:p>
      <w:pPr>
        <w:pStyle w:val="BookText"/>
        <w:rPr/>
      </w:pPr>
      <w:bookmarkEnd w:id="952"/>
      <w:r>
        <w:rPr>
          <w:rFonts w:ascii="IRNazanin" w:hAnsi="IRNazanin" w:eastAsia="IRNazanin"/>
          <w:color w:val="111111"/>
          <w:sz w:val="28"/>
          <w:sz w:val="28"/>
          <w:szCs w:val="28"/>
          <w:rtl w:val="true"/>
          <w:lang w:bidi="fa-IR"/>
        </w:rPr>
        <w:t>وعلى هذا الأساس فإن استغفار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قبيل استغفار الآباء لأمتهم، حيث كانوا يشاهدون ذنوب الأمة بعين البصيرة والوجود النوراني الذي يتمتعون به، ويطلبون الصفح والمغفرة من الله على ذلك</w:t>
      </w:r>
      <w:r>
        <w:rPr>
          <w:rFonts w:eastAsia="IRNazanin" w:cs="IRNazanin"/>
          <w:color w:val="111111"/>
          <w:sz w:val="28"/>
          <w:szCs w:val="28"/>
          <w:rtl w:val="true"/>
          <w:lang w:bidi="fa-IR"/>
        </w:rPr>
        <w:t>.</w:t>
      </w:r>
    </w:p>
    <w:p>
      <w:pPr>
        <w:pStyle w:val="Heading5"/>
        <w:numPr>
          <w:ilvl w:val="4"/>
          <w:numId w:val="1"/>
        </w:numPr>
        <w:rPr/>
      </w:pPr>
      <w:bookmarkStart w:id="953" w:name="__RefHeading___Toc11030897_2142443653"/>
      <w:bookmarkStart w:id="954" w:name="_Toc344"/>
      <w:bookmarkEnd w:id="953"/>
      <w:r>
        <w:rPr>
          <w:rtl w:val="true"/>
        </w:rPr>
        <w:t xml:space="preserve">هـ </w:t>
      </w:r>
      <w:r>
        <w:rPr>
          <w:rtl w:val="true"/>
        </w:rPr>
        <w:t xml:space="preserve">- </w:t>
      </w:r>
      <w:r>
        <w:rPr>
          <w:rtl w:val="true"/>
        </w:rPr>
        <w:t>عدم إمكان حمل الأدعية على الظاهر</w:t>
      </w:r>
      <w:r>
        <w:rPr>
          <w:rtl w:val="true"/>
        </w:rPr>
        <w:t>:</w:t>
      </w:r>
      <w:bookmarkEnd w:id="954"/>
    </w:p>
    <w:p>
      <w:pPr>
        <w:pStyle w:val="BookText"/>
        <w:rPr/>
      </w:pPr>
      <w:r>
        <w:rPr>
          <w:rFonts w:ascii="IRNazanin" w:hAnsi="IRNazanin" w:eastAsia="IRNazanin"/>
          <w:color w:val="111111"/>
          <w:sz w:val="28"/>
          <w:sz w:val="28"/>
          <w:szCs w:val="28"/>
          <w:rtl w:val="true"/>
          <w:lang w:bidi="fa-IR"/>
        </w:rPr>
        <w:t xml:space="preserve">لو كان الذين يطرحون هذه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السنة والشيعة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الذين يُعربون عن حبّهم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وشدة تعلقهم به، يصرون على حمل لغة الأئمة فى أدعيتهم على اللغة العرفية، وأن الإمام في أدعيته لا يريد غير المعاني الحقيقية، وأنه إنما يعترف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باقتراف الذنوب وارتكاب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يحق لنا أن نسألهم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موقفكم بشأن تفسير الأدعية المشابهة للأدعية الآتية؟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يقول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قَلبي مَحْجُوبٌ، وَنَفْسي مَعْيُوبٌ، وَعَقْلِي مَغْلُوبٌ، وَهَوائي غالِبٌ، وَطاعَتِي قَليلٌ، وَمَعْصِيَتِي كَثِيرٌ </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تُعاجِلْني بِالْعُقُوبَةِ عَلى ما عَمِلْتُهُ فِي خَلَواتِي مِنْ سُوءٍ فِعْلي وَإِساءَتي</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دعاء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عرفة، والذي يقول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سَتْرُكَ إِيَّايَ لَكُنْتُ مِنَ المُفْضُوحِينَ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دعاء الإمام زين العابدين وسيد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يقل فيه</w:t>
      </w:r>
      <w:r>
        <w:rPr>
          <w:rFonts w:eastAsia="IRNazanin" w:cs="IRNazanin"/>
          <w:color w:val="111111"/>
          <w:sz w:val="28"/>
          <w:szCs w:val="28"/>
          <w:rtl w:val="true"/>
          <w:lang w:bidi="fa-IR"/>
        </w:rPr>
        <w:t xml:space="preserve">: </w:t>
      </w:r>
      <w:bookmarkStart w:id="955" w:name="pg15658_147365"/>
    </w:p>
    <w:p>
      <w:pPr>
        <w:pStyle w:val="BookText"/>
        <w:rPr/>
      </w:pPr>
      <w:bookmarkEnd w:id="955"/>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الْبَسَتْنِى الخطايا ثَوْبَ مَذَلَّتِي، وَجَلَّلَنِي التَّباعُدُ مِنْكَ لِباسَ مَسْكَنَتِي، وَاَماتَ قَلْبِي عَظيمُ جِنايَتي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يمكن للشخص 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 من الشيعي والسني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يلتزم بأن هوى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على عقله، وأن ذنوبه أكثر من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إذا كُشف الغطاء والحجاب عن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سيكون من المفضوحين على رؤوس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كانت ذنوب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دائم السجود في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بحيث تميت قلبه؟</w:t>
      </w:r>
      <w:r>
        <w:rPr>
          <w:rFonts w:eastAsia="IRNazanin" w:cs="IRNazanin"/>
          <w:color w:val="111111"/>
          <w:sz w:val="28"/>
          <w:szCs w:val="28"/>
          <w:rtl w:val="true"/>
          <w:lang w:bidi="fa-IR"/>
        </w:rPr>
        <w:t>!</w:t>
      </w:r>
    </w:p>
    <w:p>
      <w:pPr>
        <w:pStyle w:val="Heading5"/>
        <w:numPr>
          <w:ilvl w:val="4"/>
          <w:numId w:val="1"/>
        </w:numPr>
        <w:rPr/>
      </w:pPr>
      <w:bookmarkStart w:id="956" w:name="__RefHeading___Toc11030899_2142443653"/>
      <w:bookmarkStart w:id="957" w:name="_Toc345"/>
      <w:bookmarkEnd w:id="956"/>
      <w:r>
        <w:rPr>
          <w:rtl w:val="true"/>
        </w:rPr>
        <w:t xml:space="preserve">و </w:t>
      </w:r>
      <w:r>
        <w:rPr>
          <w:rtl w:val="true"/>
        </w:rPr>
        <w:t xml:space="preserve">- </w:t>
      </w:r>
      <w:r>
        <w:rPr>
          <w:rtl w:val="true"/>
        </w:rPr>
        <w:t>النقض بأدعية النبي الأكرم</w:t>
      </w:r>
      <w:r>
        <w:rPr>
          <w:rtl w:val="true"/>
        </w:rPr>
        <w:t>(</w:t>
      </w:r>
      <w:r>
        <w:rPr>
          <w:rtl w:val="true"/>
        </w:rPr>
        <w:t>صلی الله علیه و آله و سلم</w:t>
      </w:r>
      <w:r>
        <w:rPr>
          <w:rtl w:val="true"/>
        </w:rPr>
        <w:t>):</w:t>
      </w:r>
      <w:bookmarkEnd w:id="957"/>
    </w:p>
    <w:p>
      <w:pPr>
        <w:pStyle w:val="BookText"/>
        <w:rPr/>
      </w:pPr>
      <w:r>
        <w:rPr>
          <w:rFonts w:ascii="IRNazanin" w:hAnsi="IRNazanin" w:eastAsia="IRNazanin"/>
          <w:color w:val="111111"/>
          <w:sz w:val="28"/>
          <w:sz w:val="28"/>
          <w:szCs w:val="28"/>
          <w:rtl w:val="true"/>
          <w:lang w:bidi="fa-IR"/>
        </w:rPr>
        <w:t>لو أصر المخالف على حمل الأدعية المأثورة عن الأئمة على ظاهرها، ليثبت بذلك عدم عصمتهم، فإننا نسأله عن تفسير الأدعية الواردة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على اعترافه بالذنوب أيضاً، من قبيل 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الجواد وأنا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الغافر وأنا المسيء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فإن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أجرنا من النار</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ما يقرب من تسعين مرة، وفي الجوشن الكبير، يكرر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الغوث الغوث خلصنا من النار يا رب</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مئة مرة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يمكن للشخص الشيعي والسني أن يحملا أو يُفسّرا هذه الأدعية </w:t>
      </w:r>
      <w:bookmarkStart w:id="958" w:name="pg15658_147366"/>
    </w:p>
    <w:p>
      <w:pPr>
        <w:pStyle w:val="BookText"/>
        <w:rPr/>
      </w:pPr>
      <w:bookmarkEnd w:id="958"/>
      <w:r>
        <w:rPr>
          <w:rFonts w:ascii="IRNazanin" w:hAnsi="IRNazanin" w:eastAsia="IRNazanin"/>
          <w:color w:val="111111"/>
          <w:sz w:val="28"/>
          <w:sz w:val="28"/>
          <w:szCs w:val="28"/>
          <w:rtl w:val="true"/>
          <w:lang w:bidi="fa-IR"/>
        </w:rPr>
        <w:t>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ظاهرها ؟ فإذا كان لدعاء النبي تفسير خاص، لماذا لا نحمل معنى الدعاء المأثور عن أبنائه والمقربين منه 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المحمل ذاته؟</w:t>
      </w:r>
      <w:r>
        <w:rPr>
          <w:rFonts w:eastAsia="IRNazanin" w:cs="IRNazanin"/>
          <w:color w:val="111111"/>
          <w:sz w:val="28"/>
          <w:szCs w:val="28"/>
          <w:rtl w:val="true"/>
          <w:lang w:bidi="fa-IR"/>
        </w:rPr>
        <w:t>!</w:t>
      </w:r>
    </w:p>
    <w:p>
      <w:pPr>
        <w:pStyle w:val="Heading3"/>
        <w:numPr>
          <w:ilvl w:val="2"/>
          <w:numId w:val="1"/>
        </w:numPr>
        <w:rPr/>
      </w:pPr>
      <w:bookmarkStart w:id="959" w:name="__RefHeading___Toc11030901_2142443653"/>
      <w:bookmarkStart w:id="960" w:name="_Toc346"/>
      <w:bookmarkEnd w:id="959"/>
      <w:r>
        <w:rPr>
          <w:rtl w:val="true"/>
        </w:rPr>
        <w:t>الشبهة التاسعة</w:t>
      </w:r>
      <w:r>
        <w:rPr>
          <w:rtl w:val="true"/>
        </w:rPr>
        <w:t xml:space="preserve">: </w:t>
      </w:r>
      <w:r>
        <w:rPr>
          <w:rtl w:val="true"/>
        </w:rPr>
        <w:t>إنكار اتصاف الأئمة</w:t>
      </w:r>
      <w:r>
        <w:rPr>
          <w:rtl w:val="true"/>
        </w:rPr>
        <w:t>(</w:t>
      </w:r>
      <w:r>
        <w:rPr>
          <w:rtl w:val="true"/>
        </w:rPr>
        <w:t>علیهم السّلام</w:t>
      </w:r>
      <w:r>
        <w:rPr>
          <w:rtl w:val="true"/>
        </w:rPr>
        <w:t>)</w:t>
      </w:r>
      <w:r>
        <w:rPr>
          <w:rtl w:val="true"/>
        </w:rPr>
        <w:t>بكونهم حججالله تعالى</w:t>
      </w:r>
      <w:r>
        <w:rPr>
          <w:rtl w:val="true"/>
        </w:rPr>
        <w:t>:</w:t>
      </w:r>
      <w:bookmarkEnd w:id="960"/>
    </w:p>
    <w:p>
      <w:pPr>
        <w:pStyle w:val="BookText"/>
        <w:rPr/>
      </w:pPr>
      <w:r>
        <w:rPr>
          <w:rFonts w:ascii="IRNazanin" w:hAnsi="IRNazanin" w:eastAsia="IRNazanin"/>
          <w:color w:val="111111"/>
          <w:sz w:val="28"/>
          <w:sz w:val="28"/>
          <w:szCs w:val="28"/>
          <w:rtl w:val="true"/>
          <w:lang w:bidi="fa-IR"/>
        </w:rPr>
        <w:t>هناك من أنكر وصف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حجج الله من الأساس، وقد تقدم تحليل هذا الشبهة فى الفصل الثالث بالتفصيل</w:t>
      </w:r>
      <w:r>
        <w:rPr>
          <w:rFonts w:eastAsia="IRNazanin" w:cs="IRNazanin"/>
          <w:color w:val="111111"/>
          <w:sz w:val="28"/>
          <w:szCs w:val="28"/>
          <w:rtl w:val="true"/>
          <w:lang w:bidi="fa-IR"/>
        </w:rPr>
        <w:t>.</w:t>
      </w:r>
    </w:p>
    <w:p>
      <w:pPr>
        <w:pStyle w:val="Heading3"/>
        <w:numPr>
          <w:ilvl w:val="2"/>
          <w:numId w:val="1"/>
        </w:numPr>
        <w:rPr/>
      </w:pPr>
      <w:bookmarkStart w:id="961" w:name="__RefHeading___Toc11030903_2142443653"/>
      <w:bookmarkStart w:id="962" w:name="_Toc347"/>
      <w:bookmarkEnd w:id="961"/>
      <w:r>
        <w:rPr>
          <w:rtl w:val="true"/>
        </w:rPr>
        <w:t>الشبهة العاشرة اختصاص الحجية بالأمور العبادية والفردية</w:t>
      </w:r>
      <w:r>
        <w:rPr>
          <w:rtl w:val="true"/>
        </w:rPr>
        <w:t>:</w:t>
      </w:r>
      <w:bookmarkEnd w:id="962"/>
    </w:p>
    <w:p>
      <w:pPr>
        <w:pStyle w:val="BookText"/>
        <w:rPr/>
      </w:pPr>
      <w:r>
        <w:rPr>
          <w:rFonts w:ascii="IRNazanin" w:hAnsi="IRNazanin" w:eastAsia="IRNazanin"/>
          <w:color w:val="111111"/>
          <w:sz w:val="28"/>
          <w:sz w:val="28"/>
          <w:szCs w:val="28"/>
          <w:rtl w:val="true"/>
          <w:lang w:bidi="fa-IR"/>
        </w:rPr>
        <w:t>هناك من ارتضى القول بحجية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حجج الله على الخلق في الجملة، ولكنه خص ذلك بالأحكام العبادية والفردية، أما في حقل السياسة والاجتماع والموقف والكلمة والعمل، فلا يكونون حجة على الآخرين ولا يمثلون أسوة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تحليل هذا الاتجاه يجب القول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القراءة العلمانية للدين وتعاليمه،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فصلنا البحث بالنقد والتحليل في الفصل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تبريرات التنصيب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هامش تبریر اختصاص الإمامة بأمر الهداية</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مفهوم ومعلومة عامة تشمل دائرتها وتتسع للأمور الفردية والعبادية والسياسية والاجتماعية، وتبعاً لذلك تكون مواقف </w:t>
      </w:r>
    </w:p>
    <w:p>
      <w:pPr>
        <w:pStyle w:val="BookText"/>
        <w:rPr/>
      </w:pPr>
      <w:r>
        <w:rPr>
          <w:rFonts w:ascii="Amiri" w:hAnsi="Amiri" w:eastAsia="Amiri" w:cs="Amiri"/>
          <w:color w:val="111111"/>
          <w:sz w:val="28"/>
          <w:sz w:val="28"/>
          <w:szCs w:val="28"/>
          <w:rtl w:val="true"/>
          <w:lang w:bidi="ar-SA"/>
        </w:rPr>
        <w:t>الأئمة في دائرة السياسة والاجتماع والحكومة حجّة أيضاً</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الفصل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انسجام الإمامة مع الخاتمية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علىهامش شبهة حجية الأئمة، ذكر كثير من الروايات المأثورة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بشأن حجيّة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مختلف المستويات، 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المرجعية العلمية، وتفسير الدين، وحقول السياسة والإمامة والخلافة، وكانت نتيجة ذلك إطلاق حجيّة الأئمة وشمولها لدائرة السياسة والحكومة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بد من الالتفات إلى أن للدين في حقل السياسة والحكم والمجتمع سلسلة من الأصول التي تحظى باعتبار خالد، فالإمام يقدّم تفسيرات وحلولاً</w:t>
      </w:r>
    </w:p>
    <w:p>
      <w:pPr>
        <w:pStyle w:val="BookText"/>
        <w:rPr/>
      </w:pPr>
      <w:r>
        <w:rPr>
          <w:rFonts w:ascii="Amiri" w:hAnsi="Amiri" w:eastAsia="Amiri" w:cs="Amiri"/>
          <w:color w:val="111111"/>
          <w:sz w:val="28"/>
          <w:sz w:val="28"/>
          <w:szCs w:val="28"/>
          <w:rtl w:val="true"/>
          <w:lang w:bidi="ar-SA"/>
        </w:rPr>
        <w:t xml:space="preserve">للمتغيّرات الجزئية وللمسائل الاجتماعية، وقد تتغيّر هذه المسائل على مرّ الأزمنة، والمراد من الحجيّة المطلقة للتعاليم الدينية ومواقف الأئمة هو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القواعد والأصول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الآليات والجزئيات تتغير بتغيّر الظروف والأزمنة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فإن تشخيص هذين القسمين وتقديم الحل والحكم الآخر من صلاحية المتخصصين في الدين، إذ إنّهم بالإضافة إلى المباني والأصول الدينية مهيمون على الأوضاع السائدة أيضاً</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يظهر ضعف الشبهة القائلة بأن حجيّة الأئمة على الآخرين إنما تخص عصرهم</w:t>
      </w:r>
      <w:r>
        <w:rPr>
          <w:rStyle w:val="FootnoteAnchor"/>
          <w:rtl w:val="true"/>
        </w:rPr>
        <w:footnoteReference w:id="1024"/>
      </w:r>
      <w:r>
        <w:rPr>
          <w:rFonts w:ascii="Amiri" w:hAnsi="Amiri" w:eastAsia="Amiri" w:cs="Amiri"/>
          <w:color w:val="111111"/>
          <w:sz w:val="28"/>
          <w:sz w:val="28"/>
          <w:szCs w:val="28"/>
          <w:rtl w:val="true"/>
          <w:lang w:bidi="ar-SA"/>
        </w:rPr>
        <w:t xml:space="preserve">إذ لو تم البحث بشأن موضوع وسعة حجيتهم في تعاليم </w:t>
      </w:r>
      <w:bookmarkStart w:id="963" w:name="pg15658_147368"/>
    </w:p>
    <w:p>
      <w:pPr>
        <w:pStyle w:val="BookText"/>
        <w:rPr/>
      </w:pPr>
      <w:bookmarkEnd w:id="963"/>
      <w:r>
        <w:rPr>
          <w:rFonts w:ascii="IRNazanin" w:hAnsi="IRNazanin" w:eastAsia="IRNazanin"/>
          <w:color w:val="111111"/>
          <w:sz w:val="28"/>
          <w:sz w:val="28"/>
          <w:szCs w:val="28"/>
          <w:rtl w:val="true"/>
          <w:lang w:bidi="fa-IR"/>
        </w:rPr>
        <w:t xml:space="preserve">القسم الأول الأصول والمباني العامة، فإن اعتبار الحجية واستمرارها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تطبيق العدالة وهداية المجتمع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يختص بزمن دون زمن كي يتم الكلام حول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كان المراد هو القسم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 والأمور الجزئية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ففى مثل هذه الحالة لا بدّ أولاً من تحديد مصداقه، وبيان ما هي القضيّة التي تمثل موقف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وتختص بزمن معين، للانتقال بعد ذلك إلى البحث بشأن ما هو البديل لها</w:t>
      </w:r>
      <w:r>
        <w:rPr>
          <w:rFonts w:eastAsia="IRNazanin" w:cs="IRNazanin"/>
          <w:color w:val="111111"/>
          <w:sz w:val="28"/>
          <w:szCs w:val="28"/>
          <w:rtl w:val="true"/>
          <w:lang w:bidi="fa-IR"/>
        </w:rPr>
        <w:t>.</w:t>
      </w:r>
    </w:p>
    <w:p>
      <w:pPr>
        <w:pStyle w:val="Heading3"/>
        <w:numPr>
          <w:ilvl w:val="2"/>
          <w:numId w:val="1"/>
        </w:numPr>
        <w:rPr/>
      </w:pPr>
      <w:bookmarkStart w:id="964" w:name="__RefHeading___Toc11030905_2142443653"/>
      <w:bookmarkStart w:id="965" w:name="_Toc348"/>
      <w:bookmarkEnd w:id="964"/>
      <w:r>
        <w:rPr>
          <w:rtl w:val="true"/>
        </w:rPr>
        <w:t>الشبهة الحادية عشرة</w:t>
      </w:r>
      <w:r>
        <w:rPr>
          <w:rtl w:val="true"/>
        </w:rPr>
        <w:t xml:space="preserve">: </w:t>
      </w:r>
      <w:r>
        <w:rPr>
          <w:rtl w:val="true"/>
        </w:rPr>
        <w:t>نسبة بقاء وحفظ الأرض والسماوات إلى الأئمة</w:t>
      </w:r>
      <w:r>
        <w:rPr>
          <w:rtl w:val="true"/>
        </w:rPr>
        <w:t>(</w:t>
      </w:r>
      <w:r>
        <w:rPr>
          <w:rtl w:val="true"/>
        </w:rPr>
        <w:t>علیهم السّلام</w:t>
      </w:r>
      <w:r>
        <w:rPr>
          <w:rtl w:val="true"/>
        </w:rPr>
        <w:t>):</w:t>
      </w:r>
      <w:bookmarkEnd w:id="965"/>
    </w:p>
    <w:p>
      <w:pPr>
        <w:pStyle w:val="Heading4"/>
        <w:numPr>
          <w:ilvl w:val="3"/>
          <w:numId w:val="1"/>
        </w:numPr>
        <w:rPr/>
      </w:pPr>
      <w:bookmarkStart w:id="966" w:name="__RefHeading___Toc11030907_2142443653"/>
      <w:bookmarkStart w:id="967" w:name="_Toc349"/>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إن من بين الشبهات التي يسوقها أهل السنة</w:t>
      </w:r>
      <w:r>
        <w:rPr>
          <w:rStyle w:val="FootnoteAnchor"/>
          <w:rtl w:val="true"/>
        </w:rPr>
        <w:footnoteReference w:id="1025"/>
      </w:r>
      <w:r>
        <w:rPr>
          <w:rFonts w:ascii="IRNazanin" w:hAnsi="IRNazanin" w:eastAsia="IRNazanin"/>
          <w:color w:val="111111"/>
          <w:sz w:val="28"/>
          <w:sz w:val="28"/>
          <w:szCs w:val="28"/>
          <w:rtl w:val="true"/>
          <w:lang w:bidi="fa-IR"/>
        </w:rPr>
        <w:t>على الإمامية هي نسبة الغلو والتطرف في تعريف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المصاديق على ذلك ما ورد في كثير من الروايات في التعريف بالأئمة بوصفهم علة بقاء وحفظ الأرض والسماوات، ومن بينها الرواية التي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لولاهم لما خلقتك، ولما خلقت النار والعرش والكرسي واللوح والقلم</w:t>
      </w:r>
      <w:r>
        <w:rPr>
          <w:rFonts w:eastAsia="IRNazanin" w:cs="IRNazanin"/>
          <w:color w:val="111111"/>
          <w:sz w:val="28"/>
          <w:szCs w:val="28"/>
          <w:rtl w:val="true"/>
          <w:lang w:bidi="fa-IR"/>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حين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سائر الناس والأفراد الاعتياديين لا شأن لهم ولا دور في تكوين العالم وبقائه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كان هو السبب والعلة في الحفاظ على الأرض والسماوات وبقائها، يرد هذا السؤال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كان يتولى هذه المهمة قبل أن يُخلق الأئمة ؟ </w:t>
      </w:r>
    </w:p>
    <w:p>
      <w:pPr>
        <w:pStyle w:val="BookText"/>
        <w:rPr/>
      </w:pPr>
      <w:r>
        <w:rPr>
          <w:rFonts w:ascii="Amiri" w:hAnsi="Amiri" w:eastAsia="Amiri" w:cs="Amiri"/>
          <w:color w:val="111111"/>
          <w:sz w:val="28"/>
          <w:sz w:val="28"/>
          <w:szCs w:val="28"/>
          <w:rtl w:val="true"/>
          <w:lang w:bidi="ar-SA"/>
        </w:rPr>
        <w:t>مناقشة وتحليل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الشبهة تنشأ من عدم معرفة مقام الإمامة، وموقع الأئمة ومنزلتهم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بإمكان القارئ الكريم، من خلال مطالعة الآيات والروايات الواردة في بيان موقع الإمامة والأئمة ومكانتهم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تقدم بعضها في الفصل الأول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واسطة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وبعضها الآخر في نقد شبهة أفضلية الأئمة والإمامة على الأنبياء والنبوة فى الصفحات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بنفسه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نشير في نقد هذه الشبهة إلى الأمور الآتية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تحقق فعل أو إيجاد شيء، تذكر في الفلسفة أربع علل،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الفاعلية، والعلة المادية، والعلة الصورية، والعلة الغائية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فالعلل التى يجب توفّرها لبناء مدرسة على سبيل المثال، هي كالآتي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الفاعلية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المهندس والعمال والمعمار، والعلة المادية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المواد الإنشائية من الطابوق والإسمنت والحديد وما سوى ذلك، والعلة المخطط والخارطة الهندسية لشكل المدرسة والعلة الغائية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الطلاب وتعليمهم، والقارئ الكريم يدرك جيّداً أن الغرض والغاية من تأسيس وإحداث المدرسة وكل هذه النفقات إنما هي من أجل تلك العلة الغائية المتمثلة ببناء جيل متعلم وتدريس التلاميذ والطلاب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العلة الغائية أن القائمين على إنشاء المدرسة إذا كانوا يعلمون مسبقاً أنه لا يوجد تلاميذ أصلاً، وأنه لن يأتي طالب واحد ليتعلم في هذه المدرسة ولا ينتسب إليها، لما بادروا إلى بناء تلك المدرسة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وجود الطلاب، لما بنيت المدرسة أصلاً، ولو أنها بنيت ثم هجرها الطلاب لسبب من الأسباب، كما يحصل في </w:t>
      </w:r>
    </w:p>
    <w:p>
      <w:pPr>
        <w:pStyle w:val="BookText"/>
        <w:rPr/>
      </w:pPr>
      <w:r>
        <w:rPr>
          <w:rFonts w:ascii="Amiri" w:hAnsi="Amiri" w:eastAsia="Amiri" w:cs="Amiri"/>
          <w:color w:val="111111"/>
          <w:sz w:val="28"/>
          <w:sz w:val="28"/>
          <w:szCs w:val="28"/>
          <w:rtl w:val="true"/>
          <w:lang w:bidi="ar-SA"/>
        </w:rPr>
        <w:t>بعض القرى عندما يترك السكان المنطقة، أو يتوجه الطلاب إلى مدرسة أفضل في ناحية أخرى، فإن هذه المدرسة سوف تعطل وتتحول إلى خربة بمرور الأيام، أو أن تتحول إلى منشأة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لولا وجود الطلاب لما كانت هناك مدرسة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أخرى فقد جاء فى كثير من الروايات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مصادر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التأكيد على أن وجود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والسيدة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الإثنى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الفلسفة والغاية من خلق</w:t>
      </w:r>
    </w:p>
    <w:p>
      <w:pPr>
        <w:pStyle w:val="BookText"/>
        <w:rPr/>
      </w:pPr>
      <w:r>
        <w:rPr>
          <w:rFonts w:ascii="IRNazanin" w:hAnsi="IRNazanin" w:eastAsia="IRNazanin"/>
          <w:color w:val="111111"/>
          <w:sz w:val="28"/>
          <w:sz w:val="28"/>
          <w:szCs w:val="28"/>
          <w:rtl w:val="true"/>
          <w:lang w:bidi="fa-IR"/>
        </w:rPr>
        <w:t>عالم الإمكان، وقد تم التصريح بأنه لولا وجودهم لما أوجد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أنس بن مالك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رأى أسماء الخمسة من أصحاب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مكتوبة على ساق العرش، سأل عن أصحاب تلك الأسماء، فقال له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آدم لولاهم لما خلقتك، ولما خلقت النار والعرش والكرسي واللوح والقلم</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بهذا النوع من الرؤية والنظرة إلى أهل البيت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يتضح أن وجودهم النوراني والقدسي، كان هو الغاية والهدف من أصل الوجود وخلق العالم منذ البداية، وأنه لو تصوّرنا أن وجودهم لم يكن هو الغاية من خلق العالم، لما كان هناك من خلق أو وجود أصلاً، أو أنه كان يزول وينهار بعد خلقه وإيجاده، كما هو الحال بالنسبة إلى المدرسة عندما يهجرها الطلاب</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أئمة الهدى يلعب دوراً هاماً ومحورياً وجوهرياً في أصل خلق العالم ابتداء وبقاء، ولذلك فإن العالم في بقائه رهن </w:t>
      </w:r>
    </w:p>
    <w:p>
      <w:pPr>
        <w:pStyle w:val="BookText"/>
        <w:rPr/>
      </w:pPr>
      <w:r>
        <w:rPr>
          <w:rFonts w:ascii="IRNazanin" w:hAnsi="IRNazanin" w:eastAsia="IRNazanin"/>
          <w:color w:val="111111"/>
          <w:sz w:val="28"/>
          <w:sz w:val="28"/>
          <w:szCs w:val="28"/>
          <w:rtl w:val="true"/>
          <w:lang w:bidi="fa-IR"/>
        </w:rPr>
        <w:t>بوجودهم ،وبقائهم، كما أنه يزول بزوالهم من باب انتفاء المعلول بانتفاء علته الغائية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ورد في الروايات النبوية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أهل الأرض</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ما هو منقول في 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لأهل الأرض، فإذا ذهب أهل بيتي ذهب أهل الأرض</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كثير من الروايات الأخرى الواردة في مصادر أهل السنة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أمتي</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طويل عن 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مروي في مصادر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أمان أهل الأرض، كما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الذين بنا يُمسك الله السماء أن تقع على الأرض إلا بإذنه، وبنا يُمسك الأرض أن تميد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في الأرض منا لساخت الأرض بأهلها</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أصل ورود الروايات بهذا المضمون يبلغ حد التواتر المعنوي، كما أنه لا مجال للبحث فيها من حيث الصدور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ضم القاعدة العقلية والفلسفية فيما يتعلق بموقع العلة الغائية في وجود وبقاء فعل أو شيء، بل </w:t>
      </w:r>
    </w:p>
    <w:p>
      <w:pPr>
        <w:pStyle w:val="BookText"/>
        <w:rPr/>
      </w:pPr>
      <w:r>
        <w:rPr>
          <w:rFonts w:ascii="IRNazanin" w:hAnsi="IRNazanin" w:eastAsia="IRNazanin"/>
          <w:color w:val="111111"/>
          <w:sz w:val="28"/>
          <w:sz w:val="28"/>
          <w:szCs w:val="28"/>
          <w:rtl w:val="true"/>
          <w:lang w:bidi="fa-IR"/>
        </w:rPr>
        <w:t>وتصريح الروايات بذلك أيضاً، يتضح أن اعتقاد الشيعة في وصف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العلة الغائية للوجود ولعالم الإمكان ابتداء وبقاء، مطابق للعقل والفلسفة ومطابق لصريح الروايات الواردة عن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يوجب على أهل السنة أن يذهبوا إلى الاعتقاد بهذا المضمون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تعرض بعض فلاسفة الشيعة من أمثال صدر المتألهين إلى هذه</w:t>
      </w:r>
    </w:p>
    <w:p>
      <w:pPr>
        <w:pStyle w:val="BookText"/>
        <w:rPr/>
      </w:pPr>
      <w:r>
        <w:rPr>
          <w:rFonts w:ascii="Amiri" w:hAnsi="Amiri" w:eastAsia="Amiri" w:cs="Amiri"/>
          <w:color w:val="111111"/>
          <w:sz w:val="28"/>
          <w:sz w:val="28"/>
          <w:szCs w:val="28"/>
          <w:rtl w:val="true"/>
          <w:lang w:bidi="ar-SA"/>
        </w:rPr>
        <w:t>النظرية، من خلال التمسك بالبرهان الغائي في تفسير الروايات مورد البحث،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وما فيها إنما خلقت لأجله، وكل ما خلق لأجل شيء، فمتى لم يكن لم يكن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بغير إمام لساخت،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أنها خلت من إمام لهلكت و سقطت عن درجة الوجود</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الفيض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في الفصل الأول تحت هذا العنوان إلى أنه طبقاً لكثير من الروايات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المذكورة في مصادر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الروح الحقيقية والنورانية لنبي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الوجود الإلهي الأول الذي يلعب دور الواسطة في انتقال الفيض الإلهي إلى سائر الوجود، وهذا الدور محفوظ في الحدوث والبقاء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يُعبّر عنه العرفاء بالظهور والتجليات المختلفة، ويُعبّر عنه الفلاسفة بالعلل الوسيطة والعقول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فلسفة الإشراق</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بهذه النظرة العرفانية والفلسفية إلى المراتب الوجودية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الضاربة بجذورها في الروايات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 الأئمة في حدوث عالم الإمكان وبقائه، يتضح أن وجودهم لا يقتصر على العلة الغائية فحسب، بل إنه بوصفه علة </w:t>
      </w:r>
    </w:p>
    <w:p>
      <w:pPr>
        <w:pStyle w:val="BookText"/>
        <w:rPr/>
      </w:pPr>
      <w:r>
        <w:rPr>
          <w:rFonts w:ascii="IRNazanin" w:hAnsi="IRNazanin" w:eastAsia="IRNazanin"/>
          <w:color w:val="111111"/>
          <w:sz w:val="28"/>
          <w:sz w:val="28"/>
          <w:szCs w:val="28"/>
          <w:rtl w:val="true"/>
          <w:lang w:bidi="fa-IR"/>
        </w:rPr>
        <w:t xml:space="preserve">فاعلية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البيان العرفاني والحكمة المتعالية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يلعب دوراً هاماً، تم التعبير عنه في لسان الروايات ببقاء الأرض والسماوات بوجود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زوالها رهن بزوالهم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الإجابة تقوم على التوجه العرفاني القائل بأن وجود العالم في كل مرحلة يتوقف على وجود قطب وإنسان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مصداق هذا الإنسان الكامل في عصر الأنبياء هم الأنبياء أنفسهم، إذ إنّهم بمختلف مراتبهم الكمالية يمثلون الفرد الأكمل في كل عصر من عصورهم، وسوف يحتل كل واحد منهم مقام القطب فى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يذهب العرفاء إلى الاعتقاد بأنه بعد موت كل نبي، يعمد الله إلى إحياء بعض الأنبياء بقدرته الإلهية، كي لا تخلو الأرض من الحجة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محيي الدين ابن عربي إلى اعتبار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إلياس وإدريس وعيسى والخضر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القول بنبوته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مصاديق الأقطاب</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مصداق القطب والإنسان الكامل في مرحلة الخاتمية ونبوة الإسلام بعد النبي هم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لا يزال حياً بالقدرة الإلهية وقوام الوجود رهن بوجوده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 المعرفة الإلهية والدينية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الفلسفة من خلق الإنسان هي معرفة الله وعبادته، كي يسلك الإنسان بذلك مراتب الكمال، ويقترب من مقام القرب الربوبي والسعادة الخالدة</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هذا الهدف وهذه الغاية لا يكتب لها التحقق إلا من خلال معرفة </w:t>
      </w:r>
    </w:p>
    <w:p>
      <w:pPr>
        <w:pStyle w:val="BookText"/>
        <w:rPr/>
      </w:pPr>
      <w:r>
        <w:rPr>
          <w:rFonts w:ascii="Amiri" w:hAnsi="Amiri" w:eastAsia="Amiri" w:cs="Amiri"/>
          <w:color w:val="111111"/>
          <w:sz w:val="28"/>
          <w:sz w:val="28"/>
          <w:szCs w:val="28"/>
          <w:rtl w:val="true"/>
          <w:lang w:bidi="ar-SA"/>
        </w:rPr>
        <w:t>الأنبياء والشريعة الإلهية المشتملة على سلسلة من الوسائل والسبل والضرورات والمحظورات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يتربّع الأنبياء والأئمة من الناحية العلمية والعملية على أسمى قمم المعرفة الإلهية، ولذلك يجب على سائر أفراد الإنسانية أن يتعرفوا على هؤلاء العظام وأن يلتزموا بمواعظهم وتعاليمهم على المستوى العملي كي يتمكنوا من الوصول إلى مقام القرب والغاية من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الْأَرْضُ إِلَّا وَلله فِيهَا الْحُجَّةُ يُعَرِّفُ الخَلَالَ وَالحَرَامَ وَيَدْعُو النَّاسَ إِلَى سَبيل الله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فإن معرفة الله وسلوك طريق التكامل والسعادة إنما يكون من خلال معرفة واتباع الأنبياء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ولولا وجود هؤلاء العظام في عالم الإمكان لما كُتب التحقق لفلسفة خلق الإنسان المتمثلة بمعرف فة الله، ومع عدم تحقق العلة الغائية، لن يُكتب التحقق لمقدمتها المتمثلة بأصل خلق الإنسان أيضاً</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الإنبياء والأئمة الأطهار في مرحلة الخاتمية من بوصفهم حجج الله على العباد إنما يمثلون المصدر الوحيد للمعرفة الدينية، ولولا وجودهم، لكان خلق الناس عبثاً ولغواً، إذ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الحجة يُعرّف الحلال والحرام، ويدعو الناس إلى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لولاه لما عُرف الحق من الباطل</w:t>
      </w:r>
      <w:r>
        <w:rPr>
          <w:rFonts w:eastAsia="Amiri" w:cs="Amiri" w:ascii="Amiri" w:hAnsi="Amiri"/>
          <w:color w:val="111111"/>
          <w:sz w:val="28"/>
          <w:szCs w:val="28"/>
          <w:rtl w:val="true"/>
          <w:lang w:bidi="ar-SA"/>
        </w:rPr>
        <w:t>»</w:t>
      </w:r>
      <w:r>
        <w:rPr>
          <w:rStyle w:val="FootnoteAnchor"/>
          <w:rtl w:val="true"/>
        </w:rPr>
        <w:footnoteReference w:id="1035"/>
      </w:r>
      <w:r>
        <w:rPr>
          <w:rFonts w:ascii="Amiri" w:hAnsi="Amiri" w:eastAsia="Amiri" w:cs="Amiri"/>
          <w:color w:val="111111"/>
          <w:sz w:val="28"/>
          <w:sz w:val="28"/>
          <w:szCs w:val="28"/>
          <w:rtl w:val="true"/>
          <w:lang w:bidi="ar-SA"/>
        </w:rPr>
        <w:t xml:space="preserve">،ومن هنا جاء في بعض الروايات أنه لو خلت الأرض من إمام </w:t>
      </w:r>
      <w:bookmarkStart w:id="968" w:name="pg15658_147375"/>
    </w:p>
    <w:p>
      <w:pPr>
        <w:pStyle w:val="BookText"/>
        <w:rPr/>
      </w:pPr>
      <w:bookmarkEnd w:id="968"/>
      <w:r>
        <w:rPr>
          <w:rFonts w:ascii="Amiri" w:hAnsi="Amiri" w:eastAsia="Amiri" w:cs="Amiri"/>
          <w:color w:val="111111"/>
          <w:sz w:val="28"/>
          <w:sz w:val="28"/>
          <w:szCs w:val="28"/>
          <w:rtl w:val="true"/>
          <w:lang w:bidi="ar-SA"/>
        </w:rPr>
        <w:t>لساخت بأهلها، ومن هنا أيضاً ورد في بعض الروايات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آخِرَ مَنْ يَمُوتُ الْإِمَامُ؛ لِئَلَّا يَحْتَجَّ أَحَدٌ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ترَكَهُ بِغَيْرِ حُجَّةِ الله عَلَيْهِ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القول إن شبهة كيفية علة بقاء العالم بالأئمة، يمكن دفعها من خلال الاتجاه النقلى والعقلى، وقد أشرنا في هذا السياق إلى ثلاث إجابات عن هذه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القدماء من متكلمى الإمامية قد أذعنوا للشبهة ونسبوا القول بنظرية كون الأئمة علة لبقاء عالم الإمكان إلى الغلاة، ومن ذلك</w:t>
      </w:r>
    </w:p>
    <w:p>
      <w:pPr>
        <w:pStyle w:val="BookText"/>
        <w:rPr/>
      </w:pPr>
      <w:r>
        <w:rPr>
          <w:rFonts w:ascii="Amiri" w:hAnsi="Amiri" w:eastAsia="Amiri" w:cs="Amiri"/>
          <w:color w:val="111111"/>
          <w:sz w:val="28"/>
          <w:sz w:val="28"/>
          <w:szCs w:val="28"/>
          <w:rtl w:val="true"/>
          <w:lang w:bidi="ar-SA"/>
        </w:rPr>
        <w:t>قول السيد المرتضى في جوابه عن الشبهة المذكورة عن القاضي عبد الجبار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نعرفه قولاً لأحد من الإمامية تقدم ولا تأخر، إلا أن يريد ما تقدم حكايته من قول الغلاة</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يعبّر عن عدم تطوّر وتكامل علم الكلام في ذلك العصر، وأما في العصر الراهن فقد تم جبران هذا الضعف من خلال استعانة علم الكلام بالعرفان والفلسفة، وخاصة الفلسفة المتعالية، وكانت الإجابة الثانية حصيلة هذا التطور والتكامل في علم الكلام</w:t>
      </w:r>
      <w:r>
        <w:rPr>
          <w:rFonts w:eastAsia="Amiri" w:cs="Amiri" w:ascii="Amiri" w:hAnsi="Amiri"/>
          <w:color w:val="111111"/>
          <w:sz w:val="28"/>
          <w:szCs w:val="28"/>
          <w:rtl w:val="true"/>
          <w:lang w:bidi="ar-SA"/>
        </w:rPr>
        <w:t>.</w:t>
      </w:r>
    </w:p>
    <w:p>
      <w:pPr>
        <w:pStyle w:val="Heading4"/>
        <w:numPr>
          <w:ilvl w:val="3"/>
          <w:numId w:val="1"/>
        </w:numPr>
        <w:rPr/>
      </w:pPr>
      <w:bookmarkStart w:id="969" w:name="__RefHeading___Toc11030909_2142443653"/>
      <w:bookmarkStart w:id="970" w:name="_Toc350"/>
      <w:bookmarkEnd w:id="969"/>
      <w:r>
        <w:rPr>
          <w:rtl w:val="true"/>
        </w:rPr>
        <w:t>الإجابة عن شبهة من تولى حفظ العالم قبل الأئمة</w:t>
      </w:r>
      <w:r>
        <w:rPr>
          <w:rtl w:val="true"/>
        </w:rPr>
        <w:t>(</w:t>
      </w:r>
      <w:r>
        <w:rPr>
          <w:rtl w:val="true"/>
        </w:rPr>
        <w:t>علیهم السّلام</w:t>
      </w:r>
      <w:r>
        <w:rPr>
          <w:rtl w:val="true"/>
        </w:rPr>
        <w:t>):</w:t>
      </w:r>
      <w:bookmarkEnd w:id="970"/>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اتضح الجواب عن الجزء الثاني من الشبهة، وهو الجزء الذي يتساءل عن كيفية قوام السماوات والأرض فى العصور السابقة على </w:t>
      </w:r>
      <w:bookmarkStart w:id="971" w:name="pg15658_147376"/>
    </w:p>
    <w:p>
      <w:pPr>
        <w:pStyle w:val="BookText"/>
        <w:rPr/>
      </w:pPr>
      <w:bookmarkEnd w:id="971"/>
      <w:r>
        <w:rPr>
          <w:rFonts w:ascii="IRNazanin" w:hAnsi="IRNazanin" w:eastAsia="IRNazanin"/>
          <w:color w:val="111111"/>
          <w:sz w:val="28"/>
          <w:sz w:val="28"/>
          <w:szCs w:val="28"/>
          <w:rtl w:val="true"/>
          <w:lang w:bidi="fa-IR"/>
        </w:rPr>
        <w:t>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إذ بالالتفات إلى الجواب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الأنبياء والأئمة غاية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ضرورة لوجود الغاية منذ المرحلة الأولى لبداية الفعل، بل الأمر كما هو واضح من تسمية العلة بالعلة الغائية، أنه غاية للخلق وليس مقدمة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لا يكون وجود الأئمة في الأعصار السابقة عليهم واجباً ولازماً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والأئمة واسطة الفيض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يعتبر الوجود النوراني للنبي الأكرم والأئمة لا في هذه الدنيا، بل في عالم الأرواح والأنوار على ما جاء في التعبير الروائي، وعالم العقول بحسب التعبير الفلسفي، وهذا الأمر متحقق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واسطة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الوجود المادي للأئمة في العالم والدنيا، حيث كانوا مصدر المعارف الدينية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مراد الروايات من القول بأنه لولا الإمام لساخت الأرض بأهلها، هو الإمام في عصر الخاتمية، وينحصر مفهوم الإمام في هذه المرحلة بالأئمة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أنه يمكن القول إن المراد من الإمام مطلق الحجّة الإلهية الشامل للأنبياء أيضاً، حيث كانوا بدورهم حجة إلهية، ومبينون لأحكام الحلال والحرام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الشبهة المذكورة ناظرة إلى الولاية التكوينية، حيث سنأتي في الصفحات التالية على ذكر مزيد من الإيضاحات وبيان المسائل والنقاط الأخرى</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030911_2142443653"/>
      <w:bookmarkStart w:id="973" w:name="_Toc351"/>
      <w:bookmarkEnd w:id="972"/>
      <w:r>
        <w:rPr>
          <w:rtl w:val="true"/>
        </w:rPr>
        <w:t xml:space="preserve">الشبهة الثانية عشرة </w:t>
      </w:r>
      <w:r>
        <w:rPr>
          <w:rtl w:val="true"/>
        </w:rPr>
        <w:t xml:space="preserve">: </w:t>
      </w:r>
      <w:r>
        <w:rPr>
          <w:rtl w:val="true"/>
        </w:rPr>
        <w:t>إنكار الولاية التكوينية للأئمة</w:t>
      </w:r>
      <w:r>
        <w:rPr>
          <w:rtl w:val="true"/>
        </w:rPr>
        <w:t>(</w:t>
      </w:r>
      <w:r>
        <w:rPr>
          <w:rtl w:val="true"/>
        </w:rPr>
        <w:t>علیهم السّلام</w:t>
      </w:r>
      <w:r>
        <w:rPr>
          <w:rtl w:val="true"/>
        </w:rPr>
        <w:t>):</w:t>
      </w:r>
      <w:bookmarkEnd w:id="973"/>
    </w:p>
    <w:p>
      <w:pPr>
        <w:pStyle w:val="Heading4"/>
        <w:numPr>
          <w:ilvl w:val="3"/>
          <w:numId w:val="1"/>
        </w:numPr>
        <w:rPr/>
      </w:pPr>
      <w:bookmarkStart w:id="974" w:name="__RefHeading___Toc11030913_2142443653"/>
      <w:bookmarkStart w:id="975" w:name="_Toc352"/>
      <w:bookmarkEnd w:id="974"/>
      <w:r>
        <w:rPr>
          <w:rtl w:val="true"/>
        </w:rPr>
        <w:t>اشارة</w:t>
      </w:r>
      <w:bookmarkEnd w:id="975"/>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أنكر الولاية الباطنية والتكوينية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76" w:name="pg15658_147377"/>
    </w:p>
    <w:p>
      <w:pPr>
        <w:pStyle w:val="BookText"/>
        <w:rPr/>
      </w:pPr>
      <w:bookmarkEnd w:id="976"/>
      <w:r>
        <w:rPr>
          <w:rFonts w:ascii="Amiri" w:hAnsi="Amiri" w:eastAsia="Amiri" w:cs="Amiri"/>
          <w:color w:val="111111"/>
          <w:sz w:val="28"/>
          <w:sz w:val="28"/>
          <w:szCs w:val="28"/>
          <w:rtl w:val="true"/>
          <w:lang w:bidi="ar-SA"/>
        </w:rPr>
        <w:t xml:space="preserve">وينسبون ذلك إلى العرفاء من أمثال محيي الدين بن عربي، والسيد حيدر الأملي، حتى جاء القرن الحادي عشر، حيث تم التأسيس 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المذهب الفلسفي لصدر المتألهين</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الجواب عن هذه الشبهة في فصل عدم انسجام الإمامة مع الخاتمية في معرض الحديث عن شبهة الإلهام والولاية الباطنية بالتفصيل، ومع ذلك نشير هنا إلى بعض النقاط</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1030915_2142443653"/>
      <w:bookmarkStart w:id="978" w:name="_Toc353"/>
      <w:bookmarkEnd w:id="977"/>
      <w:r>
        <w:rPr>
          <w:rtl w:val="true"/>
        </w:rPr>
        <w:t xml:space="preserve">أ </w:t>
      </w:r>
      <w:r>
        <w:rPr>
          <w:rtl w:val="true"/>
        </w:rPr>
        <w:t xml:space="preserve">- </w:t>
      </w:r>
      <w:r>
        <w:rPr>
          <w:rtl w:val="true"/>
        </w:rPr>
        <w:t>الولاية التكوينية ثمرة القرب الإلهي</w:t>
      </w:r>
      <w:r>
        <w:rPr>
          <w:rtl w:val="true"/>
        </w:rPr>
        <w:t>:</w:t>
      </w:r>
      <w:bookmarkEnd w:id="978"/>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المسألة الأولى التى يجب الالتفات إليها هي أن الولاية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إمكان التدخل والتصرف في التكوينيات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تنحصر بالأنبياء والأئمة فقط، إذ إن هذه الولاية وهذه القدرة إنّما هي حصيلة تكامل النفس الإنسانية وثمرة تهذيبها بالصفات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يمكن للإنسان الكامل بمقدار ما يتمتع به من المراتب الكمالية للنفس أن يتصرف في الكون، فتصدر عنه بعض الأعمال الخارقة للعادة،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المصطلح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 التأكيد في الروايات على منزلة القرب الإلهي للإنسان وحصوله على الفيض الإلهي أيضاً ومنها هذه الرواية القدسية المعروفة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عبدي يتقرب إلي بالنوافل حتى أحبه، فإذا أحببته كنت سمعه الذي يسمع به، وبصره الذي يبصر به، ويده التي يبطش بها ، ورجله التي يمشي بها</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979" w:name="pg15658_147378"/>
    </w:p>
    <w:p>
      <w:pPr>
        <w:pStyle w:val="BookText"/>
        <w:rPr/>
      </w:pPr>
      <w:bookmarkEnd w:id="979"/>
      <w:r>
        <w:rPr>
          <w:rFonts w:ascii="IRNazanin" w:hAnsi="IRNazanin" w:eastAsia="IRNazanin"/>
          <w:color w:val="111111"/>
          <w:sz w:val="28"/>
          <w:sz w:val="28"/>
          <w:szCs w:val="28"/>
          <w:rtl w:val="true"/>
          <w:lang w:bidi="fa-IR"/>
        </w:rPr>
        <w:t>وقد ذكر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قلعه لباب خيبر، وقذفه وراء ظهره مسافة أربعين ذراعاً لم يكن بقوة جسدية أو اتباع حمية غذائية، بل كان بقوة ملكوتية ونفس مستضيئة بنور ربها، وإليك نص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قلعت باب خيبر ورميت به خلف ظهري أربعين ذراعاً بقوة جسدية، ولا حركة غذائية، لكني أيّدت بقوة ملكوتية، ونفس بنور ربها مضيئة</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0" w:name="__RefHeading___Toc11030917_2142443653"/>
      <w:bookmarkStart w:id="981" w:name="_Toc354"/>
      <w:bookmarkEnd w:id="980"/>
      <w:r>
        <w:rPr>
          <w:rtl w:val="true"/>
        </w:rPr>
        <w:t xml:space="preserve">ب </w:t>
      </w:r>
      <w:r>
        <w:rPr>
          <w:rtl w:val="true"/>
        </w:rPr>
        <w:t xml:space="preserve">- </w:t>
      </w:r>
      <w:r>
        <w:rPr>
          <w:rtl w:val="true"/>
        </w:rPr>
        <w:t>التجارب العادية والعرفانية</w:t>
      </w:r>
      <w:r>
        <w:rPr>
          <w:rtl w:val="true"/>
        </w:rPr>
        <w:t>:</w:t>
      </w:r>
      <w:bookmarkEnd w:id="981"/>
    </w:p>
    <w:p>
      <w:pPr>
        <w:pStyle w:val="BookText"/>
        <w:rPr/>
      </w:pPr>
      <w:r>
        <w:rPr>
          <w:rFonts w:ascii="Amiri" w:hAnsi="Amiri" w:eastAsia="Amiri" w:cs="Amiri"/>
          <w:color w:val="111111"/>
          <w:sz w:val="28"/>
          <w:sz w:val="28"/>
          <w:szCs w:val="28"/>
          <w:rtl w:val="true"/>
          <w:lang w:bidi="ar-SA"/>
        </w:rPr>
        <w:t>إن هذا ليس مجرد ادّعاء فقط، بل يكفي أن نلقي نظرة عابرة على الأتقياء والواصلين من عباد الله في مجتمعاتنا أو المصادر المعتبرة، حتى ندرك أو نعثر على الكثير من هذه الشخصيات الموثقة في المصادر الأخلاقية والعرفانية، وما تواتر عنهم من الأمور والكرامات الخارقة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ففضلاً عن المجتمعات العرفية يتم التأكيد من قبل العرفاء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الشيعة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بعض الفلاسفة على صدور الكرامات من بعض الخاصة من الأشخاص، فإن الشيخ الرئيس ابن سينا يحذر أولئك الذين يُنكرون صدور الأفعال الخارقة عن العرفاء، ويدعوهم إلى وضعها في الحد الأدنى ضمن خانة الإمكان</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الفلاسفة والعرفاء من طريق النفس القدسية للإنسان وكمالها ومقدرتها إلى بيان معجزات الأنبياء وتقريرها، وكذلك خوارق العادة والكرامات الأخرى لبعض الأشخاص، وقد تحدثت عن ذلك بالتفصيل في كتاب مستقل</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bookmarkStart w:id="982" w:name="pg15658_147379"/>
    </w:p>
    <w:p>
      <w:pPr>
        <w:pStyle w:val="Heading4"/>
        <w:numPr>
          <w:ilvl w:val="3"/>
          <w:numId w:val="1"/>
        </w:numPr>
        <w:rPr/>
      </w:pPr>
      <w:bookmarkStart w:id="983" w:name="__RefHeading___Toc11030919_2142443653"/>
      <w:bookmarkStart w:id="984" w:name="_Toc355"/>
      <w:bookmarkEnd w:id="982"/>
      <w:bookmarkEnd w:id="983"/>
      <w:r>
        <w:rPr>
          <w:rtl w:val="true"/>
        </w:rPr>
        <w:t xml:space="preserve">ج </w:t>
      </w:r>
      <w:r>
        <w:rPr>
          <w:rtl w:val="true"/>
        </w:rPr>
        <w:t xml:space="preserve">- </w:t>
      </w:r>
      <w:r>
        <w:rPr>
          <w:rtl w:val="true"/>
        </w:rPr>
        <w:t>اعتراف الأشاعرة</w:t>
      </w:r>
      <w:r>
        <w:rPr>
          <w:rtl w:val="true"/>
        </w:rPr>
        <w:t>:</w:t>
      </w:r>
      <w:bookmarkEnd w:id="984"/>
    </w:p>
    <w:p>
      <w:pPr>
        <w:pStyle w:val="BookText"/>
        <w:rPr/>
      </w:pPr>
      <w:r>
        <w:rPr>
          <w:rFonts w:ascii="Amiri" w:hAnsi="Amiri" w:eastAsia="Amiri" w:cs="Amiri"/>
          <w:color w:val="111111"/>
          <w:sz w:val="28"/>
          <w:sz w:val="28"/>
          <w:szCs w:val="28"/>
          <w:rtl w:val="true"/>
          <w:lang w:bidi="ar-SA"/>
        </w:rPr>
        <w:t xml:space="preserve">تقدم في نقد شبهة عدم انسجام الإلهام والولاية الباطنية مع الخاتمية في فصل الإمامة والخاتمية، أن أكثر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يعترفون بصدور الأمور الخارقة للعادة، وجريان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أيدي أوليائهم وشيوخهم، وهناك منهم من أثبت هذه الكرامات والمراتب لعمر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هل يكون هناك ما يدعو إلى العجب لو أن الشيعة أثبتوا هذه المنزلة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تربى في حجر النبي منذ نعومة أظفاره، ورويت في فضله الكثير من الروايات؟ أم أن العجيب هو استكثار ذلك على مثل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985" w:name="__RefHeading___Toc11030921_2142443653"/>
      <w:bookmarkStart w:id="986" w:name="_Toc356"/>
      <w:bookmarkEnd w:id="985"/>
      <w:r>
        <w:rPr>
          <w:rtl w:val="true"/>
        </w:rPr>
        <w:t xml:space="preserve">د </w:t>
      </w:r>
      <w:r>
        <w:rPr>
          <w:rtl w:val="true"/>
        </w:rPr>
        <w:t xml:space="preserve">- </w:t>
      </w:r>
      <w:r>
        <w:rPr>
          <w:rtl w:val="true"/>
        </w:rPr>
        <w:t>القرآن والولاية التكوينية لغير الأنبياء</w:t>
      </w:r>
      <w:r>
        <w:rPr>
          <w:rtl w:val="true"/>
        </w:rPr>
        <w:t>:</w:t>
      </w:r>
      <w:bookmarkEnd w:id="986"/>
    </w:p>
    <w:p>
      <w:pPr>
        <w:pStyle w:val="BookText"/>
        <w:rPr/>
      </w:pPr>
      <w:r>
        <w:rPr>
          <w:rFonts w:ascii="Amiri" w:hAnsi="Amiri" w:eastAsia="Amiri" w:cs="Amiri"/>
          <w:color w:val="111111"/>
          <w:sz w:val="28"/>
          <w:sz w:val="28"/>
          <w:szCs w:val="28"/>
          <w:rtl w:val="true"/>
          <w:lang w:bidi="ar-SA"/>
        </w:rPr>
        <w:t xml:space="preserve">يذكر القرآن الكريم في الكثير من آياته نماذج من الإنسان الكامل الذي يتمتع بمنزلة القرب من الله حتى وإن لم يكونوا أنبياء، وأثبت لهم مبدأ القيام بالأمور الخارقة للعادة، وفيما يأتي نشير إلى بعض هذه النماذج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عفريت الجن وآصف بن برخيا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النبي سليمان أفراد حاشيته والمقربين منه من يمكنه أن يأتيه بعرش بلقيس من مدينة سبأ في اليمن فوراً، ذكر القرآن الكريم شخصين، أحدهما عفريت من الجن والآخر من الإنس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بن برخيا، حيث قال 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آتِيكَ بِهِ قَبْلَ أَنْ تَقُومَ مِنْ مَقَامِكَ وَإِنِّي عَلَيْهِ لَقَوِيٌّ أَمِينٌ</w:t>
      </w:r>
      <w:r>
        <w:rPr>
          <w:rFonts w:ascii="IRNazanin" w:hAnsi="IRNazanin" w:eastAsia="IRNazanin"/>
          <w:color w:val="111111"/>
          <w:sz w:val="28"/>
          <w:sz w:val="28"/>
          <w:szCs w:val="28"/>
          <w:rtl w:val="true"/>
          <w:lang w:bidi="fa-IR"/>
        </w:rPr>
        <w:t xml:space="preserve">، بينما زاد علیه آصف بن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عنده علم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آتِيكَبِهِ قَبْلَ أَنْ يَرْتَدَّ إِلَيْكَ طَرْفُكَ</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والملفت أن القرآن الكريم يذكر لآصف بن برخيا خصوصية أنه يمتلك علم شيء من الكتاب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w:t>
      </w:r>
      <w:r>
        <w:rPr>
          <w:rFonts w:ascii="IRNazanin" w:hAnsi="IRNazanin" w:eastAsia="IRNazanin"/>
          <w:color w:val="111111"/>
          <w:sz w:val="28"/>
          <w:sz w:val="28"/>
          <w:szCs w:val="28"/>
          <w:rtl w:val="true"/>
          <w:lang w:bidi="fa-IR"/>
        </w:rPr>
        <w:t>، وهو أمرٌ يُثبت أن الذي يمتلك مثل هذا العلم بالكتاب، خاصة إذا كان هذا الكتاب السماوي كتاباً مثل القرآن الكريم، وكان العالم به شخصاً مثل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سيكون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بطبيعة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أقدر من آصف بن برخيا في التحكم بالظواهر الكونية والولاية التكوينية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القرنين كان ذو القرنين على ما ورد في القرآن الكريم، قد وهبه الله القدرة على تسخير الظواهر الكونية والتحكم بها، إذ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مَكَّنَّا لَهُ فِي الْأَرْضِ وَآتَيْنَاهُ مِنْ كُلِّ شَيْءٍ سَبَبًا</w:t>
      </w:r>
      <w:r>
        <w:rPr>
          <w:rStyle w:val="FootnoteAnchor"/>
          <w:rtl w:val="true"/>
        </w:rPr>
        <w:footnoteReference w:id="1044"/>
      </w:r>
      <w:r>
        <w:rPr>
          <w:rFonts w:ascii="Amiri" w:hAnsi="Amiri" w:eastAsia="Amiri" w:cs="Amiri"/>
          <w:color w:val="111111"/>
          <w:sz w:val="28"/>
          <w:sz w:val="28"/>
          <w:szCs w:val="28"/>
          <w:rtl w:val="true"/>
          <w:lang w:bidi="ar-SA"/>
        </w:rPr>
        <w:t>، ومن بين مصاديق تحكمه بالظواهر الكونية أنه كان يطوي المسافة ما بين المشرق والمغرب في فترة زمنية قصيرة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تحدث القرآن عن أم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والسيدة مريم العذراء أم السيد المسيح، ولقمان والخضر بوصفهم من الأشخاص الكاملين الذين منحهم وأكرمهم بقدرة التحكم بالظواهر الطبيعية والكونية، ولذلك كانت تصدر عنهم الكرامات وما سوى ذلك من الأمور الخارقة للعادة</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الولاية التكوينية من طريق العليّة الطولية أو المظهرية</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يتبادر إلى الذهن هنا أن القول بامتلاك الأولياء والأئمة القدرة على التصرف والتحكم بالتكوينيات، ونسبة الأمور الخارقة إليهم قد يمنح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الكون إلى صاحب الولاية التكوينية، وهذا يتعارض مع أصل التوحيد الفاعلي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الجواب عن هذا السؤال يجب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من قبيل أفعال الإنسان وتصرفاته الاعتيادية التي أدّت بالمعتزلة إلى القول بالتفويض، كما أدّت بالأشاعرة إلى القول بالجبر ولكن الطريق الصحيح في ذلك هو القول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بين تقريرات هذا المبدأ طرح المسألة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العليّة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العلة الأولى لكل فعل هو الله، إلا أن الله يقوم بأفعاله من خلال الأسباب والعلل والوسائط، وإن العلل الوسيطة تأخذ أصل وجودها وقوامها من العلة الأولى المتمثلة بالله سبحانه، وعليه فإن الفعل الخارق للعادة الذي يصدر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بإذن الله ويصدر من طريق العلل الوسيطة، فإنه يُنسب إلى الله، وإن جميع سلسلة العلل في أصل وجودها وقوامها متقومة بالله أيضاً، ولذلك لا يكون هناك أدنى تعارض مع فاعلية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التقرير يعود إلى الفلسفة المشائية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التقرير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يتقدّم به عادة العرفاء وفلاسفة الإشراق والحكمة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يقول بالعلية، وإنما يقول بالمظهرية والتجلّي، بمعنى 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الأولياء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مظهر وتجل للفعل الإلهي، حيث وصلوا من حيث الإيمان والتهذيب وتكامل النفس إلى أعلى درجات القرب الإلهي، وأصبحوا محلاً لتجلي وظهور الفعل الإلهي، كالمرآة التي تعكس نور </w:t>
      </w:r>
    </w:p>
    <w:p>
      <w:pPr>
        <w:pStyle w:val="BookText"/>
        <w:rPr/>
      </w:pPr>
      <w:r>
        <w:rPr>
          <w:rFonts w:ascii="Amiri" w:hAnsi="Amiri" w:eastAsia="Amiri" w:cs="Amiri"/>
          <w:color w:val="111111"/>
          <w:sz w:val="28"/>
          <w:sz w:val="28"/>
          <w:szCs w:val="28"/>
          <w:rtl w:val="true"/>
          <w:lang w:bidi="ar-SA"/>
        </w:rPr>
        <w:t>الصورة، وإلى هذا المعنى يُشير الحديث القدسي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عبدي يتقرب إلي بالنوافل حتى أحبه، فإذا أحببته كنت سمعه الذي يسمع به، وبصره الذي يبصر به ويده التي يبطش بها ورجله التي يمشى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المأثورة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حُجَّةُ الله وَنَحْنُ بَابُ الله وَنَحْنُ لِسَانُ الله ونحن وجه جه الله وَنَحْنُ عَيْنُ اللهِ فِي خَلْقِهِ وَنَحْنُ وَلَاةٌ أَمْرِ اللَّهِ فِي عِبَادِهِ</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هذا الأساس، 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تأثير في تحقق بعض الأحداث أو جميع أمور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بالالتفات إلى التقريرين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العلية الطولية والمظهرية الإلهية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يلزم من ذلك أي تالم فاسد، بل إن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الرواية الدالة على كون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وسطاء في الفيض، على ما تقدّم في الفصل الأول في بحث فلسفة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يُؤيّد هذا المعنى أيضاً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 آيات القرآن الكريم، تؤكد على وجود الوسائط في إدارة العالم، فنجد القرآن تارة ينسب مهمة قبض الأرواح لنفسه، وتارة أخرى لملك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إلى الملائكة في بعض الموارد</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تعالى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Style w:val="FootnoteAnchor"/>
          <w:rtl w:val="true"/>
        </w:rPr>
        <w:footnoteReference w:id="1050"/>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Style w:val="FootnoteAnchor"/>
          <w:rtl w:val="true"/>
        </w:rPr>
        <w:footnoteReference w:id="1051"/>
      </w:r>
      <w:r>
        <w:rPr>
          <w:rFonts w:ascii="Amiri" w:hAnsi="Amiri" w:eastAsia="Amiri" w:cs="Amiri"/>
          <w:color w:val="111111"/>
          <w:sz w:val="28"/>
          <w:sz w:val="28"/>
          <w:szCs w:val="28"/>
          <w:rtl w:val="true"/>
          <w:lang w:bidi="ar-SA"/>
        </w:rPr>
        <w:t>، إن هاتين الآيتين الشريفتين تخبران عن وجود إدارة وهناك من يقسّم تدبير أمور العالم والمصداق الأبرز لهؤلاء هم الملائكة المقربون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ويتضح من ذلك أن الله قد ترك إدارة بعض الأمور وتدبيرها </w:t>
      </w:r>
    </w:p>
    <w:p>
      <w:pPr>
        <w:pStyle w:val="BookText"/>
        <w:rPr/>
      </w:pPr>
      <w:r>
        <w:rPr>
          <w:rFonts w:ascii="IRNazanin" w:hAnsi="IRNazanin" w:eastAsia="IRNazanin"/>
          <w:color w:val="111111"/>
          <w:sz w:val="28"/>
          <w:sz w:val="28"/>
          <w:szCs w:val="28"/>
          <w:rtl w:val="true"/>
          <w:lang w:bidi="fa-IR"/>
        </w:rPr>
        <w:t>إلى مخلوقاته الأخرى، ومثل هذا التفويض لا يكون باطلاً، بل هو مو موضع تأیید القرآن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فإن الشيعة عندما يؤكدون على الولاية التكوينية للأئمة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وينسبون إليهم تدبير شؤون العالم بإذن الله وعنايته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بأحد المعنيين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العلية الطولية، والمظهرية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يكون في ذلك أي نوع من أنواع التهافت أو المعارضة مع التوحيد الأفعالي والربوبي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أضفنا إلى هذا البحث مبنى الشيعة القاضي بأفضلية أهل البيت على الملائكة وأدلتهم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بحثه في الفصل الثاني على هامش شبهة أفضلية الإمامة والأئمة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أن الولاية التكوينية للأئمة أولى بالقبول من الولاية التكوينية للملائكة أيضاً</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حصيلة الكلام أن الولاية التكوينية لأئمة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في عرض الولاية التكوينية الله، كي تكون متعارضة مع التوحيد الأفعالي والربوبي، وتوهم الشرك، بل أن ولايتهم تقع في طول الولاية الإلهية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في ذلك العلية الحقيقية أو الإعدادية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عرفانية وروائية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المعصومين مظهر وتجل لولاية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أفعال المعصومين، من قبيل نزول المطر، وحفظ السماوات ليس من باب الفاعل الحقيقي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من باب الوسيلة والأداة القابلة وواسطة الفيض والإفاضة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توضيح ذلك وذكر الروايات الواردة بهذا الشان في الفصل الأول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علة البقاء وحفظ الأرض</w:t>
      </w:r>
      <w:r>
        <w:rPr>
          <w:rFonts w:eastAsia="IRNazanin" w:cs="IRNazanin"/>
          <w:color w:val="111111"/>
          <w:sz w:val="28"/>
          <w:szCs w:val="28"/>
          <w:rtl w:val="true"/>
          <w:lang w:bidi="fa-IR"/>
        </w:rPr>
        <w:t xml:space="preserve">». </w:t>
      </w:r>
      <w:bookmarkStart w:id="987" w:name="pg15658_147384"/>
    </w:p>
    <w:p>
      <w:pPr>
        <w:pStyle w:val="Heading3"/>
        <w:numPr>
          <w:ilvl w:val="2"/>
          <w:numId w:val="1"/>
        </w:numPr>
        <w:rPr/>
      </w:pPr>
      <w:bookmarkStart w:id="988" w:name="__RefHeading___Toc11030923_2142443653"/>
      <w:bookmarkStart w:id="989" w:name="_Toc357"/>
      <w:bookmarkEnd w:id="987"/>
      <w:bookmarkEnd w:id="988"/>
      <w:r>
        <w:rPr>
          <w:rtl w:val="true"/>
        </w:rPr>
        <w:t>المصادر</w:t>
      </w:r>
      <w:bookmarkEnd w:id="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آشوري ،داریوش، دانشنامه سیاسی ،مروارید، طهران،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الألباني، محمد ناصر الدين، سلسلة الأحاديث الصحيحة،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،مكتبة المعارف للنشر والتوزيع، الرياض،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الآلوسي، محمود بن عبد الله، مختصر التحفة الإثنى عشرية، إدارة البحوث الإسلامية، بنارس،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سيف الدين، أبكار الأفكار في أصول الدين، دار الكتب العلمية،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الآمدي، سيف الدين، غاية المرام في علم الكلام، دار الكتب العلمية،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فضائل الصحابة، مؤسسة الرسالة،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الإسكافي، المعيار والموازنة،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ترجمه إلى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مهدي الدامغاني، نشر ني، طهران،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الإسفرائيني، شهقور بن طاهر، التبصير في الدين، خانجي، مصر،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الحديد المعتزلي، 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الأثير، الكامل في التاريخ، دار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كتب ورسائل وفتاوى ابن تيمية،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أحمد عبد الحليم بن تيمية،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تيمية، مجموعة الرسائل الكبرى،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مجموعة فتاوى ابن تيمية،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النجدي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تيمية، منهاج السنة النبوية،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حیان، صحيح ابن حيان، مؤسسة الرسالة، 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تاریخ ابن خلدون، دار الفكر، بيروت،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خلدون، المقدمة، دار الفكر،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عربي، محيي الدين، الفتوحات المكية،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عربي، محيي الدين، فصوص الحكم، مع تعليقات العقيقي، الزهراء، طهران،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عساکر، تاريخ مدينة دمشق، دار الفكر، بيروت،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البداية والنهاية، دار المعرفة،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میثم، ميثم بن علي، النجاة في القيامة في تحقق أمر الإمامة، بژوهشگاه علوم انساني،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میثم، ميثم بن علي، شرح نهج البلاغة،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ميثم، ميثم بن علي، قواعد المرام، مكتبة آية الله المرعشي النجفي، 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هشام، السيرة النبوية، دار الفكر، بيروت،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الإربلي ، ابن أبي الفتح، كشف الغمة، دار الأضواء،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الإصفهاني، محمد حسين، حاشية المكاسب،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سباع القطيفي،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أمين أحمد ضحى الإسلام،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أمين، الشيخ، الصراع بين الإسلام والوثنية،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فارس الحسون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الغدير، دار الكتب الإسلامية، طهران،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الإيجي، القاضي عضد الدين، المواقف، شرح السيد الشريف الجرجاني، دار الكتب العلمية،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الإيماني، محمد مهدي، الإمام علي في آراء الخلفاء،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الكمالي البحراني، مؤسسة المعارف الإسلامية، قم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تورمور، تامس برتون، نخبگان و جامعه، علي رضا طیب، دانشگاه 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بازرگان ،مهدي، آخرت وخدا هدف بعثت، مؤسسة خدمات فرهنگي رسا، طهران،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الباقلاني، محمد بن طيبة، تمهيد الأوائل، دار الكتاب الثقافة،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البحراني، الشيخ على، منار الهدى في النص على إمامة الأئمة الإثنى عشر، دار المنتظر،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البخاري، محمد بن إسماعيل، صحيح البخاري، دار ابن كثير، اليمامة،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البرفي، محمد، سيماي علي از منظر أهل سنت، دار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البرقعي، أبو الفضل، تضاد مفاتیح با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البروجردي، آية الله العظمى السيد حسين، جامع أحاديث الشيعة، چاپخانه مهر،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أبو بكر، تاريخ بغداد، 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 أحمد بن عبد العزيز السقيفة،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البغدادي، عبد القاهر، الفرق بين الفرق،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البغدادي ،عبدالقاهر، كتاب أصول الدين، دار الفكر، بيروت،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البلاذري، أحمد، أنساب الأشراف، دار التعارف،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 علي سينا، إلهيات الشفاء،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مذكور،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 آزار الشيرازي، عبد الكريم، الوحدة الإسلامية أو التقريب بين المذاهب الإسلامية، المجمع العالمي للتقريب بين المذاهب الإسلامية، طهران،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 آزار الشيرازي، عبد الكريم، همبستگي مذاهب إسلامي، دار نشر الهدى، طهران،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بيات، عبد الرسول و آخرون، فرهنگ واژه ها، مؤسسة انديشه وفرهنگي ديني، قم المقدسة،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پوبر، کال ریموند، جامعه باز و دشمنانش، ج ، دار نشر الخوارزمي،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تارو ،لستر، آینده سرمایه داري،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كياوند، نشر دیدار،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التفتازاني، سعد الدين، شرح العقائد النسفية، الكليات الأزهرية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التفتازاني، سعد الدين، شرح الدين شرح المقاصد، انتشارات الشريف الرضي، قم المقدسة،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جعفریان ،رسول، تاریخ تشیع در ایران، انتشارات أنصاريان، قم المقدسة،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جوادي ،سید کمال، فهرستواره ایرادات و شبهات علیه شیعیان در هند وباكستان، وزارت فرهنگ و ارشاد،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جوادي آملي، عبد الله، تفسير موضوعي، توحید در 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نشر إسراء، قم المقدسة،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جوادي آملي، عبد الله، ولایت در قرآن، مرکز نشر فرهنگي رجاء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إمام الحرمين، غياث الأمم في التياث الظلم، الدوحة،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الجويني، إمام الحرمين، كتاب الإرشاد، مكتبة الخانجي، مصر،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الحاكم الحسكاني، عبيد الله، شواهد التنزيل لقواعد التفضيل،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باقر البهبودي، وزارت فرهنگ و ارشاد اسلامی، طهران،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الحائري اليزدي، مهدي، حكمت و حکومت، لندن، </w:t>
      </w:r>
      <w:r>
        <w:rPr>
          <w:rFonts w:eastAsia="IRNazanin" w:cs="IRNazanin"/>
          <w:color w:val="111111"/>
          <w:sz w:val="28"/>
          <w:szCs w:val="28"/>
          <w:lang w:bidi="fa-IR"/>
        </w:rPr>
        <w:t>1994</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حجاریان ،سعید، از شاهد قدسي تا شاهد بازاري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حجتي كرماني، محمد جواد، صحيفة اطلاعات، 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 العاملي، الشيخ وسائل الشيعة مؤسسة آل البيت،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الحراني، ابن شعبة، تحف العقول،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حسن زاده الآملي، انتشارات آل علي، قم المقدسة،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الحسيني الخطيب، السيد عبد الزهراء، مصادر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حسيني طهراني، السيد محمد حسین، امام شناسي، نشر حکمت، 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الحكيم، محسن، مستمسك العروة الوثقى، مؤسسة اسماعيليان،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الحكيمي، محمدرضا، خورشید مغرب، انتشارات دليل ما،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الحكيمي، محمد رضا، مشعل جاويد،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مهدوي راد، وزارت فرهنگ و ارشاد،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،العلامة، الألفين في إمامة مولانا أمير المؤمنين، دار الهجرة،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الحلي العلامة مبادئ الوصول إلى علم الأصول، مكتب الإعلام الإسلامي، قم المقدسة،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الحمصي الرازي، المنقذ من التقليد، انتشارات اسلامي،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الحنبلي القدسي، أبو عبد الله محمد، الأحاديث المختارة،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دهيش، مكتبة النهضة الحديثة، مكة المكرمة،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الحنفي، الشيخ نوح، تنقيح الفتاوى، الحامدية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الخميني، السيد روح الله، التعليقات على شرح الفصوص، مؤسسة باسدار اسلام،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الخميني، السيد روح الله، صحیفه امام، وزارت ارشاد، طهران،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الخميني، السيد روح الله، كتاب الطهارة، مؤسسه مطبوعاتي إسماعيليان، قم المقدسة،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الخميني، السيد روح الله ، كشف الأسرار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الخميني، السيد روح الله، مصباح الهداية إلى الولاية، مؤسسة نشر آثار إمام خميني، طهران،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السيد أبو القاسم، مصباح الأصول،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مكتبة الداوري، قم المقدسة،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الخوئي، السيد أبو القاسم، معجم رجال الحديث،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الدهلوي الهندي، الشاه ولي الله، التفهيمات الإلهية،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مصطفى قاسمی، مطبعة الحيدري، باكستان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الذهبي، الإمام شمس الدين، سير أعلام النبلاء، دار الفكر،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الرازي، أبو حاتم، كتاب الزينة،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آقا نوروزي، مركز مطالعات وتحقيقات أديان و مذاهب، قم المقدسة،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الربانی الگلپایگانی ،علی مبانى حجیت روايات أهل البيت، مجلة كلام اسلامي، ربيع عام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رستم نژاد، مهدي، شگردهاي دين ستيزي از نگاه قرآن، ياقوت، قم المقدسة،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رستم نژاد، مهدي، عاشورا ريشه ها، مدرسة الإمام علي بن أبي طالب، قم المقدسة،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رضواني، علي أصغر، امام شناسی در قرآن و پاسخ به شبهات، انتشارات مسجد جمكران، قم المقدسة،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الرفاعي، عبد الجبار، معجم ما كتب عن الرسول وأهل البيت،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وزارت فرهنگ و ارشاد، 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 شهري، محمد ،میزان الحکمة، دفتر تبلیغات اسلامي،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الزمخشري، محمود بن عمر، الكشاف،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سبحاني، جعفر، الإلهيات على هدى الكتاب والسنة والعقل،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سبحاني، جعفر، حسن وقبح عقلي،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سبحاني، جعفر، ولايت تشريعي وتكويني،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سروش، عبد الكريم، بسط تجربه نبوي، مؤسسه فرهنگي صراط،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عبد الکریم، فربه تر از ایدئولوژي، مؤسسة فرهنگی صراط، طهران،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الذخيرة في علم الكلام، جامعه مدرسين، قم المقدسة،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الشافي في الإمامة،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الدين، عبد الحسين، الفصول المهمة في تأليف الأمة، المجمع العالمي للتقريب بين المذاهب الإسلامية، طهران،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شرف الدين، عبد الحسين، المراجعات، مؤسسة الأعلمي،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الشعراني، أبو الحسن، ترجمة وشرح كشف المراد، كتابفروشي اسلامية، طهران،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الشوشتري ، الشيخ محمد تقي، بهج الصباغة في شرح نهج البلاغة، أمير كبير، طهران،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الشوكاني، فتح القدير من علم التفسير، مكتبة الرشد، الرياض،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شومبیتر ،جوزیف، کاپیتالیسم سوساليسم ودموكراسي، حسن منصور، نشر مركز،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 عبد الكريم، الملل والنحل، دار المعارف،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الشهرستاني، عبد الكريم، نهاية الإقدام، مكتبة المتنبي،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الشيرازي، السيد محمد حسين، الفقه، كتاب الحكم في الإسلام، دار القرآن الكريم،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الصافي الگلپایگانی، لطف الله، امامت و مهدویت، انتشارات حضرت معصومه، قم المقدسة،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السيد صدر الدين، المهدي، دفتر تبليغات اسلامي، قم المقدسة،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السيد محمد باقر، الأعمال الكاملة،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الصدر، السيد محمد باقر، بحث حول الولاية، دار التعارف،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المتألهين، محمد، تفسير القرآن الكريم، انتشارات بيدار، قم المقدسة،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محمد بن عل، الاعتقادات، الموجود في سلسلة مؤلفات الشيخ المفيد، ج</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محمد بن علي، الهداية، مؤسسة الإمام الهادي، قم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ضيائي فر، سعید، جایگاه مباني کلامي اجتهاد، بوستان كتاب، قم المقدسة،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 السيد محمد حسین، اسلام و انسان معاصر، إعداد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هادي خسروشاهي، انتشارات رسالت، 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الطباطبائي، السيد محمد حسين، الميزان في تفسير القرآن، مؤسسة الأعلمي،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 السيد محمد حسين، حاشية الكفاية، بنياد علمي علامه طباطبائی،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حسین، شیعه در اسلام، انتشارات اسلامي، قم المقدسة،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الطباطبائي، السيد محمد حسین، ظهور شيعه، نشر شریعت،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الطباطبائي، السيد محمد حسین، قرآن در اسلام، انتشارات اسلامي، قم المقدسة،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الطباطبائي، السيد محمد حسين، معنويت تشيع،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بديعي، انتشارات تشيع،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سليمان أبو القاسم، المعجم الأوسط، القاهرة، دار الحرمين،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الطبراني، سليمان أبو القاسم، المعجم الكبير، مكتبة الزهراء، الموصل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أبو جعفر، تاريخ الطبري، دار ومكتبة الهلال،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الطبسي، نجم الدین، چشم اندازي به حکومت مهدي، بوستان کتاب، قم المقدسة،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نصير الدين، تلخيص المحصل، دار الأضواء،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نصير الدين، شرح العبارات المصطلحة بين المتكلمين</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نصير الدين، كشف المراد، انتشارات مصطفوي،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الجبار، القاضي، المغنى في أبواب التوحيد والعدل، المؤسسة المصرية العامة،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الجبار، القاضي، شرح الأصول الخمسة، دار إحياء التراث العربي،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صالح، عقيدة الشيخ محمد بن عبد 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الصمد، عبد الفتاح، خاستگاه خلافت،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افتخار زاده، نشر آفاق،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العراقي الحنفي، أبو محمد عثمان، الفرق المفترقة بين أهل الزيغ والزندقة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العطاردي الخبوشاني، عزیز الله، مسند الرضا، کنگره جهاني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الغزالي، أبو حامد، الاقتصاد في الاعقادات، دار الهلال، بیروت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الغزالي، أبو حامد، المستصفى في علم الأصول، دار الفكر، بيروت،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الغزالي، أبو حامد، قواعد العقائد، نشر موقع الوراق، الموجود في المكتبة الإلكترونية الشاملة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الفاضل المقداد، السيوري، اللوامع الإلهية، مكتب الإعلام الإسلامي،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الفخر الرازي، 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 الرازي، التفسير الكبير ، دار الفكر،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شاذان ،الإيضاح، مؤسسة الأعلمي،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القبانجي، أحمد، خلافة الإمام علي بالنص أم بالنصب؟ منشور سيدي، قم والنجف،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قراملكي، محمدحسن، آیین خاتم، بژوهشگاه فرهنگ و اندیشه اسلامي، طهران،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قراملکي، محمد حسن، سکولاریزم در مسیحیت و اسلام، دفتر تبليغات اسلامي، قم المقدسة،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قدردان قراملكي، محمد حسن، كلام فلسفي، انتشارات وثوق، قم المقدسة،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قدردان قراملکي، محمد حسن، معجزه در قلمرو عقل ودين، دفتر تبلیغات اسلامي، قم المقدسة،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قلمداران ،علی، حکومت در اسلام، مؤسسه مطبوعاتي إسماعيليان، طهران،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قلمداران، علي، شاهراه اتحاد، تقديم وتهميش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الفضل البرقعي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القصيمي، عبد الله، الصراع بين الإسلام والوثنية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القندوزي الحنفي، سليمان بن إبراهيم، ينابيع المودة لذوي القربى، دار الأسوة للطباعة والنشر، طهران،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القوشجي، علاء الدين، شرح التجريد، الطبعة الحجرية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القيصري، داود، شرح فصوص الحكم، انتشارات علمي وفرهنگي، طهران،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الكاتب، أحمد، تطور الفكر السياسي من الشورى إلى ولاية الفقيه، دار الجديد،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 الغطاء، الشيخ محمد حسين، أصل الشيعة وأصولها، دار الأضواء،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كلايمرودي وآخرون، آشنائی با علم سیاست،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ملكوتي، سيمرغ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محمد بن يعقوب، الكافي، دار الكتاب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غينون، رینه، بحران دنياي متجدّد،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دهشيري، أمير كبير،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غيدنز، أنطوني، جامعه شناسي،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منوتشهر صبوري، نشر ني، 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اللاهيجي، عبد الرزاق، گوهر مراد، نشر سایه، طهران،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لباف، علي، معماري نام، نشر منير، طهران،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لباف، علي، مظلومي گمشده در سقیفه ،منیر، طهران،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اللكهنوي، مير حامد حسين، خلاصة عقبات الأنوار، إعداد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الميلاني،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الماتريدي، أبو منصور، تأويلات أهل السنة، مؤسسة الرسالة،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الماوردي، علي بن محمد، الأحكام السلطانية، المجمع العلمي، بغداد، </w:t>
      </w:r>
      <w:r>
        <w:rPr>
          <w:rFonts w:eastAsia="Amiri" w:cs="Amiri" w:ascii="Amiri" w:hAnsi="Amiri"/>
          <w:color w:val="111111"/>
          <w:sz w:val="28"/>
          <w:szCs w:val="28"/>
          <w:lang w:bidi="ar-SA"/>
        </w:rPr>
        <w:t>1422</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المتقي، علي بن حسام، كنز العمال، دار الكتب العلمية، بيروت،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مجتهد شبستري، محمد،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نقدي بر قرائت رسمي از دين، طرح نو،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 محمد باقر، بحار الأنوار،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 محمد باقر، مرآة العقول، دار الكتب الإسلامية، طهران،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المرعشي النجفي، السيد محمود ،وإسفندياري ،محمد، موسوعة الإمامة في نصوص أهل السنة، مكتبة آية الله المرعشي النجفي،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أبوالحسن، مروج الذهب، مؤسسة النور، بيروت،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 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المسعودي، علي، إثبات الوصية، دار الأضواء،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صحیح مسلم،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دار إحياء التراث العربي،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اليزدي، محمد تقي، آموزش عقاید، سازمان تبلیغات اسلامي،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مطهري، مرتضی، آشنائی با علوم اسلامي، انتشارات اسلامي، قم المقدسة</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مطهري، مرتضی، امامت و رهبري، صدرا،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مطهري، مرتضی، حماسه حسيني، صدرا،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مطهري ،مرتضی ،خاتمیت صدرا، طهران،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،مرتضى، سيري در نهج البلاغة، انتشارات اسلامي، قم المقدسة،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مطهري، مرتضی، عدل الهي، انتشارات اسلامي،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مطهري، مرتضی، قيام وانقلاب مهدي، صدرا، طهران،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مطهري، مرتضى، الأعمال الكاملة، صدرا،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مطهري ،مرتضی ،نبوت صدرا،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مطهري، مرتضى، ولاءها وولايت ها، صدرا،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المظفر، محمدرضا، أصول الفقه، دفتر تبليغات اسلامي، 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مغنية، الشيخ محمد جواد، الشيعة في الميزان، مؤسسة دار الكتاب الإسلامي، بيروت،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محمد بن النعمان، سلسلة مؤلفات الشيخ المفيد، 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الشيرازي ،ناصر، أنوار الفقاهة، كتاب البيع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مدرسة الإمام علي بن أبي طالب،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منتظري، حسين علي، دراسات في ولاية الفقيه، دار الفكر،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موثقي، سيد أحمد، استراتژي وحدت در اندیشه اسلام، دفتر تبلیغات اسلامي، قم المقدسة،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موسوي، عبد الحميد،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نداي 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الصادرة عن الحوزة العلمية لأهل السنة في زاهدان،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ربيع عام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الموسوي الهندي، السيد ناصر حسين، إفحام الأعداء والخصوم بتكذيب ما افتروه على سيدتنا أم كلثوم، مكتبة نينوى،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 لوحي، السيد أبو الفضل، تجلي فضيلت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اعترافات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إلى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شفيعي، انتشارات اسلامي، قم المقدسة،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الميلاني، السيد علي، إبطال ما استدل به لإمامة أبي بكر، مركز الأبحاث العقائدية،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الميلاني، السيد علي، امامت بلا فصل، الموجود في مكتبة أهل البيت الإلكترونية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الميلاني، السيد علي، تزويج أم كلثوم من عمر، مركز الأبحاث العقائدية،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ناظم زادة قمي، سيد أصغر، الفصول المئة في حياة أبي الأئمة علي بن أبي طالب،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توزيع انتشارات أهل البيت، 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النائيني، محمد حسين، تنبيه الأمة وتنزيه الملة، شركت سهامي خاص،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النسفي، عمر بن محمد، العقائد النسفية، في شرح عقائد أهل السنة، عبد الملك السعدي، انتشارات کردستان، سنندج،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النوبختي، أبو محمد الحسن بن موسى، فرق الشيعة، انتشارات مرتضوي، النجف،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النوري، حسين، مستدرك الوسائل، مؤسسة آل البيت،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النيسابوري، الحاكم، شواهد التنزيل لقواعد التفضيل في الآيات النازلة في أهل البيت، وزارة الإرشاد، طهران،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نيكوئي، حجة الله، تئوري إلهي إمامت در ترازوي 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الهاشمي الشافعي، السيد محمد طاهر، مناقب أهل البیت از دیدگاه اهل سنت،بنیاد بژوهشهاي اسلامي، مشهد المقدسة،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اليعقوبي، ابن واضح، تاريخ اليعقوبي، ترجمه إلى 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آيتي، انتشارات علمي فرهنگي،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يوسفيان، حسن؛ شريفي، أحمد، پژوهشي در عصمت معصومان، چژوهشگاه فرهنگ و اندیشه اسلامی،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عبد الكريم، اسلام ووحي، مجلة آفتاب،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اردیبهشت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 عبدالکریم، تشیّع و چالش مردم سالاري، موقع سروش، كلمته في جامعة السوربون الفرنسية، بتاريخ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مرداد،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کدیور، محسن، بازخواني امامت در برتو نهضت حسيني، صحيفة شرق، وكذلك موقع كديور،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كديور ،محسن، قرائت فراموش شده، مجلة مدرسة، وكذلك موقع كديور، العدد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مجتهد شبستري، محمد، مجلة كيان،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نعماني، عبد العزيز، حضرت فاطمة زهراء از ولادت تا افسانه شهادت، مجله نداي اسلام،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الحوزة العلمة لأهل السنة في زاهدان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واعظ زاده الخراساني، محمد، راه کارهای تحکیم وحدت اسلامي مجلة هفت آسمان،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واعظ زاده الخراساني، محمد، حوار، مجلة كتاب نقد،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صيف عام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واعظ زاده الخراساني، محمد، مجلة مطالعات اسلامي،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واعظ زاده الخراساني، محمد، حوار مجلة نهج البلاغة،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90" w:name="pg15658_147398"/>
    </w:p>
    <w:p>
      <w:pPr>
        <w:pStyle w:val="Heading3"/>
        <w:numPr>
          <w:ilvl w:val="2"/>
          <w:numId w:val="1"/>
        </w:numPr>
        <w:rPr/>
      </w:pPr>
      <w:bookmarkStart w:id="991" w:name="__RefHeading___Toc11030925_2142443653"/>
      <w:bookmarkStart w:id="992" w:name="_Toc358"/>
      <w:bookmarkEnd w:id="990"/>
      <w:bookmarkEnd w:id="991"/>
      <w:r>
        <w:rPr>
          <w:rtl w:val="true"/>
        </w:rPr>
        <w:t>المحتويات</w:t>
      </w:r>
      <w:bookmarkEnd w:id="992"/>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أمور عامة</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 وجهة نظر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من وجهة نظر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طريقة تعيين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التنصيب أو الانتخاب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 الأدنى والأعلى من اتصاف الإمام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الحجية الإلهية والمرجعية العلمية والدينية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واسطة الفيض والقطب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الاتجاه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الإمامة عقلي أم نقلي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وشؤون الإمام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البلوغ العقلي الكامل للمخاطبين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الأحكام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الحكومة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وسائط الفيض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نظرية الشيعة في تنصيب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النقلي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الاتجاه التحليلي والعقلي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p>
    <w:p>
      <w:pPr>
        <w:pStyle w:val="BookText"/>
        <w:rPr/>
      </w:pP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مفترق ثلاثة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 xml:space="preserve">الأدلة والشواهد على وجوب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الأخطار الخارجية والداخلية التي تهدّد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التنصيب عنصر الصيانة والوحدة ومنع الخلافات القومية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بالأصلح وضرورة التعريف به وتنصيبه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الإمام تقتضي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تنصيب الإمام من لوازم خلود الدين وخاتمیته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الخليفة منهج متبع لدى جميع الأنبياء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القرآن الكريم بتعيين الخليفة والوصي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الخليفة منهج للنبي الأكرم في إدارة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عدم النصّ أفضلية الخليفتين الأولين على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دون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الإشكالات الفقهية والحقوقية الواردة على نظرية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مصداق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شبهات الإمامة ونقدها</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وجوب الإمامة تعيين للتكليف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المرتبط بإنكار الحُسن والقبح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الوجوبين الاعتباري والتكويني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نظرية وجوب تعيين الإمام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p>
    <w:p>
      <w:pPr>
        <w:pStyle w:val="BookText"/>
        <w:rPr/>
      </w:pPr>
      <w:r>
        <w:rPr>
          <w:rFonts w:ascii="Amiri" w:hAnsi="Amiri" w:eastAsia="Amiri" w:cs="Amiri"/>
          <w:color w:val="111111"/>
          <w:sz w:val="28"/>
          <w:sz w:val="28"/>
          <w:szCs w:val="28"/>
          <w:rtl w:val="true"/>
          <w:lang w:bidi="ar-SA"/>
        </w:rPr>
        <w:t xml:space="preserve">الشبهة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في اعتبار الإمامة مسألة 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تكفير من ينكر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p>
    <w:p>
      <w:pPr>
        <w:pStyle w:val="BookText"/>
        <w:rPr/>
      </w:pPr>
      <w:r>
        <w:rPr>
          <w:rFonts w:ascii="Amiri" w:hAnsi="Amiri" w:eastAsia="Amiri" w:cs="Amiri"/>
          <w:color w:val="111111"/>
          <w:sz w:val="28"/>
          <w:sz w:val="28"/>
          <w:szCs w:val="28"/>
          <w:rtl w:val="true"/>
          <w:lang w:bidi="ar-SA"/>
        </w:rPr>
        <w:t xml:space="preserve">الشبهة الخامسة توريث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p>
    <w:p>
      <w:pPr>
        <w:pStyle w:val="BookText"/>
        <w:rPr/>
      </w:pPr>
      <w:r>
        <w:rPr>
          <w:rFonts w:ascii="Amiri" w:hAnsi="Amiri" w:eastAsia="Amiri" w:cs="Amiri"/>
          <w:color w:val="111111"/>
          <w:sz w:val="28"/>
          <w:sz w:val="28"/>
          <w:szCs w:val="28"/>
          <w:rtl w:val="true"/>
          <w:lang w:bidi="ar-SA"/>
        </w:rPr>
        <w:t xml:space="preserve">اعتراف علماء أهل السنة بفضائل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اعتراف الخلفاء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اعتراف أئمة المذاهب الفقهية الأربعة بفضائل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اعتراف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p>
    <w:p>
      <w:p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في الصغر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p>
    <w:p>
      <w:pPr>
        <w:pStyle w:val="BookText"/>
        <w:rPr/>
      </w:pPr>
      <w:r>
        <w:rPr>
          <w:rFonts w:ascii="Amiri" w:hAnsi="Amiri" w:eastAsia="Amiri" w:cs="Amiri"/>
          <w:color w:val="111111"/>
          <w:sz w:val="28"/>
          <w:sz w:val="28"/>
          <w:szCs w:val="28"/>
          <w:rtl w:val="true"/>
          <w:lang w:bidi="ar-SA"/>
        </w:rPr>
        <w:t xml:space="preserve">الشبهة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الإمامة على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أفضلية أئمة الشيعة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هم المخلوق الإلهى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أسماء الأئمة فى الجنة وتعريف الأنبياء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غاية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قياس أحد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بأفضلية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المأثورة عن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۱۰۷</w:t>
      </w:r>
    </w:p>
    <w:p>
      <w:pPr>
        <w:pStyle w:val="BookText"/>
        <w:rPr/>
      </w:pPr>
      <w:r>
        <w:rPr>
          <w:rFonts w:ascii="Amiri" w:hAnsi="Amiri" w:eastAsia="Amiri" w:cs="Amiri"/>
          <w:color w:val="111111"/>
          <w:sz w:val="28"/>
          <w:sz w:val="28"/>
          <w:szCs w:val="28"/>
          <w:rtl w:val="true"/>
          <w:lang w:bidi="ar-SA"/>
        </w:rPr>
        <w:t>الشبهة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مقام الإمامة من دون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جوهر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۱۰۹</w:t>
      </w:r>
    </w:p>
    <w:p>
      <w:pPr>
        <w:pStyle w:val="BookText"/>
        <w:rPr/>
      </w:pPr>
      <w:r>
        <w:rPr>
          <w:rFonts w:ascii="Amiri" w:hAnsi="Amiri" w:eastAsia="Amiri" w:cs="Amiri"/>
          <w:color w:val="111111"/>
          <w:sz w:val="28"/>
          <w:sz w:val="28"/>
          <w:szCs w:val="28"/>
          <w:rtl w:val="true"/>
          <w:lang w:bidi="ar-SA"/>
        </w:rPr>
        <w:t>الشبهة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الإمامة مع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۱۱۱</w:t>
      </w:r>
    </w:p>
    <w:p>
      <w:pPr>
        <w:pStyle w:val="BookText"/>
        <w:rPr/>
      </w:pPr>
      <w:r>
        <w:rPr>
          <w:rFonts w:ascii="Amiri" w:hAnsi="Amiri" w:eastAsia="Amiri" w:cs="Amiri"/>
          <w:color w:val="111111"/>
          <w:sz w:val="28"/>
          <w:sz w:val="28"/>
          <w:szCs w:val="28"/>
          <w:rtl w:val="true"/>
          <w:lang w:bidi="ar-SA"/>
        </w:rPr>
        <w:t xml:space="preserve">نقد ورأي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p>
    <w:p>
      <w:pPr>
        <w:pStyle w:val="BookText"/>
        <w:rPr/>
      </w:pPr>
      <w:r>
        <w:rPr>
          <w:rFonts w:ascii="Amiri" w:hAnsi="Amiri" w:eastAsia="Amiri" w:cs="Amiri"/>
          <w:color w:val="111111"/>
          <w:sz w:val="28"/>
          <w:sz w:val="28"/>
          <w:szCs w:val="28"/>
          <w:rtl w:val="true"/>
          <w:lang w:bidi="ar-SA"/>
        </w:rPr>
        <w:t>النقد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نماذج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۱۱۲</w:t>
      </w:r>
    </w:p>
    <w:p>
      <w:pPr>
        <w:pStyle w:val="BookText"/>
        <w:rPr/>
      </w:pPr>
      <w:r>
        <w:rPr>
          <w:rFonts w:ascii="Amiri" w:hAnsi="Amiri" w:eastAsia="Amiri" w:cs="Amiri"/>
          <w:color w:val="111111"/>
          <w:sz w:val="28"/>
          <w:sz w:val="28"/>
          <w:szCs w:val="28"/>
          <w:rtl w:val="true"/>
          <w:lang w:bidi="ar-SA"/>
        </w:rPr>
        <w:t>النقد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الشعب في مضمار السياسة عند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xml:space="preserve">النقد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الإمامة عن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p>
    <w:p>
      <w:pPr>
        <w:pStyle w:val="BookText"/>
        <w:rPr/>
      </w:pPr>
      <w:r>
        <w:rPr>
          <w:rFonts w:ascii="Amiri" w:hAnsi="Amiri" w:eastAsia="Amiri" w:cs="Amiri"/>
          <w:color w:val="111111"/>
          <w:sz w:val="28"/>
          <w:sz w:val="28"/>
          <w:szCs w:val="28"/>
          <w:rtl w:val="true"/>
          <w:lang w:bidi="ar-SA"/>
        </w:rPr>
        <w:t>النقد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المنتخبون حصرياً هم الحكام 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 xml:space="preserve">النقد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حاجة الديمقراطية الحقيقية للأرضية 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النقد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الحكم الإلهي على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النقد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ثغرات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إقرار المفكرين الغربيين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النقد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p>
    <w:p>
      <w:pPr>
        <w:pStyle w:val="BookText"/>
        <w:rPr/>
      </w:pPr>
      <w:r>
        <w:rPr>
          <w:rFonts w:ascii="Amiri" w:hAnsi="Amiri" w:eastAsia="Amiri" w:cs="Amiri"/>
          <w:color w:val="111111"/>
          <w:sz w:val="28"/>
          <w:sz w:val="28"/>
          <w:szCs w:val="28"/>
          <w:rtl w:val="true"/>
          <w:lang w:bidi="ar-SA"/>
        </w:rPr>
        <w:t xml:space="preserve">تقييم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الإمام تنافي فلسفة ضرورة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ضرورة الإمام المعصوم في صدر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إعطاء اللطف الإلهي رهن بعدم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الهداية التشريعية والتكوينية في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أخرى للغيبة والانتظار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الشبهة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المهدوية مع الديمقراطية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p>
    <w:p>
      <w:pPr>
        <w:pStyle w:val="BookText"/>
        <w:rPr/>
      </w:pPr>
      <w:r>
        <w:rPr>
          <w:rFonts w:ascii="Amiri" w:hAnsi="Amiri" w:eastAsia="Amiri" w:cs="Amiri"/>
          <w:color w:val="111111"/>
          <w:sz w:val="28"/>
          <w:sz w:val="28"/>
          <w:szCs w:val="28"/>
          <w:rtl w:val="true"/>
          <w:lang w:bidi="ar-SA"/>
        </w:rPr>
        <w:t xml:space="preserve">نقد ورأي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تجاهل فضائل المجتمع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إشارة إلى خصائص الحكومة المهدوية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۱۴۴</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جميع المواطنين عن حكومة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۱۴۹</w:t>
      </w:r>
    </w:p>
    <w:p>
      <w:pPr>
        <w:pStyle w:val="BookText"/>
        <w:rPr/>
      </w:pPr>
      <w:r>
        <w:rPr>
          <w:rFonts w:ascii="Amiri" w:hAnsi="Amiri" w:eastAsia="Amiri" w:cs="Amiri"/>
          <w:color w:val="111111"/>
          <w:sz w:val="28"/>
          <w:sz w:val="28"/>
          <w:szCs w:val="28"/>
          <w:rtl w:val="true"/>
          <w:lang w:bidi="ar-SA"/>
        </w:rPr>
        <w:t xml:space="preserve">الديمقراطية وسيلة ومقدمة وليست هدفاً وغاية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هم غالبية المجتمع المهدوي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حقوق الأقليات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شبهة التنافي بين الإمامة</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وأصل الخاتمية</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العقلي لضرورة الإمامة يتنافى مع الخاتمية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p>
    <w:p>
      <w:pPr>
        <w:pStyle w:val="BookText"/>
        <w:rPr/>
      </w:pPr>
      <w:r>
        <w:rPr>
          <w:rFonts w:ascii="Amiri" w:hAnsi="Amiri" w:eastAsia="Amiri" w:cs="Amiri"/>
          <w:color w:val="111111"/>
          <w:sz w:val="28"/>
          <w:sz w:val="28"/>
          <w:szCs w:val="28"/>
          <w:rtl w:val="true"/>
          <w:lang w:bidi="ar-SA"/>
        </w:rPr>
        <w:t xml:space="preserve">اختلاف صدر الإسلام عن عصر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تنافي عصمة الإمام مع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p>
    <w:p>
      <w:pPr>
        <w:pStyle w:val="BookText"/>
        <w:rPr/>
      </w:pPr>
      <w:r>
        <w:rPr>
          <w:rFonts w:ascii="Amiri" w:hAnsi="Amiri" w:eastAsia="Amiri" w:cs="Amiri"/>
          <w:color w:val="111111"/>
          <w:sz w:val="28"/>
          <w:sz w:val="28"/>
          <w:szCs w:val="28"/>
          <w:rtl w:val="true"/>
          <w:lang w:bidi="ar-SA"/>
        </w:rPr>
        <w:t xml:space="preserve">رأي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العصمة بالانبياء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مجرد دعوى بلا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جوهر الإمامة يقتضي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العقلي على ضرورة وجود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الأدلة القرآنية على عصمة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۱۶۵</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الروايات النبوية على عصمة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يلازم القرآن والحق ويلازمانه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التمييز بين الحق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دلالة الروايات الولائية على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 بالعصمة من قبل بعض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إطاعة الإمام يتنافى مع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۱۷۳</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بالحجية الإلهية للأئمة ينافي الخاتمية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۱۷۵</w:t>
      </w:r>
    </w:p>
    <w:p>
      <w:pPr>
        <w:pStyle w:val="BookText"/>
        <w:rPr/>
      </w:pPr>
      <w:r>
        <w:rPr>
          <w:rFonts w:ascii="Amiri" w:hAnsi="Amiri" w:eastAsia="Amiri" w:cs="Amiri"/>
          <w:color w:val="111111"/>
          <w:sz w:val="28"/>
          <w:sz w:val="28"/>
          <w:szCs w:val="28"/>
          <w:rtl w:val="true"/>
          <w:lang w:bidi="ar-SA"/>
        </w:rPr>
        <w:t xml:space="preserve">تقرير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۱۷۶</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الانسجام مع الشخصية الحقوقية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حجية روايات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۱۷۷</w:t>
      </w:r>
    </w:p>
    <w:p>
      <w:pPr>
        <w:pStyle w:val="BookText"/>
        <w:rPr/>
      </w:pPr>
      <w:r>
        <w:rPr>
          <w:rFonts w:ascii="Amiri" w:hAnsi="Amiri" w:eastAsia="Amiri" w:cs="Amiri"/>
          <w:color w:val="111111"/>
          <w:sz w:val="28"/>
          <w:sz w:val="28"/>
          <w:szCs w:val="28"/>
          <w:rtl w:val="true"/>
          <w:lang w:bidi="ar-SA"/>
        </w:rPr>
        <w:t xml:space="preserve">نقد ورأي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دعوى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وافتراض الطاعة من لوازم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القرآن بالإطاعة وجعل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الحجية من قبل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طول حجية النبي وحجية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p>
    <w:p>
      <w:pPr>
        <w:pStyle w:val="BookText"/>
        <w:rPr/>
      </w:pPr>
      <w:r>
        <w:rPr>
          <w:rFonts w:ascii="Amiri" w:hAnsi="Amiri" w:eastAsia="Amiri" w:cs="Amiri"/>
          <w:color w:val="111111"/>
          <w:sz w:val="28"/>
          <w:sz w:val="28"/>
          <w:szCs w:val="28"/>
          <w:rtl w:val="true"/>
          <w:lang w:bidi="ar-SA"/>
        </w:rPr>
        <w:t xml:space="preserve">البرقعي وتمسكه بالأدلة النقلية في تقرير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القرآن على خاتمية الحجة الإلهية؟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۱۸۸</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خاتمية الحجة الإلهية؟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۱۸۹</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الحجة بالنبي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الإلهام والولاية الباطنية للإمام مع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الإلهام والاتصال الغيبي لغير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الإمامة والولاية أسمى من مقام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عرفانية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أهل السنة بأصل الإلهام والمكاشفة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بالروح الباطنية للأئمة في الروايات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النقضي على شبهة الدهلوي والدكتور 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p>
    <w:p>
      <w:pPr>
        <w:pStyle w:val="BookText"/>
        <w:rPr/>
      </w:pPr>
      <w:r>
        <w:rPr>
          <w:rFonts w:ascii="Amiri" w:hAnsi="Amiri" w:eastAsia="Amiri" w:cs="Amiri"/>
          <w:color w:val="111111"/>
          <w:sz w:val="28"/>
          <w:sz w:val="28"/>
          <w:szCs w:val="28"/>
          <w:rtl w:val="true"/>
          <w:lang w:bidi="ar-SA"/>
        </w:rPr>
        <w:t>الشبهة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انسجام الولاية التشريعية للإمام مع كمال الدين وخاتميته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أصل التشريع والتخطئة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كاشف عن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طول التشريع النبوي ومكمل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طول التشريع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مكمل للدين في الجزئيات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نظرية الموافقين والمخالفين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p>
    <w:p>
      <w:pPr>
        <w:pStyle w:val="BookText"/>
        <w:rPr/>
      </w:pPr>
      <w:r>
        <w:rPr>
          <w:rFonts w:ascii="Amiri" w:hAnsi="Amiri" w:eastAsia="Amiri" w:cs="Amiri"/>
          <w:color w:val="111111"/>
          <w:sz w:val="28"/>
          <w:sz w:val="28"/>
          <w:szCs w:val="28"/>
          <w:rtl w:val="true"/>
          <w:lang w:bidi="ar-SA"/>
        </w:rPr>
        <w:t>الشبهة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علم الإمام اللدني مع الخاتمية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اختصاص العلم اللدني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اللدني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بعلمه للغيب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بعض أهل السنة بعلم الإمام للغيب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الغيب من نتائج الولاية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أمور النبوة للإمام نقض للخاتمية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شبهات حول أصل التنصيب ونقدها</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التنصيب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p>
    <w:p>
      <w:pPr>
        <w:pStyle w:val="BookText"/>
        <w:rPr/>
      </w:pPr>
      <w:r>
        <w:rPr>
          <w:rFonts w:ascii="Amiri" w:hAnsi="Amiri" w:eastAsia="Amiri" w:cs="Amiri"/>
          <w:color w:val="111111"/>
          <w:sz w:val="28"/>
          <w:sz w:val="28"/>
          <w:szCs w:val="28"/>
          <w:rtl w:val="true"/>
          <w:lang w:bidi="ar-SA"/>
        </w:rPr>
        <w:t xml:space="preserve">وجود الآيات الظاهرة في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التبليغ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إكمال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۲۵۳</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w:t>
      </w:r>
    </w:p>
    <w:p>
      <w:pPr>
        <w:pStyle w:val="BookText"/>
        <w:rPr/>
      </w:pPr>
      <w:r>
        <w:rPr>
          <w:rFonts w:ascii="IRNazanin" w:hAnsi="IRNazanin" w:eastAsia="IRNazanin"/>
          <w:color w:val="111111"/>
          <w:sz w:val="28"/>
          <w:sz w:val="28"/>
          <w:szCs w:val="28"/>
          <w:rtl w:val="true"/>
          <w:lang w:bidi="fa-IR"/>
        </w:rPr>
        <w:t>الشبهة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الصفات الخاصة يغني عن التصريح بالاسم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۲۵۷</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الشبهة إلى شبهة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۲۵۸</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الروايات النبوية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تفويض الأمور الدينية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۲۶۰</w:t>
      </w:r>
    </w:p>
    <w:p>
      <w:pPr>
        <w:pStyle w:val="BookText"/>
        <w:rPr/>
      </w:pPr>
      <w:r>
        <w:rPr>
          <w:rFonts w:ascii="Amiri" w:hAnsi="Amiri" w:eastAsia="Amiri" w:cs="Amiri"/>
          <w:color w:val="111111"/>
          <w:sz w:val="28"/>
          <w:sz w:val="28"/>
          <w:szCs w:val="28"/>
          <w:rtl w:val="true"/>
          <w:lang w:bidi="ar-SA"/>
        </w:rPr>
        <w:t xml:space="preserve">المنع من تحريف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الوقاية من الآفات السياسية والأمنية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۲۶۲</w:t>
      </w:r>
    </w:p>
    <w:p>
      <w:pPr>
        <w:pStyle w:val="BookText"/>
        <w:rPr/>
      </w:pPr>
      <w:r>
        <w:rPr>
          <w:rFonts w:ascii="Amiri" w:hAnsi="Amiri" w:eastAsia="Amiri" w:cs="Amiri"/>
          <w:color w:val="111111"/>
          <w:sz w:val="28"/>
          <w:sz w:val="28"/>
          <w:szCs w:val="28"/>
          <w:rtl w:val="true"/>
          <w:lang w:bidi="ar-SA"/>
        </w:rPr>
        <w:t xml:space="preserve">الشبهة الثالثة عدم وجود التنصيب في الروايات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۲۶۵</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۲۶۶</w:t>
      </w:r>
    </w:p>
    <w:p>
      <w:pPr>
        <w:pStyle w:val="BookText"/>
        <w:rPr/>
      </w:pPr>
      <w:r>
        <w:rPr>
          <w:rFonts w:ascii="IRNazanin" w:hAnsi="IRNazanin" w:eastAsia="IRNazanin"/>
          <w:color w:val="111111"/>
          <w:sz w:val="28"/>
          <w:sz w:val="28"/>
          <w:szCs w:val="28"/>
          <w:rtl w:val="true"/>
          <w:lang w:bidi="fa-IR"/>
        </w:rPr>
        <w:t>التصريح بخلافة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۲۶۸</w:t>
      </w:r>
    </w:p>
    <w:p>
      <w:pPr>
        <w:pStyle w:val="BookText"/>
        <w:rPr/>
      </w:pPr>
      <w:r>
        <w:rPr>
          <w:rFonts w:ascii="Amiri" w:hAnsi="Amiri" w:eastAsia="Amiri" w:cs="Amiri"/>
          <w:color w:val="111111"/>
          <w:sz w:val="28"/>
          <w:sz w:val="28"/>
          <w:szCs w:val="28"/>
          <w:rtl w:val="true"/>
          <w:lang w:bidi="ar-SA"/>
        </w:rPr>
        <w:t xml:space="preserve">حديث 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۲۷۰</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إمامة أمير المؤمنين واستيزاره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۲۷۳</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الدواة والقلم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غير المكتوبة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۲۸۱</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۲۸۷</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المرجعية العلمية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۲۸۸</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التنصيب عنصر 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۲۹۶</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التبعية للحكم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التنصيب الخاص أفضل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الخطأ في الانتخاب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۲۹۸</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المحافظة على وحدة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۳۰۱</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نقضي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تنصيب الخليفة الأول 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۳۰۲</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۳۰۳</w:t>
      </w:r>
    </w:p>
    <w:p>
      <w:pPr>
        <w:pStyle w:val="BookText"/>
        <w:rPr/>
      </w:pPr>
      <w:r>
        <w:rPr>
          <w:rFonts w:ascii="Amiri" w:hAnsi="Amiri" w:eastAsia="Amiri" w:cs="Amiri"/>
          <w:color w:val="111111"/>
          <w:sz w:val="28"/>
          <w:sz w:val="28"/>
          <w:szCs w:val="28"/>
          <w:rtl w:val="true"/>
          <w:lang w:bidi="ar-SA"/>
        </w:rPr>
        <w:t>الشبهة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اشتهار التنصيب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۳۰۴</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النص من قبل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الدوافع السياسية في مسألة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۳۰۷</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الصحابة بوجود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عدم الاشتهار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۳۱۰</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بين ترك النص 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الشبهة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مبايعة الصحابة لمرشح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استعجال تشكيل السقيفة وعدم مشروعيتها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۳۱۳</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الدوافع الدنيوية في بيعة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بالإكراه والإجبار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المخالفون لنتائج 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۳۲۱</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وقفة على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۳۲۹</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اختفاء النص ونسيانه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۳۳۱</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انتشار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۳۳۱</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العلمانية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۳۳۲</w:t>
      </w:r>
    </w:p>
    <w:p>
      <w:pPr>
        <w:pStyle w:val="BookText"/>
        <w:rPr/>
      </w:pPr>
      <w:r>
        <w:rPr>
          <w:rFonts w:ascii="IRNazanin" w:hAnsi="IRNazanin" w:eastAsia="IRNazanin"/>
          <w:color w:val="111111"/>
          <w:sz w:val="28"/>
          <w:sz w:val="28"/>
          <w:szCs w:val="28"/>
          <w:rtl w:val="true"/>
          <w:lang w:bidi="fa-IR"/>
        </w:rPr>
        <w:t xml:space="preserve">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إبعاد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بذرائع واهية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۳۳۳</w:t>
      </w:r>
    </w:p>
    <w:p>
      <w:pPr>
        <w:pStyle w:val="BookText"/>
        <w:rPr/>
      </w:pPr>
      <w:r>
        <w:rPr>
          <w:rFonts w:ascii="IRNazanin" w:hAnsi="IRNazanin" w:eastAsia="IRNazanin"/>
          <w:color w:val="111111"/>
          <w:sz w:val="28"/>
          <w:sz w:val="28"/>
          <w:szCs w:val="28"/>
          <w:rtl w:val="true"/>
          <w:lang w:bidi="fa-IR"/>
        </w:rPr>
        <w:t>الشبهة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احتجاج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بأصل التنصيب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بلفظ النصب والعهد والاختصاص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۳۳۶</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۳۳۹</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۳۴۷</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۳۵۰</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۳۵۲</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۳۵۵</w:t>
      </w:r>
    </w:p>
    <w:p>
      <w:pPr>
        <w:pStyle w:val="BookText"/>
        <w:rPr/>
      </w:pPr>
      <w:r>
        <w:rPr>
          <w:rFonts w:ascii="IRNazanin" w:hAnsi="IRNazanin" w:eastAsia="IRNazanin"/>
          <w:color w:val="111111"/>
          <w:sz w:val="28"/>
          <w:sz w:val="28"/>
          <w:szCs w:val="28"/>
          <w:rtl w:val="true"/>
          <w:lang w:bidi="fa-IR"/>
        </w:rPr>
        <w:t xml:space="preserve">الاستنتاجات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۳۵۶</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مبادرة الإمام للتصدي إلى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۳۵۸</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في بيت 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النشاط السري والعلني والمواجهة المسلحة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۳۶۰</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بشأن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۳۶۳</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۳۶۴</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حلول الوقت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وحدة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۳۶۶</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تنازل الإمام عن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۳۶۷</w:t>
      </w:r>
    </w:p>
    <w:p>
      <w:pPr>
        <w:pStyle w:val="BookText"/>
        <w:rPr/>
      </w:pPr>
      <w:r>
        <w:rPr>
          <w:rFonts w:ascii="IRNazanin" w:hAnsi="IRNazanin" w:eastAsia="IRNazanin"/>
          <w:color w:val="111111"/>
          <w:sz w:val="28"/>
          <w:sz w:val="28"/>
          <w:szCs w:val="28"/>
          <w:rtl w:val="true"/>
          <w:lang w:bidi="fa-IR"/>
        </w:rPr>
        <w:t>الشبهة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ببيعة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۳۶۸</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الحيلولة دون الكفر والردة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وحدة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۳۷۰</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الحيلولة دون 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۳۷۲</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المشاركة في شورى تعيين الخليفة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۳۷۴</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شبهة العلمانيين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۳۷۵</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۳۷۶</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الخلاف والحفاظ على وحدة المسلمين وتماسكهم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موقف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۳۷۷</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تهمة الاستبداد بالرأي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۳۷۸</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وسلوك الإمام ناقض لمشروعية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۳۷۹</w:t>
      </w:r>
    </w:p>
    <w:p>
      <w:pPr>
        <w:pStyle w:val="BookText"/>
        <w:rPr/>
      </w:pPr>
      <w:r>
        <w:rPr>
          <w:rFonts w:ascii="Amiri" w:hAnsi="Amiri" w:eastAsia="Amiri" w:cs="Amiri"/>
          <w:color w:val="111111"/>
          <w:sz w:val="28"/>
          <w:sz w:val="28"/>
          <w:szCs w:val="28"/>
          <w:rtl w:val="true"/>
          <w:lang w:bidi="ar-SA"/>
        </w:rPr>
        <w:t>الشبهة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التصدي للخلافة 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۳۸۰</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الاعتراض على سيرة الخلفاء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التنبؤ بالفتن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۳۸۳</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شبهة التهالك على الحكم والسلطة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الشكوى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۳۸۵</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صلاحية الناس والاستهزاء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۳۸۶</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الشبهة الثالثة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w:t>
      </w:r>
    </w:p>
    <w:p>
      <w:pPr>
        <w:pStyle w:val="BookText"/>
        <w:rPr/>
      </w:pPr>
      <w:r>
        <w:rPr>
          <w:rFonts w:ascii="IRNazanin" w:hAnsi="IRNazanin" w:eastAsia="IRNazanin"/>
          <w:color w:val="111111"/>
          <w:sz w:val="28"/>
          <w:sz w:val="28"/>
          <w:szCs w:val="28"/>
          <w:rtl w:val="true"/>
          <w:lang w:bidi="fa-IR"/>
        </w:rPr>
        <w:t>الشبهة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اقتداء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بصلاة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۳۹۰</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الاقتداء وإنكار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بين المسلمين بسبب عدم حضور الإمام في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عدم الحضور تركاً للفرائض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۳۹۲</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p>
    <w:p>
      <w:pPr>
        <w:pStyle w:val="BookText"/>
        <w:rPr/>
      </w:pPr>
      <w:r>
        <w:rPr>
          <w:rFonts w:ascii="Amiri" w:hAnsi="Amiri" w:eastAsia="Amiri" w:cs="Amiri"/>
          <w:color w:val="111111"/>
          <w:sz w:val="28"/>
          <w:sz w:val="28"/>
          <w:szCs w:val="28"/>
          <w:rtl w:val="true"/>
          <w:lang w:bidi="ar-SA"/>
        </w:rPr>
        <w:t>الشبهة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الأسرية مع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التشكيك في سند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۳۹۸</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بغصب الخلفاء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۳۹۸</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۳۹۹</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التهديد والإكراه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۴۰۲</w:t>
      </w:r>
    </w:p>
    <w:p>
      <w:pPr>
        <w:pStyle w:val="BookText"/>
        <w:rPr/>
      </w:pPr>
      <w:r>
        <w:rPr>
          <w:rFonts w:ascii="IRNazanin" w:hAnsi="IRNazanin" w:eastAsia="IRNazanin"/>
          <w:color w:val="111111"/>
          <w:sz w:val="28"/>
          <w:sz w:val="28"/>
          <w:szCs w:val="28"/>
          <w:rtl w:val="true"/>
          <w:lang w:bidi="fa-IR"/>
        </w:rPr>
        <w:t>الشبهة 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من أبنائه بأسماء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سطحية هذا الدليل وعدم دلالته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شيوع التسمية بأسماء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۴۰۴</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الأسماء بالإكراه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۴۰۷</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اسم صاحب الأمام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۴۰۸</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اللجوء إلى التورية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۴۰۸</w:t>
      </w:r>
    </w:p>
    <w:p>
      <w:pPr>
        <w:pStyle w:val="BookText"/>
        <w:rPr/>
      </w:pPr>
      <w:r>
        <w:rPr>
          <w:rFonts w:ascii="Amiri" w:hAnsi="Amiri" w:eastAsia="Amiri" w:cs="Amiri"/>
          <w:color w:val="111111"/>
          <w:sz w:val="28"/>
          <w:sz w:val="28"/>
          <w:szCs w:val="28"/>
          <w:rtl w:val="true"/>
          <w:lang w:bidi="ar-SA"/>
        </w:rPr>
        <w:t>الشبهة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الثناء على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۴۱۰</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المشكلة السندية في روايات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۴۱۱</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روايات الأفضلية في المصادر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هذه الرواية مع روايات أخرى في مصادر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مناقشة وتحليل رواية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بلاد فلان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۴۱۵</w:t>
      </w:r>
    </w:p>
    <w:p>
      <w:pPr>
        <w:pStyle w:val="BookText"/>
        <w:rPr/>
      </w:pPr>
      <w:r>
        <w:rPr>
          <w:rFonts w:ascii="IRNazanin" w:hAnsi="IRNazanin" w:eastAsia="IRNazanin"/>
          <w:color w:val="111111"/>
          <w:sz w:val="28"/>
          <w:sz w:val="28"/>
          <w:szCs w:val="28"/>
          <w:rtl w:val="true"/>
          <w:lang w:bidi="fa-IR"/>
        </w:rPr>
        <w:t xml:space="preserve">تحلیل رواية إبراهيم بن محمد الثقفى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فتولى أبو بكر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۴۲۲</w:t>
      </w:r>
    </w:p>
    <w:p>
      <w:pPr>
        <w:pStyle w:val="BookText"/>
        <w:rPr/>
      </w:pPr>
      <w:r>
        <w:rPr>
          <w:rFonts w:ascii="Amiri" w:hAnsi="Amiri" w:eastAsia="Amiri" w:cs="Amiri"/>
          <w:color w:val="111111"/>
          <w:sz w:val="28"/>
          <w:sz w:val="28"/>
          <w:szCs w:val="28"/>
          <w:rtl w:val="true"/>
          <w:lang w:bidi="ar-SA"/>
        </w:rPr>
        <w:t>الشبهة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نصوص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۴۲۷</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روايات خلافة أبي بكر في المصادر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النصوص الوارد في مصادر أهل السنة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۴۲۸</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أهل السنة بعدم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۴۳۰</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تمسك أبي بكر وعمر 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۴۳۱</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الخليفة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۴۳۲</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 الخليفة الثاني وغيره بالنص على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۴۳۳</w:t>
      </w:r>
    </w:p>
    <w:p>
      <w:pPr>
        <w:pStyle w:val="BookText"/>
        <w:rPr/>
      </w:pPr>
      <w:r>
        <w:rPr>
          <w:rFonts w:ascii="Amiri" w:hAnsi="Amiri" w:eastAsia="Amiri" w:cs="Amiri"/>
          <w:color w:val="111111"/>
          <w:sz w:val="28"/>
          <w:sz w:val="28"/>
          <w:szCs w:val="28"/>
          <w:rtl w:val="true"/>
          <w:lang w:bidi="ar-SA"/>
        </w:rPr>
        <w:t>الفصل الخامين</w:t>
      </w:r>
    </w:p>
    <w:p>
      <w:pPr>
        <w:pStyle w:val="BookText"/>
        <w:rPr/>
      </w:pPr>
      <w:r>
        <w:rPr>
          <w:rFonts w:ascii="IRNazanin" w:hAnsi="IRNazanin" w:eastAsia="IRNazanin"/>
          <w:color w:val="111111"/>
          <w:sz w:val="28"/>
          <w:sz w:val="28"/>
          <w:szCs w:val="28"/>
          <w:rtl w:val="true"/>
          <w:lang w:bidi="fa-IR"/>
        </w:rPr>
        <w:t>الشبهة في دلالة النصوص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الأولوية والأحقية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۴۴۳</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في مقابل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۴۴۵</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التأويلات مع سيرة الإمام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التأويلات مع مواقف بعض الصحابة وسائر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۴۵۰</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حيرة المتأولين ما بين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وبعض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۴۵۱</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اتباع الحق دون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دلالة شيء على نفي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۴۵۴</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الترشيح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الأصالة التأسيسية والاحترازية في عملية التقنين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۴۵۷</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الروايات في الجعل والإنشاء بل نصها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۴۵۸</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مع سيرة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العلماني للإمامة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۴۵۸</w:t>
      </w:r>
    </w:p>
    <w:p>
      <w:pPr>
        <w:pStyle w:val="BookText"/>
        <w:rPr/>
      </w:pPr>
      <w:r>
        <w:rPr>
          <w:rFonts w:ascii="Amiri" w:hAnsi="Amiri" w:eastAsia="Amiri" w:cs="Amiri"/>
          <w:color w:val="111111"/>
          <w:sz w:val="28"/>
          <w:sz w:val="28"/>
          <w:szCs w:val="28"/>
          <w:rtl w:val="true"/>
          <w:lang w:bidi="ar-SA"/>
        </w:rPr>
        <w:t>التبرير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الإمامة بالهداية والمرجعية العلمية والدينية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الإمامة والخلافة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۳۵۹</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الإمامة والحكومة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۴۶۱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 النصوص النبوية الدنيوية والنصوص النبوية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۴۶۲</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۴۶۴</w:t>
      </w:r>
    </w:p>
    <w:p>
      <w:pPr>
        <w:pStyle w:val="BookText"/>
        <w:rPr/>
      </w:pPr>
      <w:r>
        <w:rPr>
          <w:rFonts w:ascii="IRNazanin" w:hAnsi="IRNazanin" w:eastAsia="IRNazanin"/>
          <w:color w:val="111111"/>
          <w:sz w:val="28"/>
          <w:sz w:val="28"/>
          <w:szCs w:val="28"/>
          <w:rtl w:val="true"/>
          <w:lang w:bidi="fa-IR"/>
        </w:rPr>
        <w:t>التبرير الرابع استصغار سنّ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۴۷۶</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۴۷۷</w:t>
      </w:r>
    </w:p>
    <w:p>
      <w:pPr>
        <w:pStyle w:val="BookText"/>
        <w:rPr/>
      </w:pPr>
      <w:r>
        <w:rPr>
          <w:rFonts w:ascii="IRNazanin" w:hAnsi="IRNazanin" w:eastAsia="IRNazanin"/>
          <w:color w:val="111111"/>
          <w:sz w:val="28"/>
          <w:sz w:val="28"/>
          <w:szCs w:val="28"/>
          <w:rtl w:val="true"/>
          <w:lang w:bidi="fa-IR"/>
        </w:rPr>
        <w:t>إقرار الخليفة الأول والثاني بصلاحية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التبرير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بالدعابة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۴۸۵</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العرب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۴۹۲</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۴۹۲</w:t>
      </w:r>
    </w:p>
    <w:p>
      <w:pPr>
        <w:pStyle w:val="BookText"/>
        <w:rPr/>
      </w:pPr>
      <w:r>
        <w:rPr>
          <w:rFonts w:ascii="Amiri" w:hAnsi="Amiri" w:eastAsia="Amiri" w:cs="Amiri"/>
          <w:color w:val="111111"/>
          <w:sz w:val="28"/>
          <w:sz w:val="28"/>
          <w:szCs w:val="28"/>
          <w:rtl w:val="true"/>
          <w:lang w:bidi="ar-SA"/>
        </w:rPr>
        <w:t>التبرير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قبيلته من بني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۴۹۷</w:t>
      </w:r>
    </w:p>
    <w:p>
      <w:pPr>
        <w:pStyle w:val="BookText"/>
        <w:rPr/>
      </w:pPr>
      <w:r>
        <w:rPr>
          <w:rFonts w:ascii="Amiri" w:hAnsi="Amiri" w:eastAsia="Amiri" w:cs="Amiri"/>
          <w:color w:val="111111"/>
          <w:sz w:val="28"/>
          <w:sz w:val="28"/>
          <w:szCs w:val="28"/>
          <w:rtl w:val="true"/>
          <w:lang w:bidi="ar-SA"/>
        </w:rPr>
        <w:t>التبرير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الجمع بين النبوة والإمامة في بيت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۵۰۰</w:t>
      </w:r>
    </w:p>
    <w:p>
      <w:pPr>
        <w:pStyle w:val="BookText"/>
        <w:rPr/>
      </w:pPr>
      <w:r>
        <w:rPr>
          <w:rFonts w:ascii="Amiri" w:hAnsi="Amiri" w:eastAsia="Amiri" w:cs="Amiri"/>
          <w:color w:val="111111"/>
          <w:sz w:val="28"/>
          <w:sz w:val="28"/>
          <w:szCs w:val="28"/>
          <w:rtl w:val="true"/>
          <w:lang w:bidi="ar-SA"/>
        </w:rPr>
        <w:t>التبرير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مرحلتان مع أولوية 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۵۰۱</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۵۰۴</w:t>
      </w:r>
    </w:p>
    <w:p>
      <w:pPr>
        <w:pStyle w:val="BookText"/>
        <w:rPr/>
      </w:pPr>
      <w:r>
        <w:rPr>
          <w:rFonts w:ascii="Amiri" w:hAnsi="Amiri" w:eastAsia="Amiri" w:cs="Amiri"/>
          <w:color w:val="111111"/>
          <w:sz w:val="28"/>
          <w:sz w:val="28"/>
          <w:szCs w:val="28"/>
          <w:rtl w:val="true"/>
          <w:lang w:bidi="ar-SA"/>
        </w:rPr>
        <w:t>التبرير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الضرورة والحكم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۵۰۶</w:t>
      </w:r>
    </w:p>
    <w:p>
      <w:pPr>
        <w:pStyle w:val="BookText"/>
        <w:rPr/>
      </w:pPr>
      <w:r>
        <w:rPr>
          <w:rFonts w:ascii="Amiri" w:hAnsi="Amiri" w:eastAsia="Amiri" w:cs="Amiri"/>
          <w:color w:val="111111"/>
          <w:sz w:val="28"/>
          <w:sz w:val="28"/>
          <w:szCs w:val="28"/>
          <w:rtl w:val="true"/>
          <w:lang w:bidi="ar-SA"/>
        </w:rPr>
        <w:t xml:space="preserve">أدلة هذه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 المنتجة للشرعية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۵۰۷</w:t>
      </w:r>
    </w:p>
    <w:p>
      <w:pPr>
        <w:pStyle w:val="BookText"/>
        <w:rPr/>
      </w:pPr>
      <w:r>
        <w:rPr>
          <w:rFonts w:ascii="Amiri" w:hAnsi="Amiri" w:eastAsia="Amiri" w:cs="Amiri"/>
          <w:color w:val="111111"/>
          <w:sz w:val="28"/>
          <w:sz w:val="28"/>
          <w:szCs w:val="28"/>
          <w:rtl w:val="true"/>
          <w:lang w:bidi="ar-SA"/>
        </w:rPr>
        <w:t xml:space="preserve">مناقشة وتحليل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۵۰۹</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التصريح بالشرعية الإلهية للإمام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لازم التمرد على الشرعية الإلهية ارتكاب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لزوم الجمع بين الشرعية الإلهية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البيعة بالحاكم الواجد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۵۱۴</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تعيين مصداق البيعة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۵۱۸</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الجدل في البيعة لفرد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۵۲۰</w:t>
      </w:r>
    </w:p>
    <w:p>
      <w:pPr>
        <w:pStyle w:val="BookText"/>
        <w:rPr/>
      </w:pPr>
      <w:r>
        <w:rPr>
          <w:rFonts w:ascii="IRNazanin" w:hAnsi="IRNazanin" w:eastAsia="IRNazanin"/>
          <w:color w:val="111111"/>
          <w:sz w:val="28"/>
          <w:sz w:val="28"/>
          <w:szCs w:val="28"/>
          <w:rtl w:val="true"/>
          <w:lang w:bidi="fa-IR"/>
        </w:rPr>
        <w:t>التبرير 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 بسعيه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۵۲۲</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من دون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السعي العملي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۵۲۴</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إنكاره على الخلفاء الذين سبقوه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مراعاة مصلحة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p>
    <w:p>
      <w:pPr>
        <w:pStyle w:val="BookText"/>
        <w:rPr/>
      </w:pPr>
      <w:r>
        <w:rPr>
          <w:rFonts w:ascii="Amiri" w:hAnsi="Amiri" w:eastAsia="Amiri" w:cs="Amiri"/>
          <w:color w:val="111111"/>
          <w:sz w:val="28"/>
          <w:sz w:val="28"/>
          <w:szCs w:val="28"/>
          <w:rtl w:val="true"/>
          <w:lang w:bidi="ar-SA"/>
        </w:rPr>
        <w:t xml:space="preserve">التبرير الثاني عشر إمامة الإمام رهن ببيعة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۵۲۴</w:t>
      </w:r>
    </w:p>
    <w:p>
      <w:pPr>
        <w:pStyle w:val="BookText"/>
        <w:rPr/>
      </w:pPr>
      <w:r>
        <w:rPr>
          <w:rFonts w:ascii="IRNazanin" w:hAnsi="IRNazanin" w:eastAsia="IRNazanin"/>
          <w:color w:val="111111"/>
          <w:sz w:val="28"/>
          <w:sz w:val="28"/>
          <w:szCs w:val="28"/>
          <w:rtl w:val="true"/>
          <w:lang w:bidi="fa-IR"/>
        </w:rPr>
        <w:t>التبرير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نسخ إمامة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۵۲۸</w:t>
      </w:r>
    </w:p>
    <w:p>
      <w:pPr>
        <w:pStyle w:val="BookText"/>
        <w:rPr/>
      </w:pPr>
      <w:r>
        <w:rPr>
          <w:rFonts w:ascii="Amiri" w:hAnsi="Amiri" w:eastAsia="Amiri" w:cs="Amiri"/>
          <w:color w:val="111111"/>
          <w:sz w:val="28"/>
          <w:sz w:val="28"/>
          <w:szCs w:val="28"/>
          <w:rtl w:val="true"/>
          <w:lang w:bidi="ar-SA"/>
        </w:rPr>
        <w:t xml:space="preserve">التبرير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۵۴۰</w:t>
      </w:r>
    </w:p>
    <w:p>
      <w:pPr>
        <w:pStyle w:val="BookText"/>
        <w:rPr/>
      </w:pPr>
      <w:r>
        <w:rPr>
          <w:rFonts w:ascii="Amiri" w:hAnsi="Amiri" w:eastAsia="Amiri" w:cs="Amiri"/>
          <w:color w:val="111111"/>
          <w:sz w:val="28"/>
          <w:sz w:val="28"/>
          <w:szCs w:val="28"/>
          <w:rtl w:val="true"/>
          <w:lang w:bidi="ar-SA"/>
        </w:rPr>
        <w:t xml:space="preserve">التبرير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مطلق الخلافة دون الخلافة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۵۴۱</w:t>
      </w:r>
    </w:p>
    <w:p>
      <w:pPr>
        <w:pStyle w:val="BookText"/>
        <w:rPr/>
      </w:pPr>
      <w:r>
        <w:rPr>
          <w:rFonts w:ascii="Amiri" w:hAnsi="Amiri" w:eastAsia="Amiri" w:cs="Amiri"/>
          <w:color w:val="111111"/>
          <w:sz w:val="28"/>
          <w:sz w:val="28"/>
          <w:szCs w:val="28"/>
          <w:rtl w:val="true"/>
          <w:lang w:bidi="ar-SA"/>
        </w:rPr>
        <w:t xml:space="preserve">التبرير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الإمامة بالولاية المعنوية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۵۵۰</w:t>
      </w:r>
    </w:p>
    <w:p>
      <w:pPr>
        <w:pStyle w:val="BookText"/>
        <w:rPr/>
      </w:pPr>
      <w:r>
        <w:rPr>
          <w:rFonts w:ascii="Amiri" w:hAnsi="Amiri" w:eastAsia="Amiri" w:cs="Amiri"/>
          <w:color w:val="111111"/>
          <w:sz w:val="28"/>
          <w:sz w:val="28"/>
          <w:szCs w:val="28"/>
          <w:rtl w:val="true"/>
          <w:lang w:bidi="ar-SA"/>
        </w:rPr>
        <w:t>الفصل السادين</w:t>
      </w:r>
    </w:p>
    <w:p>
      <w:pPr>
        <w:pStyle w:val="BookText"/>
        <w:rPr/>
      </w:pPr>
      <w:r>
        <w:rPr>
          <w:rFonts w:ascii="IRNazanin" w:hAnsi="IRNazanin" w:eastAsia="IRNazanin"/>
          <w:color w:val="111111"/>
          <w:sz w:val="28"/>
          <w:sz w:val="28"/>
          <w:szCs w:val="28"/>
          <w:rtl w:val="true"/>
          <w:lang w:bidi="fa-IR"/>
        </w:rPr>
        <w:t>شبهات حول صفات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علم الأئمة للغيب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المختلفة لحقيقة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علم الغيب فى حقل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۵۵۷</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الإمامة الملازمة لعلم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۵۵۸</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ثمرة الولاية الباطنية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۵۵۹</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الغيب من لوازم العصمة والحجّة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۵۶۱</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علم الأئمة للغيب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۵۶۱</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الأئمة بالغيب من اختلاق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۵۶۳</w:t>
      </w:r>
    </w:p>
    <w:p>
      <w:p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علم الغيب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القدرة الاستيعابية للمخاطب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۵۶۴</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القدرة الاستيعابية للمخاطب 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۵۶۵</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العلم الاستقلالي دون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۵۶۷</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العلم الفعلي دون مطلق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p>
    <w:p>
      <w:p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علم الغيب في الإمام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۵۶۹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التنزل بمقام الإمامة إلى مستوى الحاكم والفرد 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۵۷۰</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الانسجام مع فلسفة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۵۷۵</w:t>
      </w:r>
    </w:p>
    <w:p>
      <w:pPr>
        <w:pStyle w:val="BookText"/>
        <w:rPr/>
      </w:pPr>
      <w:r>
        <w:rPr>
          <w:rFonts w:ascii="IRNazanin" w:hAnsi="IRNazanin" w:eastAsia="IRNazanin"/>
          <w:color w:val="111111"/>
          <w:sz w:val="28"/>
          <w:sz w:val="28"/>
          <w:szCs w:val="28"/>
          <w:rtl w:val="true"/>
          <w:lang w:bidi="fa-IR"/>
        </w:rPr>
        <w:t>الشبهة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انسجام علم الغيب مع بعض أفعال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۵۷۵</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الآراء المختلفة بشأن علم الإمام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۵۷۶</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محاذير العمل بعلم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۵۷۶</w:t>
      </w:r>
    </w:p>
    <w:p>
      <w:pPr>
        <w:pStyle w:val="BookText"/>
        <w:rPr/>
      </w:pPr>
      <w:r>
        <w:rPr>
          <w:rFonts w:ascii="IRNazanin" w:hAnsi="IRNazanin" w:eastAsia="IRNazanin"/>
          <w:color w:val="111111"/>
          <w:sz w:val="28"/>
          <w:sz w:val="28"/>
          <w:szCs w:val="28"/>
          <w:rtl w:val="true"/>
          <w:lang w:bidi="fa-IR"/>
        </w:rPr>
        <w:t>شبهة علم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w:t>
      </w:r>
    </w:p>
    <w:p>
      <w:pPr>
        <w:pStyle w:val="BookText"/>
        <w:rPr/>
      </w:pPr>
      <w:r>
        <w:rPr>
          <w:rFonts w:ascii="IRNazanin" w:hAnsi="IRNazanin" w:eastAsia="IRNazanin"/>
          <w:color w:val="111111"/>
          <w:sz w:val="28"/>
          <w:sz w:val="28"/>
          <w:szCs w:val="28"/>
          <w:rtl w:val="true"/>
          <w:lang w:bidi="fa-IR"/>
        </w:rPr>
        <w:t>تناول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۵۸۱</w:t>
      </w:r>
    </w:p>
    <w:p>
      <w:pPr>
        <w:pStyle w:val="BookText"/>
        <w:rPr/>
      </w:pPr>
      <w:r>
        <w:rPr>
          <w:rFonts w:ascii="Amiri" w:hAnsi="Amiri" w:eastAsia="Amiri" w:cs="Amiri"/>
          <w:color w:val="111111"/>
          <w:sz w:val="28"/>
          <w:sz w:val="28"/>
          <w:szCs w:val="28"/>
          <w:rtl w:val="true"/>
          <w:lang w:bidi="ar-SA"/>
        </w:rPr>
        <w:t xml:space="preserve">حمل الاعتراف والأعمال المخالفة لعلم الغيب على العلم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۵۸۲</w:t>
      </w:r>
    </w:p>
    <w:p>
      <w:pPr>
        <w:pStyle w:val="BookText"/>
        <w:rPr/>
      </w:pPr>
      <w:r>
        <w:rPr>
          <w:rFonts w:ascii="IRNazanin" w:hAnsi="IRNazanin" w:eastAsia="IRNazanin"/>
          <w:color w:val="111111"/>
          <w:sz w:val="28"/>
          <w:sz w:val="28"/>
          <w:szCs w:val="28"/>
          <w:rtl w:val="true"/>
          <w:lang w:bidi="fa-IR"/>
        </w:rPr>
        <w:t xml:space="preserve">الشبهة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توظيف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الصفاتهم الخارقة في التعريف بأنفسهم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۵۸۴</w:t>
      </w:r>
    </w:p>
    <w:p>
      <w:pPr>
        <w:pStyle w:val="BookText"/>
        <w:rPr/>
      </w:pPr>
      <w:r>
        <w:rPr>
          <w:rFonts w:ascii="IRNazanin" w:hAnsi="IRNazanin" w:eastAsia="IRNazanin"/>
          <w:color w:val="111111"/>
          <w:sz w:val="28"/>
          <w:sz w:val="28"/>
          <w:szCs w:val="28"/>
          <w:rtl w:val="true"/>
          <w:lang w:bidi="fa-IR"/>
        </w:rPr>
        <w:t xml:space="preserve">الشبهة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۵۸۵</w:t>
      </w:r>
    </w:p>
    <w:p>
      <w:pPr>
        <w:pStyle w:val="BookText"/>
        <w:rPr/>
      </w:pPr>
      <w:r>
        <w:rPr>
          <w:rFonts w:ascii="Amiri" w:hAnsi="Amiri" w:eastAsia="Amiri" w:cs="Amiri"/>
          <w:color w:val="111111"/>
          <w:sz w:val="28"/>
          <w:sz w:val="28"/>
          <w:szCs w:val="28"/>
          <w:rtl w:val="true"/>
          <w:lang w:bidi="ar-SA"/>
        </w:rPr>
        <w:t>الشبهة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عصمة الأئمة مع الأدعية والروايات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۵۸۷</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للآيات والروايات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۵۸۸</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الإمام يُشير إلى أصل عام ولا يختص بشخصه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إمكان صدور الخطأ على عدم تدخل العناية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۵۹۰</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الإمام الدالة على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۵۹۱</w:t>
      </w:r>
    </w:p>
    <w:p>
      <w:pPr>
        <w:pStyle w:val="BookText"/>
        <w:rPr/>
      </w:pPr>
      <w:r>
        <w:rPr>
          <w:rFonts w:ascii="Amiri" w:hAnsi="Amiri" w:eastAsia="Amiri" w:cs="Amiri"/>
          <w:color w:val="111111"/>
          <w:sz w:val="28"/>
          <w:sz w:val="28"/>
          <w:szCs w:val="28"/>
          <w:rtl w:val="true"/>
          <w:lang w:bidi="ar-SA"/>
        </w:rPr>
        <w:t>تقرير آخر 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الأئمة في أدعيتهم بأنهم مذنبون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۵۹۲</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۵۹۳</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العلمي والتربوي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۵۹۴</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الاستغفار 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۵۹۵</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الاستغفار لذنوب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۵۹۵</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حمل الأدعية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۵۹۷</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بأدعية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۵۹۸</w:t>
      </w:r>
    </w:p>
    <w:p>
      <w:pPr>
        <w:pStyle w:val="BookText"/>
        <w:rPr/>
      </w:pPr>
      <w:r>
        <w:rPr>
          <w:rFonts w:ascii="IRNazanin" w:hAnsi="IRNazanin" w:eastAsia="IRNazanin"/>
          <w:color w:val="111111"/>
          <w:sz w:val="28"/>
          <w:sz w:val="28"/>
          <w:szCs w:val="28"/>
          <w:rtl w:val="true"/>
          <w:lang w:bidi="fa-IR"/>
        </w:rPr>
        <w:t>الشبهة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اتصاف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بكونهم حجج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۵۹۹</w:t>
      </w:r>
    </w:p>
    <w:p>
      <w:pPr>
        <w:pStyle w:val="BookText"/>
        <w:rPr/>
      </w:pPr>
      <w:r>
        <w:rPr>
          <w:rFonts w:ascii="Amiri" w:hAnsi="Amiri" w:eastAsia="Amiri" w:cs="Amiri"/>
          <w:color w:val="111111"/>
          <w:sz w:val="28"/>
          <w:sz w:val="28"/>
          <w:szCs w:val="28"/>
          <w:rtl w:val="true"/>
          <w:lang w:bidi="ar-SA"/>
        </w:rPr>
        <w:t xml:space="preserve">الشبهة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الحجية بالأمور العبادية والفردية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۵۹۹</w:t>
      </w:r>
    </w:p>
    <w:p>
      <w:pPr>
        <w:pStyle w:val="BookText"/>
        <w:rPr/>
      </w:pPr>
      <w:r>
        <w:rPr>
          <w:rFonts w:ascii="Amiri" w:hAnsi="Amiri" w:eastAsia="Amiri" w:cs="Amiri"/>
          <w:color w:val="111111"/>
          <w:sz w:val="28"/>
          <w:sz w:val="28"/>
          <w:szCs w:val="28"/>
          <w:rtl w:val="true"/>
          <w:lang w:bidi="ar-SA"/>
        </w:rPr>
        <w:t>الشبهة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بقاء وحفظ الأرض والسماوات إلى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۶۰۱</w:t>
      </w:r>
    </w:p>
    <w:p>
      <w:pPr>
        <w:pStyle w:val="BookText"/>
        <w:rPr/>
      </w:pPr>
      <w:r>
        <w:rPr>
          <w:rFonts w:ascii="IRNazanin" w:hAnsi="IRNazanin" w:eastAsia="IRNazanin"/>
          <w:color w:val="111111"/>
          <w:sz w:val="28"/>
          <w:sz w:val="28"/>
          <w:szCs w:val="28"/>
          <w:rtl w:val="true"/>
          <w:lang w:bidi="fa-IR"/>
        </w:rPr>
        <w:t>الإجابة عن شبهة من تولى حفظ العالم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۶۰۸</w:t>
      </w:r>
    </w:p>
    <w:p>
      <w:pPr>
        <w:pStyle w:val="BookText"/>
        <w:rPr/>
      </w:pPr>
      <w:r>
        <w:rPr>
          <w:rFonts w:ascii="IRNazanin" w:hAnsi="IRNazanin" w:eastAsia="IRNazanin"/>
          <w:color w:val="111111"/>
          <w:sz w:val="28"/>
          <w:sz w:val="28"/>
          <w:szCs w:val="28"/>
          <w:rtl w:val="true"/>
          <w:lang w:bidi="fa-IR"/>
        </w:rPr>
        <w:t xml:space="preserve">الشبهة الثانية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إنكار الولاية التكوينية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۶۰۹</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التكوينية ثمرة القرب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۶۱۰</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التجارب العادية والعرفانية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۶۱۱</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۶۱۲</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والولاية التكوينية لغير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۶۱۲</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۶۱۷</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تخفى ضرورة هذا البحث على القارئ الكريم ؛ فإن الإمامة ركن رئيس في مذهب التشيّع ، وقد تعرّضت للشبهات من قبل الخصوم منذ بدايتها برحيل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وتجاهل أصل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حادثة السقيفة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شهدنا في الآونة الأخيرة اجترار تلك الشبهات وإعادة صياغتها على بعض مواقع التواصل الاجتماعي، وفي مؤلفات عدد من المستنيرين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www.iicss.iq</w:t>
      </w:r>
    </w:p>
    <w:p>
      <w:pPr>
        <w:pStyle w:val="BookText"/>
        <w:rPr/>
      </w:pPr>
      <w:r>
        <w:rPr>
          <w:rFonts w:eastAsia="Times New Roman" w:cs="Times New Roman" w:ascii="Times New Roman" w:hAnsi="Times New Roman"/>
          <w:color w:val="111111"/>
          <w:sz w:val="28"/>
          <w:szCs w:val="28"/>
          <w:lang w:val="en-US" w:bidi="en-US"/>
        </w:rPr>
        <w:t>islamic.css@gmail.com</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الكلام الفلسفي مسلك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فلسفي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علم الكلام، وهو مسلك يتبنى فيه المتكلم الأسس الدينية، ثمّ يتولى بيانها وتحليلها طبقاً للمنهج العقلي والفلسفي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العلم تحظى الفلسفة والعقل بمكانة خاصة قد تؤدي أحياناً إلى نقد وجرح بعض المفاهيم والتعاليم التقليدية والمشهورة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الكلام الفلسفي يشترك مع الكلام التقليدي في الموضوع والغاية، ويختلف عنه في طرق الاستدلال ومناهجه فقط، ويكون في ذلك أقرب إلى الفلسفة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المحمودي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الأمم في التياث الظلم،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وقصارى أمر الإمامة أنها قضية مصلحية إجماعية، ولا تلحق بالعقائد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الاعتقاد، ص</w:t>
      </w:r>
      <w:r>
        <w:rPr>
          <w:rFonts w:eastAsia="IRNazanin" w:cs="IRNazanin"/>
          <w:b w:val="false"/>
          <w:bCs w:val="false"/>
          <w:i w:val="false"/>
          <w:iCs w:val="false"/>
          <w:color w:val="333333"/>
          <w:sz w:val="20"/>
          <w:szCs w:val="20"/>
        </w:rPr>
        <w:t>381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69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المؤلفات النكت الاعتقادية،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والحقائق، بحث الإمامة؛ وانظر أيضاً الذخيرة في علم الكلام،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العبارات المصطلحة بين المتكلمين،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پژوهي،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الإمامة،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النجاة في القيامة في تحقيق أمر الإمامة،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في إمامة مولانا أمير المؤمنين،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الحادي عشر، بحث الإمامة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الإلهية،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المسترشدين، ص </w:t>
      </w:r>
      <w:r>
        <w:rPr>
          <w:rFonts w:eastAsia="IRNazanin" w:cs="IRNazanin"/>
          <w:b w:val="false"/>
          <w:bCs w:val="false"/>
          <w:i w:val="false"/>
          <w:iCs w:val="false"/>
          <w:color w:val="333333"/>
          <w:sz w:val="20"/>
          <w:szCs w:val="20"/>
        </w:rPr>
        <w:t>325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من أمثال الحكيم اللاهيجي من تنبه إلى هذا الاشتراك في التعريف، واصفاً ذلك بأنه من عجائب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ص </w:t>
      </w:r>
      <w:r>
        <w:rPr>
          <w:rFonts w:eastAsia="IRNazanin" w:cs="IRNazanin"/>
          <w:b w:val="false"/>
          <w:bCs w:val="false"/>
          <w:i w:val="false"/>
          <w:iCs w:val="false"/>
          <w:color w:val="333333"/>
          <w:sz w:val="20"/>
          <w:szCs w:val="20"/>
        </w:rPr>
        <w:t>462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يقوم الادعاء على وجود الاختلاف الجوهري في التعاريف، لا على وجود التباين التام،بمعنى  أن كلا المذهبين يشترك في جانب من هذه التعاريف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جانب اعتبار الإمامة رئاسة عامة في الدين والدنيا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توضيح ذلك وتوضيح مواطن الاختلاف بين أهل السنة والشيعة في النص إن شاء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إحياء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فضائح الباطنية،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الماوردي، الأحكام السلطانية،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الأحكام السلطانية،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القاضي أبو يعلى، الأحكام السلطانية،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الغزالي، الاقتصاد في الاعتقاد،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الآمدي، غاية المرام في علم الكلام،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التزام علماء الإمامية باعتبار الإمامة من الأصول الكلامية والتعاليم الأساسية والجوهرية، ساد بينهم رأيان مختلفان باعتبار الإمامة من أصول الدين أو من أصول المذهب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فلسفي، الفصل السابع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كتاب أصول الدين،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القاضي عضد الدين الإيجي،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إمام الحرمين الجويني، كتاب الإرشاد،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سعد الدين التفتازاني 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عبد الرحمن ابن حلدون، مقدمة ابن خلدون،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عبد الجبار المعتزلي، شرح الأصول الخمسة، 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الأوائل،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أهل السنة، شرح عبد الملك السعدي،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الاعتقادات الملحق بمصنفات الشيخ المفيد،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الإلهيات من الشفاء،ص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السهروردي، مؤلفات شيخ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صدر المتألهين، تفسير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مرتضى مطهري، الأعمال الكاملة،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الجدير ذكره هنا أن رؤية العرفاء من أهل السنة في هذا الشأن تنسجم مع رؤية الإمامية، ويمكن القول إنهم وافقون الإمامية في ذلك، ولكنهم توسعوا في ذلك ومنحوا هذه الصفات لغير الأئمة من الأولياء وحتى لأنفسهم، كما يذهب عرفاء أهل السنة إلى إنكار أصل التنصيب الإلهي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بن عربي، فصوص الحكم، الفص الداودي؛ والفتوحات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تلخيص المحصل،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الآمدي، أبكار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 ،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مقدمة ابن خلدون،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من ذهب إلى القول بالجمع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الوجوب العقلي والسمعي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 والكعبي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وهناك من أنكر وجوب الإمامة من الأساس، مثل الخوارج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بين أهم الأدلة السمعية التي تمسك بها الأشاعرة في ذلك إجماع المسلمين في صدر الإسلام بعد وفاة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تعيين الخليفة وترك جسد النبي من دون تغسيل ولا تكفين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نثبت صفات الإمام وخصائصة بالأدلة العقلية والنقلية، في الفصول القادمة إن شاء الله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خاتميت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الخاتمية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جعفر سبحاني، الإلهيات،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الأميني، الغدير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مقالات الإسلاميين،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الشهرستاني، 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الحرمين الجويني، كتاب الإرشاد،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عبد القاهر البغدادي، كتاب أصول الدين،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شيعه در اسلام،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محمد تقي مصباح اليزدي، آموزش عقاید،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ضيائي فر، جایگاه مبانی کلامی در اجتهاد،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المجلي،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طاووس، اليقين،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جمهور الأحسائي، عوالي اللآلي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كتاب الحجة، باب مولد النبي ،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الإمام الخميني، مصباح الهداية،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القطب الراوندي، قصص الأنبياء</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موسوعة الإمامة،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الإلهيات من الشفاء،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مجموعة مصنفات شيخ الإشراق،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الميرداماد، القبسات،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محمد رضا الحكيمي، خورشيد مغرب، الفصل التاسع</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احتمالان بشأن المراد من الميتة الجاهلية،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والشرك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 المعنيين وارد في الروايات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من مات وليس له إمام،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مسند أحمد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ومن هنا يتضح ضعف ادعاء الدكتور النشار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الإسلام،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القائم على إنكار هذه الأحاديث في مصادر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الاطلاع حول مئات الأحاديث في هذا الشأن،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الكبرى الشاملة، من خلال البحث عن مصطلح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الميتة الجاهلية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الإلهيات من كتاب الشفاء،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خاتم،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شاذان، الإيضاح،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ذلك أن ابن أبي الحديد المعتزلي يعيد الإشكال بعد هذا الكلام ثانية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هذه الخطبة هو الاستدلال من قبل الإمام من طريق الأولوية دون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جعفر في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كانت هذه الخطبة جواباً عن سؤال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أنك أقرب إلى النبي وأولى من غيرك في استلام الحكم، فلماذا تم استبعادك عن الحكم؟ فأعطى الإمام الجواب المناسب على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وعلاوة على جواب أبي جعفر سوف نشير في هذا الكتاب إلى مختلف احتجاجات الإمام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أصل التنصيب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الآمدي، أبكار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 الأربعين، المسألة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الشهرستاني، نهاية الأقدام، القاعدة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القوشجي، شرح التجريد،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حُسن وقبح عقلي،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الرسائل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الرسالة الثامنة؛ الأسفرائيني، التبصير في الدين،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العاشر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تاج</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حجر العسقلاني، تفسير فتح الباري، ج ،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نجيم المصري الحنفي، البحر الرائق في شرح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 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أهل السنة،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كتب ورسائل وفتاوى ابن تيمية،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برقعي، تضاد مفاتيح الجنان با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 كتاب المنهاج، مبحث الأخبار ؛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أبجد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الشهرستاني،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الفصل السادس ،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تلخيص المحصل،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عرفة، رسالة الإسلام،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الأهواء والبدع، المقدمة،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هذا الكتاب إلى 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شهیدان راه فضیلت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الروافض والإمامية الخارجين من ربقة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غاية المرام في علم الكلام،ص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أفتى بكفر من ينكر إمامة أبي بكر بن أبي قحافة، أصول الأشروشني، مبحث الإمامة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اعتبار الإمامة من أصول الدين، وقال بأن إنكار ذلك يستوجب الكفر والبدعة،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المنهاج، مبحث الأخبار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وأما الكفر فمن 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أنهم ينكرون خلافة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 قتل هؤلاء الأشرار الكفار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الفتاوى الحامدية،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نقلا عن السيد شرف الدين، الفصول المختارة، الفصل التاسع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منهاج السنة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المفترقة بين أهل الزيغ والزندقة،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صالح عبد الرحمن، عقيدة الشيخ محمد بن عبد الوهاب،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نجد ابن أبي الحديد المعتزلي رغم اتهامه من قبل الخصوم بالتقرب من الشيعة، وتأليفه لشرح نهج البلاغة، يرفض رواية في ثلب الخليفة الثالث لا لشيء إلا لكونها مروية في كتب الشيعة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كتابتي لهذه السطور كانت وسائل الإعلام تتناول خبر مقتل واغتيال مئات من الشيعة في كل من العراق وباكستان على يد الوهابيين والسلفية، وبعبارة أدق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يد التكفيريين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هؤلاء لم يتحملوا حتى وجود مرقد للإمام الحسن العسكري في سامراء، فعمدوا إلى تفجيره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ذو القعدة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نداء موقع من قبل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شخصاً مما يسمى بأساتذة الجامعات الدينية والمعلمين في المدارس السعودية، يستحثون فيه أهل السنة على قتل الشيعة بحجة أنهم رافضة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جمهوري اسلامي،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أهل السنة الحقيقيين لم يعيروا أهمية لنداء هؤلاء المتطرفين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بادر الشيخ يوسف القرضاوي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علماء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الإعلان عن دعمه لحزب الله في لبنان، وشجب قتل الشيعة على يد التكفيريين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هذا الموقف من الشيخ يوسف القرضاوي كان يعود إلى ما قبل أحداث ما يسمى بالربيع العربي، وأما بعد ذلك فقد غير القرضاوي مواقفه من حزب الله والشيعة رأساً على عقب، وأعلن توبته إلى الله من مواقفه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يسمي حزب الله بحزب الشيطان وعاد إلى وصم الشيعة بالرافضة، والله في خلقه شؤون المعرب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أجمع أهل القبلة على أنها ليست من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شرف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کاشف الغطاء، أصل الشيعة وأصولها،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محسن الحكيم، مستمسك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كتاب الطهارة،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قرآن در اسلام،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آشنائی با علوم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العلوم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علم الكلام، الدرس الثامن،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عدل الهي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الإلهي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قراملكي، كلام فلسفي، الفصل السابع ؛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مفيد، صيف عام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انگاري امامت از اصول دین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مسند أبي داود،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عموم علماء أهل السنة ومؤرخيهم يقرّون باتصاف يزيد بهذه الموبقات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البغدادي، كتاب أصول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فيض اسلام، ص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المطهري، الأعمال الكاملة،</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مسألة الغدير لم تكن بالمسألة التي تؤسس إلى شيء جديد بالنسبة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فالإمام علي هو الذي أوجد مسألة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الصفات الكمالية والمثالية التي كان يتمتع بها أمير المؤمنين هي التي أدت إلى ظهور حادثة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مسألة تنصيب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خليفة على المسلمين ، إنما كانت منبثقة عن صفات كمالية شاملة اتصف بها الإمام أدت إلى حادثة عرفت بحادثة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التوضيح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الأيماني، الإمام علي في آراء الخلفاء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الآلوسي، مختصر التحفة الإثنى عشرية،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حسين المظفر ،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التوضيح بشأن موقف ابن أبي الحديد،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الفضل ميرلوحي، تجلي فضيلت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الجاحظ،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القندوزي الحنفي، ينابيع المودة لذوي القربى؛ السيد محمد طاهر الهاشمي الشافعي، مناقب أهل البیت از دیدگاه اهل سنت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أمين، ظهر الإسلام، ص </w:t>
      </w:r>
      <w:r>
        <w:rPr>
          <w:rFonts w:eastAsia="IRNazanin" w:cs="IRNazanin"/>
          <w:b w:val="false"/>
          <w:bCs w:val="false"/>
          <w:i w:val="false"/>
          <w:iCs w:val="false"/>
          <w:color w:val="333333"/>
          <w:sz w:val="20"/>
          <w:szCs w:val="20"/>
        </w:rPr>
        <w:t>672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الشوكاني عدة احتمالات لما هو المراد من الحكم،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وفهم الأحكام، والعلم والنبوة، والتعقل،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مانع من أن يكون الحكم صالحاً الحمله على جميع 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فتح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وذهب أبو منصور الماتريدي إلى دلالة هذه الآية على النبوة في الصغر، خلافاً لنظرية 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إسماعيل حقي البروسوي،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وفسرها العلامة الطباطبائي بالعلم بالمعرفة الاهیة و انکشاف حجب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العلامة السيد محمد حسين الطباطبائي، الميزان في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تأويلات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والنص على أبي الحسن،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للشيخ المفيد،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كتاب الإرشاد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إثبات الوصية،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القندوزي الحنفي، ينابيع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لأهل البدع والزندقة،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الأعمال الكاملة للشيخ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الثاني،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الإرشاد؛ المسعودي، إثبات الوصية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المفيد، الإرشاد،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الهيتمي، الصواعق المحرقة،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إثبات الوصية، ص </w:t>
      </w:r>
      <w:r>
        <w:rPr>
          <w:rFonts w:eastAsia="IRNazanin" w:cs="IRNazanin"/>
          <w:b w:val="false"/>
          <w:bCs w:val="false"/>
          <w:i w:val="false"/>
          <w:iCs w:val="false"/>
          <w:color w:val="333333"/>
          <w:sz w:val="20"/>
          <w:szCs w:val="20"/>
        </w:rPr>
        <w:t>230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 بن حاتم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الكليني، أصول الكافي، ج</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الهداية،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الشيخ المفيد، الأعمال الكاملة،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الفاضل المقداد السيوري، اللوامع الإلهية،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تفضيلهم على الأنبياء،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ذكره أنّ قليلاً من الإمامية توقفوا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الأعمال الكاملة،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مقالات الإسلاميين،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عبد القاهر البغدادي، كتاب أصول الدين،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المباهلة عبارة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يبادر شخصان أو فئتان أو أتباع ديانتين مختلفتين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استنفاد أدلتهما العلمية على أحقيتها بالنسبة إلى الطرف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اللجوء في نهاية المطاف إلى التواعد في مكان واحد ووقت واحد للدعاء والابتهال إلى الله بأن يهلك المبطل منهما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المقداد السيوري، اللوامع الإلهية،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الروايات في هذا الشأن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؛شمس الدين أحمد الذهبي، تاريخ الإسلام،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العلامة المجلسي، بحار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العلامة المجلسي، بحار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ابن حجر، زهر الفردوس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الديلمي، الفردوس،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حلية الأولياء،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ابن الطريق، الوحي المبين،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الثانية؛ موسوعة الإمامة في نصوص أهل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الخوارزمي مقتل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المغربي، شرح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ابن طاووس، الطرائف،</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المودة في القربى، ص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 الحنفي القندوزي،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النيسابوري،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القندوزي، ينابيع المودة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الفص الداوودي،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الفتوحات المكية،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مقدمه قيصري بر فصوص،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عربي، فصوص الحكم، نهاية الفص العزيزي،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والفص الشيثي،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أمين، ضحى الإسلام،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آشوري، دانشنامه سیاسی، ص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الرسول بيات وآخرون، فرهنگ واژها،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دموکراسی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كلايمرودي وآخرون، آشنائی با علم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بارتو، نخبگان جامعه،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طيب،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قراملکی، سکولاریزم در مسيحيت واسلام، الفصل السادس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الإسللام يقود الحياة،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المجموعة الكاملة لمؤلفات السيد الصدر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سبحاني، مفاهيم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معالم الحكومة الإسللامية،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حسين علي منتظري، دراسات في ولاية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محمد حسين الشيرازي، الفقه، كتاب الحكم في الإسلام،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الصدر الإسلام يقود الحياة،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العلامة محمد حسين الطباطبائي،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بحثي درباره مرجعیت وروحانیت،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المحقق النائيني، حاشية كتاب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آية الله الآراكي،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سبحاني، مبانی حکومت اسلامی،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لذكر الروايات النبوية بوصفها مباني شيعية جهتين؛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حجية الروايات النبوية عند الإمامية،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روايتها في المصادر الحديثية حيث تعتبر من المصادر الشيعية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النوري،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الأعلمي؛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الإرشاد،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 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كتاب سليم بن قيس الهلالي،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العلامة محمد باقر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والقيادة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69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حماسه 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الملحمة الحسينية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هامش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منشورات المركز العالمي للدراسات الإسلامية،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باز و دشمنانش،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درس این قرن،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زندگی سراسر حل مسئله است،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أنطوني، غيدنز، جامعه شناسی،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منوشهر صبوري،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جوزيف، شومبيتر، کابیتالیسم، سوسیالیسم ودموكراسي،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منصور ،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باتارمو، نخبگان وجامعه،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رضا طيب،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كارلتون کلایمرودي، آشنايي با علم سیاست،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لستر تارو، آینده سرمايه داري،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کياوند،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؛رينه غينون، بحران دنياي متجدد،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دهشيري،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بوبر، جامعه باز و دشمنانش،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درس این قرن،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زندگی سراسر حل مسئله است،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الحكم على كل حال حق من حقوق الناس، وإن حكومة الناس شأن من شؤونهم، وليست من شؤون الآلهة، وإن الحكومة التي تأتي بانتخاب الناس، تسقط بانتخاب الناس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مدارومديريت، صحيفة كيان، العدد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فربه تر از آیدیولوژی،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همایش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وتجديد حيات 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دعاء ما بعد الزيارة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آل ياسين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زيارة الإمام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النوري، النجم الثاقب،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الباب السابع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الگلبايگاني، امامت و مهدويت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اللاهوري، إحياء الفكر الديني، نهاية الفصل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نضيف إلى ذلك أن هذه الشبهة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المهدوية مع الديمقراطية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تثار من قبل الدكتور سروش وآخرين بتفصيل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وبالرجوع إلى نص كتاب إقبال نلاحظ أنه ينكر الأئمة والمهدوية من الأساس بوصفه منتمياً إلى المذهب السني، من منطلق أن الأئمة يتم تنصيبهم من قبل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أرجع ذلك بغير وجه حق إلى نظرية زرادشت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بالثنوية وتعدد الألهة الأعم من القول بوجود إله الخير وإله الشر وما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 القول بظهور المنقذ والمخلص في العالم الإسلامي تأثراً بالديانة المجوسية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بحث الدكتور إقبال ونقده بشأن نظرية وجود المنجي والمنقذ في مستقبل البشرية، يقرّ بوجود هذه النظرية في الديانة المسيحية واليهودية أيضاً، ولا ربط لذلك ببحث تعارض المهدوية مع الديمقراطية بشكل 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تقدم أن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عبارته ليس فيها ما يشير إلى التعارض بين المهدوية والديمقراطية إطلاقاً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إقبال، تجديد التفكير الديني في الإسلام،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،تعریب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غلام رضا سعيدي، مفخر شرق سید جمال الدين أسد آبادي؛ إقبال لاهوري،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هادي خسروشاهي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سروش في جامعة السوربون، باريس عام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 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في جوابه الأول عن السيد بهمن بور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النظرية المهدوية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أكانت حقاً أم باطلاً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 في حقل السياسة إما إلى عدم الجدوائية السياسية أو سفك الدماء وخداع الناس على الطريقة الصفوية، أو إلى القول بولاية الفقيه المطلقة، أو صناعة الأسلحة الأيديولوجية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 حال فإنها بعيدة كل البعد عن العدالة والديمقراطية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 الدكتور سروش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أحاديث المهدي،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المجلسى، بحار الأنوار،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صدر الدين الصدر، المهدي،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ابن طاووس، الملاحم،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الخصائص باشكال مختلفة في الروايات والبحوث العلمية، ومن بينها، قيام و انقلاب مهدي، لمؤلفه الأستاذ الشهيد مرتضى مطهري،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الملاحم،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؛القول المختصر،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استفدنا في بيان بعض خصائص الحكومة المهدوية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اندازی به حکومت 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الطبسي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الغيبة،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ملحقات إحقاق الحق،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ينابيع المودة،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وبطبيعة الحال هناك روايات متعارضة بهذا الشأن، وقد عملت على جمعها وبيانها، انظر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دکترین مهدویت وپلورالیزم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الأعمال المختارة في المؤتمر الثاني حول المهدوية،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أن القول بهذا التفسير لختم النبوات، وصيغتها الشيعية، وفلسفة الغيبة الكبرى التي تعتبر انقطاع الوحي مؤشراً على بلوغ البشرية بتأثير تعاليم الأنبياء، يؤدي إلى القول باعتبار البشر قادرين على توظيف سراج العقل المفعم بزيت التعاليم النبوية لإضاءة الطريق إلى المستقبل، وهذا يعتبر طريقاً آخر لصيرورة الشريعة مفهوماً عرفياً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شاهد قدسی تا شاهد بازاري،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نيكوئي، تئوری امامت در ترازوی نقد،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يسأل شخص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يرتفع احتمال الخطأ في الاجتهاد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يعني إرجاع الجزئيات إلى 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ويزول احتمال الاستنباط الخاطئ؟ لا شك في أن الإجابة عن هذا السؤال ستكون بالنفي؛ وعليه فإن الاجتهاد بحاجة إلى العصمة أيضاً، ولا يحق لغير المعصوم أن يجتهد، ولكن هل يمكن الالتزام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تئوری امامت در ترازوي نقد،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خاتميت،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بشأن ملاكات الخاتمية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قدردان قراملکي، آيين خاتم،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يُجمع أهل السنة على عصمة الأنبياء في خصوص استلام الوحي وإبلاغه، مع القول بجواز الخطأ وارتكاب الصغائر عليهم قبل البعثة وبعدها، وهناك من قال بذلك على المستوى العملي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الشيعة فيذهبون إلى القول بعصمة الأنبياء في جميع المجالات و الحالات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عصمت، نشر پژوهشگاه فرهنگ و اندیشه اسلامی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تجربه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 التجربة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الثاني للدكتور سروش على الأستاذ بهمن بور، موقع سروش؛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آيينه</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قراءت فراموش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مدرسة،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كمال الدين وإتمام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هامش تفسير الآية؛ سنن الترمذي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القمي الرازي، كفاية الأثر،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8368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في معرفة الصحابة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المعجم الأوسط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الصدوق، علل الشرائع،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باب العصمة،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باب العصمة،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عيون</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محیی الدين ابن عربي، الفتوحات المكية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الحجة، باب فرض طاعة الأئمة، والأبواب الأخری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الدهلوي، التفهيمات الإلهية،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الدكتور سروش الأول عن الأستاذ بهمن بور، موقع الدكتور سروش</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تجربه نبوی،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برقعي، تضاد با مفاتيح،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استند إلى ظاهر آية وفقرة من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تجربه نبوی،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تجربه نبوی،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سروش في جوابه الأول عن الأستاذ بهمن بور،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الدكتور عبد الكريم سروش ،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الشمسية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الدين الآمدي، أبكار الأفكار في أصول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وتفاسير أهل السنة والشيعة، في تفسير هذه الآية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المقريزي الإمتاع والمؤانسة،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شیعه در 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البرقعي، تضاد مفاتیح با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تفسير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الإسلام،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البرقعي، تضاد مفاتیح با قرآن،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وبحر الغرائب،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الأولى،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برقعي، تضاد مفاتيح الجنان با قرآن،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محدّثون،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الثاني، إنهم محدّثون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الدهلوي، التفهيمات الإلهية،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برقعي، تضاد مفاتیح الجنان با قرآن،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الدكتور سروش الأول عن الأستاذ بهمن بور، موقع الدكتور سروش، بتاريخ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من شهريور،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موقع بازتاب وسروش،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الدكتور سروش في جامعة السوربون الفرنسية، موقع سروش،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و چالش مردم سالاری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واعتبر في هذه الكلمة وصف الأئمة بالمحدثين والمفهمين منافياً للخاتمية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الميزان في تفسير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؛العلامة الطباطبائي، تفسير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تفسير الآية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 التفسير الكبير،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البخاري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وفي بعض روايات أهل السنة اعتبار عمر بن الخطاب من مصاديق ذلك</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الباب الثاني، والأبواب الأخرى</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الغزالي، 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بيان حد الشكر؛ حادي الأرواح،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معنوي، الدفتر الأول، فصل سؤال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البيت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ابن عربي، فصوص الحكم، الفص العزيزي،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تعليقات</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الفص الداوودي،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كتب ورسائل وفتاوى ابن تيمية،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صحیح مسلم، باب مناقب عمر بن الخطاب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في علم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الثالثة والثلاثين من سورة الأحزاب ؛ فرائد السمطين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ينابيع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نقلاً عن 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حاتم ، تفسير القرآن العظيم،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نهاية الخطبة الثالثة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علومهم، الباب الأول والثاني،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الله الدهلوي، التفهيمات الإلهية،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الله الدهلوي، التفهيمات الإلهية،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الکریم سروش، مقال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وحي، نبوت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آفتاب،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التجربة النبوية،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التجربة النبوية،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الثاني للدكتور سروش علی بهمن ،بور موقع سروش، بتاريخ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سروش من خلال الإشارة إلى أصل الخاتمية وأحاديث من قبيل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نبي بعدي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هذه التأكيدات تظهر سؤالاً كبيراً وهو دور أئمة الشيعة ومنزلتهم في مجال التبليغ وفي مجال تشريع أحكام الدين والتعاليم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أردنا أن لا نضع اعتبار تجربتهم وكلامهم وحجيتهما في رتبة تنقض الخاتمية أو تعارضها، فعندها ما هو الموقع الحقوقي الذي يمكن إعطاؤه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بغض النظر عن شخصيتهم الحقيقية وولايتهم الباطنية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هل نجعلهم برتبة العلماء المجتهدين المعصومين ؟ أم المفكرين؟ أم العرفاء ؟ أم ورثة علم النبي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 التجربة النبوية،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الباب الخامس من الجزء الثامن، باب التفويض</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الحديث الأول،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السادس، والأصول من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 الثاني للدكتور سروش على الأستاذ بهمن بور، موقع سروش، 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اندیشه،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الدكتور سروش في جامعة السوربون في باريس، موقع سروش، تحت عنوان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إلى علم الأصول،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بحث الاجتهاد والتقليد؛ كفاية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تجدر الإشارة إلى أنه طبقاً لتقرير الإمام الغزالي في مورد الأحكام القطعية والجزمية لأهل السنة، هناك من يقول بوجود الحكم الواقعي، ولكن هناك اختلاف في متعلق الأحكام الظنية، حيث هناك موقفان لأهل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الغزالي أن موقف بشر المريسي في الفروع مثل موقفه في العقائد، حيث هناك حكم واحد محدد،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من علم الأصول،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الإمام الشافعي طبقاً لنقل البيضاوي إلى القول بأصل التخطئة،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الدين البيضاوي، منهاج الوصول في معرفة الأصول،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أكثر أهل السنة يذهبون إلى الاعتقاد بأصل التصويب، وقد قال الغزالي في هذا الشأن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مجتهد مصيب، هذا هو مذهب الجماهير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ذاته،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الإحكام في أصول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الشهرستاني،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محمد خضري بك أصول الفقه،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حمد عبيد الكبيسي، أصول الأحكام،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الله عَزَّ وَجَلَّ فَرَضَ الصَّلَاةَ رَكْعَتَيْنِ رَكْعَتَيْنِ عَشْرَ رَكَعَاتٍ فَأَضَافَ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الرَّكْعَتَيْنِ رَكْعَتَيْنِ وَإِلَى الْمَغْرِبِ رَكْعَةً فَصَارَتْ عَدِيلَ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وَفَرَضَ الله في السَّنَةِ صَوْمَ شَهْرٍ رَمَضَانَ وَسَنَّ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شَعْبَانَ وَثَلَاثَةَ أَيَّامٍ فِي كُلِّ شَهْرٍ مِثْلَيِ الْفَرِيضَةِ فَأَجَازَ اللَّهُ عَزَّ وَجَلَّ لَهُ ذَلِكَ وَحَرَّمَ اللَّهِ عَزَّ وَجَلَّ الْخَمْرَ بِعَيْنِهَا وَحَرَّمَ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الْمُسْكِرَ مِنْ كُلِّ شَرَابٍ فَأَجَازَ اللَّهُ لَهُ ذَلِكَ كُله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الأصول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كتاب الحجة، باب التفويض؛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الرواية في هامش الصفحة السابقة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الإصفهاني، حاشية المكاسب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الصافي الگلپايگاني، امامت و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مكارم الشيرازي، أنوار الفقاهة، كتاب البيع،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محمد الصفار، بصائر الدرجات،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السيد محمد باقر الصدر، بحوث في علم الأصول،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الشيخ الصدوق،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الإمام الخميني، كتاب البيع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مباني کلامي در اجتهاد،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الباب الرابع، أبواب المقدمات، الحديث التاسع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أن الأئمة محدّثون،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مباحث الحجة باب السنة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 الأربعون حديثاً،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الغروي، الحديث الحادي والثلاثون، في إشارة إجمالية إلى معنى التفويض،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مؤسسة تنظيم ونشر تراث الإمام الخميني، ط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طهران،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أصول الفقه،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مباحث الحجة، الباب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 التعارف للمطبوعات، 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رباني گلپايگاني، مباني حجية روايات أهل البيت مجله کلامی ،اسلامی ربیع عام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امامت و رهبري،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 أبواب صفات القاضي،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وشرح كشف المراد باللغة الفارسية،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حسين الطباطبائي، شيعه در اسلام،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ظهور شيعه،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معنویت تشیّع،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مصباح الأصول،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العلامة الطباطبائي، حاشية الكفاية،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مكارم الشيرازي، أنوار الفقاهة، كتاب البيع،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الصافي الگلپایگاني امامت و مهدویت،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جوادي آملي، ولایت در قرآن، ص </w:t>
      </w:r>
      <w:r>
        <w:rPr>
          <w:rFonts w:eastAsia="IRNazanin" w:cs="IRNazanin"/>
          <w:b w:val="false"/>
          <w:bCs w:val="false"/>
          <w:i w:val="false"/>
          <w:iCs w:val="false"/>
          <w:color w:val="333333"/>
          <w:sz w:val="20"/>
          <w:szCs w:val="20"/>
        </w:rPr>
        <w:t>271</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کدیور، مجله مدرسه،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كديور، بازخوانی امامت در پرتو نهضت حسینی، صحيفة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هـش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سروش، بسط تجربه نبوی،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 أن هذه الآية خطاب للنبي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ربط لها بالسيدة مريم العذراء عليها السلام، المعرّب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المعتزلي،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 أن عدد قتلى المؤمنين لن يتجاوز التسعة، وأن الخوارج لن يبقى منهم سوى تسعة، وإليك نص كلمة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الشأن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وَالله لاَ يُفْلِتُ مِنْهُمْ عَشَرَةٌ، وَلاَ يَهْلِكُ مِنْكُمْ عَشَرَةٌ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ابن عربي، الفتوحات المكية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جهات علوم الأئمة،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ولتوضيح الرواية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الملا صالح المازندراني، شرح أصول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محمد باقر المجلسي، المصدر أعلاه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تجربه نبوى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سط التجربة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الكاتب، تطور الفكر السياسي الشيعي،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صحيح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تفسير الدر المنثور، تفسير الآية؛ العلامة الحسيني الطهراني امام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المناقب،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الحسيني الطهراني، امام شناسي،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تفسير روح المعاني،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الثعلبي،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الفيروز آبادي،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العجيب أنه على الرغم من وجود هذه المصادر الكثيرة لأهل السنة، هناك من يدعي أن شأن النزول المذكور لم يرد في أي من مصادر أهل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تئوری امامت در ترازوی نقد،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 الخامسة من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للمزيد من التوضيح بشأن هذه الآية والآية التالية،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مطهري، الأعمال الكاملة،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في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من قال بنزول الآية في يوم عرفة، وقد رووا في ذلك بعض الروايات، وبهذا المضمون روايات في المصادر الشيعية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الشأن يجب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الجمع بين الروايات من خلال افتراض زمنين مختلفين، بمعنى أنه كما كان يبدو من ظاهر آية التبليغ أن أصل رسالة الغدير كانت قد نزلت على النبي في وقت سابق، بيد أن النبي كان يخشى من إبلاغها، وعليه يمكن القول إن الروايات التي تقول بنزول هذه الآية في يوم 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 ذي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ثمانية أيام من يوم الغدير تنظر إلى أصل الصدور، والروايات التي ترى أن مبدأ الآية يكمن في حادثة الغدير إنما تنظر إلى يوم الإبلاغ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امام شناسی،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تفسير الآية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شاهراه اتحاد،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xml:space="preserve">، كتاب الإمامة والقيادة؛ الإمام الخميني، كشف الأسرار،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الخميني، كشف الأسرار،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نسب العلامة الحسيني الطهراني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إلى العلامة الطباطبائي، حيث قال إنه سمع هذا الجواب من العلامة الطباطبائي عن سؤال بهذا الشان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شناسي،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جاء في ذلك عن الأستاذ الشهيد مرتضى مطهري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النبي الأكرم أو الله تبارك وتعالى لم يشأ طرح هذا المفهوم الذي تدخلت فيه الأهواء والرغبات النفسية بهذا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مطهري، الأعمال الكاملة،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رواية الدوات والقلم في عنوان الوصية غير المكتوبة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تدوين هذا الجواب وجدته ضمن إجابة لسماحة الإمام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الأسرار،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قدردان قراملکي، کلام فلسفي، فصل الإمامة من أصول المذهب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تئوري امامت در ترازوي نقد،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النديم، الفهرست،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عبد الجبار الرفاعي، معجم ما كتب عن الرسول وأهل البيت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11974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23362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9970</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تاريخ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البيهقي، دلائل النبوة،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الكافي، أبو جعفر الإسكافي، المعيار والموازنة،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أعلام النساء،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النعماني، غيبة النعماني،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كمال الدين وإتمام النعمة،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النيسابوري،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صحيح 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كثير، البداية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نزول القرآن،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؛كنزل العمال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شواهد التنزيل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ابن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الأميني أن هناك اثنى عشر راوياً سنياً ذكروا هذا الشعر في كتبهم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يستعمل المولى في اللغة العربية غالباً بمعنى الأولى بالتصرف، وقد استشهد العلامة الطهراني لذلك بالمصادر الأدبية في عصر الإسلام من قبيل المعلقات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تذكرة الخواص،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صادق بحر العلوم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ساق هناك عشرين شاهداً على دلالة الحديث على الإمامة والولاية والخلافة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قام القارئ ببحث عن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برنامج المكتبة الإلكترونية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الإسلامية الكبرى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انتاج العربية السعودية، فسوف يعثر على ما يزيد على الستمئة مورد بهذا الشأن في مصادر أهل السنة المعتبرة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البدأ والتاريخ،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الجدير ذكره أن بعض هذه المصادر قد عمدت إلى حذف اسم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رعاية لحرمته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مصاديق تحريف التاريخ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الكلام من عمر بن الخطاب ينطوي على اتهام آخر منه لرسول الله، وهو القول بأنه كان يريد أمراً مخالفاً لإرادة الله والعياذ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والإشكال الآخر أن عمر بن الخطاب برد مخالفته لإحضار الدواة والقلم والقرطاس لكتابة وصية النبي للإمام علي بالخلافة، بالخوف من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يرد السؤال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 لم يقم أبو بكر وعمر بن الخطاب بعد تثبيت أركان السلطة والخلافة والقضاء على المخالفين في الداخل والخارج بتطبيق وصية النبي وإعادة الخلافة والإمامة إلى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،ولماذا قام أبو بكر بتنصيب غير الذي أراده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الإمام علي، وإنما أوصى لشخص آخر لعب الدور الأبرز في إيصاله إلى السلطة في حادثة السقيفة ولماذا لم يوص عمر بن الخطاب العلي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وجعل الأمر في شورى تم الترتيب لها كي تؤدي بشكل طبيعي إلى نقل الخلافة إلى عثمان بن عفان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لنا بحث تفصيلي بشأن الشورى</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نهاية الأرب،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شرف الدين، المراجعات، المراجعة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 وشواهد التنزيل، تفسير الآية السابعة من سورة الرعد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أبو سعيد السمعاني الأنساب،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الزركلي، الأعلام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الطهراني امام شناسي،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الحسيني الطهراني، امام شناسي،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الصفحات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أصول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سن، عقيدة الشيعة،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أبكار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سينا، الإلهيات من الشفاء،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عبد القادر البغدادي، كتاب أصول الدين،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سيف الدين الآمدي، غاية المرام في علم الكلام،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الجويني، كتاب الإرشاد،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التفتازاني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المتقي الهندي، منتخب الكنز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المدرج في حاشية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زادة الخراساني، مجلة كتاب نقد، صيف عام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مجلة نهج البلاغة،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ندای وحدت،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بعد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الأشعري، الإبانة،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شرح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أبكار الأفكار في أصول الدين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؛شيخ الأزهر سليم البشري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السقيفة وفدك،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الإمامة والسياسة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السقيفة وفدك،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السقيفة وفدك،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السقيفة وفدك،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بالوفيات،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في السقيفة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ابن الأثير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المامقاني،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ابن عبد ربه الأندلسي، 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في تاريخ الإسلام،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الرازي، كتاب الزينة،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ابن الجوزي، صفوة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معالم التنزيل، حاشية خازن،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الشيعة في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الإسكافي، المعيار والموازنة،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نثر الدرر،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طبعة حیدر آباد، 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الثورة على عثمان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الشيعة في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باب الثورة على عثمان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أبو جعفر</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رضواني، امام شناسي،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الحسين شرف الدين، المراجعات، المراجعة رقم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؛القاضي عضد الدين الإيجي والسيد الشريف الجرجاني،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القبانجي، خلافة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بالنص أو بالنصب،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شاهراه اتحاد،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المظفر، السقيفة،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 المناقب،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فرائد السمطين،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القبانجي، خلافة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بالنص أو بالنصب،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أصول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كتاب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الحر العاملي،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بذلك يوم غدير خم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مسند البزاز،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مصباح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البزاز،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يعقوب الكليني، كتاب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يعقوب الكليني، كتاب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يعقوب الكليني، كتاب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بن يعقوب الكليني، كتاب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مستدرك نهج البلاغة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في هذا الشأن رؤيتان،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الأنصاري، مقدمة كتاب سليم بن قيس؛ قاسم جوادي، مقالة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حديث، الأعداد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شتاء عام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هـ ش، وربيع وصيف عام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الفخر الرازي، الأربعين، الفصل الرابع،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التفتازاني،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؛روزبهان،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الإمام علي فلم تأته الخلافة بمعنى الحكومة، ولا هو طالب بها أو طالب بها أو سعى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ابن واضح 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الإمامة والسياسة،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أعلام النساء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ابن هشام، سيرة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المسعودي، التنبيه والإشراف،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ابن واضح اليعقوبي، تاريخ اليعقوبي،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البلاذري،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ابن الجوزي، تذكرة الخواص،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بد من التذكير بأن بعض هذه المصادر أشار إلى هذا الخبر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مما يدل على ضعفه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العلامة محمد باقر المجلسي، بحار الأنوار،</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الاطلاع على آراء المتكلمين الشيعة،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الذخيرة،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نوبخت، الياقوت،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الحمصي الرازي، 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المحقق اللاهیجی، گوهر مراد،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المحمودي، نهج السعادة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كتاب سُليم بن قيس،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مدينة دمشق،ج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الشبهة السابقة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أصول الدين،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الخطبة 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مؤسسة الإمام علي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المغني، كتاب الإمامة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الملفت في البين أن عمر بن الخطاب نفسه قد جعل المناط فيما لو تعادلت الكفة بين المرشحين، بأن انقسم أعضاء الشورى على أنفسهم ثلاثة ثلاثة، كأن يقوم اثنان منهم على انتخاب شخص، واثنان آخران علی انتخاب شخص آخر، كان الترجيح للكفة التي يكون فيها عبد الرحمن بن عوف، وأمر عمر بن الخطاب بقتل الثلاثة الآخرين إن أصروا على 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خلال توليفة الشورى يتضح بالالتفات إلى كون عبد الرحمن بن عوف صهراً لعثمان وابن عم لسعد أنهما سيتفقان على عثمان، وبذلك يستبعد الثلاثة الآخرون بمن فيهم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صرح به الإمامعلى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بنفسه وكذلك ابن عباس وآخرون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الثالثة؛ موسوعة الإمام علي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الجريمة هنا في الحد الأدنى ما قام به عثمان بن عفان من الانفاق العبثي للأموال، وتوزيع موارد بيت المال على أقربائه وأفراد حاشيته، الذي بلغ في بعض الموارد حدود الاستهتار، حتى كان ذلك واحداً من أسباب النقمة والثورة الشعبية عليه والتي أدّت إلى مقتله على ما هو مسجل في المصادر التاريخية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14243</w:t>
      </w:r>
      <w:r>
        <w:rPr>
          <w:rFonts w:ascii="IRNazanin" w:hAnsi="IRNazanin" w:eastAsia="IRNazanin"/>
          <w:b w:val="false"/>
          <w:b w:val="false"/>
          <w:bCs w:val="false"/>
          <w:i w:val="false"/>
          <w:i w:val="false"/>
          <w:iCs w:val="false"/>
          <w:color w:val="333333"/>
          <w:sz w:val="20"/>
          <w:sz w:val="20"/>
          <w:szCs w:val="20"/>
          <w:rtl w:val="true"/>
        </w:rPr>
        <w:t xml:space="preserve">؛ الصواعق المحرقة،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مناقب الخوارزمي،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الفخر الرازي، الأربعين، الفصل الرابع،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حائري يزدي، حكمت و حکومت،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مهدي بازركان، آخرت وخدا هدف بعثت،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سبق أن حدث ما يشبه هذا الموقف بعد موت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جعل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بعده الشورى مؤلفة من ستة 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هذه الشورى انسحب الزبير لصالح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وانسحب طلحة لصالح عثمان، وانسحب سعد بن أبي وقاص لصالح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انسحب عبد الرحمن من المنافسة حاملاً معه رصيده سعد بن أبي وقاص ليمثل بذلك بيضة القبان ترجح الكفة التي يرجحها، وهنا أقبل أولاً على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أبايعك على أن تتبع كتاب الله وسنة رسول الله وسيرة الشيخين إلا أن الإمام رفض الشرط الأخير وألزم نفسه بالعمل بكتاب الله وسنة رسول الله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مال عبد الرحمن إلى عثمان بن عفان ليعرض عليه البيعة بنفس الشروط، وهذا ما وافق عليه عثمان بن عفان فأصبح هو الخليفة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الإسلام، ترجمة نهج البلاغة، 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التوضيح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المطهري، امامت و رهبري،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تاریخ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الظاهري، الفصل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زادة الخراساني، فصلية كتاب نقد،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صيف عام هـ ش،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مجلة نهج البلاغة،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التذكير هنا بأننا سنذكر بعض عباراته ضمن التبرير الرابع في فصل التبريرات والتخريجات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مجله هفت آسمان،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کارهاي تحكيم وحدت اسلامي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الحر العاملي، وسائل</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الحمصي الرازي، المنقذ من التقليد،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سلسلة مؤلفات المفيد،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الفصول المختارة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الإمام الخميني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شارك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صلاة جماعتهم مدة ثلاثة وعشرين سنة حفاظاً على مصالح المسلمين العالية، وقام بمتابعتهم لوجود مصلحة في ذلك لا تدانيها مصلحة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جامع أحاديث ،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الإجابة أخذتها من سماحة الأستاذ أبو القاسم علي دوست عندما طرحت عليه سؤالاً بهذا الخصوص</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يتحدّد في نص الرواية من هو الشخص الذي يروي عنه سماعة هذه الرواية، ولكن حيث أنه ثقة ولا يروي عن غير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معاصراً للإمامين جعفر الصادق وموسى الكاظم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اعتبر العلماء روايته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أبواب صلاة الجماعة،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الحسين شرف الدين، أجوبة مسائل جار الله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حكيمي، مشعل اتحاد،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ابن حزم الظاهري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أحمد موثقي، استراتژي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تلخيص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سنن البيهقي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ابن عدي، الكافي في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الشيخ المفيد،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المسائل السروية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ابن شهر آشوب وأبو سهل النوبختي إلى إنكار الأصل التاريخي لهذا الحديث</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ناصر حسين الموسوي الهندي، إقحام الأعداء والخصوم بتكذيب ما افتروه على سيدتنا أم كلثوم؛ السيد علي الميلاني، تزويج أم كلثوم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قراءة هذين الكتابين في مكتبة أهل البيت الإلكترونية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السيد شهاب الدين المرعشي النجفي، جواب استفتاء بتاريخ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تحليلي وسياسي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ذهب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المضيئة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نقل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القول بأن التي أرسلها الإمام علي إلى بيت عمر لم تكن ابنته، بل هي بنت يهودية اسمها أم كلثوم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سلسلة المؤلفات،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نقلاً عن 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المفيد، سلسلة المؤلفات،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الشيخ الطوسي، التهذيب،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رأي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لوط إنما أراد تزويجهم من بنات أمته؛ لأن كل نبي هو أبو أمته، وليس مراده تزويجهم من بناته اللاتي هن من صلبه، ويؤيد ذلك أن الذين جاؤوا إليه يهرعون هم قومه كما هو صريح الآية، والظاهر من لفظ القوم أنهم كانوا كثر، في حين أن التاريخ ينقل أن لوط لم يكن لديه من البنات الصلبيات سوى اثنتان أو ثلاث، فكيف يمكنه أن يزوّجهن من هذا العدد من أفراد قومه الذين جاؤوا يهرعون إليه طلباً لارتكاب الفاحشة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نعماني،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فاطمه زهرا از ولادت تا افسانه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شهرية نداي اسلام،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علمية أهل سنت زاهدان،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ذاته،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عام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،كلمة إمام جمعة أهل السنة في زاهدان، سماحة الشيخ عبد الحميد مولوي؛ السيد أحمد ،موثقي، استراتژي وحدت،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الذهبي، سير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جمال الدين المزي، تهذيب الكمال،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أحمد البلاذري، 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الإصفهاني، مقاتل الطالبيين،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محلاتي،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السيد علي الحسيني الميلاني، امامت بلا فصل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علی لباف، معمای نام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آل محمد،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إسماعيل أنصاري زنجاني،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فضائل الصحابة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برفي، سيماي علي از منظر اهل سنت،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حجتي كرماني، صحيفة اطلاعات،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محمد واعظ زاده خراساني، فصلية كتاب نقد، صيف عام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سید جواد اد مصطفوي، مقال في كتاب وحدت،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مجلة مشكاة،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عام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؛فيض الإسلام،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 الكريم بي آزار شيرازي، نشريه آرام، العدد الثالث</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تاريخ مدينة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الزهراء الحسيني الخطيب، مصادر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صحتي سردرودي،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گامي كوچك در شناخت اثري سترگ، المدرج ضمن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مشعل تجاويد،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تم تضمين هذا الجزء من هذه المقال في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 گمشده در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الثاني،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 الصباغة،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 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الخوئي، شرح نهج البلاغة ،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الشوشتري، بهج الصباغة،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المحمودي، نهج السعادة في مستدرك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شرح الخوئي،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ميثم البحراني، شرح نهج البلاغة ، شرح الخطبة رقم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مطهري، سيري در نهج البلاغة،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وقائع عام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البحراني، منار الهدى في إثبات النص على إثبات الأئمة الإثنى عشر النجباء،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؛مناقب الخوارزمي ،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تاریخ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الثقفي،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شريف الجرجاني،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الباقلاني، تمهيد الأوائل وتلخيص الدلائل،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الفرق بين الفرق،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الغزالي، قواعد العقائد،ص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؛النووي شرح صحيح مسلم، حاشية النووي،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ابن كثير،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الكتب الكلامية، ذيل بحث الإمامة؛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أصغر رضواني، امام شناسي،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حاشية النووي،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الجواهري البغدادي، السقيفة،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بتحقيق ومقدّمة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الأميني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الكلام لعمر وليس لأبي بكر، المعرّب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واستطرد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عند المعتزلة بعد النبي الخلفاء الأربعة، وبعدهم يعود الأمر إلى اختيار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الآخر أنه على الرغم من اعتباره الإمام علياً إماماً بعد النبي مباشرة ، ولكنه يخالف الإمامية في اشتراط اتصافه بالعصمة والعلم بالغيب، والعلم اللدني فلايشترطها في الإمام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شرح الأصول الخمسة، 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الكاتب، تطوّر الفكر السياسي الشيعي،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حيدر علي قلمداران، شاهراه اتحاد،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حکومت در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القبانجي، خلافة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علي قلمداران، شاهراه اتحاد،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الآيات المذكورة تحت عنوان روايات المرجعية العلمية والدينية، قد تقدم ذكرها في نقد شبهة فقدان النص ضمن الروايات النبوية في الفصل الرابع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هذه الأحاديث ضمن روايات الحجة، في الفصل الرابع</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هذه الأحاديث ضمن روايات إمامة أمير المؤمنين ووزارته، في الفصل الرابع</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هذه الأحاديث ضمن روايات الخلافة، في الفصل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الثانية؛ 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العلامة محمد باقر المجلسي،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كتاب سليم بن قيس الهلالي،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الثالثة؛ 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جرير الطبري، 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؛ابن جرير الطبري،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المحذور الذي وقع فيه ابن أبي الحديد المعتزلي، كما يتجلى ذلك من محاورته لأستاذه أبي جعفر يحيى بن محمد حول الخطبة 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التي قال فيها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كانت شحت عليها نفوس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يحيى بن محمد العلوي نقيب البصرة وقت قراءتي عليه، عن هذا الكلام وكان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يذهب إليه من مذهب العلوية منصفاً وافر العقل،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أثرة شحت عليها نفوس قوم وسخت عنها نفوس آخرین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نفسي لا تسامحني أن أنسب إلى الصحابة عصيان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ودفع النص؛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فلا تسامحني أيضاً نفسى أن أنسب الرسول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إهمال أمر الإمامة وأن يترك الناس فوضى سدی مهملين، وقد كان لا يغيب عن المدينة إلا ويؤمر عليها أميراً وهو حي ليس بالبعيد عنها، فكيف لا يؤمر وهو ميت لا يقدر على استدراك ما يحدث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أمير علي الهندي،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واعظ زادة مجلة مطالعات اسلامي،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؛أحمد القبانجي، خلافة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شريعتي، الأعمال الكاملة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الآخوند الخراساني، كفاية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الإمام الخميني، تهذيب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المعنزلي،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السمناني،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علمي للتقريب إلى إخواننا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الإسلامية أو التقريب بين المذاهب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الكريم بي آزار الشيرازي</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إمامت وخلافت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همبستگي مذاهب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عبد الكريم بي آزار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مجموع مقالات هذا الكتاب عبارة عن مجموعة مختارة من مقالات مجلة رسالة الإسلام نشرت قبل عقود عن دار التقريب في مصر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المصري، الإسلام وأصول الحكم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الحائري اليزدي، حكمت و حکومت،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الحائري اليزدي، حكمت وحکومت،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أحمد القبانجي، خلافة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صح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كثير،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المهندس مهدي بازركان قبل انتصار الثورة الإسلامية في إيران يرى أن حبس الأئمة واستشهادهم على أيدي سلاطين الجور دليلاً على إدغام الدين بالسياسة والحكم، حيث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ما تعرّض له الأئمة وذريتهم من الكبت والمتابعة والسجن والقتل خير دليل على أن السلاطين والحكام وجدوا فيهم منافساً شرساً يهدّد سلطانهم، وإلا فإن السلاطين لا يتعرّضون إلى أولئك الذين يقفون على الحياد أو ينتهجون المسالمة مع النظام الحاكم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مرز دين و علوم اجتماعي،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المعرّب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شعبة الحرّاني، 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الكامل في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تروى هذه الحادثة في ثلاثة مواضع أخرى من بحار الأنوار على أنها حصلت مع هارون الرشيد وليس مع المهدي العباسي، وإليك بيان بعض هذه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أخبار الخلفاء أن هارون الرشيد كان يقول لموسى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فدكاً حتى أردها إليك، فيأبى حتى ألح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آخذها إلا بحدودها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حدودها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حددتها لم تردها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جدك إلا فعلت؟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الحدّ الأول فعدن، فتغير وجه الرشيد،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 الثاني سمرقند؛ فاربد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 الثالث أفريقية؛ فاسود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والرابع سيف البحر مما يلي الجزر وأرمينية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لنا شي، فتحوّل إلى مجلسي، 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أعلمتك أنني إن حددتها لم تردّها؛ فعند ذلك عزم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المعرّب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محمد بن يعقوب الكليني، أصول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الأرض كلها للإمام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الحرّ العاملي،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قم، مؤسسة آل البيت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عزيز الله العطاردي الخبوشاني، مسند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الكليني، 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الدولة العباسية،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اليعقوبي، تاريخ اليعقوبي،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حامد الغزالي، سر العالمين، شرح التجريد للقوشجي، المقصد الخامس بحث الإمامة،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تاريخ الملوك والأمم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أحمد ابن حنبل، 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العشرون مجلداً؛ ابن يعقوب الكليني،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ابن يعقوب الكليني،</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خاستگاه خلافت،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الدولة العباسية،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جرير الطبري، تاريخ الملوك والأمم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أحمد ابن حنبل، فضائل الصحابة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الحديث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الطبري، تاريخ الطبري،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ابن الأثير ، الكامل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زادة الخراساني، في حوار مع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المزدوج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زادة الخراساني، في حوار مع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177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حسن النوبختي، فرق الشيعة،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والملفت هنا أن النوبختي قد اكتفى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بذكر خلافة أبي بكر وعمر، وأحجم عن ذكر خلافة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يستظهر هذا الرأي من عبارة بعض المعاصرين أيضاً، فعلى سبيل المثال أشار مؤلفو التفسير الأمثل إلى وعد الله بنصرة ة المستضعفين وجعلهم الأئمة ووصولهم إلى الحكم والسلطة، على ما هو وارد في القرآن الكريم، إذ فسروا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وَنُرِيدُ أَنْ نَمُنَّ عَلَى الَّذِينَ اسْتُضْعِفُوا فِي الأَرْضِ وَنَجْعَلَهُمْ أَئِمَّةً وَنَجْعَلَهُمُ الْوَارِثِينَ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فهي بشارة في صدد انتصار الحق على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إلا نموذج لتحقق هذه المشيئة الإلهية، والمثل الأكمل هو حكومة نبي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وأصحابه بعد ظهور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حكومة الحفاة العفاة والمؤمنين المظلومين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العاقبة أن الله فتح على أيدي هؤلاء المستضعفين أبواب قصور الأكاسرة والقياصرة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الشيخ ناصر مكارم الشيرازي، الأمثل في تفسير كتاب الله المنزل،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الأميرة للطباعة والنشر، بيروت،</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محمد باقر المجلسي، بحار الأنوار،ج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من عندنا استناداً إلى النصوص التاريخية الواردة بهذا الشأن أيضاً، المعرّب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زادة الخراساتي، مجلة نهج البلاغة، العدد المزدوج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الرسائل والكتب، الكتاب السادس؛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واعظ زادة الخراساتي، مجلة نهج البلاغة، العدد المزدوج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الخطب، الخطبة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قول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ابن أبي طالب لك ولاء أمتي، فان ولوك في عافية، وأجمعوا عليك بالرضا، فقم في أمرهم، وإن اختلفوا عليك فدعهم وما هم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كاشف الغطاء، مستدرك 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محمد بن الطبري، المسترشد،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فغصبونا سلطان نبينا؛ فصارت الإمرة لغيرنا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سلبوني سلطان ابن أمي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إني أستعديك على 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أجمعوا على منازعتي أمراً هو 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 الكامل في التاريخ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قول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مجلس أبي بكر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 وفيتم بصحيفتكم الملعونة التي تعاقدتم عليها في الكعبة، إن قتل الله محمدا أو مات لتزون هذا الأمر عنا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محمد بن يعقوب 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إضافة توضيحية من عندنا، المعرّب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 حامد حسين اللكهنوي، خلاصة عبقات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المحقق الشوشتري، بهج السعادة في شرح نهج البلاغة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العلامة الطباطبائي إلى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الله 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معناها إلزام الخصم بما ألزم به نفسه ظاهراً، ويرى إجماع الأمة مورداً لمرضاة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العبارة تتعلق بمورد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كان معناها أنني نظرت في مصلحة الإسلام، فلم يكن لي بد من البيعة، وكانت بيعتي هذه مرضية عند الله سبحانه وتعالى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المقالات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زادة الخراساني، مجلة نهج البلاغة، العدد المزدوج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9970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قسم الرسائل والكتب، الكتاب السادس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يصرح ابن أبي الحديد المعتزلي في أكثر من موضع من شرحه لنهج البلاغة بأن النقيب أبا جعفر يحيى بن أبي زيد كان علوياً، ولكنه بريء من التعصب، وعليه ليس من المناسب الاستشهاد بكلامه هنا بوصفه من أهل السنة، المعرّب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الأستاذ الشهيد مرتضى المطهري في بيان وتبرير أسباب أو علل إعراض الأمة في صدر الإسلام عن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بيان مختلف الفرضيات في هذا الشأن،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الردّة، والتمرّد على أصل الإسلام، ومخالفة أوامر النبي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 مرونة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أحقاد بعض الناس على الإمام علي بسبب قتله لصناديدهم في مختلف المعارك والحروب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القول بأن الرأي الصحيح يكمن في عملية خداع واحتيال تعرّض لها المسلمون على يد بعض العناصر الداخلية، وذلك إذ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لقد عمد عدد من الدهاة المتمردين إلى استغفال عامة المسلمين في هذا 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يمكن لكم أن تدركوا كيف أمكن للمجتمع الإسلامي أن يصل إلى ما وصل إليه بسبب تأثير شرذمة منافقة متمرّدة وأكثرية مؤمنة ولكنها ساذجة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مرتضى المطهري، الأعمال الكاملة،ج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يعود هذا التحليل من قبل الأستاذ الشهيد إلى التبرير المتقدّم وخاصة الجزء الثاني منه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أعلاه؛ 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هذا التعليل الثاني هو تكرار للتعليل الأول، المعرّب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السيد محمد حسين الطباطبائي، الميزان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الباقلاني، تمهيد الأوائل وتلخيص الدلائل،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ابن حزم، 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الدين التفتزاني، شرح المقاصد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الدهلوي، التحفة الإثنى عشرية،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عقبات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الدين محمد الشبلي الحنفي، آكام المرجان في أحكام الجان،ص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مرّ توضيحه في معرض نقدنا لشبهة تعارض النصوص في الفصل الرابع من هذا الكتاب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 الفص 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الإمام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تعليقاته أن هذا الكلام من ابن عربي يندرج تحت مغالطة الخلط بين الولاية الباطنية والولاية السياسية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الفصوص، الفص الداوودي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أعطى الشيخ العطار والمولوي في أشعارهما أهمية خاصة في بحث الولاية للمقام المعنوي والارتباط الباطني للإمام، وقال الشيخ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الإمامة بمعنى الخلافة والسلطة قد استهان بها الإمام علي نفسه، واعتبرها فاقدة للقيمة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سلامت علي هندي، التبصرة،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يذهب أهل السنة إلى القول بأن علم الإمام لا يتجاوز حدود علم الفقيه والمجتهد،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البغدادي، كتاب أصول الدين،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التفتزاني، شرح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عضد الدين الإيجي،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کدیور، مجلة مدرسة،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إعادة قراءة الإمامة في ضوء الثورة الحسينية، روزنامه شرق،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ش ؛ عبد الكريم سروش، بسط تجربه نبوي،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مدرسي طباطبائي، مکتب در فرایند تکامل،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تقدّم توضيح ذلك في الفصل الأول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الگلپایگانی، شهید آگاه؛ صالحی نجف آبادي، شهيد جاويد؛ المؤلف، كلام فلسفي،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الحسين باستشهاده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ابن أبي الحديد المعتزلي، شرح نهج البلاغة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عن أبي بصير أيضاً،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 شهري، أهل البيت في الكتاب والسنة،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،تفسير آية المباهلة؛ ينابيع المودة،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ابن تيمية، منهاج السنة النبوية،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بين المعقوفتين لم نجده في ينابيع المودة، المعرّب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هاشم البحراني، ينابيع المعاجز،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العصمة، والعلم بالغيب، والنص الإلهي، والنصّ من قبل النبي، أربع مسائل قالها متكلمونا المحترمون منذ القرنين الثالث والرابع للهجرة فما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ولكننا لا نذكر أن سيد الشهداء والإمام علي وسائر الأئمة عمدوا إلى تعريف أنفسهم من خلال الاستناد إلى المناحي ما فوق البشرية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محسن كديور، مجلة مدرسة، اردیبهشت،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المقصر مصطلح في علم الكلام يطلق على تلك الجماعة من الشيعة التي تخلفت عن إدراك الصفات المعنوية والكمالية للأئمة، ولا يستطيعون وصف الأئمة بصفات خاصة،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 والعلم اللدني والإلهام وما إلى ذلك</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؛وأيضاً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الأحاديث الغيبية للأئمة الإثنى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مجلدات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أبي الحديد المعتزلي، شرح نهج البلاغة،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الأئمة إذا شاؤوا علموا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كديور، مجلة مدرسة،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اردیبهشت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القائلين بهذا الرأي،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الصافي الگلبایگانی، شهید آگاه؛ وكتابنا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فلسفي، 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باستشهاده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المعتزلي،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المجلسي،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كديور، مجلة مدرسة، أرديبهشت،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المدرّسي الطباطبائي، مکتب در فرایند تکامل،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برقعي، تضاد مفاتیح با قرآن،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أحمد الكاتب، تطوّر الفكر السياسي الشيعي،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المدرّسي الطباطبائي، مکتب در فرایند تکامل،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نقل هذه التهمة ونسبتها إلى هشام بن الحكم عن 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لكاتبه مادلونغ الموجود في دائرة المعارف الإنجليزية باسم العالم الإسلامي، الطبعة الجديدة،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ويبدو أن مصدر هذه المقالة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الشأن يجب القول، أولاً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على الكاتب أن يتأكد اولاً من هذا الاتهام ونسبته إلى 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عليه إرجاع هذه النسبة إلى مصدر معتبر، لا إلى مصدر مناوئ ومخالف للشيعة ومن قبل الذين كانوا يسعون إلى تشويه هشام بن الحكم بشتى الوسائل والطرق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رجعنا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لوجدناه في الصفحة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يصف هشام بن الحكم بأنه من القائلين بعصمة الأئمة، لا أنه أول من أسسها وابتكرها، وفرق بين الأمرين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نعمة، هشام بن الحكم،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ارزينا لالائي، نخستین اندیشه هاي شيعي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تعاليم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إلى 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فريدون بدره اي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الكاتب، تطوّر الفكر السياسي الشيعي،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عبد الكريم سروش، بسط تجربه ديني،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فيض الإسلام،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الإسلام،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الحكمة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الآلوسي، تفسير روح المعاني،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الآية 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الإربلي، كشف الغمة في معرفة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الفتح الإربلي، كشف الغمة في معرفة الأئمة،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أفكر في معناه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يتنزل على ما تعتقده الشيعة من القول بالعصمة؟ وما اتضح لي ما يدفع التردد الذي يوجبه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فاجتمعت بالسيد السعيد النقيب رضي الدين أبي الحسن علي بن موسى بن طاوس العلوي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وألحقه بسلفه الطاهر فذكرت له ذلك فقال إن الوزير السعيد مؤيد الدين العلقمي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سألني عنه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هذا ليعلم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إني فكرت بعد 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كان يقوله في سجدته في الليل وليس عنده من يعلمه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عبد الله جوادي آملي، ادب فناي مقرّبان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زيارة الجامعة الكبيرة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عبد الله جوادي آملي، ادب فناي مقرّبان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زيارة الجامعة الكبيرة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تفسير الآية الرابعة من سورة الفتح ؛ العلامة محمد باقر المجلسي، بحار الأنوار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ادب فناي مقربان،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محمد باقر المجلسي،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عباس القمي، مفاتيح الجنان، دعاء الصباح</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دعاء كميل</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دعاء المجير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أعلاه، دعاء الجوشن الكبير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مجتهد شبستري، مجلة كيان، 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نقدي بر قرائت رسمي از دین؛ مهدی رستم نجاد، شگردهاي دين ستيزي،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رستم نجاد، عاشوراء،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عبد الجبار المعتزلي، المغني في أبواب التوحيد والعدل،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المدرسي الطباطبائي، مکتب در فرایند تکامل،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؛موسوعة الإمامة في نصوص أهل السنة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السمهودي، جواهر العقدين،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فرائط السمطين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موسوعة الإمامة في نصوص أهل السنة،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شرح أصول الكافي، كتاب الحجة،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جعفر سبحاني، كليات في علم الرجال،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محيي الدين بن عربي، الفتوحات المكية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 أن الحديث في المصدر المذكور مروي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وليس 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وإليك السند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 عَنْ أَحْمَدَ بْنِ مُحَمَّدٍ عَنْ عَلِيِّ بْنِ الْحَكَمِ عَنْ رَبِيعِ بْنِ مُحَمَّدِ المُسْلِيِّ عَنْ عَبْدِ اللَّهِ بْنِ سُلَيْمَانَ الْعَامِرِيٌّ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سبحاني، كليات في علم الرجال،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سابقه مروي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،وسنده على النحو الآتي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يَحْيَى عَمَّنْ ذَكَرَهُ، عَنِ الحَسَنِ بْنِ مُوسَى الخشاب الْخَشَّابِ، عَنْ جَعْفَرِ بْنِ مُحَمَّدٍ، عَنْ 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النَّاسُ رَجُلَيْنِ لَكَانَ أَحَدُهُمَا الْإِمَامَ، وَقَالَ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المعرّب</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الشافي في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الوسيط،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المجلسي،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در قلمرو عقل و دین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التوضيح بشأن تقريرات مبدأ الأمر بين الأمرين، انظر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سوم به جبر و اختيار، فصل الأمر بين الأمرين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جوادي آملي، تفسير موضوعي، توحید در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وبطبيعة الحال هناك اختلاف بشأن ما إذا كان دور العلل الوسيطة هو دور العلل الحقيقية أم دور العلل الإعدادية، على ما تجده في المصدر المذكور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image" Target="media/image2.jpeg"/><Relationship Id="rId656" Type="http://schemas.openxmlformats.org/officeDocument/2006/relationships/image" Target="media/image2.jpeg"/><Relationship Id="rId657" Type="http://schemas.openxmlformats.org/officeDocument/2006/relationships/footer" Target="footer650.xml"/><Relationship Id="rId658" Type="http://schemas.openxmlformats.org/officeDocument/2006/relationships/footnotes" Target="footnotes.xml"/><Relationship Id="rId659" Type="http://schemas.openxmlformats.org/officeDocument/2006/relationships/numbering" Target="numbering.xml"/><Relationship Id="rId660" Type="http://schemas.openxmlformats.org/officeDocument/2006/relationships/fontTable" Target="fontTable.xml"/><Relationship Id="rId661" Type="http://schemas.openxmlformats.org/officeDocument/2006/relationships/settings" Target="settings.xml"/><Relationship Id="rId6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660</Pages>
  <Words>50375</Words>
  <Characters>233959</Characters>
  <CharactersWithSpaces>282791</CharactersWithSpaces>
  <Paragraphs>1798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2026-08-25T02:50:14Z</dcterms:created>
  <dc:creator>ghaemiyeh.com</dc:creator>
  <dc:description/>
  <dc:language>en-US</dc:language>
  <cp:lastModifiedBy/>
  <dcterms:modified xsi:type="dcterms:W3CDTF">2026-08-25T06:20:32Z</dcterms:modified>
  <cp:revision>1</cp:revision>
  <dc:subject/>
  <dc:title>أجوبة الشبهات الکلامیة جلد 4</dc:title>
</cp:coreProperties>
</file>

<file path=docProps/custom.xml><?xml version="1.0" encoding="utf-8"?>
<Properties xmlns="http://schemas.openxmlformats.org/officeDocument/2006/custom-properties" xmlns:vt="http://schemas.openxmlformats.org/officeDocument/2006/docPropsVTypes"/>
</file>