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00027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00002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000031_2142443653">
            <w:r>
              <w:rPr>
                <w:webHidden/>
                <w:rStyle w:val="IndexLink"/>
                <w:rtl w:val="true"/>
              </w:rPr>
              <w:t>تنبيهات</w:t>
            </w:r>
            <w:r>
              <w:rPr>
                <w:rStyle w:val="IndexLink"/>
                <w:rtl w:val="true"/>
              </w:rPr>
              <w:tab/>
            </w:r>
            <w:r>
              <w:rPr>
                <w:rStyle w:val="IndexLink"/>
              </w:rPr>
              <w:t>10</w:t>
            </w:r>
          </w:hyperlink>
        </w:p>
        <w:p>
          <w:pPr>
            <w:pStyle w:val="Contents3"/>
            <w:tabs>
              <w:tab w:val="clear" w:pos="8459"/>
              <w:tab w:val="right" w:pos="9026" w:leader="dot"/>
            </w:tabs>
            <w:rPr/>
          </w:pPr>
          <w:hyperlink w:anchor="__RefHeading___Toc10000033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000035_2142443653">
            <w:r>
              <w:rPr>
                <w:webHidden/>
                <w:rStyle w:val="IndexLink"/>
                <w:rtl w:val="true"/>
              </w:rPr>
              <w:t>التنبيه الأوّل</w:t>
            </w:r>
            <w:r>
              <w:rPr>
                <w:rStyle w:val="IndexLink"/>
                <w:rtl w:val="true"/>
              </w:rPr>
              <w:t xml:space="preserve">: </w:t>
            </w:r>
            <w:r>
              <w:rPr>
                <w:rStyle w:val="IndexLink"/>
                <w:rtl w:val="true"/>
              </w:rPr>
              <w:t>السيرة العقلائية وأنواع الأخبار</w:t>
            </w:r>
            <w:r>
              <w:rPr>
                <w:rStyle w:val="IndexLink"/>
                <w:rtl w:val="true"/>
              </w:rPr>
              <w:tab/>
            </w:r>
            <w:r>
              <w:rPr>
                <w:rStyle w:val="IndexLink"/>
              </w:rPr>
              <w:t>10</w:t>
            </w:r>
          </w:hyperlink>
        </w:p>
        <w:p>
          <w:pPr>
            <w:pStyle w:val="Contents4"/>
            <w:tabs>
              <w:tab w:val="clear" w:pos="8176"/>
              <w:tab w:val="right" w:pos="9026" w:leader="dot"/>
            </w:tabs>
            <w:rPr/>
          </w:pPr>
          <w:hyperlink w:anchor="__RefHeading___Toc10000037_214244365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0000039_2142443653">
            <w:r>
              <w:rPr>
                <w:webHidden/>
                <w:rStyle w:val="IndexLink"/>
                <w:rtl w:val="true"/>
              </w:rPr>
              <w:t>أمثلة لألفاظ المدح</w:t>
            </w:r>
            <w:r>
              <w:rPr>
                <w:rStyle w:val="IndexLink"/>
                <w:rtl w:val="true"/>
              </w:rPr>
              <w:tab/>
            </w:r>
            <w:r>
              <w:rPr>
                <w:rStyle w:val="IndexLink"/>
              </w:rPr>
              <w:t>11</w:t>
            </w:r>
          </w:hyperlink>
        </w:p>
        <w:p>
          <w:pPr>
            <w:pStyle w:val="Contents3"/>
            <w:tabs>
              <w:tab w:val="clear" w:pos="8459"/>
              <w:tab w:val="right" w:pos="9026" w:leader="dot"/>
            </w:tabs>
            <w:rPr/>
          </w:pPr>
          <w:hyperlink w:anchor="__RefHeading___Toc10000041_2142443653">
            <w:r>
              <w:rPr>
                <w:webHidden/>
                <w:rStyle w:val="IndexLink"/>
                <w:rtl w:val="true"/>
              </w:rPr>
              <w:t>التنبيه الثاني</w:t>
            </w:r>
            <w:r>
              <w:rPr>
                <w:rStyle w:val="IndexLink"/>
                <w:rtl w:val="true"/>
              </w:rPr>
              <w:t xml:space="preserve">: </w:t>
            </w:r>
            <w:r>
              <w:rPr>
                <w:rStyle w:val="IndexLink"/>
                <w:rtl w:val="true"/>
              </w:rPr>
              <w:t>عمل المشهور بالخبر الضعيف</w:t>
            </w:r>
            <w:r>
              <w:rPr>
                <w:rStyle w:val="IndexLink"/>
                <w:rtl w:val="true"/>
              </w:rPr>
              <w:tab/>
            </w:r>
            <w:r>
              <w:rPr>
                <w:rStyle w:val="IndexLink"/>
              </w:rPr>
              <w:t>12</w:t>
            </w:r>
          </w:hyperlink>
        </w:p>
        <w:p>
          <w:pPr>
            <w:pStyle w:val="Contents4"/>
            <w:tabs>
              <w:tab w:val="clear" w:pos="8176"/>
              <w:tab w:val="right" w:pos="9026" w:leader="dot"/>
            </w:tabs>
            <w:rPr/>
          </w:pPr>
          <w:hyperlink w:anchor="__RefHeading___Toc10000043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0000045_2142443653">
            <w:r>
              <w:rPr>
                <w:webHidden/>
                <w:rStyle w:val="IndexLink"/>
                <w:rtl w:val="true"/>
              </w:rPr>
              <w:t>أدلة حجية الأخبار الضعيفة</w:t>
            </w:r>
            <w:r>
              <w:rPr>
                <w:rStyle w:val="IndexLink"/>
                <w:rtl w:val="true"/>
              </w:rPr>
              <w:tab/>
            </w:r>
            <w:r>
              <w:rPr>
                <w:rStyle w:val="IndexLink"/>
              </w:rPr>
              <w:t>13</w:t>
            </w:r>
          </w:hyperlink>
        </w:p>
        <w:p>
          <w:pPr>
            <w:pStyle w:val="Contents4"/>
            <w:tabs>
              <w:tab w:val="clear" w:pos="8176"/>
              <w:tab w:val="right" w:pos="9026" w:leader="dot"/>
            </w:tabs>
            <w:rPr/>
          </w:pPr>
          <w:hyperlink w:anchor="__RefHeading___Toc10000047_2142443653">
            <w:r>
              <w:rPr>
                <w:webHidden/>
                <w:rStyle w:val="IndexLink"/>
                <w:rtl w:val="true"/>
              </w:rPr>
              <w:t>كيفية إحراز استناد المشهور إلى الخبر</w:t>
            </w:r>
            <w:r>
              <w:rPr>
                <w:rStyle w:val="IndexLink"/>
                <w:rtl w:val="true"/>
              </w:rPr>
              <w:tab/>
            </w:r>
            <w:r>
              <w:rPr>
                <w:rStyle w:val="IndexLink"/>
              </w:rPr>
              <w:t>16</w:t>
            </w:r>
          </w:hyperlink>
        </w:p>
        <w:p>
          <w:pPr>
            <w:pStyle w:val="Contents3"/>
            <w:tabs>
              <w:tab w:val="clear" w:pos="8459"/>
              <w:tab w:val="right" w:pos="9026" w:leader="dot"/>
            </w:tabs>
            <w:rPr/>
          </w:pPr>
          <w:hyperlink w:anchor="__RefHeading___Toc10000049_2142443653">
            <w:r>
              <w:rPr>
                <w:webHidden/>
                <w:rStyle w:val="IndexLink"/>
                <w:rtl w:val="true"/>
              </w:rPr>
              <w:t>التنبيه الثالث</w:t>
            </w:r>
            <w:r>
              <w:rPr>
                <w:rStyle w:val="IndexLink"/>
                <w:rtl w:val="true"/>
              </w:rPr>
              <w:t xml:space="preserve">: </w:t>
            </w:r>
            <w:r>
              <w:rPr>
                <w:rStyle w:val="IndexLink"/>
                <w:rtl w:val="true"/>
              </w:rPr>
              <w:t>إعراض الأصحاب عن الخبر المعتبر</w:t>
            </w:r>
            <w:r>
              <w:rPr>
                <w:rStyle w:val="IndexLink"/>
                <w:rtl w:val="true"/>
              </w:rPr>
              <w:tab/>
            </w:r>
            <w:r>
              <w:rPr>
                <w:rStyle w:val="IndexLink"/>
              </w:rPr>
              <w:t>21</w:t>
            </w:r>
          </w:hyperlink>
        </w:p>
        <w:p>
          <w:pPr>
            <w:pStyle w:val="Contents4"/>
            <w:tabs>
              <w:tab w:val="clear" w:pos="8176"/>
              <w:tab w:val="right" w:pos="9026" w:leader="dot"/>
            </w:tabs>
            <w:rPr/>
          </w:pPr>
          <w:hyperlink w:anchor="__RefHeading___Toc10000051_2142443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0000053_2142443653">
            <w:r>
              <w:rPr>
                <w:webHidden/>
                <w:rStyle w:val="IndexLink"/>
                <w:rtl w:val="true"/>
              </w:rPr>
              <w:t>شروط مسقطية الإعراض</w:t>
            </w:r>
            <w:r>
              <w:rPr>
                <w:rStyle w:val="IndexLink"/>
                <w:rtl w:val="true"/>
              </w:rPr>
              <w:tab/>
            </w:r>
            <w:r>
              <w:rPr>
                <w:rStyle w:val="IndexLink"/>
              </w:rPr>
              <w:t>25</w:t>
            </w:r>
          </w:hyperlink>
        </w:p>
        <w:p>
          <w:pPr>
            <w:pStyle w:val="Contents2"/>
            <w:tabs>
              <w:tab w:val="clear" w:pos="8743"/>
              <w:tab w:val="right" w:pos="9026" w:leader="dot"/>
            </w:tabs>
            <w:rPr/>
          </w:pPr>
          <w:hyperlink w:anchor="__RefHeading___Toc10000055_2142443653">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ab/>
            </w:r>
            <w:r>
              <w:rPr>
                <w:rStyle w:val="IndexLink"/>
              </w:rPr>
              <w:t>25</w:t>
            </w:r>
          </w:hyperlink>
        </w:p>
        <w:p>
          <w:pPr>
            <w:pStyle w:val="Contents3"/>
            <w:tabs>
              <w:tab w:val="clear" w:pos="8459"/>
              <w:tab w:val="right" w:pos="9026" w:leader="dot"/>
            </w:tabs>
            <w:rPr/>
          </w:pPr>
          <w:hyperlink w:anchor="__RefHeading___Toc10000057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0000059_2142443653">
            <w:r>
              <w:rPr>
                <w:webHidden/>
                <w:rStyle w:val="IndexLink"/>
                <w:rtl w:val="true"/>
              </w:rPr>
              <w:t>تقريبات الاستدلال بالعقل على حجية الخبر الواحد</w:t>
            </w:r>
            <w:r>
              <w:rPr>
                <w:rStyle w:val="IndexLink"/>
                <w:rtl w:val="true"/>
              </w:rPr>
              <w:tab/>
            </w:r>
            <w:r>
              <w:rPr>
                <w:rStyle w:val="IndexLink"/>
              </w:rPr>
              <w:t>25</w:t>
            </w:r>
          </w:hyperlink>
        </w:p>
        <w:p>
          <w:pPr>
            <w:pStyle w:val="Contents4"/>
            <w:tabs>
              <w:tab w:val="clear" w:pos="8176"/>
              <w:tab w:val="right" w:pos="9026" w:leader="dot"/>
            </w:tabs>
            <w:rPr/>
          </w:pPr>
          <w:hyperlink w:anchor="__RefHeading___Toc10000061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0000063_2142443653">
            <w:r>
              <w:rPr>
                <w:webHidden/>
                <w:rStyle w:val="IndexLink"/>
                <w:rtl w:val="true"/>
              </w:rPr>
              <w:t>التقريب الأول</w:t>
            </w:r>
            <w:r>
              <w:rPr>
                <w:rStyle w:val="IndexLink"/>
                <w:rtl w:val="true"/>
              </w:rPr>
              <w:t xml:space="preserve">: </w:t>
            </w:r>
            <w:r>
              <w:rPr>
                <w:rStyle w:val="IndexLink"/>
                <w:rtl w:val="true"/>
              </w:rPr>
              <w:t>دليل الانسداد الصغير</w:t>
            </w:r>
            <w:r>
              <w:rPr>
                <w:rStyle w:val="IndexLink"/>
                <w:rtl w:val="true"/>
              </w:rPr>
              <w:tab/>
            </w:r>
            <w:r>
              <w:rPr>
                <w:rStyle w:val="IndexLink"/>
              </w:rPr>
              <w:t>25</w:t>
            </w:r>
          </w:hyperlink>
        </w:p>
        <w:p>
          <w:pPr>
            <w:pStyle w:val="Contents5"/>
            <w:tabs>
              <w:tab w:val="clear" w:pos="7892"/>
              <w:tab w:val="right" w:pos="9026" w:leader="dot"/>
            </w:tabs>
            <w:rPr/>
          </w:pPr>
          <w:hyperlink w:anchor="__RefHeading___Toc10000065_2142443653">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0000067_2142443653">
            <w:r>
              <w:rPr>
                <w:webHidden/>
                <w:rStyle w:val="IndexLink"/>
                <w:rtl w:val="true"/>
              </w:rPr>
              <w:t>وأورد عليه إشكالات</w:t>
            </w:r>
            <w:r>
              <w:rPr>
                <w:rStyle w:val="IndexLink"/>
                <w:rtl w:val="true"/>
              </w:rPr>
              <w:tab/>
            </w:r>
            <w:r>
              <w:rPr>
                <w:rStyle w:val="IndexLink"/>
              </w:rPr>
              <w:t>26</w:t>
            </w:r>
          </w:hyperlink>
        </w:p>
        <w:p>
          <w:pPr>
            <w:pStyle w:val="Contents6"/>
            <w:tabs>
              <w:tab w:val="clear" w:pos="7609"/>
              <w:tab w:val="right" w:pos="9026" w:leader="dot"/>
            </w:tabs>
            <w:rPr/>
          </w:pPr>
          <w:hyperlink w:anchor="__RefHeading___Toc10000069_2142443653">
            <w:r>
              <w:rPr>
                <w:webHidden/>
                <w:rStyle w:val="IndexLink"/>
                <w:rtl w:val="true"/>
              </w:rPr>
              <w:t>الإشكال الأوّل</w:t>
            </w:r>
            <w:r>
              <w:rPr>
                <w:rStyle w:val="IndexLink"/>
                <w:rtl w:val="true"/>
              </w:rPr>
              <w:tab/>
            </w:r>
            <w:r>
              <w:rPr>
                <w:rStyle w:val="IndexLink"/>
              </w:rPr>
              <w:t>26</w:t>
            </w:r>
          </w:hyperlink>
        </w:p>
        <w:p>
          <w:pPr>
            <w:pStyle w:val="Contents6"/>
            <w:tabs>
              <w:tab w:val="clear" w:pos="7609"/>
              <w:tab w:val="right" w:pos="9026" w:leader="dot"/>
            </w:tabs>
            <w:rPr/>
          </w:pPr>
          <w:hyperlink w:anchor="__RefHeading___Toc10000071_2142443653">
            <w:r>
              <w:rPr>
                <w:webHidden/>
                <w:rStyle w:val="IndexLink"/>
                <w:rtl w:val="true"/>
              </w:rPr>
              <w:t>الإشكال الثاني</w:t>
            </w:r>
            <w:r>
              <w:rPr>
                <w:rStyle w:val="IndexLink"/>
                <w:rtl w:val="true"/>
              </w:rPr>
              <w:tab/>
            </w:r>
            <w:r>
              <w:rPr>
                <w:rStyle w:val="IndexLink"/>
              </w:rPr>
              <w:t>34</w:t>
            </w:r>
          </w:hyperlink>
        </w:p>
        <w:p>
          <w:pPr>
            <w:pStyle w:val="Contents6"/>
            <w:tabs>
              <w:tab w:val="clear" w:pos="7609"/>
              <w:tab w:val="right" w:pos="9026" w:leader="dot"/>
            </w:tabs>
            <w:rPr/>
          </w:pPr>
          <w:hyperlink w:anchor="__RefHeading___Toc10000073_2142443653">
            <w:r>
              <w:rPr>
                <w:webHidden/>
                <w:rStyle w:val="IndexLink"/>
                <w:rtl w:val="true"/>
              </w:rPr>
              <w:t>الإشكال الثالث</w:t>
            </w:r>
            <w:r>
              <w:rPr>
                <w:rStyle w:val="IndexLink"/>
                <w:rtl w:val="true"/>
              </w:rPr>
              <w:t xml:space="preserve">: </w:t>
            </w:r>
            <w:r>
              <w:rPr>
                <w:rStyle w:val="IndexLink"/>
                <w:rtl w:val="true"/>
              </w:rPr>
              <w:t>تقديم الأصول العملية المثبتة للتكليف على الأخبار</w:t>
            </w:r>
            <w:r>
              <w:rPr>
                <w:rStyle w:val="IndexLink"/>
                <w:rtl w:val="true"/>
              </w:rPr>
              <w:tab/>
            </w:r>
            <w:r>
              <w:rPr>
                <w:rStyle w:val="IndexLink"/>
              </w:rPr>
              <w:t>38</w:t>
            </w:r>
          </w:hyperlink>
        </w:p>
        <w:p>
          <w:pPr>
            <w:pStyle w:val="Contents4"/>
            <w:tabs>
              <w:tab w:val="clear" w:pos="8176"/>
              <w:tab w:val="right" w:pos="9026" w:leader="dot"/>
            </w:tabs>
            <w:rPr/>
          </w:pPr>
          <w:hyperlink w:anchor="__RefHeading___Toc10000075_2142443653">
            <w:r>
              <w:rPr>
                <w:webHidden/>
                <w:rStyle w:val="IndexLink"/>
                <w:rtl w:val="true"/>
              </w:rPr>
              <w:t>التقريب الثاني</w:t>
            </w:r>
            <w:r>
              <w:rPr>
                <w:rStyle w:val="IndexLink"/>
                <w:rtl w:val="true"/>
              </w:rPr>
              <w:t xml:space="preserve">: </w:t>
            </w:r>
            <w:r>
              <w:rPr>
                <w:rStyle w:val="IndexLink"/>
                <w:rtl w:val="true"/>
              </w:rPr>
              <w:t>القطع بالمخالفة في العبادات بترك العمل بأخبار الآحاد</w:t>
            </w:r>
            <w:r>
              <w:rPr>
                <w:rStyle w:val="IndexLink"/>
                <w:rtl w:val="true"/>
              </w:rPr>
              <w:tab/>
            </w:r>
            <w:r>
              <w:rPr>
                <w:rStyle w:val="IndexLink"/>
              </w:rPr>
              <w:t>44</w:t>
            </w:r>
          </w:hyperlink>
        </w:p>
        <w:p>
          <w:pPr>
            <w:pStyle w:val="Contents4"/>
            <w:tabs>
              <w:tab w:val="clear" w:pos="8176"/>
              <w:tab w:val="right" w:pos="9026" w:leader="dot"/>
            </w:tabs>
            <w:rPr/>
          </w:pPr>
          <w:hyperlink w:anchor="__RefHeading___Toc10000077_2142443653">
            <w:r>
              <w:rPr>
                <w:webHidden/>
                <w:rStyle w:val="IndexLink"/>
                <w:rtl w:val="true"/>
              </w:rPr>
              <w:t>التقريب الثالث</w:t>
            </w:r>
            <w:r>
              <w:rPr>
                <w:rStyle w:val="IndexLink"/>
                <w:rtl w:val="true"/>
              </w:rPr>
              <w:t xml:space="preserve">: </w:t>
            </w:r>
            <w:r>
              <w:rPr>
                <w:rStyle w:val="IndexLink"/>
                <w:rtl w:val="true"/>
              </w:rPr>
              <w:t>وجوب العمل بالكتاب والسنة ثابت إلى يوم القيامة</w:t>
            </w:r>
            <w:r>
              <w:rPr>
                <w:rStyle w:val="IndexLink"/>
                <w:rtl w:val="true"/>
              </w:rPr>
              <w:tab/>
            </w:r>
            <w:r>
              <w:rPr>
                <w:rStyle w:val="IndexLink"/>
              </w:rPr>
              <w:t>48</w:t>
            </w:r>
          </w:hyperlink>
        </w:p>
        <w:p>
          <w:pPr>
            <w:pStyle w:val="Contents2"/>
            <w:tabs>
              <w:tab w:val="clear" w:pos="8743"/>
              <w:tab w:val="right" w:pos="9026" w:leader="dot"/>
            </w:tabs>
            <w:rPr/>
          </w:pPr>
          <w:hyperlink w:anchor="__RefHeading___Toc10000079_2142443653">
            <w:r>
              <w:rPr>
                <w:webHidden/>
                <w:rStyle w:val="IndexLink"/>
                <w:rtl w:val="true"/>
              </w:rPr>
              <w:t>حجية مطلق الظن</w:t>
            </w:r>
            <w:r>
              <w:rPr>
                <w:rStyle w:val="IndexLink"/>
                <w:rtl w:val="true"/>
              </w:rPr>
              <w:tab/>
            </w:r>
            <w:r>
              <w:rPr>
                <w:rStyle w:val="IndexLink"/>
              </w:rPr>
              <w:t>53</w:t>
            </w:r>
          </w:hyperlink>
        </w:p>
        <w:p>
          <w:pPr>
            <w:pStyle w:val="Contents3"/>
            <w:tabs>
              <w:tab w:val="clear" w:pos="8459"/>
              <w:tab w:val="right" w:pos="9026" w:leader="dot"/>
            </w:tabs>
            <w:rPr/>
          </w:pPr>
          <w:hyperlink w:anchor="__RefHeading___Toc10000081_2142443653">
            <w:r>
              <w:rPr>
                <w:webHidden/>
                <w:rStyle w:val="IndexLink"/>
                <w:rtl w:val="true"/>
              </w:rPr>
              <w:t>أدلة حجية مطلق الظن</w:t>
            </w:r>
            <w:r>
              <w:rPr>
                <w:rStyle w:val="IndexLink"/>
                <w:rtl w:val="true"/>
              </w:rPr>
              <w:tab/>
            </w:r>
            <w:r>
              <w:rPr>
                <w:rStyle w:val="IndexLink"/>
              </w:rPr>
              <w:t>53</w:t>
            </w:r>
          </w:hyperlink>
        </w:p>
        <w:p>
          <w:pPr>
            <w:pStyle w:val="Contents4"/>
            <w:tabs>
              <w:tab w:val="clear" w:pos="8176"/>
              <w:tab w:val="right" w:pos="9026" w:leader="dot"/>
            </w:tabs>
            <w:rPr/>
          </w:pPr>
          <w:hyperlink w:anchor="__RefHeading___Toc10000083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0000085_2142443653">
            <w:r>
              <w:rPr>
                <w:webHidden/>
                <w:rStyle w:val="IndexLink"/>
                <w:rtl w:val="true"/>
              </w:rPr>
              <w:t>الدليل الأول</w:t>
            </w:r>
            <w:r>
              <w:rPr>
                <w:rStyle w:val="IndexLink"/>
                <w:rtl w:val="true"/>
              </w:rPr>
              <w:t xml:space="preserve">: </w:t>
            </w:r>
            <w:r>
              <w:rPr>
                <w:rStyle w:val="IndexLink"/>
                <w:rtl w:val="true"/>
              </w:rPr>
              <w:t>مخالفة الظن مظنة للضرر</w:t>
            </w:r>
            <w:r>
              <w:rPr>
                <w:rStyle w:val="IndexLink"/>
                <w:rtl w:val="true"/>
              </w:rPr>
              <w:tab/>
            </w:r>
            <w:r>
              <w:rPr>
                <w:rStyle w:val="IndexLink"/>
              </w:rPr>
              <w:t>53</w:t>
            </w:r>
          </w:hyperlink>
        </w:p>
        <w:p>
          <w:pPr>
            <w:pStyle w:val="Contents5"/>
            <w:tabs>
              <w:tab w:val="clear" w:pos="7892"/>
              <w:tab w:val="right" w:pos="9026" w:leader="dot"/>
            </w:tabs>
            <w:rPr/>
          </w:pPr>
          <w:hyperlink w:anchor="__RefHeading___Toc10000087_2142443653">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0000089_2142443653">
            <w:r>
              <w:rPr>
                <w:webHidden/>
                <w:rStyle w:val="IndexLink"/>
                <w:rtl w:val="true"/>
              </w:rPr>
              <w:t>البحث في كبرى الدليل الأول</w:t>
            </w:r>
            <w:r>
              <w:rPr>
                <w:rStyle w:val="IndexLink"/>
                <w:rtl w:val="true"/>
              </w:rPr>
              <w:tab/>
            </w:r>
            <w:r>
              <w:rPr>
                <w:rStyle w:val="IndexLink"/>
              </w:rPr>
              <w:t>53</w:t>
            </w:r>
          </w:hyperlink>
        </w:p>
        <w:p>
          <w:pPr>
            <w:pStyle w:val="Contents6"/>
            <w:tabs>
              <w:tab w:val="clear" w:pos="7609"/>
              <w:tab w:val="right" w:pos="9026" w:leader="dot"/>
            </w:tabs>
            <w:rPr/>
          </w:pPr>
          <w:hyperlink w:anchor="__RefHeading___Toc10000091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0000093_2142443653">
            <w:r>
              <w:rPr>
                <w:webHidden/>
                <w:rStyle w:val="IndexLink"/>
                <w:rtl w:val="true"/>
              </w:rPr>
              <w:t>البحث الأول</w:t>
            </w:r>
            <w:r>
              <w:rPr>
                <w:rStyle w:val="IndexLink"/>
                <w:rtl w:val="true"/>
              </w:rPr>
              <w:t xml:space="preserve">: </w:t>
            </w:r>
            <w:r>
              <w:rPr>
                <w:rStyle w:val="IndexLink"/>
                <w:rtl w:val="true"/>
              </w:rPr>
              <w:t>في العقوبة الأخروية</w:t>
            </w:r>
            <w:r>
              <w:rPr>
                <w:rStyle w:val="IndexLink"/>
                <w:rtl w:val="true"/>
              </w:rPr>
              <w:tab/>
            </w:r>
            <w:r>
              <w:rPr>
                <w:rStyle w:val="IndexLink"/>
              </w:rPr>
              <w:t>62</w:t>
            </w:r>
          </w:hyperlink>
        </w:p>
        <w:p>
          <w:pPr>
            <w:pStyle w:val="Contents6"/>
            <w:tabs>
              <w:tab w:val="clear" w:pos="7609"/>
              <w:tab w:val="right" w:pos="9026" w:leader="dot"/>
            </w:tabs>
            <w:rPr/>
          </w:pPr>
          <w:hyperlink w:anchor="__RefHeading___Toc10000095_2142443653">
            <w:r>
              <w:rPr>
                <w:webHidden/>
                <w:rStyle w:val="IndexLink"/>
                <w:rtl w:val="true"/>
              </w:rPr>
              <w:t>البحث الثاني</w:t>
            </w:r>
            <w:r>
              <w:rPr>
                <w:rStyle w:val="IndexLink"/>
                <w:rtl w:val="true"/>
              </w:rPr>
              <w:t xml:space="preserve">: </w:t>
            </w:r>
            <w:r>
              <w:rPr>
                <w:rStyle w:val="IndexLink"/>
                <w:rtl w:val="true"/>
              </w:rPr>
              <w:t>في المفسدة</w:t>
            </w:r>
            <w:r>
              <w:rPr>
                <w:rStyle w:val="IndexLink"/>
                <w:rtl w:val="true"/>
              </w:rPr>
              <w:tab/>
            </w:r>
            <w:r>
              <w:rPr>
                <w:rStyle w:val="IndexLink"/>
              </w:rPr>
              <w:t>64</w:t>
            </w:r>
          </w:hyperlink>
        </w:p>
        <w:p>
          <w:pPr>
            <w:pStyle w:val="Contents4"/>
            <w:tabs>
              <w:tab w:val="clear" w:pos="8176"/>
              <w:tab w:val="right" w:pos="9026" w:leader="dot"/>
            </w:tabs>
            <w:rPr/>
          </w:pPr>
          <w:hyperlink w:anchor="__RefHeading___Toc10000097_2142443653">
            <w:r>
              <w:rPr>
                <w:webHidden/>
                <w:rStyle w:val="IndexLink"/>
                <w:rtl w:val="true"/>
              </w:rPr>
              <w:t>الدليل الثاني</w:t>
            </w:r>
            <w:r>
              <w:rPr>
                <w:rStyle w:val="IndexLink"/>
                <w:rtl w:val="true"/>
              </w:rPr>
              <w:t xml:space="preserve">: </w:t>
            </w:r>
            <w:r>
              <w:rPr>
                <w:rStyle w:val="IndexLink"/>
                <w:rtl w:val="true"/>
              </w:rPr>
              <w:t>ترجيح المرجوح على الراجح</w:t>
            </w:r>
            <w:r>
              <w:rPr>
                <w:rStyle w:val="IndexLink"/>
                <w:rtl w:val="true"/>
              </w:rPr>
              <w:tab/>
            </w:r>
            <w:r>
              <w:rPr>
                <w:rStyle w:val="IndexLink"/>
              </w:rPr>
              <w:t>71</w:t>
            </w:r>
          </w:hyperlink>
        </w:p>
        <w:p>
          <w:pPr>
            <w:pStyle w:val="Contents4"/>
            <w:tabs>
              <w:tab w:val="clear" w:pos="8176"/>
              <w:tab w:val="right" w:pos="9026" w:leader="dot"/>
            </w:tabs>
            <w:rPr/>
          </w:pPr>
          <w:hyperlink w:anchor="__RefHeading___Toc10000099_2142443653">
            <w:r>
              <w:rPr>
                <w:webHidden/>
                <w:rStyle w:val="IndexLink"/>
                <w:rtl w:val="true"/>
              </w:rPr>
              <w:t>الدليل الثالث</w:t>
            </w:r>
            <w:r>
              <w:rPr>
                <w:rStyle w:val="IndexLink"/>
                <w:rtl w:val="true"/>
              </w:rPr>
              <w:t xml:space="preserve">: </w:t>
            </w:r>
            <w:r>
              <w:rPr>
                <w:rStyle w:val="IndexLink"/>
                <w:rtl w:val="true"/>
              </w:rPr>
              <w:t>وجوب الاحتياط بالمظنونات</w:t>
            </w:r>
            <w:r>
              <w:rPr>
                <w:rStyle w:val="IndexLink"/>
                <w:rtl w:val="true"/>
              </w:rPr>
              <w:tab/>
            </w:r>
            <w:r>
              <w:rPr>
                <w:rStyle w:val="IndexLink"/>
              </w:rPr>
              <w:t>73</w:t>
            </w:r>
          </w:hyperlink>
        </w:p>
        <w:p>
          <w:pPr>
            <w:pStyle w:val="Contents4"/>
            <w:tabs>
              <w:tab w:val="clear" w:pos="8176"/>
              <w:tab w:val="right" w:pos="9026" w:leader="dot"/>
            </w:tabs>
            <w:rPr/>
          </w:pPr>
          <w:hyperlink w:anchor="__RefHeading___Toc10000101_2142443653">
            <w:r>
              <w:rPr>
                <w:webHidden/>
                <w:rStyle w:val="IndexLink"/>
                <w:rtl w:val="true"/>
              </w:rPr>
              <w:t>الدليل الرابع</w:t>
            </w:r>
            <w:r>
              <w:rPr>
                <w:rStyle w:val="IndexLink"/>
                <w:rtl w:val="true"/>
              </w:rPr>
              <w:t xml:space="preserve">: </w:t>
            </w:r>
            <w:r>
              <w:rPr>
                <w:rStyle w:val="IndexLink"/>
                <w:rtl w:val="true"/>
              </w:rPr>
              <w:t>دليل الانسداد</w:t>
            </w:r>
            <w:r>
              <w:rPr>
                <w:rStyle w:val="IndexLink"/>
                <w:rtl w:val="true"/>
              </w:rPr>
              <w:tab/>
            </w:r>
            <w:r>
              <w:rPr>
                <w:rStyle w:val="IndexLink"/>
              </w:rPr>
              <w:t>74</w:t>
            </w:r>
          </w:hyperlink>
        </w:p>
        <w:p>
          <w:pPr>
            <w:pStyle w:val="Contents5"/>
            <w:tabs>
              <w:tab w:val="clear" w:pos="7892"/>
              <w:tab w:val="right" w:pos="9026" w:leader="dot"/>
            </w:tabs>
            <w:rPr/>
          </w:pPr>
          <w:hyperlink w:anchor="__RefHeading___Toc10000103_2142443653">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0000105_2142443653">
            <w:r>
              <w:rPr>
                <w:webHidden/>
                <w:rStyle w:val="IndexLink"/>
                <w:rtl w:val="true"/>
              </w:rPr>
              <w:t>مقدمات دليل الانسداد</w:t>
            </w:r>
            <w:r>
              <w:rPr>
                <w:rStyle w:val="IndexLink"/>
                <w:rtl w:val="true"/>
              </w:rPr>
              <w:tab/>
            </w:r>
            <w:r>
              <w:rPr>
                <w:rStyle w:val="IndexLink"/>
              </w:rPr>
              <w:t>75</w:t>
            </w:r>
          </w:hyperlink>
        </w:p>
        <w:p>
          <w:pPr>
            <w:pStyle w:val="Contents5"/>
            <w:tabs>
              <w:tab w:val="clear" w:pos="7892"/>
              <w:tab w:val="right" w:pos="9026" w:leader="dot"/>
            </w:tabs>
            <w:rPr/>
          </w:pPr>
          <w:hyperlink w:anchor="__RefHeading___Toc10000107_2142443653">
            <w:r>
              <w:rPr>
                <w:webHidden/>
                <w:rStyle w:val="IndexLink"/>
                <w:rtl w:val="true"/>
              </w:rPr>
              <w:t>المناقشة في مقدمات دليل الانسداد</w:t>
            </w:r>
            <w:r>
              <w:rPr>
                <w:rStyle w:val="IndexLink"/>
                <w:rtl w:val="true"/>
              </w:rPr>
              <w:tab/>
            </w:r>
            <w:r>
              <w:rPr>
                <w:rStyle w:val="IndexLink"/>
              </w:rPr>
              <w:t>79</w:t>
            </w:r>
          </w:hyperlink>
        </w:p>
        <w:p>
          <w:pPr>
            <w:pStyle w:val="Contents6"/>
            <w:tabs>
              <w:tab w:val="clear" w:pos="7609"/>
              <w:tab w:val="right" w:pos="9026" w:leader="dot"/>
            </w:tabs>
            <w:rPr/>
          </w:pPr>
          <w:hyperlink w:anchor="__RefHeading___Toc10000109_214244365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0000111_2142443653">
            <w:r>
              <w:rPr>
                <w:webHidden/>
                <w:rStyle w:val="IndexLink"/>
                <w:rtl w:val="true"/>
              </w:rPr>
              <w:t>المناقشة في المقدمة الأولى</w:t>
            </w:r>
            <w:r>
              <w:rPr>
                <w:rStyle w:val="IndexLink"/>
                <w:rtl w:val="true"/>
              </w:rPr>
              <w:tab/>
            </w:r>
            <w:r>
              <w:rPr>
                <w:rStyle w:val="IndexLink"/>
              </w:rPr>
              <w:t>79</w:t>
            </w:r>
          </w:hyperlink>
        </w:p>
        <w:p>
          <w:pPr>
            <w:pStyle w:val="Contents6"/>
            <w:tabs>
              <w:tab w:val="clear" w:pos="7609"/>
              <w:tab w:val="right" w:pos="9026" w:leader="dot"/>
            </w:tabs>
            <w:rPr/>
          </w:pPr>
          <w:hyperlink w:anchor="__RefHeading___Toc10000113_2142443653">
            <w:r>
              <w:rPr>
                <w:webHidden/>
                <w:rStyle w:val="IndexLink"/>
                <w:rtl w:val="true"/>
              </w:rPr>
              <w:t>المناقشة في المقدمة الثانية</w:t>
            </w:r>
            <w:r>
              <w:rPr>
                <w:rStyle w:val="IndexLink"/>
                <w:rtl w:val="true"/>
              </w:rPr>
              <w:tab/>
            </w:r>
            <w:r>
              <w:rPr>
                <w:rStyle w:val="IndexLink"/>
              </w:rPr>
              <w:t>82</w:t>
            </w:r>
          </w:hyperlink>
        </w:p>
        <w:p>
          <w:pPr>
            <w:pStyle w:val="Contents6"/>
            <w:tabs>
              <w:tab w:val="clear" w:pos="7609"/>
              <w:tab w:val="right" w:pos="9026" w:leader="dot"/>
            </w:tabs>
            <w:rPr/>
          </w:pPr>
          <w:hyperlink w:anchor="__RefHeading___Toc10000115_2142443653">
            <w:r>
              <w:rPr>
                <w:webHidden/>
                <w:rStyle w:val="IndexLink"/>
                <w:rtl w:val="true"/>
              </w:rPr>
              <w:t>المناقشة في المقدمة الثالثة</w:t>
            </w:r>
            <w:r>
              <w:rPr>
                <w:rStyle w:val="IndexLink"/>
                <w:rtl w:val="true"/>
              </w:rPr>
              <w:tab/>
            </w:r>
            <w:r>
              <w:rPr>
                <w:rStyle w:val="IndexLink"/>
              </w:rPr>
              <w:t>84</w:t>
            </w:r>
          </w:hyperlink>
        </w:p>
        <w:p>
          <w:pPr>
            <w:pStyle w:val="Contents6"/>
            <w:tabs>
              <w:tab w:val="clear" w:pos="7609"/>
              <w:tab w:val="right" w:pos="9026" w:leader="dot"/>
            </w:tabs>
            <w:rPr/>
          </w:pPr>
          <w:hyperlink w:anchor="__RefHeading___Toc10000117_2142443653">
            <w:r>
              <w:rPr>
                <w:webHidden/>
                <w:rStyle w:val="IndexLink"/>
                <w:rtl w:val="true"/>
              </w:rPr>
              <w:t>المناقشة في المقدمة الرابعة</w:t>
            </w:r>
            <w:r>
              <w:rPr>
                <w:rStyle w:val="IndexLink"/>
                <w:rtl w:val="true"/>
              </w:rPr>
              <w:tab/>
            </w:r>
            <w:r>
              <w:rPr>
                <w:rStyle w:val="IndexLink"/>
              </w:rPr>
              <w:t>92</w:t>
            </w:r>
          </w:hyperlink>
        </w:p>
        <w:p>
          <w:pPr>
            <w:pStyle w:val="Contents6"/>
            <w:tabs>
              <w:tab w:val="clear" w:pos="7609"/>
              <w:tab w:val="right" w:pos="9026" w:leader="dot"/>
            </w:tabs>
            <w:rPr/>
          </w:pPr>
          <w:hyperlink w:anchor="__RefHeading___Toc10000119_2142443653">
            <w:r>
              <w:rPr>
                <w:webHidden/>
                <w:rStyle w:val="IndexLink"/>
                <w:rtl w:val="true"/>
              </w:rPr>
              <w:t>المبحث الأول</w:t>
            </w:r>
            <w:r>
              <w:rPr>
                <w:rStyle w:val="IndexLink"/>
                <w:rtl w:val="true"/>
              </w:rPr>
              <w:t xml:space="preserve">: </w:t>
            </w:r>
            <w:r>
              <w:rPr>
                <w:rStyle w:val="IndexLink"/>
                <w:rtl w:val="true"/>
              </w:rPr>
              <w:t>عدم وجوب الاحتياط في ظرف الانسداد</w:t>
            </w:r>
            <w:r>
              <w:rPr>
                <w:rStyle w:val="IndexLink"/>
                <w:rtl w:val="true"/>
              </w:rPr>
              <w:tab/>
            </w:r>
            <w:r>
              <w:rPr>
                <w:rStyle w:val="IndexLink"/>
              </w:rPr>
              <w:t>93</w:t>
            </w:r>
          </w:hyperlink>
        </w:p>
        <w:p>
          <w:pPr>
            <w:pStyle w:val="Contents6"/>
            <w:tabs>
              <w:tab w:val="clear" w:pos="7609"/>
              <w:tab w:val="right" w:pos="9026" w:leader="dot"/>
            </w:tabs>
            <w:rPr/>
          </w:pPr>
          <w:hyperlink w:anchor="__RefHeading___Toc10000121_2142443653">
            <w:r>
              <w:rPr>
                <w:webHidden/>
                <w:rStyle w:val="IndexLink"/>
                <w:rtl w:val="true"/>
              </w:rPr>
              <w:t xml:space="preserve">احتمالان في مفاد </w:t>
            </w:r>
            <w:r>
              <w:rPr>
                <w:rStyle w:val="IndexLink"/>
                <w:rtl w:val="true"/>
              </w:rPr>
              <w:t>(</w:t>
            </w:r>
            <w:r>
              <w:rPr>
                <w:rStyle w:val="IndexLink"/>
                <w:rtl w:val="true"/>
              </w:rPr>
              <w:t>لا ضرر</w:t>
            </w:r>
            <w:r>
              <w:rPr>
                <w:rStyle w:val="IndexLink"/>
                <w:rtl w:val="true"/>
              </w:rPr>
              <w:t>)</w:t>
              <w:tab/>
            </w:r>
            <w:r>
              <w:rPr>
                <w:rStyle w:val="IndexLink"/>
              </w:rPr>
              <w:t>95</w:t>
            </w:r>
          </w:hyperlink>
        </w:p>
        <w:p>
          <w:pPr>
            <w:pStyle w:val="Contents6"/>
            <w:tabs>
              <w:tab w:val="clear" w:pos="7609"/>
              <w:tab w:val="right" w:pos="9026" w:leader="dot"/>
            </w:tabs>
            <w:rPr/>
          </w:pPr>
          <w:hyperlink w:anchor="__RefHeading___Toc10000123_2142443653">
            <w:r>
              <w:rPr>
                <w:webHidden/>
                <w:rStyle w:val="IndexLink"/>
                <w:rtl w:val="true"/>
              </w:rPr>
              <w:t>عهد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ab/>
            </w:r>
            <w:r>
              <w:rPr>
                <w:rStyle w:val="IndexLink"/>
              </w:rPr>
              <w:t>100</w:t>
            </w:r>
          </w:hyperlink>
        </w:p>
        <w:p>
          <w:pPr>
            <w:pStyle w:val="Contents6"/>
            <w:tabs>
              <w:tab w:val="clear" w:pos="7609"/>
              <w:tab w:val="right" w:pos="9026" w:leader="dot"/>
            </w:tabs>
            <w:rPr/>
          </w:pPr>
          <w:hyperlink w:anchor="__RefHeading___Toc10000125_2142443653">
            <w:r>
              <w:rPr>
                <w:webHidden/>
                <w:rStyle w:val="IndexLink"/>
                <w:rtl w:val="true"/>
              </w:rPr>
              <w:t>توثيق مشايخ النجاشي</w:t>
            </w:r>
            <w:r>
              <w:rPr>
                <w:rStyle w:val="IndexLink"/>
                <w:rtl w:val="true"/>
              </w:rPr>
              <w:tab/>
            </w:r>
            <w:r>
              <w:rPr>
                <w:rStyle w:val="IndexLink"/>
              </w:rPr>
              <w:t>101</w:t>
            </w:r>
          </w:hyperlink>
        </w:p>
        <w:p>
          <w:pPr>
            <w:pStyle w:val="Contents6"/>
            <w:tabs>
              <w:tab w:val="clear" w:pos="7609"/>
              <w:tab w:val="right" w:pos="9026" w:leader="dot"/>
            </w:tabs>
            <w:rPr/>
          </w:pPr>
          <w:hyperlink w:anchor="__RefHeading___Toc10000127_2142443653">
            <w:r>
              <w:rPr>
                <w:webHidden/>
                <w:rStyle w:val="IndexLink"/>
                <w:rtl w:val="true"/>
              </w:rPr>
              <w:t>نتيجة الانسداد</w:t>
            </w:r>
            <w:r>
              <w:rPr>
                <w:rStyle w:val="IndexLink"/>
                <w:rtl w:val="true"/>
              </w:rPr>
              <w:tab/>
            </w:r>
            <w:r>
              <w:rPr>
                <w:rStyle w:val="IndexLink"/>
              </w:rPr>
              <w:t>119</w:t>
            </w:r>
          </w:hyperlink>
        </w:p>
        <w:p>
          <w:pPr>
            <w:pStyle w:val="Contents6"/>
            <w:tabs>
              <w:tab w:val="clear" w:pos="7609"/>
              <w:tab w:val="right" w:pos="9026" w:leader="dot"/>
            </w:tabs>
            <w:rPr/>
          </w:pPr>
          <w:hyperlink w:anchor="__RefHeading___Toc10000129_2142443653">
            <w:r>
              <w:rPr>
                <w:webHidden/>
                <w:rStyle w:val="IndexLink"/>
                <w:rtl w:val="true"/>
              </w:rPr>
              <w:t>ثلاث ثمرات</w:t>
            </w:r>
            <w:r>
              <w:rPr>
                <w:rStyle w:val="IndexLink"/>
                <w:rtl w:val="true"/>
              </w:rPr>
              <w:tab/>
            </w:r>
            <w:r>
              <w:rPr>
                <w:rStyle w:val="IndexLink"/>
              </w:rPr>
              <w:t>119</w:t>
            </w:r>
          </w:hyperlink>
        </w:p>
        <w:p>
          <w:pPr>
            <w:pStyle w:val="Contents6"/>
            <w:tabs>
              <w:tab w:val="clear" w:pos="7609"/>
              <w:tab w:val="right" w:pos="9026" w:leader="dot"/>
            </w:tabs>
            <w:rPr/>
          </w:pPr>
          <w:hyperlink w:anchor="__RefHeading___Toc10000131_2142443653">
            <w:r>
              <w:rPr>
                <w:webHidden/>
                <w:rStyle w:val="IndexLink"/>
                <w:rtl w:val="true"/>
              </w:rPr>
              <w:t>المبحث الثاني</w:t>
            </w:r>
            <w:r>
              <w:rPr>
                <w:rStyle w:val="IndexLink"/>
                <w:rtl w:val="true"/>
              </w:rPr>
              <w:t xml:space="preserve">: </w:t>
            </w:r>
            <w:r>
              <w:rPr>
                <w:rStyle w:val="IndexLink"/>
                <w:rtl w:val="true"/>
              </w:rPr>
              <w:t>الرجوع إلى الأصل بغض النظر عن العلم الإجمالي</w:t>
            </w:r>
            <w:r>
              <w:rPr>
                <w:rStyle w:val="IndexLink"/>
                <w:rtl w:val="true"/>
              </w:rPr>
              <w:tab/>
            </w:r>
            <w:r>
              <w:rPr>
                <w:rStyle w:val="IndexLink"/>
              </w:rPr>
              <w:t>122</w:t>
            </w:r>
          </w:hyperlink>
        </w:p>
        <w:p>
          <w:pPr>
            <w:pStyle w:val="Contents6"/>
            <w:tabs>
              <w:tab w:val="clear" w:pos="7609"/>
              <w:tab w:val="right" w:pos="9026" w:leader="dot"/>
            </w:tabs>
            <w:rPr/>
          </w:pPr>
          <w:hyperlink w:anchor="__RefHeading___Toc10000133_2142443653">
            <w:r>
              <w:rPr>
                <w:webHidden/>
                <w:rStyle w:val="IndexLink"/>
                <w:rtl w:val="true"/>
              </w:rPr>
              <w:t>جريان الأصول المثبتة للتكليف</w:t>
            </w:r>
            <w:r>
              <w:rPr>
                <w:rStyle w:val="IndexLink"/>
                <w:rtl w:val="true"/>
              </w:rPr>
              <w:tab/>
            </w:r>
            <w:r>
              <w:rPr>
                <w:rStyle w:val="IndexLink"/>
              </w:rPr>
              <w:t>123</w:t>
            </w:r>
          </w:hyperlink>
        </w:p>
        <w:p>
          <w:pPr>
            <w:pStyle w:val="Contents6"/>
            <w:tabs>
              <w:tab w:val="clear" w:pos="7609"/>
              <w:tab w:val="right" w:pos="9026" w:leader="dot"/>
            </w:tabs>
            <w:rPr/>
          </w:pPr>
          <w:hyperlink w:anchor="__RefHeading___Toc10000135_2142443653">
            <w:r>
              <w:rPr>
                <w:webHidden/>
                <w:rStyle w:val="IndexLink"/>
                <w:rtl w:val="true"/>
              </w:rPr>
              <w:t>جريان الأصول النافية للتكليف</w:t>
            </w:r>
            <w:r>
              <w:rPr>
                <w:rStyle w:val="IndexLink"/>
                <w:rtl w:val="true"/>
              </w:rPr>
              <w:tab/>
            </w:r>
            <w:r>
              <w:rPr>
                <w:rStyle w:val="IndexLink"/>
              </w:rPr>
              <w:t>131</w:t>
            </w:r>
          </w:hyperlink>
        </w:p>
        <w:p>
          <w:pPr>
            <w:pStyle w:val="Contents6"/>
            <w:tabs>
              <w:tab w:val="clear" w:pos="7609"/>
              <w:tab w:val="right" w:pos="9026" w:leader="dot"/>
            </w:tabs>
            <w:rPr/>
          </w:pPr>
          <w:hyperlink w:anchor="__RefHeading___Toc10000137_2142443653">
            <w:r>
              <w:rPr>
                <w:webHidden/>
                <w:rStyle w:val="IndexLink"/>
                <w:rtl w:val="true"/>
              </w:rPr>
              <w:t>المبحث الثالث</w:t>
            </w:r>
            <w:r>
              <w:rPr>
                <w:rStyle w:val="IndexLink"/>
                <w:rtl w:val="true"/>
              </w:rPr>
              <w:t xml:space="preserve">: </w:t>
            </w:r>
            <w:r>
              <w:rPr>
                <w:rStyle w:val="IndexLink"/>
                <w:rtl w:val="true"/>
              </w:rPr>
              <w:t>الرجوع إلى العالم بالحكم</w:t>
            </w:r>
            <w:r>
              <w:rPr>
                <w:rStyle w:val="IndexLink"/>
                <w:rtl w:val="true"/>
              </w:rPr>
              <w:tab/>
            </w:r>
            <w:r>
              <w:rPr>
                <w:rStyle w:val="IndexLink"/>
              </w:rPr>
              <w:t>135</w:t>
            </w:r>
          </w:hyperlink>
        </w:p>
        <w:p>
          <w:pPr>
            <w:pStyle w:val="Contents6"/>
            <w:tabs>
              <w:tab w:val="clear" w:pos="7609"/>
              <w:tab w:val="right" w:pos="9026" w:leader="dot"/>
            </w:tabs>
            <w:rPr/>
          </w:pPr>
          <w:hyperlink w:anchor="__RefHeading___Toc10000139_2142443653">
            <w:r>
              <w:rPr>
                <w:webHidden/>
                <w:rStyle w:val="IndexLink"/>
                <w:rtl w:val="true"/>
              </w:rPr>
              <w:t>المبحث الرابع</w:t>
            </w:r>
            <w:r>
              <w:rPr>
                <w:rStyle w:val="IndexLink"/>
                <w:rtl w:val="true"/>
              </w:rPr>
              <w:t xml:space="preserve">: </w:t>
            </w:r>
            <w:r>
              <w:rPr>
                <w:rStyle w:val="IndexLink"/>
                <w:rtl w:val="true"/>
              </w:rPr>
              <w:t>القرعة</w:t>
            </w:r>
            <w:r>
              <w:rPr>
                <w:rStyle w:val="IndexLink"/>
                <w:rtl w:val="true"/>
              </w:rPr>
              <w:tab/>
            </w:r>
            <w:r>
              <w:rPr>
                <w:rStyle w:val="IndexLink"/>
              </w:rPr>
              <w:t>137</w:t>
            </w:r>
          </w:hyperlink>
        </w:p>
        <w:p>
          <w:pPr>
            <w:pStyle w:val="Contents6"/>
            <w:tabs>
              <w:tab w:val="clear" w:pos="7609"/>
              <w:tab w:val="right" w:pos="9026" w:leader="dot"/>
            </w:tabs>
            <w:rPr/>
          </w:pPr>
          <w:hyperlink w:anchor="__RefHeading___Toc10000141_2142443653">
            <w:r>
              <w:rPr>
                <w:webHidden/>
                <w:rStyle w:val="IndexLink"/>
                <w:rtl w:val="true"/>
              </w:rPr>
              <w:t>المناقشة في المقدمة الخامسة</w:t>
            </w:r>
            <w:r>
              <w:rPr>
                <w:rStyle w:val="IndexLink"/>
                <w:rtl w:val="true"/>
              </w:rPr>
              <w:t>:</w:t>
              <w:tab/>
            </w:r>
            <w:r>
              <w:rPr>
                <w:rStyle w:val="IndexLink"/>
              </w:rPr>
              <w:t>141</w:t>
            </w:r>
          </w:hyperlink>
        </w:p>
        <w:p>
          <w:pPr>
            <w:pStyle w:val="Contents5"/>
            <w:tabs>
              <w:tab w:val="clear" w:pos="7892"/>
              <w:tab w:val="right" w:pos="9026" w:leader="dot"/>
            </w:tabs>
            <w:rPr/>
          </w:pPr>
          <w:hyperlink w:anchor="__RefHeading___Toc10000143_2142443653">
            <w:r>
              <w:rPr>
                <w:webHidden/>
                <w:rStyle w:val="IndexLink"/>
                <w:rtl w:val="true"/>
              </w:rPr>
              <w:t>تنبيهات باب الانسداد</w:t>
            </w:r>
            <w:r>
              <w:rPr>
                <w:rStyle w:val="IndexLink"/>
                <w:rtl w:val="true"/>
              </w:rPr>
              <w:tab/>
            </w:r>
            <w:r>
              <w:rPr>
                <w:rStyle w:val="IndexLink"/>
              </w:rPr>
              <w:t>144</w:t>
            </w:r>
          </w:hyperlink>
        </w:p>
        <w:p>
          <w:pPr>
            <w:pStyle w:val="Contents6"/>
            <w:tabs>
              <w:tab w:val="clear" w:pos="7609"/>
              <w:tab w:val="right" w:pos="9026" w:leader="dot"/>
            </w:tabs>
            <w:rPr/>
          </w:pPr>
          <w:hyperlink w:anchor="__RefHeading___Toc10000145_2142443653">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0000147_2142443653">
            <w:r>
              <w:rPr>
                <w:webHidden/>
                <w:rStyle w:val="IndexLink"/>
                <w:rtl w:val="true"/>
              </w:rPr>
              <w:t>التنبيه الأول</w:t>
            </w:r>
            <w:r>
              <w:rPr>
                <w:rStyle w:val="IndexLink"/>
                <w:rtl w:val="true"/>
              </w:rPr>
              <w:t xml:space="preserve">: </w:t>
            </w:r>
            <w:r>
              <w:rPr>
                <w:rStyle w:val="IndexLink"/>
                <w:rtl w:val="true"/>
              </w:rPr>
              <w:t>في أقسام الظن</w:t>
            </w:r>
            <w:r>
              <w:rPr>
                <w:rStyle w:val="IndexLink"/>
                <w:rtl w:val="true"/>
              </w:rPr>
              <w:tab/>
            </w:r>
            <w:r>
              <w:rPr>
                <w:rStyle w:val="IndexLink"/>
              </w:rPr>
              <w:t>144</w:t>
            </w:r>
          </w:hyperlink>
        </w:p>
        <w:p>
          <w:pPr>
            <w:pStyle w:val="Contents6"/>
            <w:tabs>
              <w:tab w:val="clear" w:pos="7609"/>
              <w:tab w:val="right" w:pos="9026" w:leader="dot"/>
            </w:tabs>
            <w:rPr/>
          </w:pPr>
          <w:hyperlink w:anchor="__RefHeading___Toc10000149_2142443653">
            <w:r>
              <w:rPr>
                <w:webHidden/>
                <w:rStyle w:val="IndexLink"/>
                <w:rtl w:val="true"/>
              </w:rPr>
              <w:t>التنبيه الثاني</w:t>
            </w:r>
            <w:r>
              <w:rPr>
                <w:rStyle w:val="IndexLink"/>
                <w:rtl w:val="true"/>
              </w:rPr>
              <w:t xml:space="preserve">: </w:t>
            </w:r>
            <w:r>
              <w:rPr>
                <w:rStyle w:val="IndexLink"/>
                <w:rtl w:val="true"/>
              </w:rPr>
              <w:t>في عدم حجية الظن في مقام الامتثال</w:t>
            </w:r>
            <w:r>
              <w:rPr>
                <w:rStyle w:val="IndexLink"/>
                <w:rtl w:val="true"/>
              </w:rPr>
              <w:tab/>
            </w:r>
            <w:r>
              <w:rPr>
                <w:rStyle w:val="IndexLink"/>
              </w:rPr>
              <w:t>149</w:t>
            </w:r>
          </w:hyperlink>
        </w:p>
        <w:p>
          <w:pPr>
            <w:pStyle w:val="Contents6"/>
            <w:tabs>
              <w:tab w:val="clear" w:pos="7609"/>
              <w:tab w:val="right" w:pos="9026" w:leader="dot"/>
            </w:tabs>
            <w:rPr/>
          </w:pPr>
          <w:hyperlink w:anchor="__RefHeading___Toc10000151_2142443653">
            <w:r>
              <w:rPr>
                <w:webHidden/>
                <w:rStyle w:val="IndexLink"/>
                <w:rtl w:val="true"/>
              </w:rPr>
              <w:t>استدراك على التنبيه الثاني</w:t>
            </w:r>
            <w:r>
              <w:rPr>
                <w:rStyle w:val="IndexLink"/>
                <w:rtl w:val="true"/>
              </w:rPr>
              <w:tab/>
            </w:r>
            <w:r>
              <w:rPr>
                <w:rStyle w:val="IndexLink"/>
              </w:rPr>
              <w:t>150</w:t>
            </w:r>
          </w:hyperlink>
        </w:p>
        <w:p>
          <w:pPr>
            <w:pStyle w:val="Contents6"/>
            <w:tabs>
              <w:tab w:val="clear" w:pos="7609"/>
              <w:tab w:val="right" w:pos="9026" w:leader="dot"/>
            </w:tabs>
            <w:rPr/>
          </w:pPr>
          <w:hyperlink w:anchor="__RefHeading___Toc10000153_2142443653">
            <w:r>
              <w:rPr>
                <w:webHidden/>
                <w:rStyle w:val="IndexLink"/>
                <w:rtl w:val="true"/>
              </w:rPr>
              <w:t>التنبيه الثالث</w:t>
            </w:r>
            <w:r>
              <w:rPr>
                <w:rStyle w:val="IndexLink"/>
                <w:rtl w:val="true"/>
              </w:rPr>
              <w:t xml:space="preserve">: </w:t>
            </w:r>
            <w:r>
              <w:rPr>
                <w:rStyle w:val="IndexLink"/>
                <w:rtl w:val="true"/>
              </w:rPr>
              <w:t>في حجية الظن في الأصول الاعتقادية</w:t>
            </w:r>
            <w:r>
              <w:rPr>
                <w:rStyle w:val="IndexLink"/>
                <w:rtl w:val="true"/>
              </w:rPr>
              <w:tab/>
            </w:r>
            <w:r>
              <w:rPr>
                <w:rStyle w:val="IndexLink"/>
              </w:rPr>
              <w:t>152</w:t>
            </w:r>
          </w:hyperlink>
        </w:p>
        <w:p>
          <w:pPr>
            <w:pStyle w:val="Contents6"/>
            <w:tabs>
              <w:tab w:val="clear" w:pos="7609"/>
              <w:tab w:val="right" w:pos="9026" w:leader="dot"/>
            </w:tabs>
            <w:rPr/>
          </w:pPr>
          <w:hyperlink w:anchor="__RefHeading___Toc10000155_2142443653">
            <w:r>
              <w:rPr>
                <w:webHidden/>
                <w:rStyle w:val="IndexLink"/>
                <w:rtl w:val="true"/>
              </w:rPr>
              <w:t>الأمور الاعتقادية المشروطة بحصول العلم</w:t>
            </w:r>
            <w:r>
              <w:rPr>
                <w:rStyle w:val="IndexLink"/>
                <w:rtl w:val="true"/>
              </w:rPr>
              <w:tab/>
            </w:r>
            <w:r>
              <w:rPr>
                <w:rStyle w:val="IndexLink"/>
              </w:rPr>
              <w:t>153</w:t>
            </w:r>
          </w:hyperlink>
        </w:p>
        <w:p>
          <w:pPr>
            <w:pStyle w:val="Contents6"/>
            <w:tabs>
              <w:tab w:val="clear" w:pos="7609"/>
              <w:tab w:val="right" w:pos="9026" w:leader="dot"/>
            </w:tabs>
            <w:rPr/>
          </w:pPr>
          <w:hyperlink w:anchor="__RefHeading___Toc10000157_2142443653">
            <w:r>
              <w:rPr>
                <w:webHidden/>
                <w:rStyle w:val="IndexLink"/>
                <w:rtl w:val="true"/>
              </w:rPr>
              <w:t>حجية الظن في الأمور الاعتقادية التي يجب تحصيل العلم بها</w:t>
            </w:r>
            <w:r>
              <w:rPr>
                <w:rStyle w:val="IndexLink"/>
                <w:rtl w:val="true"/>
              </w:rPr>
              <w:tab/>
            </w:r>
            <w:r>
              <w:rPr>
                <w:rStyle w:val="IndexLink"/>
              </w:rPr>
              <w:t>158</w:t>
            </w:r>
          </w:hyperlink>
        </w:p>
        <w:p>
          <w:pPr>
            <w:pStyle w:val="Contents6"/>
            <w:tabs>
              <w:tab w:val="clear" w:pos="7609"/>
              <w:tab w:val="right" w:pos="9026" w:leader="dot"/>
            </w:tabs>
            <w:rPr/>
          </w:pPr>
          <w:hyperlink w:anchor="__RefHeading___Toc10000159_2142443653">
            <w:r>
              <w:rPr>
                <w:webHidden/>
                <w:rStyle w:val="IndexLink"/>
                <w:rtl w:val="true"/>
              </w:rPr>
              <w:t>البحث الأول</w:t>
            </w:r>
            <w:r>
              <w:rPr>
                <w:rStyle w:val="IndexLink"/>
                <w:rtl w:val="true"/>
              </w:rPr>
              <w:tab/>
            </w:r>
            <w:r>
              <w:rPr>
                <w:rStyle w:val="IndexLink"/>
              </w:rPr>
              <w:t>158</w:t>
            </w:r>
          </w:hyperlink>
        </w:p>
        <w:p>
          <w:pPr>
            <w:pStyle w:val="Contents6"/>
            <w:tabs>
              <w:tab w:val="clear" w:pos="7609"/>
              <w:tab w:val="right" w:pos="9026" w:leader="dot"/>
            </w:tabs>
            <w:rPr/>
          </w:pPr>
          <w:hyperlink w:anchor="__RefHeading___Toc10000161_2142443653">
            <w:r>
              <w:rPr>
                <w:webHidden/>
                <w:rStyle w:val="IndexLink"/>
                <w:rtl w:val="true"/>
              </w:rPr>
              <w:t>البحث الثاني</w:t>
            </w:r>
            <w:r>
              <w:rPr>
                <w:rStyle w:val="IndexLink"/>
                <w:rtl w:val="true"/>
              </w:rPr>
              <w:tab/>
            </w:r>
            <w:r>
              <w:rPr>
                <w:rStyle w:val="IndexLink"/>
              </w:rPr>
              <w:t>159</w:t>
            </w:r>
          </w:hyperlink>
        </w:p>
        <w:p>
          <w:pPr>
            <w:pStyle w:val="Contents6"/>
            <w:tabs>
              <w:tab w:val="clear" w:pos="7609"/>
              <w:tab w:val="right" w:pos="9026" w:leader="dot"/>
            </w:tabs>
            <w:rPr/>
          </w:pPr>
          <w:hyperlink w:anchor="__RefHeading___Toc10000163_2142443653">
            <w:r>
              <w:rPr>
                <w:webHidden/>
                <w:rStyle w:val="IndexLink"/>
                <w:rtl w:val="true"/>
              </w:rPr>
              <w:t>الكلام حول عذاب جهنم والخلود فيها</w:t>
            </w:r>
            <w:r>
              <w:rPr>
                <w:rStyle w:val="IndexLink"/>
                <w:rtl w:val="true"/>
              </w:rPr>
              <w:tab/>
            </w:r>
            <w:r>
              <w:rPr>
                <w:rStyle w:val="IndexLink"/>
              </w:rPr>
              <w:t>173</w:t>
            </w:r>
          </w:hyperlink>
        </w:p>
        <w:p>
          <w:pPr>
            <w:pStyle w:val="Contents6"/>
            <w:tabs>
              <w:tab w:val="clear" w:pos="7609"/>
              <w:tab w:val="right" w:pos="9026" w:leader="dot"/>
            </w:tabs>
            <w:rPr/>
          </w:pPr>
          <w:hyperlink w:anchor="__RefHeading___Toc10000165_2142443653">
            <w:r>
              <w:rPr>
                <w:webHidden/>
                <w:rStyle w:val="IndexLink"/>
                <w:rtl w:val="true"/>
              </w:rPr>
              <w:t>البحث الثالث</w:t>
            </w:r>
            <w:r>
              <w:rPr>
                <w:rStyle w:val="IndexLink"/>
                <w:rtl w:val="true"/>
              </w:rPr>
              <w:t xml:space="preserve">: </w:t>
            </w:r>
            <w:r>
              <w:rPr>
                <w:rStyle w:val="IndexLink"/>
                <w:rtl w:val="true"/>
              </w:rPr>
              <w:t>في حكم الجاهل المقصر</w:t>
            </w:r>
            <w:r>
              <w:rPr>
                <w:rStyle w:val="IndexLink"/>
                <w:rtl w:val="true"/>
              </w:rPr>
              <w:tab/>
            </w:r>
            <w:r>
              <w:rPr>
                <w:rStyle w:val="IndexLink"/>
              </w:rPr>
              <w:t>178</w:t>
            </w:r>
          </w:hyperlink>
        </w:p>
        <w:p>
          <w:pPr>
            <w:pStyle w:val="Contents6"/>
            <w:tabs>
              <w:tab w:val="clear" w:pos="7609"/>
              <w:tab w:val="right" w:pos="9026" w:leader="dot"/>
            </w:tabs>
            <w:rPr/>
          </w:pPr>
          <w:hyperlink w:anchor="__RefHeading___Toc10000167_2142443653">
            <w:r>
              <w:rPr>
                <w:webHidden/>
                <w:rStyle w:val="IndexLink"/>
                <w:rtl w:val="true"/>
              </w:rPr>
              <w:t>حرم التقليد لواجد ملكة الاستنباط</w:t>
            </w:r>
            <w:r>
              <w:rPr>
                <w:rStyle w:val="IndexLink"/>
                <w:rtl w:val="true"/>
              </w:rPr>
              <w:tab/>
            </w:r>
            <w:r>
              <w:rPr>
                <w:rStyle w:val="IndexLink"/>
              </w:rPr>
              <w:t>192</w:t>
            </w:r>
          </w:hyperlink>
        </w:p>
        <w:p>
          <w:pPr>
            <w:pStyle w:val="Contents6"/>
            <w:tabs>
              <w:tab w:val="clear" w:pos="7609"/>
              <w:tab w:val="right" w:pos="9026" w:leader="dot"/>
            </w:tabs>
            <w:rPr/>
          </w:pPr>
          <w:hyperlink w:anchor="__RefHeading___Toc10000169_2142443653">
            <w:r>
              <w:rPr>
                <w:webHidden/>
                <w:rStyle w:val="IndexLink"/>
                <w:rtl w:val="true"/>
              </w:rPr>
              <w:t>عدم اشتراط عموم وجوب المعرفة في تحقق الإسلام والإيمان</w:t>
            </w:r>
            <w:r>
              <w:rPr>
                <w:rStyle w:val="IndexLink"/>
                <w:rtl w:val="true"/>
              </w:rPr>
              <w:tab/>
            </w:r>
            <w:r>
              <w:rPr>
                <w:rStyle w:val="IndexLink"/>
              </w:rPr>
              <w:t>197</w:t>
            </w:r>
          </w:hyperlink>
        </w:p>
        <w:p>
          <w:pPr>
            <w:pStyle w:val="Contents2"/>
            <w:tabs>
              <w:tab w:val="clear" w:pos="8743"/>
              <w:tab w:val="right" w:pos="9026" w:leader="dot"/>
            </w:tabs>
            <w:rPr/>
          </w:pPr>
          <w:hyperlink w:anchor="__RefHeading___Toc10000171_2142443653">
            <w:r>
              <w:rPr>
                <w:webHidden/>
                <w:rStyle w:val="IndexLink"/>
                <w:rtl w:val="true"/>
              </w:rPr>
              <w:t>المقصد الثاني</w:t>
            </w:r>
            <w:r>
              <w:rPr>
                <w:rStyle w:val="IndexLink"/>
                <w:rtl w:val="true"/>
              </w:rPr>
              <w:t xml:space="preserve">: </w:t>
            </w:r>
            <w:r>
              <w:rPr>
                <w:rStyle w:val="IndexLink"/>
                <w:rtl w:val="true"/>
              </w:rPr>
              <w:t>في مباحث الأصول العملية</w:t>
            </w:r>
            <w:r>
              <w:rPr>
                <w:rStyle w:val="IndexLink"/>
                <w:rtl w:val="true"/>
              </w:rPr>
              <w:tab/>
            </w:r>
            <w:r>
              <w:rPr>
                <w:rStyle w:val="IndexLink"/>
              </w:rPr>
              <w:t>204</w:t>
            </w:r>
          </w:hyperlink>
        </w:p>
        <w:p>
          <w:pPr>
            <w:pStyle w:val="Contents3"/>
            <w:tabs>
              <w:tab w:val="clear" w:pos="8459"/>
              <w:tab w:val="right" w:pos="9026" w:leader="dot"/>
            </w:tabs>
            <w:rPr/>
          </w:pPr>
          <w:hyperlink w:anchor="__RefHeading___Toc10000173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0000175_2142443653">
            <w:r>
              <w:rPr>
                <w:webHidden/>
                <w:rStyle w:val="IndexLink"/>
                <w:rtl w:val="true"/>
              </w:rPr>
              <w:t>مباحث الأصول العملية</w:t>
            </w:r>
            <w:r>
              <w:rPr>
                <w:rStyle w:val="IndexLink"/>
                <w:rtl w:val="true"/>
              </w:rPr>
              <w:tab/>
            </w:r>
            <w:r>
              <w:rPr>
                <w:rStyle w:val="IndexLink"/>
              </w:rPr>
              <w:t>206</w:t>
            </w:r>
          </w:hyperlink>
        </w:p>
        <w:p>
          <w:pPr>
            <w:pStyle w:val="Contents4"/>
            <w:tabs>
              <w:tab w:val="clear" w:pos="8176"/>
              <w:tab w:val="right" w:pos="9026" w:leader="dot"/>
            </w:tabs>
            <w:rPr/>
          </w:pPr>
          <w:hyperlink w:anchor="__RefHeading___Toc10000177_214244365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0000179_2142443653">
            <w:r>
              <w:rPr>
                <w:webHidden/>
                <w:rStyle w:val="IndexLink"/>
                <w:rtl w:val="true"/>
              </w:rPr>
              <w:t>مباحث البراءة</w:t>
            </w:r>
            <w:r>
              <w:rPr>
                <w:rStyle w:val="IndexLink"/>
                <w:rtl w:val="true"/>
              </w:rPr>
              <w:tab/>
            </w:r>
            <w:r>
              <w:rPr>
                <w:rStyle w:val="IndexLink"/>
              </w:rPr>
              <w:t>206</w:t>
            </w:r>
          </w:hyperlink>
        </w:p>
        <w:p>
          <w:pPr>
            <w:pStyle w:val="Contents5"/>
            <w:tabs>
              <w:tab w:val="clear" w:pos="7892"/>
              <w:tab w:val="right" w:pos="9026" w:leader="dot"/>
            </w:tabs>
            <w:rPr/>
          </w:pPr>
          <w:hyperlink w:anchor="__RefHeading___Toc10000181_2142443653">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0000183_2142443653">
            <w:r>
              <w:rPr>
                <w:webHidden/>
                <w:rStyle w:val="IndexLink"/>
                <w:rtl w:val="true"/>
              </w:rPr>
              <w:t>أدلة البراءة</w:t>
            </w:r>
            <w:r>
              <w:rPr>
                <w:rStyle w:val="IndexLink"/>
                <w:rtl w:val="true"/>
              </w:rPr>
              <w:tab/>
            </w:r>
            <w:r>
              <w:rPr>
                <w:rStyle w:val="IndexLink"/>
              </w:rPr>
              <w:t>206</w:t>
            </w:r>
          </w:hyperlink>
        </w:p>
        <w:p>
          <w:pPr>
            <w:pStyle w:val="Contents6"/>
            <w:tabs>
              <w:tab w:val="clear" w:pos="7609"/>
              <w:tab w:val="right" w:pos="9026" w:leader="dot"/>
            </w:tabs>
            <w:rPr/>
          </w:pPr>
          <w:hyperlink w:anchor="__RefHeading___Toc10000185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0000187_2142443653">
            <w:r>
              <w:rPr>
                <w:webHidden/>
                <w:rStyle w:val="IndexLink"/>
                <w:rtl w:val="true"/>
              </w:rPr>
              <w:t>الدليل الأول</w:t>
            </w:r>
            <w:r>
              <w:rPr>
                <w:rStyle w:val="IndexLink"/>
                <w:rtl w:val="true"/>
              </w:rPr>
              <w:t xml:space="preserve">: </w:t>
            </w:r>
            <w:r>
              <w:rPr>
                <w:rStyle w:val="IndexLink"/>
                <w:rtl w:val="true"/>
              </w:rPr>
              <w:t>القرآن الكريم</w:t>
            </w:r>
            <w:r>
              <w:rPr>
                <w:rStyle w:val="IndexLink"/>
                <w:rtl w:val="true"/>
              </w:rPr>
              <w:tab/>
            </w:r>
            <w:r>
              <w:rPr>
                <w:rStyle w:val="IndexLink"/>
              </w:rPr>
              <w:t>206</w:t>
            </w:r>
          </w:hyperlink>
        </w:p>
        <w:p>
          <w:pPr>
            <w:pStyle w:val="Contents6"/>
            <w:tabs>
              <w:tab w:val="clear" w:pos="7609"/>
              <w:tab w:val="right" w:pos="9026" w:leader="dot"/>
            </w:tabs>
            <w:rPr/>
          </w:pPr>
          <w:hyperlink w:anchor="__RefHeading___Toc10000189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0000191_2142443653">
            <w:r>
              <w:rPr>
                <w:webHidden/>
                <w:rStyle w:val="IndexLink"/>
                <w:rtl w:val="true"/>
              </w:rPr>
              <w:t>الأولى</w:t>
            </w:r>
            <w:r>
              <w:rPr>
                <w:rStyle w:val="IndexLink"/>
                <w:rtl w:val="true"/>
              </w:rPr>
              <w:t xml:space="preserve">: </w:t>
            </w:r>
            <w:r>
              <w:rPr>
                <w:rStyle w:val="IndexLink"/>
                <w:rtl w:val="true"/>
              </w:rPr>
              <w:t>آية التعذيب</w:t>
            </w:r>
            <w:r>
              <w:rPr>
                <w:rStyle w:val="IndexLink"/>
                <w:rtl w:val="true"/>
              </w:rPr>
              <w:tab/>
            </w:r>
            <w:r>
              <w:rPr>
                <w:rStyle w:val="IndexLink"/>
              </w:rPr>
              <w:t>206</w:t>
            </w:r>
          </w:hyperlink>
        </w:p>
        <w:p>
          <w:pPr>
            <w:pStyle w:val="Contents6"/>
            <w:tabs>
              <w:tab w:val="clear" w:pos="7609"/>
              <w:tab w:val="right" w:pos="9026" w:leader="dot"/>
            </w:tabs>
            <w:rPr/>
          </w:pPr>
          <w:hyperlink w:anchor="__RefHeading___Toc10000193_2142443653">
            <w:r>
              <w:rPr>
                <w:webHidden/>
                <w:rStyle w:val="IndexLink"/>
                <w:rtl w:val="true"/>
              </w:rPr>
              <w:t>إشكالات على الاستدلال بآية التعذيب على البراءة</w:t>
            </w:r>
            <w:r>
              <w:rPr>
                <w:rStyle w:val="IndexLink"/>
                <w:rtl w:val="true"/>
              </w:rPr>
              <w:tab/>
            </w:r>
            <w:r>
              <w:rPr>
                <w:rStyle w:val="IndexLink"/>
              </w:rPr>
              <w:t>209</w:t>
            </w:r>
          </w:hyperlink>
        </w:p>
        <w:p>
          <w:pPr>
            <w:pStyle w:val="Contents6"/>
            <w:tabs>
              <w:tab w:val="clear" w:pos="7609"/>
              <w:tab w:val="right" w:pos="9026" w:leader="dot"/>
            </w:tabs>
            <w:rPr/>
          </w:pPr>
          <w:hyperlink w:anchor="__RefHeading___Toc10000195_2142443653">
            <w:r>
              <w:rPr>
                <w:webHidden/>
                <w:rStyle w:val="IndexLink"/>
                <w:rtl w:val="true"/>
              </w:rPr>
              <w:t>الآية الثانية</w:t>
            </w:r>
            <w:r>
              <w:rPr>
                <w:rStyle w:val="IndexLink"/>
                <w:rtl w:val="true"/>
              </w:rPr>
              <w:t xml:space="preserve">: </w:t>
            </w:r>
            <w:r>
              <w:rPr>
                <w:rStyle w:val="IndexLink"/>
                <w:rtl w:val="true"/>
              </w:rPr>
              <w:t>آية الإيتاء</w:t>
            </w:r>
            <w:r>
              <w:rPr>
                <w:rStyle w:val="IndexLink"/>
                <w:rtl w:val="true"/>
              </w:rPr>
              <w:tab/>
            </w:r>
            <w:r>
              <w:rPr>
                <w:rStyle w:val="IndexLink"/>
              </w:rPr>
              <w:t>229</w:t>
            </w:r>
          </w:hyperlink>
        </w:p>
        <w:p>
          <w:pPr>
            <w:pStyle w:val="Contents6"/>
            <w:tabs>
              <w:tab w:val="clear" w:pos="7609"/>
              <w:tab w:val="right" w:pos="9026" w:leader="dot"/>
            </w:tabs>
            <w:rPr/>
          </w:pPr>
          <w:hyperlink w:anchor="__RefHeading___Toc10000197_2142443653">
            <w:r>
              <w:rPr>
                <w:webHidden/>
                <w:rStyle w:val="IndexLink"/>
                <w:rtl w:val="true"/>
              </w:rPr>
              <w:t>إشكالات على الاستدلال بآية الإيتاء على البراءة</w:t>
            </w:r>
            <w:r>
              <w:rPr>
                <w:rStyle w:val="IndexLink"/>
                <w:rtl w:val="true"/>
              </w:rPr>
              <w:tab/>
            </w:r>
            <w:r>
              <w:rPr>
                <w:rStyle w:val="IndexLink"/>
              </w:rPr>
              <w:t>238</w:t>
            </w:r>
          </w:hyperlink>
        </w:p>
        <w:p>
          <w:pPr>
            <w:pStyle w:val="Contents6"/>
            <w:tabs>
              <w:tab w:val="clear" w:pos="7609"/>
              <w:tab w:val="right" w:pos="9026" w:leader="dot"/>
            </w:tabs>
            <w:rPr/>
          </w:pPr>
          <w:hyperlink w:anchor="__RefHeading___Toc10000199_2142443653">
            <w:r>
              <w:rPr>
                <w:webHidden/>
                <w:rStyle w:val="IndexLink"/>
                <w:rtl w:val="true"/>
              </w:rPr>
              <w:t>الآية الثالثة</w:t>
            </w:r>
            <w:r>
              <w:rPr>
                <w:rStyle w:val="IndexLink"/>
                <w:rtl w:val="true"/>
              </w:rPr>
              <w:t xml:space="preserve">: </w:t>
            </w:r>
            <w:r>
              <w:rPr>
                <w:rStyle w:val="IndexLink"/>
                <w:rtl w:val="true"/>
              </w:rPr>
              <w:t>آية الوجدان</w:t>
            </w:r>
            <w:r>
              <w:rPr>
                <w:rStyle w:val="IndexLink"/>
                <w:rtl w:val="true"/>
              </w:rPr>
              <w:tab/>
            </w:r>
            <w:r>
              <w:rPr>
                <w:rStyle w:val="IndexLink"/>
              </w:rPr>
              <w:t>245</w:t>
            </w:r>
          </w:hyperlink>
        </w:p>
        <w:p>
          <w:pPr>
            <w:pStyle w:val="Contents6"/>
            <w:tabs>
              <w:tab w:val="clear" w:pos="7609"/>
              <w:tab w:val="right" w:pos="9026" w:leader="dot"/>
            </w:tabs>
            <w:rPr/>
          </w:pPr>
          <w:hyperlink w:anchor="__RefHeading___Toc10000201_2142443653">
            <w:r>
              <w:rPr>
                <w:webHidden/>
                <w:rStyle w:val="IndexLink"/>
                <w:rtl w:val="true"/>
              </w:rPr>
              <w:t>إشكالات على الاستدلال بآية الوجدان على البراءة</w:t>
            </w:r>
            <w:r>
              <w:rPr>
                <w:rStyle w:val="IndexLink"/>
                <w:rtl w:val="true"/>
              </w:rPr>
              <w:tab/>
            </w:r>
            <w:r>
              <w:rPr>
                <w:rStyle w:val="IndexLink"/>
              </w:rPr>
              <w:t>245</w:t>
            </w:r>
          </w:hyperlink>
        </w:p>
        <w:p>
          <w:pPr>
            <w:pStyle w:val="Contents6"/>
            <w:tabs>
              <w:tab w:val="clear" w:pos="7609"/>
              <w:tab w:val="right" w:pos="9026" w:leader="dot"/>
            </w:tabs>
            <w:rPr/>
          </w:pPr>
          <w:hyperlink w:anchor="__RefHeading___Toc10000203_2142443653">
            <w:r>
              <w:rPr>
                <w:webHidden/>
                <w:rStyle w:val="IndexLink"/>
                <w:rtl w:val="true"/>
              </w:rPr>
              <w:t>الآية الرابعة</w:t>
            </w:r>
            <w:r>
              <w:rPr>
                <w:rStyle w:val="IndexLink"/>
                <w:rtl w:val="true"/>
              </w:rPr>
              <w:t xml:space="preserve">: </w:t>
            </w:r>
            <w:r>
              <w:rPr>
                <w:rStyle w:val="IndexLink"/>
                <w:rtl w:val="true"/>
              </w:rPr>
              <w:t>آية التفصيل</w:t>
            </w:r>
            <w:r>
              <w:rPr>
                <w:rStyle w:val="IndexLink"/>
                <w:rtl w:val="true"/>
              </w:rPr>
              <w:tab/>
            </w:r>
            <w:r>
              <w:rPr>
                <w:rStyle w:val="IndexLink"/>
              </w:rPr>
              <w:t>248</w:t>
            </w:r>
          </w:hyperlink>
        </w:p>
        <w:p>
          <w:pPr>
            <w:pStyle w:val="Contents6"/>
            <w:tabs>
              <w:tab w:val="clear" w:pos="7609"/>
              <w:tab w:val="right" w:pos="9026" w:leader="dot"/>
            </w:tabs>
            <w:rPr/>
          </w:pPr>
          <w:hyperlink w:anchor="__RefHeading___Toc10000205_2142443653">
            <w:r>
              <w:rPr>
                <w:webHidden/>
                <w:rStyle w:val="IndexLink"/>
                <w:rtl w:val="true"/>
              </w:rPr>
              <w:t>الآية الخامسة</w:t>
            </w:r>
            <w:r>
              <w:rPr>
                <w:rStyle w:val="IndexLink"/>
                <w:rtl w:val="true"/>
              </w:rPr>
              <w:t xml:space="preserve">: </w:t>
            </w:r>
            <w:r>
              <w:rPr>
                <w:rStyle w:val="IndexLink"/>
                <w:rtl w:val="true"/>
              </w:rPr>
              <w:t>آية التبيين</w:t>
            </w:r>
            <w:r>
              <w:rPr>
                <w:rStyle w:val="IndexLink"/>
                <w:rtl w:val="true"/>
              </w:rPr>
              <w:tab/>
            </w:r>
            <w:r>
              <w:rPr>
                <w:rStyle w:val="IndexLink"/>
              </w:rPr>
              <w:t>249</w:t>
            </w:r>
          </w:hyperlink>
        </w:p>
        <w:p>
          <w:pPr>
            <w:pStyle w:val="Contents6"/>
            <w:tabs>
              <w:tab w:val="clear" w:pos="7609"/>
              <w:tab w:val="right" w:pos="9026" w:leader="dot"/>
            </w:tabs>
            <w:rPr/>
          </w:pPr>
          <w:hyperlink w:anchor="__RefHeading___Toc10000207_2142443653">
            <w:r>
              <w:rPr>
                <w:webHidden/>
                <w:rStyle w:val="IndexLink"/>
                <w:rtl w:val="true"/>
              </w:rPr>
              <w:t>الآية السادسة</w:t>
            </w:r>
            <w:r>
              <w:rPr>
                <w:rStyle w:val="IndexLink"/>
                <w:rtl w:val="true"/>
              </w:rPr>
              <w:t xml:space="preserve">: </w:t>
            </w:r>
            <w:r>
              <w:rPr>
                <w:rStyle w:val="IndexLink"/>
                <w:rtl w:val="true"/>
              </w:rPr>
              <w:t>آية الهلاك</w:t>
            </w:r>
            <w:r>
              <w:rPr>
                <w:rStyle w:val="IndexLink"/>
                <w:rtl w:val="true"/>
              </w:rPr>
              <w:tab/>
            </w:r>
            <w:r>
              <w:rPr>
                <w:rStyle w:val="IndexLink"/>
              </w:rPr>
              <w:t>253</w:t>
            </w:r>
          </w:hyperlink>
        </w:p>
        <w:p>
          <w:pPr>
            <w:pStyle w:val="Contents6"/>
            <w:tabs>
              <w:tab w:val="clear" w:pos="7609"/>
              <w:tab w:val="right" w:pos="9026" w:leader="dot"/>
            </w:tabs>
            <w:rPr/>
          </w:pPr>
          <w:hyperlink w:anchor="__RefHeading___Toc10000209_2142443653">
            <w:r>
              <w:rPr>
                <w:webHidden/>
                <w:rStyle w:val="IndexLink"/>
                <w:rtl w:val="true"/>
              </w:rPr>
              <w:t>الآية السابعة</w:t>
            </w:r>
            <w:r>
              <w:rPr>
                <w:rStyle w:val="IndexLink"/>
                <w:rtl w:val="true"/>
              </w:rPr>
              <w:t xml:space="preserve">: </w:t>
            </w:r>
            <w:r>
              <w:rPr>
                <w:rStyle w:val="IndexLink"/>
                <w:rtl w:val="true"/>
              </w:rPr>
              <w:t>آية الحجة البالغة</w:t>
            </w:r>
            <w:r>
              <w:rPr>
                <w:rStyle w:val="IndexLink"/>
                <w:rtl w:val="true"/>
              </w:rPr>
              <w:tab/>
            </w:r>
            <w:r>
              <w:rPr>
                <w:rStyle w:val="IndexLink"/>
              </w:rPr>
              <w:t>254</w:t>
            </w:r>
          </w:hyperlink>
        </w:p>
        <w:p>
          <w:pPr>
            <w:pStyle w:val="Contents6"/>
            <w:tabs>
              <w:tab w:val="clear" w:pos="7609"/>
              <w:tab w:val="right" w:pos="9026" w:leader="dot"/>
            </w:tabs>
            <w:rPr/>
          </w:pPr>
          <w:hyperlink w:anchor="__RefHeading___Toc10000211_2142443653">
            <w:r>
              <w:rPr>
                <w:webHidden/>
                <w:rStyle w:val="IndexLink"/>
                <w:rtl w:val="true"/>
              </w:rPr>
              <w:t>الدليل الثاني</w:t>
            </w:r>
            <w:r>
              <w:rPr>
                <w:rStyle w:val="IndexLink"/>
                <w:rtl w:val="true"/>
              </w:rPr>
              <w:t xml:space="preserve">: </w:t>
            </w:r>
            <w:r>
              <w:rPr>
                <w:rStyle w:val="IndexLink"/>
                <w:rtl w:val="true"/>
              </w:rPr>
              <w:t>السنة الشريفة</w:t>
            </w:r>
            <w:r>
              <w:rPr>
                <w:rStyle w:val="IndexLink"/>
                <w:rtl w:val="true"/>
              </w:rPr>
              <w:tab/>
            </w:r>
            <w:r>
              <w:rPr>
                <w:rStyle w:val="IndexLink"/>
              </w:rPr>
              <w:t>255</w:t>
            </w:r>
          </w:hyperlink>
        </w:p>
        <w:p>
          <w:pPr>
            <w:pStyle w:val="Contents6"/>
            <w:tabs>
              <w:tab w:val="clear" w:pos="7609"/>
              <w:tab w:val="right" w:pos="9026" w:leader="dot"/>
            </w:tabs>
            <w:rPr/>
          </w:pPr>
          <w:hyperlink w:anchor="__RefHeading___Toc10000213_2142443653">
            <w:r>
              <w:rPr>
                <w:webHidden/>
                <w:rStyle w:val="IndexLink"/>
                <w:rtl w:val="true"/>
              </w:rPr>
              <w:t>الحديث الأول</w:t>
            </w:r>
            <w:r>
              <w:rPr>
                <w:rStyle w:val="IndexLink"/>
                <w:rtl w:val="true"/>
              </w:rPr>
              <w:t xml:space="preserve">: </w:t>
            </w:r>
            <w:r>
              <w:rPr>
                <w:rStyle w:val="IndexLink"/>
                <w:rtl w:val="true"/>
              </w:rPr>
              <w:t>حديث الرفع</w:t>
            </w:r>
            <w:r>
              <w:rPr>
                <w:rStyle w:val="IndexLink"/>
                <w:rtl w:val="true"/>
              </w:rPr>
              <w:tab/>
            </w:r>
            <w:r>
              <w:rPr>
                <w:rStyle w:val="IndexLink"/>
              </w:rPr>
              <w:t>255</w:t>
            </w:r>
          </w:hyperlink>
        </w:p>
        <w:p>
          <w:pPr>
            <w:pStyle w:val="Contents6"/>
            <w:tabs>
              <w:tab w:val="clear" w:pos="7609"/>
              <w:tab w:val="right" w:pos="9026" w:leader="dot"/>
            </w:tabs>
            <w:rPr/>
          </w:pPr>
          <w:hyperlink w:anchor="__RefHeading___Toc10000215_2142443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0000217_2142443653">
            <w:r>
              <w:rPr>
                <w:webHidden/>
                <w:rStyle w:val="IndexLink"/>
                <w:rtl w:val="true"/>
              </w:rPr>
              <w:t>طرق توثيق أحمد بن محمد بن يحيى العطار</w:t>
            </w:r>
            <w:r>
              <w:rPr>
                <w:rStyle w:val="IndexLink"/>
                <w:rtl w:val="true"/>
              </w:rPr>
              <w:tab/>
            </w:r>
            <w:r>
              <w:rPr>
                <w:rStyle w:val="IndexLink"/>
              </w:rPr>
              <w:t>256</w:t>
            </w:r>
          </w:hyperlink>
        </w:p>
        <w:p>
          <w:pPr>
            <w:pStyle w:val="Contents6"/>
            <w:tabs>
              <w:tab w:val="clear" w:pos="7609"/>
              <w:tab w:val="right" w:pos="9026" w:leader="dot"/>
            </w:tabs>
            <w:rPr/>
          </w:pPr>
          <w:hyperlink w:anchor="__RefHeading___Toc10000219_2142443653">
            <w:r>
              <w:rPr>
                <w:webHidden/>
                <w:rStyle w:val="IndexLink"/>
                <w:rtl w:val="true"/>
              </w:rPr>
              <w:t>فقه حديث الرفع وفيه بحوث</w:t>
            </w:r>
            <w:r>
              <w:rPr>
                <w:rStyle w:val="IndexLink"/>
                <w:rtl w:val="true"/>
              </w:rPr>
              <w:tab/>
            </w:r>
            <w:r>
              <w:rPr>
                <w:rStyle w:val="IndexLink"/>
              </w:rPr>
              <w:t>276</w:t>
            </w:r>
          </w:hyperlink>
        </w:p>
        <w:p>
          <w:pPr>
            <w:pStyle w:val="Contents6"/>
            <w:tabs>
              <w:tab w:val="clear" w:pos="7609"/>
              <w:tab w:val="right" w:pos="9026" w:leader="dot"/>
            </w:tabs>
            <w:rPr/>
          </w:pPr>
          <w:hyperlink w:anchor="__RefHeading___Toc10000221_2142443653">
            <w:r>
              <w:rPr>
                <w:webHidden/>
                <w:rStyle w:val="IndexLink"/>
              </w:rPr>
              <w:t>1</w:t>
            </w:r>
            <w:r>
              <w:rPr>
                <w:rStyle w:val="IndexLink"/>
                <w:rtl w:val="true"/>
              </w:rPr>
              <w:t xml:space="preserve">) </w:t>
            </w:r>
            <w:r>
              <w:rPr>
                <w:rStyle w:val="IndexLink"/>
                <w:rtl w:val="true"/>
              </w:rPr>
              <w:t>الفرق بين الرفع والدفع</w:t>
            </w:r>
            <w:r>
              <w:rPr>
                <w:rStyle w:val="IndexLink"/>
                <w:rtl w:val="true"/>
              </w:rPr>
              <w:tab/>
            </w:r>
            <w:r>
              <w:rPr>
                <w:rStyle w:val="IndexLink"/>
              </w:rPr>
              <w:t>276</w:t>
            </w:r>
          </w:hyperlink>
        </w:p>
        <w:p>
          <w:pPr>
            <w:pStyle w:val="Contents6"/>
            <w:tabs>
              <w:tab w:val="clear" w:pos="7609"/>
              <w:tab w:val="right" w:pos="9026" w:leader="dot"/>
            </w:tabs>
            <w:rPr/>
          </w:pPr>
          <w:hyperlink w:anchor="__RefHeading___Toc10000223_2142443653">
            <w:r>
              <w:rPr>
                <w:webHidden/>
                <w:rStyle w:val="IndexLink"/>
              </w:rPr>
              <w:t>2</w:t>
            </w:r>
            <w:r>
              <w:rPr>
                <w:rStyle w:val="IndexLink"/>
                <w:rtl w:val="true"/>
              </w:rPr>
              <w:t xml:space="preserve">) </w:t>
            </w:r>
            <w:r>
              <w:rPr>
                <w:rStyle w:val="IndexLink"/>
                <w:rtl w:val="true"/>
              </w:rPr>
              <w:t>في حقيقة المرفوع</w:t>
            </w:r>
            <w:r>
              <w:rPr>
                <w:rStyle w:val="IndexLink"/>
                <w:rtl w:val="true"/>
              </w:rPr>
              <w:tab/>
            </w:r>
            <w:r>
              <w:rPr>
                <w:rStyle w:val="IndexLink"/>
              </w:rPr>
              <w:t>283</w:t>
            </w:r>
          </w:hyperlink>
        </w:p>
        <w:p>
          <w:pPr>
            <w:pStyle w:val="Contents6"/>
            <w:tabs>
              <w:tab w:val="clear" w:pos="7609"/>
              <w:tab w:val="right" w:pos="9026" w:leader="dot"/>
            </w:tabs>
            <w:rPr/>
          </w:pPr>
          <w:hyperlink w:anchor="__RefHeading___Toc10000225_2142443653">
            <w:r>
              <w:rPr>
                <w:webHidden/>
                <w:rStyle w:val="IndexLink"/>
              </w:rPr>
              <w:t>3</w:t>
            </w:r>
            <w:r>
              <w:rPr>
                <w:rStyle w:val="IndexLink"/>
                <w:rtl w:val="true"/>
              </w:rPr>
              <w:t xml:space="preserve">) </w:t>
            </w:r>
            <w:r>
              <w:rPr>
                <w:rStyle w:val="IndexLink"/>
                <w:rtl w:val="true"/>
              </w:rPr>
              <w:t>الأحكام المترتبة على حديث الرفع</w:t>
            </w:r>
            <w:r>
              <w:rPr>
                <w:rStyle w:val="IndexLink"/>
                <w:rtl w:val="true"/>
              </w:rPr>
              <w:tab/>
            </w:r>
            <w:r>
              <w:rPr>
                <w:rStyle w:val="IndexLink"/>
              </w:rPr>
              <w:t>298</w:t>
            </w:r>
          </w:hyperlink>
        </w:p>
        <w:p>
          <w:pPr>
            <w:pStyle w:val="Contents6"/>
            <w:tabs>
              <w:tab w:val="clear" w:pos="7609"/>
              <w:tab w:val="right" w:pos="9026" w:leader="dot"/>
            </w:tabs>
            <w:rPr/>
          </w:pPr>
          <w:hyperlink w:anchor="__RefHeading___Toc10000227_2142443653">
            <w:r>
              <w:rPr>
                <w:webHidden/>
                <w:rStyle w:val="IndexLink"/>
              </w:rPr>
              <w:t>4</w:t>
            </w:r>
            <w:r>
              <w:rPr>
                <w:rStyle w:val="IndexLink"/>
                <w:rtl w:val="true"/>
              </w:rPr>
              <w:t xml:space="preserve">) </w:t>
            </w:r>
            <w:r>
              <w:rPr>
                <w:rStyle w:val="IndexLink"/>
                <w:rtl w:val="true"/>
              </w:rPr>
              <w:t>اشتراط الامتنان في الرفع</w:t>
            </w:r>
            <w:r>
              <w:rPr>
                <w:rStyle w:val="IndexLink"/>
                <w:rtl w:val="true"/>
              </w:rPr>
              <w:tab/>
            </w:r>
            <w:r>
              <w:rPr>
                <w:rStyle w:val="IndexLink"/>
              </w:rPr>
              <w:t>307</w:t>
            </w:r>
          </w:hyperlink>
        </w:p>
        <w:p>
          <w:pPr>
            <w:pStyle w:val="Contents6"/>
            <w:tabs>
              <w:tab w:val="clear" w:pos="7609"/>
              <w:tab w:val="right" w:pos="9026" w:leader="dot"/>
            </w:tabs>
            <w:rPr/>
          </w:pPr>
          <w:hyperlink w:anchor="__RefHeading___Toc10000229_2142443653">
            <w:r>
              <w:rPr>
                <w:webHidden/>
                <w:rStyle w:val="IndexLink"/>
                <w:rtl w:val="true"/>
              </w:rPr>
              <w:t>ثمرات الامتنان</w:t>
            </w:r>
            <w:r>
              <w:rPr>
                <w:rStyle w:val="IndexLink"/>
                <w:rtl w:val="true"/>
              </w:rPr>
              <w:tab/>
            </w:r>
            <w:r>
              <w:rPr>
                <w:rStyle w:val="IndexLink"/>
              </w:rPr>
              <w:t>308</w:t>
            </w:r>
          </w:hyperlink>
        </w:p>
        <w:p>
          <w:pPr>
            <w:pStyle w:val="Contents6"/>
            <w:tabs>
              <w:tab w:val="clear" w:pos="7609"/>
              <w:tab w:val="right" w:pos="9026" w:leader="dot"/>
            </w:tabs>
            <w:rPr/>
          </w:pPr>
          <w:hyperlink w:anchor="__RefHeading___Toc10000231_2142443653">
            <w:r>
              <w:rPr>
                <w:webHidden/>
                <w:rStyle w:val="IndexLink"/>
              </w:rPr>
              <w:t>5</w:t>
            </w:r>
            <w:r>
              <w:rPr>
                <w:rStyle w:val="IndexLink"/>
                <w:rtl w:val="true"/>
              </w:rPr>
              <w:t xml:space="preserve">) </w:t>
            </w:r>
            <w:r>
              <w:rPr>
                <w:rStyle w:val="IndexLink"/>
                <w:rtl w:val="true"/>
              </w:rPr>
              <w:t>اشتراط ترتب الأثر على فعل المكلف</w:t>
            </w:r>
            <w:r>
              <w:rPr>
                <w:rStyle w:val="IndexLink"/>
                <w:rtl w:val="true"/>
              </w:rPr>
              <w:tab/>
            </w:r>
            <w:r>
              <w:rPr>
                <w:rStyle w:val="IndexLink"/>
              </w:rPr>
              <w:t>313</w:t>
            </w:r>
          </w:hyperlink>
        </w:p>
        <w:p>
          <w:pPr>
            <w:pStyle w:val="Contents6"/>
            <w:tabs>
              <w:tab w:val="clear" w:pos="7609"/>
              <w:tab w:val="right" w:pos="9026" w:leader="dot"/>
            </w:tabs>
            <w:rPr/>
          </w:pPr>
          <w:hyperlink w:anchor="__RefHeading___Toc10000233_2142443653">
            <w:r>
              <w:rPr>
                <w:webHidden/>
                <w:rStyle w:val="IndexLink"/>
                <w:rtl w:val="true"/>
              </w:rPr>
              <w:t>الخروج التخصصي</w:t>
            </w:r>
            <w:r>
              <w:rPr>
                <w:rStyle w:val="IndexLink"/>
                <w:rtl w:val="true"/>
              </w:rPr>
              <w:tab/>
            </w:r>
            <w:r>
              <w:rPr>
                <w:rStyle w:val="IndexLink"/>
              </w:rPr>
              <w:t>313</w:t>
            </w:r>
          </w:hyperlink>
        </w:p>
        <w:p>
          <w:pPr>
            <w:pStyle w:val="Contents6"/>
            <w:tabs>
              <w:tab w:val="clear" w:pos="7609"/>
              <w:tab w:val="right" w:pos="9026" w:leader="dot"/>
            </w:tabs>
            <w:rPr/>
          </w:pPr>
          <w:hyperlink w:anchor="__RefHeading___Toc10000235_2142443653">
            <w:r>
              <w:rPr>
                <w:webHidden/>
                <w:rStyle w:val="IndexLink"/>
                <w:rtl w:val="true"/>
              </w:rPr>
              <w:t>النقض على الخروج التخصصي</w:t>
            </w:r>
            <w:r>
              <w:rPr>
                <w:rStyle w:val="IndexLink"/>
                <w:rtl w:val="true"/>
              </w:rPr>
              <w:tab/>
            </w:r>
            <w:r>
              <w:rPr>
                <w:rStyle w:val="IndexLink"/>
              </w:rPr>
              <w:t>314</w:t>
            </w:r>
          </w:hyperlink>
        </w:p>
        <w:p>
          <w:pPr>
            <w:pStyle w:val="Contents6"/>
            <w:tabs>
              <w:tab w:val="clear" w:pos="7609"/>
              <w:tab w:val="right" w:pos="9026" w:leader="dot"/>
            </w:tabs>
            <w:rPr/>
          </w:pPr>
          <w:hyperlink w:anchor="__RefHeading___Toc10000237_2142443653">
            <w:r>
              <w:rPr>
                <w:webHidden/>
                <w:rStyle w:val="IndexLink"/>
                <w:rtl w:val="true"/>
              </w:rPr>
              <w:t>التأمل في كلمات القوم</w:t>
            </w:r>
            <w:r>
              <w:rPr>
                <w:rStyle w:val="IndexLink"/>
                <w:rtl w:val="true"/>
              </w:rPr>
              <w:tab/>
            </w:r>
            <w:r>
              <w:rPr>
                <w:rStyle w:val="IndexLink"/>
              </w:rPr>
              <w:t>315</w:t>
            </w:r>
          </w:hyperlink>
        </w:p>
        <w:p>
          <w:pPr>
            <w:pStyle w:val="Contents6"/>
            <w:tabs>
              <w:tab w:val="clear" w:pos="7609"/>
              <w:tab w:val="right" w:pos="9026" w:leader="dot"/>
            </w:tabs>
            <w:rPr/>
          </w:pPr>
          <w:hyperlink w:anchor="__RefHeading___Toc10000239_2142443653">
            <w:r>
              <w:rPr>
                <w:webHidden/>
                <w:rStyle w:val="IndexLink"/>
                <w:rtl w:val="true"/>
              </w:rPr>
              <w:t>الشك في الموضوع الواقعي</w:t>
            </w:r>
            <w:r>
              <w:rPr>
                <w:rStyle w:val="IndexLink"/>
                <w:rtl w:val="true"/>
              </w:rPr>
              <w:tab/>
            </w:r>
            <w:r>
              <w:rPr>
                <w:rStyle w:val="IndexLink"/>
              </w:rPr>
              <w:t>317</w:t>
            </w:r>
          </w:hyperlink>
        </w:p>
        <w:p>
          <w:pPr>
            <w:pStyle w:val="Contents6"/>
            <w:tabs>
              <w:tab w:val="clear" w:pos="7609"/>
              <w:tab w:val="right" w:pos="9026" w:leader="dot"/>
            </w:tabs>
            <w:rPr/>
          </w:pPr>
          <w:hyperlink w:anchor="__RefHeading___Toc10000241_2142443653">
            <w:r>
              <w:rPr>
                <w:webHidden/>
                <w:rStyle w:val="IndexLink"/>
              </w:rPr>
              <w:t>6</w:t>
            </w:r>
            <w:r>
              <w:rPr>
                <w:rStyle w:val="IndexLink"/>
                <w:rtl w:val="true"/>
              </w:rPr>
              <w:t xml:space="preserve">) </w:t>
            </w:r>
            <w:r>
              <w:rPr>
                <w:rStyle w:val="IndexLink"/>
                <w:rtl w:val="true"/>
              </w:rPr>
              <w:t>شمول حديث الرفع للأمور العدمية وعدمه</w:t>
            </w:r>
            <w:r>
              <w:rPr>
                <w:rStyle w:val="IndexLink"/>
                <w:rtl w:val="true"/>
              </w:rPr>
              <w:tab/>
            </w:r>
            <w:r>
              <w:rPr>
                <w:rStyle w:val="IndexLink"/>
              </w:rPr>
              <w:t>318</w:t>
            </w:r>
          </w:hyperlink>
        </w:p>
        <w:p>
          <w:pPr>
            <w:pStyle w:val="Contents6"/>
            <w:tabs>
              <w:tab w:val="clear" w:pos="7609"/>
              <w:tab w:val="right" w:pos="9026" w:leader="dot"/>
            </w:tabs>
            <w:rPr/>
          </w:pPr>
          <w:hyperlink w:anchor="__RefHeading___Toc10000243_2142443653">
            <w:r>
              <w:rPr>
                <w:webHidden/>
                <w:rStyle w:val="IndexLink"/>
                <w:rtl w:val="true"/>
              </w:rPr>
              <w:t>ثمرة البحث</w:t>
            </w:r>
            <w:r>
              <w:rPr>
                <w:rStyle w:val="IndexLink"/>
                <w:rtl w:val="true"/>
              </w:rPr>
              <w:tab/>
            </w:r>
            <w:r>
              <w:rPr>
                <w:rStyle w:val="IndexLink"/>
              </w:rPr>
              <w:t>319</w:t>
            </w:r>
          </w:hyperlink>
        </w:p>
        <w:p>
          <w:pPr>
            <w:pStyle w:val="Contents6"/>
            <w:tabs>
              <w:tab w:val="clear" w:pos="7609"/>
              <w:tab w:val="right" w:pos="9026" w:leader="dot"/>
            </w:tabs>
            <w:rPr/>
          </w:pPr>
          <w:hyperlink w:anchor="__RefHeading___Toc10000245_2142443653">
            <w:r>
              <w:rPr>
                <w:webHidden/>
                <w:rStyle w:val="IndexLink"/>
                <w:rtl w:val="true"/>
              </w:rPr>
              <w:t xml:space="preserve">نظرية المحقق النائيني </w:t>
            </w:r>
            <w:r>
              <w:rPr>
                <w:rStyle w:val="IndexLink"/>
                <w:rtl w:val="true"/>
              </w:rPr>
              <w:t>(</w:t>
            </w:r>
            <w:r>
              <w:rPr>
                <w:rStyle w:val="IndexLink"/>
                <w:rtl w:val="true"/>
              </w:rPr>
              <w:t>رحمه اللّه</w:t>
            </w:r>
            <w:r>
              <w:rPr>
                <w:rStyle w:val="IndexLink"/>
                <w:rtl w:val="true"/>
              </w:rPr>
              <w:t>)</w:t>
              <w:tab/>
            </w:r>
            <w:r>
              <w:rPr>
                <w:rStyle w:val="IndexLink"/>
              </w:rPr>
              <w:t>319</w:t>
            </w:r>
          </w:hyperlink>
        </w:p>
        <w:p>
          <w:pPr>
            <w:pStyle w:val="Contents6"/>
            <w:tabs>
              <w:tab w:val="clear" w:pos="7609"/>
              <w:tab w:val="right" w:pos="9026" w:leader="dot"/>
            </w:tabs>
            <w:rPr/>
          </w:pPr>
          <w:hyperlink w:anchor="__RefHeading___Toc10000247_2142443653">
            <w:r>
              <w:rPr>
                <w:webHidden/>
                <w:rStyle w:val="IndexLink"/>
                <w:rtl w:val="true"/>
              </w:rPr>
              <w:t xml:space="preserve">إشكالات على نظرية المحقق النائيني </w:t>
            </w:r>
            <w:r>
              <w:rPr>
                <w:rStyle w:val="IndexLink"/>
                <w:rtl w:val="true"/>
              </w:rPr>
              <w:t>(</w:t>
            </w:r>
            <w:r>
              <w:rPr>
                <w:rStyle w:val="IndexLink"/>
                <w:rtl w:val="true"/>
              </w:rPr>
              <w:t>رحمه اللّه</w:t>
            </w:r>
            <w:r>
              <w:rPr>
                <w:rStyle w:val="IndexLink"/>
                <w:rtl w:val="true"/>
              </w:rPr>
              <w:t>)</w:t>
              <w:tab/>
            </w:r>
            <w:r>
              <w:rPr>
                <w:rStyle w:val="IndexLink"/>
              </w:rPr>
              <w:t>320</w:t>
            </w:r>
          </w:hyperlink>
        </w:p>
        <w:p>
          <w:pPr>
            <w:pStyle w:val="Contents6"/>
            <w:tabs>
              <w:tab w:val="clear" w:pos="7609"/>
              <w:tab w:val="right" w:pos="9026" w:leader="dot"/>
            </w:tabs>
            <w:rPr/>
          </w:pPr>
          <w:hyperlink w:anchor="__RefHeading___Toc10000249_2142443653">
            <w:r>
              <w:rPr>
                <w:webHidden/>
                <w:rStyle w:val="IndexLink"/>
              </w:rPr>
              <w:t>7</w:t>
            </w:r>
            <w:r>
              <w:rPr>
                <w:rStyle w:val="IndexLink"/>
                <w:rtl w:val="true"/>
              </w:rPr>
              <w:t xml:space="preserve">) </w:t>
            </w:r>
            <w:r>
              <w:rPr>
                <w:rStyle w:val="IndexLink"/>
                <w:rtl w:val="true"/>
              </w:rPr>
              <w:t>شمول حديث الرفع للتكاليف الضمنية</w:t>
            </w:r>
            <w:r>
              <w:rPr>
                <w:rStyle w:val="IndexLink"/>
                <w:rtl w:val="true"/>
              </w:rPr>
              <w:tab/>
            </w:r>
            <w:r>
              <w:rPr>
                <w:rStyle w:val="IndexLink"/>
              </w:rPr>
              <w:t>325</w:t>
            </w:r>
          </w:hyperlink>
        </w:p>
        <w:p>
          <w:pPr>
            <w:pStyle w:val="Contents6"/>
            <w:tabs>
              <w:tab w:val="clear" w:pos="7609"/>
              <w:tab w:val="right" w:pos="9026" w:leader="dot"/>
            </w:tabs>
            <w:rPr/>
          </w:pPr>
          <w:hyperlink w:anchor="__RefHeading___Toc10000251_2142443653">
            <w:r>
              <w:rPr>
                <w:webHidden/>
                <w:rStyle w:val="IndexLink"/>
                <w:rtl w:val="true"/>
              </w:rPr>
              <w:t>الأمر بالمركب بعد رفع التكليف الضمني</w:t>
            </w:r>
            <w:r>
              <w:rPr>
                <w:rStyle w:val="IndexLink"/>
                <w:rtl w:val="true"/>
              </w:rPr>
              <w:tab/>
            </w:r>
            <w:r>
              <w:rPr>
                <w:rStyle w:val="IndexLink"/>
              </w:rPr>
              <w:t>325</w:t>
            </w:r>
          </w:hyperlink>
        </w:p>
        <w:p>
          <w:pPr>
            <w:pStyle w:val="Contents6"/>
            <w:tabs>
              <w:tab w:val="clear" w:pos="7609"/>
              <w:tab w:val="right" w:pos="9026" w:leader="dot"/>
            </w:tabs>
            <w:rPr/>
          </w:pPr>
          <w:hyperlink w:anchor="__RefHeading___Toc10000253_2142443653">
            <w:r>
              <w:rPr>
                <w:webHidden/>
                <w:rStyle w:val="IndexLink"/>
                <w:rtl w:val="true"/>
              </w:rPr>
              <w:t>نظرية عدم بقاء الأمر بالمركب</w:t>
            </w:r>
            <w:r>
              <w:rPr>
                <w:rStyle w:val="IndexLink"/>
                <w:rtl w:val="true"/>
              </w:rPr>
              <w:tab/>
            </w:r>
            <w:r>
              <w:rPr>
                <w:rStyle w:val="IndexLink"/>
              </w:rPr>
              <w:t>325</w:t>
            </w:r>
          </w:hyperlink>
        </w:p>
        <w:p>
          <w:pPr>
            <w:pStyle w:val="Contents6"/>
            <w:tabs>
              <w:tab w:val="clear" w:pos="7609"/>
              <w:tab w:val="right" w:pos="9026" w:leader="dot"/>
            </w:tabs>
            <w:rPr/>
          </w:pPr>
          <w:hyperlink w:anchor="__RefHeading___Toc10000255_2142443653">
            <w:r>
              <w:rPr>
                <w:webHidden/>
                <w:rStyle w:val="IndexLink"/>
                <w:rtl w:val="true"/>
              </w:rPr>
              <w:t>مناقشة النظرية المذكورة</w:t>
            </w:r>
            <w:r>
              <w:rPr>
                <w:rStyle w:val="IndexLink"/>
                <w:rtl w:val="true"/>
              </w:rPr>
              <w:tab/>
            </w:r>
            <w:r>
              <w:rPr>
                <w:rStyle w:val="IndexLink"/>
              </w:rPr>
              <w:t>326</w:t>
            </w:r>
          </w:hyperlink>
        </w:p>
        <w:p>
          <w:pPr>
            <w:pStyle w:val="Contents6"/>
            <w:tabs>
              <w:tab w:val="clear" w:pos="7609"/>
              <w:tab w:val="right" w:pos="9026" w:leader="dot"/>
            </w:tabs>
            <w:rPr/>
          </w:pPr>
          <w:hyperlink w:anchor="__RefHeading___Toc10000257_2142443653">
            <w:r>
              <w:rPr>
                <w:webHidden/>
                <w:rStyle w:val="IndexLink"/>
                <w:rtl w:val="true"/>
              </w:rPr>
              <w:t xml:space="preserve">مباحث في </w:t>
            </w:r>
            <w:r>
              <w:rPr>
                <w:rStyle w:val="IndexLink"/>
                <w:rtl w:val="true"/>
              </w:rPr>
              <w:t>(</w:t>
            </w:r>
            <w:r>
              <w:rPr>
                <w:rStyle w:val="IndexLink"/>
                <w:rtl w:val="true"/>
              </w:rPr>
              <w:t>ما لا يعلمون</w:t>
            </w:r>
            <w:r>
              <w:rPr>
                <w:rStyle w:val="IndexLink"/>
                <w:rtl w:val="true"/>
              </w:rPr>
              <w:t>)</w:t>
              <w:tab/>
            </w:r>
            <w:r>
              <w:rPr>
                <w:rStyle w:val="IndexLink"/>
              </w:rPr>
              <w:t>327</w:t>
            </w:r>
          </w:hyperlink>
        </w:p>
        <w:p>
          <w:pPr>
            <w:pStyle w:val="Contents6"/>
            <w:tabs>
              <w:tab w:val="clear" w:pos="7609"/>
              <w:tab w:val="right" w:pos="9026" w:leader="dot"/>
            </w:tabs>
            <w:rPr/>
          </w:pPr>
          <w:hyperlink w:anchor="__RefHeading___Toc10000259_2142443653">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000261_2142443653">
            <w:r>
              <w:rPr>
                <w:webHidden/>
                <w:rStyle w:val="IndexLink"/>
                <w:rtl w:val="true"/>
              </w:rPr>
              <w:t>المبحث الأول</w:t>
            </w:r>
            <w:r>
              <w:rPr>
                <w:rStyle w:val="IndexLink"/>
                <w:rtl w:val="true"/>
              </w:rPr>
              <w:t xml:space="preserve">: </w:t>
            </w:r>
            <w:r>
              <w:rPr>
                <w:rStyle w:val="IndexLink"/>
                <w:rtl w:val="true"/>
              </w:rPr>
              <w:t>عموم الرفع للشبهات الحكمية والموضوعية</w:t>
            </w:r>
            <w:r>
              <w:rPr>
                <w:rStyle w:val="IndexLink"/>
                <w:rtl w:val="true"/>
              </w:rPr>
              <w:tab/>
            </w:r>
            <w:r>
              <w:rPr>
                <w:rStyle w:val="IndexLink"/>
              </w:rPr>
              <w:t>327</w:t>
            </w:r>
          </w:hyperlink>
        </w:p>
        <w:p>
          <w:pPr>
            <w:pStyle w:val="Contents6"/>
            <w:tabs>
              <w:tab w:val="clear" w:pos="7609"/>
              <w:tab w:val="right" w:pos="9026" w:leader="dot"/>
            </w:tabs>
            <w:rPr/>
          </w:pPr>
          <w:hyperlink w:anchor="__RefHeading___Toc10000263_2142443653">
            <w:r>
              <w:rPr>
                <w:webHidden/>
                <w:rStyle w:val="IndexLink"/>
                <w:rtl w:val="true"/>
              </w:rPr>
              <w:t>المبحث الثاني</w:t>
            </w:r>
            <w:r>
              <w:rPr>
                <w:rStyle w:val="IndexLink"/>
                <w:rtl w:val="true"/>
              </w:rPr>
              <w:t xml:space="preserve">: </w:t>
            </w:r>
            <w:r>
              <w:rPr>
                <w:rStyle w:val="IndexLink"/>
                <w:rtl w:val="true"/>
              </w:rPr>
              <w:t>الرفع واقعي أو ظاهري</w:t>
            </w:r>
            <w:r>
              <w:rPr>
                <w:rStyle w:val="IndexLink"/>
                <w:rtl w:val="true"/>
              </w:rPr>
              <w:tab/>
            </w:r>
            <w:r>
              <w:rPr>
                <w:rStyle w:val="IndexLink"/>
              </w:rPr>
              <w:t>364</w:t>
            </w:r>
          </w:hyperlink>
        </w:p>
        <w:p>
          <w:pPr>
            <w:pStyle w:val="Contents6"/>
            <w:tabs>
              <w:tab w:val="clear" w:pos="7609"/>
              <w:tab w:val="right" w:pos="9026" w:leader="dot"/>
            </w:tabs>
            <w:rPr/>
          </w:pPr>
          <w:hyperlink w:anchor="__RefHeading___Toc10000265_2142443653">
            <w:r>
              <w:rPr>
                <w:webHidden/>
                <w:rStyle w:val="IndexLink"/>
                <w:rtl w:val="true"/>
              </w:rPr>
              <w:t xml:space="preserve">أدلة كون الرفع غير واقعي في </w:t>
            </w:r>
            <w:r>
              <w:rPr>
                <w:rStyle w:val="IndexLink"/>
                <w:rtl w:val="true"/>
              </w:rPr>
              <w:t>(</w:t>
            </w:r>
            <w:r>
              <w:rPr>
                <w:rStyle w:val="IndexLink"/>
                <w:rtl w:val="true"/>
              </w:rPr>
              <w:t>ما لا يعلمون</w:t>
            </w:r>
            <w:r>
              <w:rPr>
                <w:rStyle w:val="IndexLink"/>
                <w:rtl w:val="true"/>
              </w:rPr>
              <w:t>)</w:t>
              <w:tab/>
            </w:r>
            <w:r>
              <w:rPr>
                <w:rStyle w:val="IndexLink"/>
              </w:rPr>
              <w:t>367</w:t>
            </w:r>
          </w:hyperlink>
        </w:p>
        <w:p>
          <w:pPr>
            <w:pStyle w:val="Contents6"/>
            <w:tabs>
              <w:tab w:val="clear" w:pos="7609"/>
              <w:tab w:val="right" w:pos="9026" w:leader="dot"/>
            </w:tabs>
            <w:rPr/>
          </w:pPr>
          <w:hyperlink w:anchor="__RefHeading___Toc10000267_2142443653">
            <w:r>
              <w:rPr>
                <w:webHidden/>
                <w:rStyle w:val="IndexLink"/>
                <w:rtl w:val="true"/>
              </w:rPr>
              <w:t>المبحث الثالث</w:t>
            </w:r>
            <w:r>
              <w:rPr>
                <w:rStyle w:val="IndexLink"/>
                <w:rtl w:val="true"/>
              </w:rPr>
              <w:t xml:space="preserve">: </w:t>
            </w:r>
            <w:r>
              <w:rPr>
                <w:rStyle w:val="IndexLink"/>
                <w:rtl w:val="true"/>
              </w:rPr>
              <w:t>الرفع في المستحبات والمكروهات المجهولة</w:t>
            </w:r>
            <w:r>
              <w:rPr>
                <w:rStyle w:val="IndexLink"/>
                <w:rtl w:val="true"/>
              </w:rPr>
              <w:tab/>
            </w:r>
            <w:r>
              <w:rPr>
                <w:rStyle w:val="IndexLink"/>
              </w:rPr>
              <w:t>377</w:t>
            </w:r>
          </w:hyperlink>
        </w:p>
        <w:p>
          <w:pPr>
            <w:pStyle w:val="Contents6"/>
            <w:tabs>
              <w:tab w:val="clear" w:pos="7609"/>
              <w:tab w:val="right" w:pos="9026" w:leader="dot"/>
            </w:tabs>
            <w:rPr/>
          </w:pPr>
          <w:hyperlink w:anchor="__RefHeading___Toc10000269_2142443653">
            <w:r>
              <w:rPr>
                <w:webHidden/>
                <w:rStyle w:val="IndexLink"/>
                <w:rtl w:val="true"/>
              </w:rPr>
              <w:t>المبحث الرابع</w:t>
            </w:r>
            <w:r>
              <w:rPr>
                <w:rStyle w:val="IndexLink"/>
                <w:rtl w:val="true"/>
              </w:rPr>
              <w:t xml:space="preserve">: </w:t>
            </w:r>
            <w:r>
              <w:rPr>
                <w:rStyle w:val="IndexLink"/>
                <w:rtl w:val="true"/>
              </w:rPr>
              <w:t xml:space="preserve">شمول </w:t>
            </w:r>
            <w:r>
              <w:rPr>
                <w:rStyle w:val="IndexLink"/>
                <w:rtl w:val="true"/>
              </w:rPr>
              <w:t>(</w:t>
            </w:r>
            <w:r>
              <w:rPr>
                <w:rStyle w:val="IndexLink"/>
                <w:rtl w:val="true"/>
              </w:rPr>
              <w:t>رفع ما لا يعلمون</w:t>
            </w:r>
            <w:r>
              <w:rPr>
                <w:rStyle w:val="IndexLink"/>
                <w:rtl w:val="true"/>
              </w:rPr>
              <w:t xml:space="preserve">) </w:t>
            </w:r>
            <w:r>
              <w:rPr>
                <w:rStyle w:val="IndexLink"/>
                <w:rtl w:val="true"/>
              </w:rPr>
              <w:t>للجاهل المقصر وعدمه</w:t>
            </w:r>
            <w:r>
              <w:rPr>
                <w:rStyle w:val="IndexLink"/>
                <w:rtl w:val="true"/>
              </w:rPr>
              <w:tab/>
            </w:r>
            <w:r>
              <w:rPr>
                <w:rStyle w:val="IndexLink"/>
              </w:rPr>
              <w:t>387</w:t>
            </w:r>
          </w:hyperlink>
        </w:p>
        <w:p>
          <w:pPr>
            <w:pStyle w:val="Contents6"/>
            <w:tabs>
              <w:tab w:val="clear" w:pos="7609"/>
              <w:tab w:val="right" w:pos="9026" w:leader="dot"/>
            </w:tabs>
            <w:rPr/>
          </w:pPr>
          <w:hyperlink w:anchor="__RefHeading___Toc10000271_2142443653">
            <w:r>
              <w:rPr>
                <w:webHidden/>
                <w:rStyle w:val="IndexLink"/>
                <w:rtl w:val="true"/>
              </w:rPr>
              <w:t>المبحث الخامس</w:t>
            </w:r>
            <w:r>
              <w:rPr>
                <w:rStyle w:val="IndexLink"/>
                <w:rtl w:val="true"/>
              </w:rPr>
              <w:t xml:space="preserve">: </w:t>
            </w:r>
            <w:r>
              <w:rPr>
                <w:rStyle w:val="IndexLink"/>
                <w:rtl w:val="true"/>
              </w:rPr>
              <w:t>في شمول الرفع لموارد العلم الإجمالي</w:t>
            </w:r>
            <w:r>
              <w:rPr>
                <w:rStyle w:val="IndexLink"/>
                <w:rtl w:val="true"/>
              </w:rPr>
              <w:tab/>
            </w:r>
            <w:r>
              <w:rPr>
                <w:rStyle w:val="IndexLink"/>
              </w:rPr>
              <w:t>392</w:t>
            </w:r>
          </w:hyperlink>
        </w:p>
        <w:p>
          <w:pPr>
            <w:pStyle w:val="Contents2"/>
            <w:tabs>
              <w:tab w:val="clear" w:pos="8743"/>
              <w:tab w:val="right" w:pos="9026" w:leader="dot"/>
            </w:tabs>
            <w:rPr/>
          </w:pPr>
          <w:hyperlink w:anchor="__RefHeading___Toc10000273_2142443653">
            <w:r>
              <w:rPr>
                <w:webHidden/>
                <w:rStyle w:val="IndexLink"/>
                <w:rtl w:val="true"/>
              </w:rPr>
              <w:t>فهرس المحتويات</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1_166475"/>
      <w:bookmarkStart w:id="1" w:name="pg15601_166475"/>
      <w:bookmarkEnd w:id="1"/>
    </w:p>
    <w:p>
      <w:pPr>
        <w:pStyle w:val="Heading2"/>
        <w:numPr>
          <w:ilvl w:val="1"/>
          <w:numId w:val="1"/>
        </w:numPr>
        <w:rPr/>
      </w:pPr>
      <w:bookmarkStart w:id="2" w:name="pg15601_166475"/>
      <w:bookmarkStart w:id="3" w:name="__RefHeading___Toc1000002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تقرير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0002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01_166479"/>
      <w:bookmarkStart w:id="8" w:name="pg15601_166479"/>
      <w:bookmarkEnd w:id="8"/>
    </w:p>
    <w:p>
      <w:pPr>
        <w:pStyle w:val="Heading2"/>
        <w:numPr>
          <w:ilvl w:val="1"/>
          <w:numId w:val="1"/>
        </w:numPr>
        <w:rPr/>
      </w:pPr>
      <w:bookmarkStart w:id="9" w:name="pg15601_166479"/>
      <w:bookmarkStart w:id="10" w:name="__RefHeading___Toc10000031_2142443653"/>
      <w:bookmarkStart w:id="11" w:name="_Toc3"/>
      <w:bookmarkEnd w:id="9"/>
      <w:bookmarkEnd w:id="10"/>
      <w:r>
        <w:rPr>
          <w:rtl w:val="true"/>
        </w:rPr>
        <w:t>تنبيهات</w:t>
      </w:r>
      <w:bookmarkEnd w:id="11"/>
    </w:p>
    <w:p>
      <w:pPr>
        <w:pStyle w:val="Heading3"/>
        <w:numPr>
          <w:ilvl w:val="2"/>
          <w:numId w:val="1"/>
        </w:numPr>
        <w:rPr/>
      </w:pPr>
      <w:bookmarkStart w:id="12" w:name="__RefHeading___Toc10000033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وهنا تنبغي الإشارة إلى تنبيهات</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0000035_2142443653"/>
      <w:bookmarkStart w:id="15" w:name="_Toc5"/>
      <w:bookmarkEnd w:id="14"/>
      <w:r>
        <w:rPr>
          <w:rtl w:val="true"/>
        </w:rPr>
        <w:t>التنبيه الأوّل</w:t>
      </w:r>
      <w:r>
        <w:rPr>
          <w:rtl w:val="true"/>
        </w:rPr>
        <w:t xml:space="preserve">: </w:t>
      </w:r>
      <w:r>
        <w:rPr>
          <w:rtl w:val="true"/>
        </w:rPr>
        <w:t>السيرة العقلائية وأنواع الأخبار</w:t>
      </w:r>
      <w:bookmarkEnd w:id="15"/>
    </w:p>
    <w:p>
      <w:pPr>
        <w:pStyle w:val="Heading4"/>
        <w:numPr>
          <w:ilvl w:val="3"/>
          <w:numId w:val="1"/>
        </w:numPr>
        <w:rPr/>
      </w:pPr>
      <w:bookmarkStart w:id="16" w:name="__RefHeading___Toc10000037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إنَّ السيرة العقلائية القائمة على العمل بأخبار الآحاد متكفلة لحجّية أي نوع من أنواع الأخبار الأربعة؟</w:t>
      </w:r>
    </w:p>
    <w:p>
      <w:pPr>
        <w:pStyle w:val="BookText"/>
        <w:rPr/>
      </w:pPr>
      <w:r>
        <w:rPr>
          <w:rFonts w:ascii="Amiri" w:hAnsi="Amiri" w:eastAsia="Amiri" w:cs="Amiri"/>
          <w:color w:val="111111"/>
          <w:sz w:val="28"/>
          <w:sz w:val="28"/>
          <w:szCs w:val="28"/>
          <w:rtl w:val="true"/>
          <w:lang w:bidi="ar-SA"/>
        </w:rPr>
        <w:t>ذكر في المصباح أنَّ السيرة العقلائية تثبت الحجّية لثلاثة أنواع، وهي الخبر الصحيح والحسن والموثق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قائمة على العمل بهذه الأقسام الثلاثة، فإذا بلغ أمر المولى إلى عبده بنقل عادل، أو إمامي ممدوح، أو ثقة غير إمامي، لا يكون العبد معذوراً في مخالفة أمر المولى في نظر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الضعيف خارج عن موضوع الحجية، لأن العقلاء لا يعملون به يقيناً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يتأملّ في كلامه في الخبر الحسن؛ لأنَّهُ ما كان في طريقه إمامي ممدوح،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المدح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المدح التي تفيد الوثاقة، وحكمها حكم النوع الأوّل، ولا مشاحة في الاصطلاح، حيث يسمى بالخبر الحسن، وهو يفيد الوثاقة بلفظ آخر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يفد الوثاقة، فدعوى بناء العقلاء على العمل بالخبر الممدوح </w:t>
      </w:r>
      <w:bookmarkStart w:id="18" w:name="pg15601_166480"/>
    </w:p>
    <w:p>
      <w:pPr>
        <w:pStyle w:val="BookText"/>
        <w:rPr/>
      </w:pPr>
      <w:bookmarkEnd w:id="18"/>
      <w:r>
        <w:rPr>
          <w:rFonts w:ascii="Amiri" w:hAnsi="Amiri" w:eastAsia="Amiri" w:cs="Amiri"/>
          <w:color w:val="111111"/>
          <w:sz w:val="28"/>
          <w:sz w:val="28"/>
          <w:szCs w:val="28"/>
          <w:rtl w:val="true"/>
          <w:lang w:bidi="ar-SA"/>
        </w:rPr>
        <w:t>بمدح لا يدل على الوثاقة محلّ تأملّ</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0000039_2142443653"/>
      <w:bookmarkStart w:id="20" w:name="_Toc7"/>
      <w:bookmarkEnd w:id="19"/>
      <w:r>
        <w:rPr>
          <w:rtl w:val="true"/>
        </w:rPr>
        <w:t>أمثلة لألفاظ المدح</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دلالته على الوثاقة؛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الوثاقة ظاهراً، وثاقة خبرية أو مخبرية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الوثاقة أو ما فوق الوثاقة، حيث لا يعبر بهذا التعبير عن الكذاب أو محتمل الكذب فإنَّهُ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صاحب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بعض الرجاليين بإفادته الوثاقة، بل ما فوق الوثاقة فإنَّ المرء على دين خليله وصاحبه، ولكن قد يشكك فيه، فقد يكون ملازماً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مستقيماً، كالكثير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إفادتهما الوثاقة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أصحاب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غلمان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الرجاليين يدل على أنَّهُ من العلماء الذين تخرجوا على يده، وفي إفادته الوثاقة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إنَّهُ يشعر بالمدح، فهل يكفي لإثبات وثاقته؟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الحسن في المروي عنه، فهل هو كاف لإثبات الوثاقة؟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مسألة مهمة في علم الرجال، فبعض الأصول وصل إلى الشيخ الطوسي عبر بعض الأفراد الذين لم يوثقوا، بل قيل في حقهم إنَّهُ </w:t>
      </w:r>
      <w:bookmarkStart w:id="21" w:name="pg15601_166481"/>
    </w:p>
    <w:p>
      <w:pPr>
        <w:pStyle w:val="BookText"/>
        <w:rPr/>
      </w:pPr>
      <w:bookmarkEnd w:id="21"/>
      <w:r>
        <w:rPr>
          <w:rFonts w:ascii="Amiri" w:hAnsi="Amiri" w:eastAsia="Amiri" w:cs="Amiri"/>
          <w:color w:val="111111"/>
          <w:sz w:val="28"/>
          <w:sz w:val="28"/>
          <w:szCs w:val="28"/>
          <w:rtl w:val="true"/>
          <w:lang w:bidi="ar-SA"/>
        </w:rPr>
        <w:t>مشايخ إجازة، كابن عبدون، فهل يكفي لإثبات الوثاقة مطلقاً، أم هنالك تفصيل في المقام؟</w:t>
      </w:r>
    </w:p>
    <w:p>
      <w:pPr>
        <w:pStyle w:val="BookText"/>
        <w:rPr/>
      </w:pPr>
      <w:r>
        <w:rPr>
          <w:rFonts w:ascii="Amiri" w:hAnsi="Amiri" w:eastAsia="Amiri" w:cs="Amiri"/>
          <w:color w:val="111111"/>
          <w:sz w:val="28"/>
          <w:sz w:val="28"/>
          <w:szCs w:val="28"/>
          <w:rtl w:val="true"/>
          <w:lang w:bidi="ar-SA"/>
        </w:rPr>
        <w:t xml:space="preserve">وحول إبراهيم بن هاشم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نشر حديث الكوفيين بقم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والظاهر أنَّهُ يفيد الوثاقة لما ذكر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ترحّم الصدوق</w:t>
      </w:r>
      <w:r>
        <w:rPr>
          <w:rStyle w:val="FootnoteAnchor"/>
          <w:rtl w:val="true"/>
        </w:rPr>
        <w:footnoteReference w:id="4"/>
      </w:r>
      <w:r>
        <w:rPr>
          <w:rFonts w:ascii="Amiri" w:hAnsi="Amiri" w:eastAsia="Amiri" w:cs="Amiri"/>
          <w:color w:val="111111"/>
          <w:sz w:val="28"/>
          <w:sz w:val="28"/>
          <w:szCs w:val="28"/>
          <w:rtl w:val="true"/>
          <w:lang w:bidi="ar-SA"/>
        </w:rPr>
        <w:t>على بعض مشايخه،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بجريان سيرة العقلاء على العمل بأخبار كل ممدوح على النحو الكلي،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الروايات الحسنة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بالصحيح وملحقة بالضعيف</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0000041_2142443653"/>
      <w:bookmarkStart w:id="23" w:name="_Toc8"/>
      <w:bookmarkEnd w:id="22"/>
      <w:r>
        <w:rPr>
          <w:rtl w:val="true"/>
        </w:rPr>
        <w:t>التنبيه الثاني</w:t>
      </w:r>
      <w:r>
        <w:rPr>
          <w:rtl w:val="true"/>
        </w:rPr>
        <w:t xml:space="preserve">: </w:t>
      </w:r>
      <w:r>
        <w:rPr>
          <w:rtl w:val="true"/>
        </w:rPr>
        <w:t>عمل المشهور بالخبر الضعيف</w:t>
      </w:r>
      <w:bookmarkEnd w:id="23"/>
    </w:p>
    <w:p>
      <w:pPr>
        <w:pStyle w:val="Heading4"/>
        <w:numPr>
          <w:ilvl w:val="3"/>
          <w:numId w:val="1"/>
        </w:numPr>
        <w:rPr/>
      </w:pPr>
      <w:bookmarkStart w:id="24" w:name="__RefHeading___Toc10000043_2142443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هل عمل المشهور جابر لضعف الرواية؟</w:t>
      </w:r>
    </w:p>
    <w:p>
      <w:pPr>
        <w:pStyle w:val="BookText"/>
        <w:rPr/>
      </w:pPr>
      <w:r>
        <w:rPr>
          <w:rFonts w:ascii="Amiri" w:hAnsi="Amiri" w:eastAsia="Amiri" w:cs="Amiri"/>
          <w:color w:val="111111"/>
          <w:sz w:val="28"/>
          <w:sz w:val="28"/>
          <w:szCs w:val="28"/>
          <w:rtl w:val="true"/>
          <w:lang w:bidi="ar-SA"/>
        </w:rPr>
        <w:t>وقد مرّ سابقاً أنَّ الشهرة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 والشهرة الروائية، والشهرة العملية، والمقام من الشهرة العملية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وللمسألة آثار كثيرة في الفقه؛ لضعف كثير من الروايات؛ لضعف رواتها أو جهالتهم، أو تعارض الجرح والتعديل فيهم، فلو سلمنا بمبنى الجابرية تكون كلها حجّة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لذلك المحقق العراقي في مقام آخر عن بعض مشايخه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النبوي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 فإنه على ما </w:t>
      </w:r>
      <w:bookmarkStart w:id="26" w:name="pg15601_166482"/>
    </w:p>
    <w:p>
      <w:pPr>
        <w:pStyle w:val="BookText"/>
        <w:rPr/>
      </w:pPr>
      <w:bookmarkEnd w:id="26"/>
      <w:r>
        <w:rPr>
          <w:rFonts w:ascii="Amiri" w:hAnsi="Amiri" w:eastAsia="Amiri" w:cs="Amiri"/>
          <w:color w:val="111111"/>
          <w:sz w:val="28"/>
          <w:sz w:val="28"/>
          <w:szCs w:val="28"/>
          <w:rtl w:val="true"/>
          <w:lang w:bidi="ar-SA"/>
        </w:rPr>
        <w:t>ذكره بعض مشايخنا مما لم يذكره أحد من رواتنا، ولا كان معروفاً من طرقنا، ولا مذكوراً في شيء من جوامعنا، وإنّما روته العامة في كتبهم منتهياً إلى الحسن البصري، عن سمرة بن جندب</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ترى بناء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بالحديث المزبور في أبواب الفقه، والاستناد إليه في مقام الفتوى بلحاظ جبره بعمل القدماء</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بحثان كبروي وصغروي</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0000045_2142443653"/>
      <w:bookmarkStart w:id="28" w:name="_Toc10"/>
      <w:bookmarkEnd w:id="27"/>
      <w:r>
        <w:rPr>
          <w:rtl w:val="true"/>
        </w:rPr>
        <w:t>أدلة حجية الأخبار الضعيفة</w:t>
      </w:r>
      <w:bookmarkEnd w:id="28"/>
    </w:p>
    <w:p>
      <w:pPr>
        <w:pStyle w:val="BookText"/>
        <w:rPr/>
      </w:pPr>
      <w:r>
        <w:rPr>
          <w:rFonts w:ascii="Amiri" w:hAnsi="Amiri" w:eastAsia="Amiri" w:cs="Amiri"/>
          <w:color w:val="111111"/>
          <w:sz w:val="28"/>
          <w:sz w:val="28"/>
          <w:szCs w:val="28"/>
          <w:rtl w:val="true"/>
          <w:lang w:bidi="ar-SA"/>
        </w:rPr>
        <w:t>أمّا البحث الكبروي فهو في بيان الأدلة الدالة على حجّية الأخبار الضعيفة التي عمل بها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آية النبأ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مفاد منطوق آية النبأ طرح خبر الفاسق وإنّما التبين عن خبره، وعمل المشهور نوع من أنواع التبين فإذا تحقق التبين كان حجّة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المصباح</w:t>
      </w:r>
      <w:r>
        <w:rPr>
          <w:rStyle w:val="FootnoteAnchor"/>
          <w:rtl w:val="true"/>
        </w:rPr>
        <w:footnoteReference w:id="8"/>
      </w:r>
      <w:r>
        <w:rPr>
          <w:rFonts w:ascii="Amiri" w:hAnsi="Amiri" w:eastAsia="Amiri" w:cs="Amiri"/>
          <w:color w:val="111111"/>
          <w:sz w:val="28"/>
          <w:sz w:val="28"/>
          <w:szCs w:val="28"/>
          <w:rtl w:val="true"/>
          <w:lang w:bidi="ar-SA"/>
        </w:rPr>
        <w:t>، بعد أنْ سلّم به في دورته السابقة ثم تراجع عنه؛ وذلك لأنَّ التبين بمعنى استيضاح الحال واستكشاف صدق الخبر،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علمنا بمضمون الخبر فهو تبين علمي، وإنْ قامت حجّة شرعية على مضمون الخبر فهو تبين تعبدي، وليس عمل المشهور في حدّ ذاته حجّة، كما أنَّ الخبر الضعيف ليس حجّة، وضم غير الحجّة إلى غير الحجّة لا ينتج الحجّة، فإنَّ ضم العدم إلى العدم لا ينتج إلا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لا يكون إلا بما هو حجّة، ولأنَّ عمل المشهور غير حجّة فلا ينفع عملهم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دعوى كون الشهرة في حدّ ذاتها حجّة من الحجج العقلائية، ولذلك تكون الشهرة الفتوائية حجّة وإنْ لم تستند إلى رواية، فكيف إذا استندت؟ وهذا بحث مبنائي وقد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كون المطلوب التبين، وهو صادق عرفاً فيما لو عمل المشهور بخبر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مجهول بخبر لأهل الخبرة في السوق، فشاهدنا أنَّ المدققين والمحققين من أهل الفن اعتمدوا ورتبوا عليه الأثر في المسائل المهمة، كالربح والخسارة المليونية، أفلا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رأينا عمل مشهور أهل الفن بهذا الخبر فتبينا صدقه؟</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كاشف عن الوثاقة المخبرية، وتوثيق الفقهاء حجّة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محلّ تأملّ؛ لأنَّ الاعتماد على الخبر يكون تارة لوثاقة رواته، وتارة لاجتماع قرائن تُفيد الوثوق بصدوره، وربما لم تفدنا تلك القرائن </w:t>
      </w:r>
    </w:p>
    <w:p>
      <w:pPr>
        <w:pStyle w:val="BookText"/>
        <w:rPr/>
      </w:pPr>
      <w:r>
        <w:rPr>
          <w:rFonts w:ascii="IRNazanin" w:hAnsi="IRNazanin" w:eastAsia="IRNazanin"/>
          <w:color w:val="111111"/>
          <w:sz w:val="28"/>
          <w:sz w:val="28"/>
          <w:szCs w:val="28"/>
          <w:rtl w:val="true"/>
          <w:lang w:bidi="fa-IR"/>
        </w:rPr>
        <w:t>الوثوق بالصدور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مقبولة عمر بن حنظلة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والمراد من المجمع عليه المشهور بقرينة صدر الرواية، وقد مرّ الكلام فيه في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القائمة على العمل بقول المشهور</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المشهور برواية يورث الاطمئنان النوعي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الإمامية أنَّ مثل هذه الشهرة جابرة لضعف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استقرّت سيرتهم على العمل بما عمل به المشهور وإنْ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الإنسان أنْ يلفق فقهاً من غير نظر إلى كلام الأصحاب، بل من محض الأخبار، يظهر له فقه خارج عن ربقة جميع المسلمين، بل سائر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كما هو معلوم على أهله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السيرة العملية الاستنادية توجب الاطمئنان بالواقع والظاهر بناء العقلاء على الاعتماد عليها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اختصاص لشهرة الاستناد بخصوص </w:t>
      </w:r>
      <w:bookmarkStart w:id="29" w:name="pg15601_166485"/>
    </w:p>
    <w:p>
      <w:pPr>
        <w:pStyle w:val="BookText"/>
        <w:rPr/>
      </w:pPr>
      <w:bookmarkEnd w:id="29"/>
      <w:r>
        <w:rPr>
          <w:rFonts w:ascii="Amiri" w:hAnsi="Amiri" w:eastAsia="Amiri" w:cs="Amiri"/>
          <w:color w:val="111111"/>
          <w:sz w:val="28"/>
          <w:sz w:val="28"/>
          <w:szCs w:val="28"/>
          <w:rtl w:val="true"/>
          <w:lang w:bidi="ar-SA"/>
        </w:rPr>
        <w:t>مسائل الفقه، بل هي ثابتة في جميع العلوم والفنون، بل العرفيات أيضاً، وقد ارتكز في الأذهان متابعة المشهور، وعدم متابعة ما أعرض عنه المشهور، كما لا يخفى على من راجع العلوم والعرفيات</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رواه عنّا ثقاتنا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فيما إذا قُلنا بعدم الموضوعية للوثاقة المخبرية، بل هي طريق إلى الوثاقة الخبرية، وعمل المشهور يوجب الوثاقة الخبرية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000047_2142443653"/>
      <w:bookmarkStart w:id="31" w:name="_Toc11"/>
      <w:bookmarkEnd w:id="30"/>
      <w:r>
        <w:rPr>
          <w:rtl w:val="true"/>
        </w:rPr>
        <w:t>كيفية إحراز استناد المشهور إلى الخبر</w:t>
      </w:r>
      <w:bookmarkEnd w:id="31"/>
    </w:p>
    <w:p>
      <w:pPr>
        <w:pStyle w:val="BookText"/>
        <w:rPr/>
      </w:pPr>
      <w:r>
        <w:rPr>
          <w:rFonts w:ascii="Amiri" w:hAnsi="Amiri" w:eastAsia="Amiri" w:cs="Amiri"/>
          <w:color w:val="111111"/>
          <w:sz w:val="28"/>
          <w:sz w:val="28"/>
          <w:szCs w:val="28"/>
          <w:rtl w:val="true"/>
          <w:lang w:bidi="ar-SA"/>
        </w:rPr>
        <w:t>أمّا البحث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كيفية إحراز استناد المشهور بالخبر، فإنَّ كتب القدماء مجردة عن الاستدلال، وأوّل كتاب استدلالي هو كتاب المبسوط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هنالك كتب استدلالية عند القدماء، كالمتمسك بحبل آل الرسول للعماني، لكن لا يوجد عنها عين ولا أثر، فلا يمكن إحراز استناد المشهور إلى خبر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القدماء لم يتعرضوا للاستدلال في كتبهم ليعلم استنادهم إلى الخبر، بل المذكور في كتبهم مجرّد الفتوى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بجوابين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فتوى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المفيد والشيخ الطوسي والسيد المرتضى والشيخ الصدوق وأبيه والسلار والقاضي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w:t>
      </w:r>
    </w:p>
    <w:p>
      <w:pPr>
        <w:pStyle w:val="BookText"/>
        <w:rPr/>
      </w:pPr>
      <w:r>
        <w:rPr>
          <w:rFonts w:ascii="Amiri" w:hAnsi="Amiri" w:eastAsia="Amiri" w:cs="Amiri"/>
          <w:color w:val="111111"/>
          <w:sz w:val="28"/>
          <w:sz w:val="28"/>
          <w:szCs w:val="28"/>
          <w:rtl w:val="true"/>
          <w:lang w:bidi="ar-SA"/>
        </w:rPr>
        <w:t xml:space="preserve">وجود رواية معتبرة عندهم، فقد كان مبنى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عند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طبق المتون الواردة، وكانت فتاواهم متون الروايات، والتفريعات الاجتهادية قليلة جداً عندهم، حتى أنَّ العامة نعتوهم بالمقلدة وعدم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عندنا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أصحاب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مرحلة الضبط وحفظ الأحاديث؛ وهي مرحلة قدماء الأصحاب إلا النادر منهم، ثم مرحلة التفريع والاستنباطات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ظاهرة عند الشيخ الطوسي 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نفس فتوى قدماء الأصحاب دليلاً على وجود النص المتلقى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يعرف الاستناد عبر القرائن الخارجية، كمطابقة الفتاوى للفظ الخبر المنقول،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عما قبله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فلو رأينا في عبارات القدماء نفس هذا اللفظ أو التعليل به فإنَّهُ يدل على استناد القدماء إليه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تمسك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اليقين لا </w:t>
      </w:r>
    </w:p>
    <w:p>
      <w:pPr>
        <w:pStyle w:val="BookText"/>
        <w:rPr/>
      </w:pPr>
      <w:r>
        <w:rPr>
          <w:rFonts w:ascii="Amiri" w:hAnsi="Amiri" w:eastAsia="Amiri" w:cs="Amiri"/>
          <w:color w:val="111111"/>
          <w:sz w:val="28"/>
          <w:sz w:val="28"/>
          <w:szCs w:val="28"/>
          <w:rtl w:val="true"/>
          <w:lang w:bidi="ar-SA"/>
        </w:rPr>
        <w:t>يدفع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 الشيخ البهائي في الحبل المتين، لكن نفس هذه الألفاظ مذكورة في كتب ابن إدريس، ويشعر ذلك باستناده إلى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يتعرضوا للاستدلال في كتبهم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محلّ تأملّ؛ لأنَّهم تعرضوا إجمالاً لكن لم تصلنا كتبهم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لهم رأي آخر أيضاً لكنه لم يصلنا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لنقل عادة؛ حيث إنَّ كتب المتأخرين ناظرة إلى الكتب المتقدمة، ولو كان هنالك رأي آخر مشهور أو أشهر لكان الشيخ الطوسي ينقله في كتبه، أو يشير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استنادهم إلى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 إنَّهم أفتوا بلا دليل وقد كانوا مقيدين بالنصوص، فيعلم استنادهم إلى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التنّزل فإمّا استندوا إلى هذه الرواية، أو إلى رواية أُخرى مجهولة عندنا لها نفس المضمون، فالمشهور يجبر تلك الرواية المجهولة الواصلة إلينا بالمعنى عبر الفتوى، وقد ثبت عدم الإشكال في النقل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الصغروي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تفصيلان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بكون العمل على وجه الاستناد أو لا، بأنْ كان مستندهم دليلاً عقلياً، وقد ذكره السيد السبزواري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أحد كتابيه، والمحقق العراقي والسيد السبزواري في أوّل كلامه، وهو التفصيل بين عمل القدماء فيكفي في الجابرية دون عمل المتقدمين، 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 جابرة إذا كانت بين قدماء الأصحاب القريبين من عهد الحضور؛ لمعرفتهم بصحة الرواية وضعفها، ولا عبرة بالشهرة بين المتأخرين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أطلق الجابرية والكاسرية في أجود التقريرات</w:t>
      </w:r>
      <w:r>
        <w:rPr>
          <w:rStyle w:val="FootnoteAnchor"/>
          <w:rtl w:val="true"/>
        </w:rPr>
        <w:footnoteReference w:id="22"/>
      </w:r>
      <w:r>
        <w:rPr>
          <w:rFonts w:ascii="Amiri" w:hAnsi="Amiri" w:eastAsia="Amiri" w:cs="Amiri"/>
          <w:color w:val="111111"/>
          <w:sz w:val="28"/>
          <w:sz w:val="28"/>
          <w:szCs w:val="28"/>
          <w:rtl w:val="true"/>
          <w:lang w:bidi="ar-SA"/>
        </w:rPr>
        <w:t>، ولم يقيده بالشهرة عند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الشهرة بين قدماء الأصحاب القريبون من عهد الحضور لا من المتأخرين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 الغيبة الصغرى وأوائل الكبرى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آخر كلامه فقد قال بحجّية الشهرة مطلقاً إذا حصل منه الوثوق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المذكورة في البحث الكبروي ربما تكون أعم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فالملاك التبين والفحص لانكشاف الحال، وكما أنَّ شهرة القدماء نوع من التبين كذلك شهرة المتأخرين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ويترك الشاذ الذي ليس بمشهور عند </w:t>
      </w:r>
    </w:p>
    <w:p>
      <w:pPr>
        <w:pStyle w:val="BookText"/>
        <w:rPr/>
      </w:pPr>
      <w:r>
        <w:rPr>
          <w:rFonts w:ascii="Amiri" w:hAnsi="Amiri" w:eastAsia="Amiri" w:cs="Amiri"/>
          <w:color w:val="111111"/>
          <w:sz w:val="28"/>
          <w:sz w:val="28"/>
          <w:szCs w:val="28"/>
          <w:rtl w:val="true"/>
          <w:lang w:bidi="ar-SA"/>
        </w:rPr>
        <w:t>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فالتعليل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العقلائية على العمل بقول مشهور المتأخرين</w:t>
      </w:r>
      <w:r>
        <w:rPr>
          <w:rStyle w:val="FootnoteAnchor"/>
          <w:rtl w:val="true"/>
        </w:rPr>
        <w:footnoteReference w:id="26"/>
      </w:r>
      <w:r>
        <w:rPr>
          <w:rFonts w:ascii="Amiri" w:hAnsi="Amiri" w:eastAsia="Amiri" w:cs="Amiri"/>
          <w:color w:val="111111"/>
          <w:sz w:val="28"/>
          <w:sz w:val="28"/>
          <w:szCs w:val="28"/>
          <w:rtl w:val="true"/>
          <w:lang w:bidi="ar-SA"/>
        </w:rPr>
        <w:t>في كل علم وفن كالمشهور عند الأطباء بلا فرق بينه وبين شهرة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عندهم بين أنْ يعلم استنادها إلى رواية أو لا يعلم، خاصة وأنَّ العلامة ومن تأخّر عنه يمتازون بكثرة الاطلاع، ودقة النظر بما لا توجد عند بعض المتقدمين؛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القدماء إنّما وقع ما وقع منهم في كثير من المقامات من المذاهب الفاسدة؛ لعدم اجتماع تمام الأصول عند كل واحد منهم، وعدم تأليف ما يتعلق بكل باب منها على حدة، فربما خفي على كل واحد منهم كثير من النصوص، فيفتي بما عنده من غير علم بالباقي، كما لا يخفى على الخبير الممارس المتصفح لما تضمن تلك الآثار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جدير بالتأمّل في المباحث الفقهية والعقدية، وربما يكشف عن حلّ بعض الإشكاليات؛ حيث قد نرى تشكيك بعض القدماء في بعض المباحث العقدية، والتي هي من البديهيات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المتأخرين يمتازون بأمور كما يمتاز القدماء بأمور أُخرى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هذه الأدلة الثلاثة فلا يكون هنالك فرق بين شهرة </w:t>
      </w:r>
      <w:bookmarkStart w:id="32" w:name="pg15601_166490"/>
    </w:p>
    <w:p>
      <w:pPr>
        <w:pStyle w:val="BookText"/>
        <w:rPr/>
      </w:pPr>
      <w:bookmarkEnd w:id="32"/>
      <w:r>
        <w:rPr>
          <w:rFonts w:ascii="Amiri" w:hAnsi="Amiri" w:eastAsia="Amiri" w:cs="Amiri"/>
          <w:color w:val="111111"/>
          <w:sz w:val="28"/>
          <w:sz w:val="28"/>
          <w:szCs w:val="28"/>
          <w:rtl w:val="true"/>
          <w:lang w:bidi="ar-SA"/>
        </w:rPr>
        <w:t>المتقدمين وشهرة المتأخرين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000049_2142443653"/>
      <w:bookmarkStart w:id="34" w:name="_Toc12"/>
      <w:bookmarkEnd w:id="33"/>
      <w:r>
        <w:rPr>
          <w:rtl w:val="true"/>
        </w:rPr>
        <w:t>التنبيه الثالث</w:t>
      </w:r>
      <w:r>
        <w:rPr>
          <w:rtl w:val="true"/>
        </w:rPr>
        <w:t xml:space="preserve">: </w:t>
      </w:r>
      <w:r>
        <w:rPr>
          <w:rtl w:val="true"/>
        </w:rPr>
        <w:t>إعراض الأصحاب عن الخبر المعتبر</w:t>
      </w:r>
      <w:bookmarkEnd w:id="34"/>
    </w:p>
    <w:p>
      <w:pPr>
        <w:pStyle w:val="Heading4"/>
        <w:numPr>
          <w:ilvl w:val="3"/>
          <w:numId w:val="1"/>
        </w:numPr>
        <w:rPr/>
      </w:pPr>
      <w:bookmarkStart w:id="35" w:name="__RefHeading___Toc10000051_2142443653"/>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هل إنَّ إعراض الأصحاب عن الخبر المعتبر يوجب وهنه؟</w:t>
      </w:r>
    </w:p>
    <w:p>
      <w:pPr>
        <w:pStyle w:val="BookText"/>
        <w:rPr/>
      </w:pPr>
      <w:r>
        <w:rPr>
          <w:rFonts w:ascii="Amiri" w:hAnsi="Amiri" w:eastAsia="Amiri" w:cs="Amiri"/>
          <w:color w:val="111111"/>
          <w:sz w:val="28"/>
          <w:sz w:val="28"/>
          <w:szCs w:val="28"/>
          <w:rtl w:val="true"/>
          <w:lang w:bidi="ar-SA"/>
        </w:rPr>
        <w:t>تارة يكون الإعراض سندياً، وتارة يكون دلالياً، وله موارد متعددة في الفقه،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الوفاء بالوعد، وهي كثيرة وبعضها معتبرة، ويمكن دعوى دلالة القرآن الكريم على حرمة خلف الوعد،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لكن المشهور لم يستظهروا الوجوب، فهل إنَّ إعراضهم سنداً أو دلالة يوجب وهن الخبر؟</w:t>
      </w:r>
    </w:p>
    <w:p>
      <w:pPr>
        <w:pStyle w:val="BookText"/>
        <w:rPr/>
      </w:pPr>
      <w:r>
        <w:rPr>
          <w:rFonts w:ascii="Amiri" w:hAnsi="Amiri" w:eastAsia="Amiri" w:cs="Amiri"/>
          <w:color w:val="111111"/>
          <w:sz w:val="28"/>
          <w:sz w:val="28"/>
          <w:szCs w:val="28"/>
          <w:rtl w:val="true"/>
          <w:lang w:bidi="ar-SA"/>
        </w:rPr>
        <w:t>في المقام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وهن الخبر، ولا سقوطه عن الحجّية بالإعراض، وربما نظره إلى الوهن السندي لا الدلالي،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بعد كون الخبر صحيحاً أو موثقاً مورداً لقيام السيرة، ومشمولاً لإطلاق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لرفع اليد عنه لإعراض المشهور عنه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فصرف الإعراض لا يوجب رفع اليد عن الخبر المعتبر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الإعراض إلى حدّ يوجب الاطمئنان بوجود خلل في الصدور أو الجهة، وقد استدل السيد الخوئي كراراً بالتسالم بين الفقهاء، ويفهم منه ومن آخرين أنَّ التسالم فوق الإجماع، فربما يكون تسالمهم على الإعراض موجباً للاطمئنان بوجود خلل في الرواية، لكن البحث في مجرد الإعراض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 الإعراض يوجب الوهن وسقوط الخبر عن الحجية، بل قال البعض</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صحة ازداد وهناً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يعملوا بالخبر الصحيح الأعلائي؟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جود إشكال فيه، وتدل عليه أدلة، فإنْ تمت يسقط دليل القول الأوّل، فإنَّهُ بتماميتها تعتبر وجهاً صالحاً لرفع اليد عن الخبر المعتبر، وهذه الأدلة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فالتعليل يفيد أنَّ الحجّية دائرة مدار وجود الريب، والخبر المعتبر المعرض عنه لا يكون حجّة لوجود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لأنَّ التعليل يفيد ثبوت الحكم في غير مورده ممّا تحققت فيه العلّة؛ ولا يفيد نفي الحكم عن غير مورده ممّا لم تتحقق فيه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تعمم وتخصص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عن مورده إذا لم توجد فيه العلّة،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في غير مورده إذا وجدت العلّة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ينفي الحكم عمّا انتفت فيه العلة أو يشك فيه،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لأنَّها مسكرة، فهل تنفي الحرمة في غير مورده إنْ انتفت علّة الإسكار،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ليس بمسكر فليس بمحرم؟ ربما يكون غير مسكر لكنه محرم، كالمال المغصوب أو الشيء المضر أو 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فالعلّة تثبت اطراد الحكم في مورد وجودها، ولا تفيد نفي الحكم عمّا لا توجد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فله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الرمان غير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غير الرمان إذا كان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انتفاء التحريم عن غير الرمان إذا لم يكن حامضاً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شيء غير حامض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الدلالة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مفاد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ريب فيه فهو حجّة، وليس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ريب فليس بحجّة، حتى يقال الخبر المعتبر فيه الريب لإعراض المشهور عنه،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الاطمئنان من إعراض المشهور بوجود خلل في الخبر، إمّا في صدوره أو ظهوره أو جهته، وإلا فلماذا أعرضوا عنه؟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المدعى، فكلما حصل الاطمئنان لا يكون حجّة، وإنْ لم يحصل الاطمئنان فهو حجّة، كما لو احتمل كون الإعراض وليد إعمال النظر والاجتهاد،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أعرضوا عن الرواية لأنَّها معللة، واستفادوا من التعليل الكراهة، وأعرضوا عن ظهور النهي في الحرمة، فاجتهادهم لا يكون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فهي قائمة على عدم الاعتبار بالخبر المعرض عنه من قبل أهل الفن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عن عبد اللّه بن محرز بياع القلانس،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إلي رجل </w:t>
      </w:r>
    </w:p>
    <w:p>
      <w:pPr>
        <w:pStyle w:val="BookText"/>
        <w:rPr/>
      </w:pPr>
      <w:r>
        <w:rPr>
          <w:rFonts w:ascii="Amiri" w:hAnsi="Amiri" w:eastAsia="Amiri" w:cs="Amiri"/>
          <w:color w:val="111111"/>
          <w:sz w:val="28"/>
          <w:sz w:val="28"/>
          <w:szCs w:val="28"/>
          <w:rtl w:val="true"/>
          <w:lang w:bidi="ar-SA"/>
        </w:rPr>
        <w:t xml:space="preserve">وترك خمسمائة درهم أو ستمائة درهم وترك ابنة،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عصبة بالشام، فسألت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الابنة النصف والعصبة النصف الآخر ، فلما قدمت الكوفة أخبرت أصحابنا بقوله،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فأعطيت الابنة النصف الآخر، ثم حججت فلقيت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أصحابنا، وأخبرته أني دفعت النصف الآخر إلى الابنة،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اختلت الجهة عمل بقول الأصحاب وأقرّه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المستند في حجّية الخبر الواحد السيرة العقلائية فالخبر المعتبر المعرض عنه غير حجّة عند العقلاء، وإلا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دليل حجّية الخبر هي السيرة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ينافي مختاره؛ حيث إنَّهُ يمكن دعوى عدم عملهم بالخبر المعرض عنه إنْ كانت العمدة في حجّية الخبر السيرة العقلائية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كان مستند الحجّية إطلاقات الأدلة اللفظية كتاباً أو سنة، فهي مطلقة تشمل الخبر المعرض عنه، إلا أنْ يقال بالانصراف؛ لقرينة الارتكازات العقلائية، إلا أنَّ الانصراف عهدته على مدعيه</w:t>
      </w:r>
      <w:r>
        <w:rPr>
          <w:rFonts w:eastAsia="Amiri" w:cs="Amiri" w:ascii="Amiri" w:hAnsi="Amiri"/>
          <w:color w:val="111111"/>
          <w:sz w:val="28"/>
          <w:szCs w:val="28"/>
          <w:rtl w:val="true"/>
          <w:lang w:bidi="ar-SA"/>
        </w:rPr>
        <w:t xml:space="preserve">. </w:t>
      </w:r>
      <w:bookmarkStart w:id="37" w:name="pg15601_166494"/>
    </w:p>
    <w:p>
      <w:pPr>
        <w:pStyle w:val="Heading4"/>
        <w:numPr>
          <w:ilvl w:val="3"/>
          <w:numId w:val="1"/>
        </w:numPr>
        <w:rPr/>
      </w:pPr>
      <w:bookmarkStart w:id="38" w:name="__RefHeading___Toc10000053_2142443653"/>
      <w:bookmarkStart w:id="39" w:name="_Toc14"/>
      <w:bookmarkEnd w:id="37"/>
      <w:bookmarkEnd w:id="38"/>
      <w:r>
        <w:rPr>
          <w:rtl w:val="true"/>
        </w:rPr>
        <w:t>شروط مسقطية الإعراض</w:t>
      </w:r>
      <w:bookmarkEnd w:id="39"/>
    </w:p>
    <w:p>
      <w:pPr>
        <w:pStyle w:val="BookText"/>
        <w:rPr/>
      </w:pPr>
      <w:r>
        <w:rPr>
          <w:rFonts w:ascii="Amiri" w:hAnsi="Amiri" w:eastAsia="Amiri" w:cs="Amiri"/>
          <w:color w:val="111111"/>
          <w:sz w:val="28"/>
          <w:sz w:val="28"/>
          <w:szCs w:val="28"/>
          <w:rtl w:val="true"/>
          <w:lang w:bidi="ar-SA"/>
        </w:rPr>
        <w:t>وقد ذكرت لمسقطية الإعراض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الإعراض ثابتاً لدى قدماء الأصحاب، القريب عهدهم من عهد الغيبة الصغرى، كالكليني والصدوق، ولكن الإعراض عند المتأخرين لا يوجب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إعراضهم وليد إعمال نظر واجتهاد، أمّا لو كان كلامهم ظاهراً في الاجتهاد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الروايات بمرأى منهم ومسمع، أمّا لو احتمل عدم اطلاعهم على الرواية فلا يكون إعراضهم موهناً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 إلى ما ذكرنا ما ذكره صاحب الجواهر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من عدم اجتماع الروايات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بحاجة إلى تتبع وتأمّل أكثر</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0000055_2142443653"/>
      <w:bookmarkStart w:id="41" w:name="_Toc15"/>
      <w:bookmarkEnd w:id="40"/>
      <w:r>
        <w:rPr>
          <w:rtl w:val="true"/>
        </w:rPr>
        <w:t>الدليل الرابع</w:t>
      </w:r>
      <w:r>
        <w:rPr>
          <w:rtl w:val="true"/>
        </w:rPr>
        <w:t xml:space="preserve">: </w:t>
      </w:r>
      <w:r>
        <w:rPr>
          <w:rtl w:val="true"/>
        </w:rPr>
        <w:t>العقل</w:t>
      </w:r>
      <w:bookmarkEnd w:id="41"/>
    </w:p>
    <w:p>
      <w:pPr>
        <w:pStyle w:val="Heading3"/>
        <w:numPr>
          <w:ilvl w:val="2"/>
          <w:numId w:val="1"/>
        </w:numPr>
        <w:rPr/>
      </w:pPr>
      <w:bookmarkStart w:id="42" w:name="__RefHeading___Toc10000057_2142443653"/>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الدليل الرابع</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Heading3"/>
        <w:numPr>
          <w:ilvl w:val="2"/>
          <w:numId w:val="1"/>
        </w:numPr>
        <w:rPr/>
      </w:pPr>
      <w:bookmarkStart w:id="44" w:name="__RefHeading___Toc10000059_2142443653"/>
      <w:bookmarkStart w:id="45" w:name="_Toc17"/>
      <w:bookmarkEnd w:id="44"/>
      <w:r>
        <w:rPr>
          <w:rtl w:val="true"/>
        </w:rPr>
        <w:t>تقريبات الاستدلال بالعقل على حجية الخبر الواحد</w:t>
      </w:r>
      <w:bookmarkEnd w:id="45"/>
    </w:p>
    <w:p>
      <w:pPr>
        <w:pStyle w:val="Heading4"/>
        <w:numPr>
          <w:ilvl w:val="3"/>
          <w:numId w:val="1"/>
        </w:numPr>
        <w:rPr/>
      </w:pPr>
      <w:bookmarkStart w:id="46" w:name="__RefHeading___Toc10000061_2142443653"/>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وقد ذكرت في المقام تقريبات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000063_2142443653"/>
      <w:bookmarkStart w:id="49" w:name="_Toc19"/>
      <w:bookmarkEnd w:id="48"/>
      <w:r>
        <w:rPr>
          <w:rtl w:val="true"/>
        </w:rPr>
        <w:t>التقريب الأول</w:t>
      </w:r>
      <w:r>
        <w:rPr>
          <w:rtl w:val="true"/>
        </w:rPr>
        <w:t xml:space="preserve">: </w:t>
      </w:r>
      <w:r>
        <w:rPr>
          <w:rtl w:val="true"/>
        </w:rPr>
        <w:t>دليل الانسداد الصغير</w:t>
      </w:r>
      <w:bookmarkEnd w:id="49"/>
    </w:p>
    <w:p>
      <w:pPr>
        <w:pStyle w:val="Heading5"/>
        <w:numPr>
          <w:ilvl w:val="4"/>
          <w:numId w:val="1"/>
        </w:numPr>
        <w:rPr/>
      </w:pPr>
      <w:bookmarkStart w:id="50" w:name="__RefHeading___Toc10000065_2142443653"/>
      <w:bookmarkStart w:id="51" w:name="_Toc20"/>
      <w:bookmarkEnd w:id="50"/>
      <w:r>
        <w:rPr>
          <w:rtl w:val="true"/>
        </w:rPr>
        <w:t>اشارة</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اعتمده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عنه، ويمكن أنْ نسميه بدليل الصغير</w:t>
      </w:r>
      <w:r>
        <w:rPr>
          <w:rFonts w:eastAsia="Amiri" w:cs="Amiri" w:ascii="Amiri" w:hAnsi="Amiri"/>
          <w:color w:val="111111"/>
          <w:sz w:val="28"/>
          <w:szCs w:val="28"/>
          <w:rtl w:val="true"/>
          <w:lang w:bidi="ar-SA"/>
        </w:rPr>
        <w:t xml:space="preserve">. </w:t>
      </w:r>
      <w:bookmarkStart w:id="52" w:name="pg15601_166495"/>
    </w:p>
    <w:p>
      <w:pPr>
        <w:pStyle w:val="BookText"/>
        <w:rPr/>
      </w:pPr>
      <w:bookmarkEnd w:id="52"/>
      <w:r>
        <w:rPr>
          <w:rFonts w:ascii="Amiri" w:hAnsi="Amiri" w:eastAsia="Amiri" w:cs="Amiri"/>
          <w:color w:val="111111"/>
          <w:sz w:val="28"/>
          <w:sz w:val="28"/>
          <w:szCs w:val="28"/>
          <w:rtl w:val="true"/>
          <w:lang w:bidi="ar-SA"/>
        </w:rPr>
        <w:t>الانسداد ومؤداه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بصدور كثير ممّا بأيدينا من الأخبار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الشيخ الأعظم</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الأخبار معلومة الصدور بالعلم الإجمالي، ومقتضاه لزوم الاحتياط في جميع الأخبار، لكن بما أنَّ الاحتياط الكلي غير ممكن يتنزل العقل عن الموافقة القطعية إلى الموافقة الظنية بأنْ نعمل بمظنون الصدور، أي لعدم إمكان تحصيل الواقع بالعلم يتنزل العقل بالتحصيل الظني للواقع</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0000067_2142443653"/>
      <w:bookmarkStart w:id="54" w:name="_Toc21"/>
      <w:bookmarkEnd w:id="53"/>
      <w:r>
        <w:rPr>
          <w:rtl w:val="true"/>
        </w:rPr>
        <w:t>وأورد عليه إشكالات</w:t>
      </w:r>
      <w:bookmarkEnd w:id="54"/>
    </w:p>
    <w:p>
      <w:pPr>
        <w:pStyle w:val="Heading6"/>
        <w:numPr>
          <w:ilvl w:val="5"/>
          <w:numId w:val="1"/>
        </w:numPr>
        <w:rPr/>
      </w:pPr>
      <w:bookmarkStart w:id="55" w:name="__RefHeading___Toc10000069_2142443653"/>
      <w:bookmarkStart w:id="56" w:name="_Toc22"/>
      <w:bookmarkEnd w:id="55"/>
      <w:r>
        <w:rPr>
          <w:rtl w:val="true"/>
        </w:rPr>
        <w:t>الإشكال الأوّل</w:t>
      </w:r>
      <w:bookmarkEnd w:id="56"/>
    </w:p>
    <w:p>
      <w:pPr>
        <w:pStyle w:val="BookText"/>
        <w:rPr/>
      </w:pP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وينحل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بالأخبار الصادرة معلّل باشتمالها على الأحكام الواقعية الواجبة الامتثال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الإجمالي بالتكاليف الواقعية خاصاً بالأخبار المروية، بل يشمل الإجماعات والشهرات وسائر الأمارات الظنية، فالامتثال الواجب للعلم الإجمالي بالتكاليف الواقعية لا يخص الأخبار الواردة، بل يشمل جميع الأمارات الظنية، فيجب الاحتياط إنْ أمكن في جميعها وإنْ لم يمكن الاحتياط والتحصيل القطعي للواقع يتنزل العقل إلى وجوب امتثال ما يظن أنَّهُ حُكم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الوجه المذكور ليس حجّية خصوص الأخبار الظنية، بل حجّية جميع الأمارات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الكبير الذي أطرافه جميع الأمارات الظنية إلى العلم الإجمالي الصغير الذي أطرافه خصوص الأخبار الصادرة، ومع انحلال العلم الإجمالي الكبير إلى العلم الإجمالي الصغير لا يكون العلم الإجمالي الكبير منجزاً، كما لو علم بوجود الدم في البيت ثم علم بأنَّ في الغرفة دم، فالعلم الإجمالي الكبير ينحل إلى العلم الإجمالي الصغير والشك البدوي في سائر نقاط البيت، فتجري أصالة الطهارة أو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w:t>
      </w:r>
      <w:r>
        <w:rPr>
          <w:rStyle w:val="FootnoteAnchor"/>
          <w:rtl w:val="true"/>
        </w:rPr>
        <w:footnoteReference w:id="38"/>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الكبير إنَّما ينحل إلى العلم الإجمالي الصغير إذا لم يبق العلم الإجمالي الكبير بعد عزل المقدار المعلوم في دائرة 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في البيت خمس قطرات من الدم، ثم علم أنَّ في الغرفة قطرات من الدم ووجدها فيها، إنَّما ينحل العلم الإجمالي الكبير إلى العلم الإجمالي الصغير إذا لم يبق علم إجمالي في ما سوى هذه المحدودة بعد عزل هذه القطرات في أطراف 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بقي العلم الإجمالي الكبير ثابتاً فيما سوى المحدودة، حتى بعد عزل المقدار المعلوم في محدودة العلم الإجمالي الصغير، فلا ينحل العلم الإجمالي الكبير، بل كان عندنا في الواقع علمان إجماليان صغير وكبير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هذا القبيل، فعندنا علم إجمالي كبير أطرافه كل الأمارات </w:t>
      </w:r>
    </w:p>
    <w:p>
      <w:pPr>
        <w:pStyle w:val="BookText"/>
        <w:rPr/>
      </w:pPr>
      <w:r>
        <w:rPr>
          <w:rFonts w:ascii="Amiri" w:hAnsi="Amiri" w:eastAsia="Amiri" w:cs="Amiri"/>
          <w:color w:val="111111"/>
          <w:sz w:val="28"/>
          <w:sz w:val="28"/>
          <w:szCs w:val="28"/>
          <w:rtl w:val="true"/>
          <w:lang w:bidi="ar-SA"/>
        </w:rPr>
        <w:t>الظنية، وعندنا علم إجمالي صغير أطرافه خصوص الأخبار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عزل الروايات المظنونة الصدور للعمل بها لا يبقى عندنا علم إجمالي صغير؛ حيث لا نعلم بوجود رواية متضمنة للحكم الإلهي خارج هذه الروايات المظنونة، ففي دائرة العلم الإجمالي الصغير ينحل العلم الإجمالي إلى الأقل المتيقن والأكثر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العزل والانحلال تبقى عندنا بقية الروايات وسائر الأمارات الظنية، فهل هنالك احتمال أنْ تكون كلها مخالفة للواقع، ولا يحتمل وجود حكم واقعي فيها؟ كلا، فإنَّهُ بعد انحلال العلم الإجمالي الصغير يبقى العلم الإجمالي الكبير موجوداً، فلا بد من الاحتياط في جميع الأمارات الظنية لا خصوص الأخبار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باق بعد الانحلال وهو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صاحب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يعلم إجمالاً بصدور كثير ممّا بأيدينا من الأخبار من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وافٍ بمعظم الفقه، بحيث لو علم تفصيلاً ذاك المقدار لانحلّ علمنا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عزل المقدار المعلوم بالإجمال عن الأخبار المأثورة، وضم سائر الأخبار إلى باقي الأمارات الظنية يتحول العلم الإجمالي إلى علم تفصيلي وشك بدوي، والمشكوك بالشك البدوي في دائرة العلم الإجمالي الكبير مجراه البراءة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الكبير ينحل إلى العلم الإجمالي </w:t>
      </w:r>
    </w:p>
    <w:p>
      <w:pPr>
        <w:pStyle w:val="BookText"/>
        <w:rPr/>
      </w:pPr>
      <w:r>
        <w:rPr>
          <w:rFonts w:ascii="Amiri" w:hAnsi="Amiri" w:eastAsia="Amiri" w:cs="Amiri"/>
          <w:color w:val="111111"/>
          <w:sz w:val="28"/>
          <w:sz w:val="28"/>
          <w:szCs w:val="28"/>
          <w:rtl w:val="true"/>
          <w:lang w:bidi="ar-SA"/>
        </w:rPr>
        <w:t>الصغير، وبعد الانحلال يشك بالشبهة البدوية في وجود حكم فيما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الانحلال خلاف الوجدان، حيث لا يحتمل وجداناً أنْ تكون كل مؤديات الأخبار المتبقية، وسائر الأمارات بعد الانحلال مخالفة للواقع، فالعلم الإجمالي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وجّه في النهاية</w:t>
      </w:r>
      <w:r>
        <w:rPr>
          <w:rStyle w:val="FootnoteAnchor"/>
          <w:rtl w:val="true"/>
        </w:rPr>
        <w:footnoteReference w:id="40"/>
      </w:r>
      <w:r>
        <w:rPr>
          <w:rFonts w:ascii="IRNazanin" w:hAnsi="IRNazanin" w:eastAsia="IRNazanin"/>
          <w:color w:val="111111"/>
          <w:sz w:val="28"/>
          <w:sz w:val="28"/>
          <w:szCs w:val="28"/>
          <w:rtl w:val="true"/>
          <w:lang w:bidi="fa-IR"/>
        </w:rPr>
        <w:t>والمنتقى</w:t>
      </w:r>
      <w:r>
        <w:rPr>
          <w:rStyle w:val="FootnoteAnchor"/>
          <w:rtl w:val="true"/>
        </w:rPr>
        <w:footnoteReference w:id="41"/>
      </w:r>
      <w:r>
        <w:rPr>
          <w:rFonts w:ascii="Amiri" w:hAnsi="Amiri" w:eastAsia="Amiri" w:cs="Amiri"/>
          <w:color w:val="111111"/>
          <w:sz w:val="28"/>
          <w:sz w:val="28"/>
          <w:szCs w:val="28"/>
          <w:rtl w:val="true"/>
          <w:lang w:bidi="ar-SA"/>
        </w:rPr>
        <w:t>كلام الكفاية، وربما يستفاد ذلك من حاشية الكفاية</w:t>
      </w:r>
      <w:r>
        <w:rPr>
          <w:rStyle w:val="FootnoteAnchor"/>
          <w:rtl w:val="true"/>
        </w:rPr>
        <w:footnoteReference w:id="4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نرى ما هو ملاك عدم انحلال العلم الإجمالي؟ إنْ كان ملاك عدم الانحلال وجود العلم الإجمالي بعد العزل والضم، فما ذكره الشيخ الأعظم تام لبقاء العلم الإجمالي في الدائرة الكبيرة بعد العزل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ملاكاً، بل الملاك زيادة عدد المعلوم بالعلم الإجمالي الكبير على المعلوم بالعلم الإجمالي الصغير، فإنْ كان المعلوم بالعلم الإجمالي الكبير زائداً على المعلوم بالعلم الإجمالي الصغير فلا ينحل العلم، وإلا فينحل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نحتمل أنَّ المعلوم بالإجمال الكبير منطبق على المعلوم بالإجمال الصغير، فالعلم الكبير لا ينحل، وإنْ احتملنا أنَّ المعلوم بالإجمال الكبير منطبق على المعلوم بالإجمال الصغير، فالعلم الإجمالي الكبير منحل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الضابطة وجود العلم الإجمالي، بل الضابطة الزيادة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نحن فيه، فبعد عزل المقدار المعلوم بالإجمال في دائرة المعلوم الصغير لا يبقى عندنا علم بوجود تكليف زائد على المعلوم بالإجمال الصغير في باقي الأخبار وسائر الأمارات؛ لاحتمال اتفاق مضمون سائر الأمارات المطابقة للواقع مع الأخبار الصادرة، وأمّا ما ليس متفقاً معها فلا يعلم إجمالاً بوجود ما يطابق الواقع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لعدم زيادة المعلوم بالإجمال الكبير على المعلوم بالإجمال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فتطبيق ضابط عدم الانحلال</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الخلط بين العلم بمطابقة بعض الأمارات، وباقي الأخبار للواقع</w:t>
      </w:r>
      <w:r>
        <w:rPr>
          <w:rStyle w:val="FootnoteAnchor"/>
          <w:rtl w:val="true"/>
        </w:rPr>
        <w:footnoteReference w:id="44"/>
      </w:r>
      <w:r>
        <w:rPr>
          <w:rFonts w:ascii="Amiri" w:hAnsi="Amiri" w:eastAsia="Amiri" w:cs="Amiri"/>
          <w:color w:val="111111"/>
          <w:sz w:val="28"/>
          <w:sz w:val="28"/>
          <w:szCs w:val="28"/>
          <w:rtl w:val="true"/>
          <w:lang w:bidi="ar-SA"/>
        </w:rPr>
        <w:t>، وبين العلم بثبوت تكليف زائد بينها</w:t>
      </w:r>
      <w:r>
        <w:rPr>
          <w:rStyle w:val="FootnoteAnchor"/>
          <w:rtl w:val="true"/>
        </w:rPr>
        <w:footnoteReference w:id="45"/>
      </w:r>
      <w:r>
        <w:rPr>
          <w:rFonts w:ascii="Amiri" w:hAnsi="Amiri" w:eastAsia="Amiri" w:cs="Amiri"/>
          <w:color w:val="111111"/>
          <w:sz w:val="28"/>
          <w:sz w:val="28"/>
          <w:szCs w:val="28"/>
          <w:rtl w:val="true"/>
          <w:lang w:bidi="ar-SA"/>
        </w:rPr>
        <w:t>على المقدار المعلوم بالإجمال بين الأخبار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العزل والضم لا يعلم بوجود تكليف جديد بين باقي الأخبار، وسائر الأمارات الظنية زيادة على ما تنجز في ذمة المكلف بالعلم الإجمالي الصغير، وعمل المكلف بمقتضاها، بل هو شك بدوي مجراه البراءة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المعلوم بالإجمال الكبير محتمل الانطباق على المعلوم بالإجمال </w:t>
      </w:r>
    </w:p>
    <w:p>
      <w:pPr>
        <w:pStyle w:val="BookText"/>
        <w:rPr/>
      </w:pPr>
      <w:r>
        <w:rPr>
          <w:rFonts w:ascii="Amiri" w:hAnsi="Amiri" w:eastAsia="Amiri" w:cs="Amiri"/>
          <w:color w:val="111111"/>
          <w:sz w:val="28"/>
          <w:sz w:val="28"/>
          <w:szCs w:val="28"/>
          <w:rtl w:val="true"/>
          <w:lang w:bidi="ar-SA"/>
        </w:rPr>
        <w:t>الصغير، فينحل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احتمال انطباق مورد العلم الإجمالي الكبير على مورد العلم الإجمالي الصغير يوجب قصور العلم الإجمالي الكبير عن تعلقه بتكاليف فعلية، زيادة على ما في مؤديات الروايات، فهو من قبيل ما لو علم بوجود غنم موطوء في قطيع الغنم، وبوجود غنم مغصوب في ذلك القطيع، مع احتمال أنْ يكون المغصوب هو الموطوء، فلو علم تفصيلاً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ذلك الموطوء لم يبق إلا احتمال المغصوب فيما عداه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فدعوى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والحاشية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إلى العلم الإجمالي الصغير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بنائية، والأخرى مبنائية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المبنائي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كبرى انحلال العلم الإجمالي الكبير إلى العلم الإجمالي الصغير في أمثال المقام تامة؟</w:t>
      </w:r>
    </w:p>
    <w:p>
      <w:pPr>
        <w:pStyle w:val="BookText"/>
        <w:rPr/>
      </w:pPr>
      <w:r>
        <w:rPr>
          <w:rFonts w:ascii="Amiri" w:hAnsi="Amiri" w:eastAsia="Amiri" w:cs="Amiri"/>
          <w:color w:val="111111"/>
          <w:sz w:val="28"/>
          <w:sz w:val="28"/>
          <w:szCs w:val="28"/>
          <w:rtl w:val="true"/>
          <w:lang w:bidi="ar-SA"/>
        </w:rPr>
        <w:t>أنكر ذلك جمع من المحققين منهم المحقق النائيني، وسيأتي بحثه في مباحث البراءة إن شاء اللّه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البنائي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عندنا علم إجمالي بأنَّ بعض المتبقي بعد العزلين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عزل مقدار المعلوم بالإجمال من دائرة الإجمال الصغير، وعزل ما يطابقها في المحتوى في دائرة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للواقع؟ </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عندنا علم إجمالي بأنَّ بعض الأمارات المتبقية بعد العزلين التي لا توجد رواية في موردها، مطابقة للواقع وفيها تكليف إلزامي؟</w:t>
      </w:r>
    </w:p>
    <w:p>
      <w:pPr>
        <w:pStyle w:val="BookText"/>
        <w:rPr/>
      </w:pPr>
      <w:r>
        <w:rPr>
          <w:rFonts w:ascii="Amiri" w:hAnsi="Amiri" w:eastAsia="Amiri" w:cs="Amiri"/>
          <w:color w:val="111111"/>
          <w:sz w:val="28"/>
          <w:sz w:val="28"/>
          <w:szCs w:val="28"/>
          <w:rtl w:val="true"/>
          <w:lang w:bidi="ar-SA"/>
        </w:rPr>
        <w:t xml:space="preserve">فإنْ كان هنالك علم إجمالي فمدعى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الاحتياط في جميع الأمارات الظنية ؛ لعدم انحلال العلم الإجمالي؛ لزيادة المعلوم بالإجمال الكبير على المعلوم بالإجمال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الأعلام اختاروا عدم وجود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أظن أنْ يوجب الضم 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المعلوم بالإجمال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الشيخ الأجل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الكفاية يخرج من مجرد الدعوى إلى كلام رصين متين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علم إجمالي بمطابقة الأمارات غير المعتبرة للواقع، فيما لم يكن مطابقاً للأخبار الموجودة في الكتب المعتبرة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منع العلم زائداً على ما حصل لنا في الأخبار الصادرة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أي أن التكليف المغاير لا يتعلق به علم إجمالي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أجود التقريرات</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علم إجمالي </w:t>
      </w:r>
    </w:p>
    <w:p>
      <w:pPr>
        <w:pStyle w:val="BookText"/>
        <w:rPr/>
      </w:pPr>
      <w:r>
        <w:rPr>
          <w:rFonts w:ascii="Amiri" w:hAnsi="Amiri" w:eastAsia="Amiri" w:cs="Amiri"/>
          <w:color w:val="111111"/>
          <w:sz w:val="28"/>
          <w:sz w:val="28"/>
          <w:szCs w:val="28"/>
          <w:rtl w:val="true"/>
          <w:lang w:bidi="ar-SA"/>
        </w:rPr>
        <w:t xml:space="preserve">بمطابقة بعض الأمارات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لإحراز وجود التكاليف في موارد بقية الطرق لا تدل عليها الأخبار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فاتفق الأعلام على القول بعدم وجود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المسألة بحاجة إلى تأمّل أكثر، فهل يحتمل أنْ يكون كل ما تبقى من الإجماعات والشهرات وغيرها مخالفاً للواقع، ألا يوجد علم إجمالي بمطابقة بعضها التي لا يوجد بمضمونها الخبر للواقع؟</w:t>
      </w:r>
    </w:p>
    <w:p>
      <w:pPr>
        <w:pStyle w:val="BookText"/>
        <w:rPr/>
      </w:pPr>
      <w:r>
        <w:rPr>
          <w:rFonts w:ascii="Amiri" w:hAnsi="Amiri" w:eastAsia="Amiri" w:cs="Amiri"/>
          <w:color w:val="111111"/>
          <w:sz w:val="28"/>
          <w:sz w:val="28"/>
          <w:szCs w:val="28"/>
          <w:rtl w:val="true"/>
          <w:lang w:bidi="ar-SA"/>
        </w:rPr>
        <w:t>قال بعض المعاصرين عن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الفقه تسعين مسألة مسلمة، تلقاها الأصحاب قديماً وحديثاً بالقبول، ولا دليل على هذه المسائل إلا الشهرة الفتوائية، فلا توجد رواية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السيد البروجردي لم يعين تلك المسائل، واحتمل أنْ يكون الكثير منها متعلقاً بباب الفرائض، وقد مرّ في الشهرة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 هذا الكلام أفهل يحتمل أنْ تكون كل هذه المسائل مخالفة للواقع، أو يعلم بموافقة بعضها 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وجود علم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العلم الإجمالي الصغير، وما يطابقه من دائرة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بمطابقة المتبقي للواقع، فكلام الشيخ تام، ولا ينحل العلم الإجمالي، ويجب الاحتياط في دائرة العلم الإجمالي الكبير، كما وجب الاحتياط في دائرة العلم الإجمالي الصغير</w:t>
      </w:r>
      <w:r>
        <w:rPr>
          <w:rFonts w:eastAsia="Amiri" w:cs="Amiri" w:ascii="Amiri" w:hAnsi="Amiri"/>
          <w:color w:val="111111"/>
          <w:sz w:val="28"/>
          <w:szCs w:val="28"/>
          <w:rtl w:val="true"/>
          <w:lang w:bidi="ar-SA"/>
        </w:rPr>
        <w:t xml:space="preserve">. </w:t>
      </w:r>
      <w:bookmarkStart w:id="57" w:name="pg15601_166503"/>
    </w:p>
    <w:p>
      <w:pPr>
        <w:pStyle w:val="Heading6"/>
        <w:numPr>
          <w:ilvl w:val="5"/>
          <w:numId w:val="1"/>
        </w:numPr>
        <w:rPr/>
      </w:pPr>
      <w:bookmarkStart w:id="58" w:name="__RefHeading___Toc10000071_2142443653"/>
      <w:bookmarkStart w:id="59" w:name="_Toc23"/>
      <w:bookmarkEnd w:id="57"/>
      <w:bookmarkEnd w:id="58"/>
      <w:r>
        <w:rPr>
          <w:rtl w:val="true"/>
        </w:rPr>
        <w:t>الإشكال الثاني</w:t>
      </w:r>
      <w:bookmarkEnd w:id="59"/>
    </w:p>
    <w:p>
      <w:pPr>
        <w:pStyle w:val="BookText"/>
        <w:rPr/>
      </w:pP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مقتضى العلم الإجمالي العمل بكل خبر ظن بصدوره، وإنَّما مقتضاه العمل بكل خبر ظن بمطابقة مؤداه للواقع، والنسبة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الخبر مظنون الصدور ولا يكون مظنون المطابقة للواقع، كهذه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عكنة</w:t>
      </w:r>
      <w:r>
        <w:rPr>
          <w:rStyle w:val="FootnoteAnchor"/>
          <w:rtl w:val="true"/>
        </w:rPr>
        <w:footnoteReference w:id="56"/>
      </w:r>
      <w:r>
        <w:rPr>
          <w:rFonts w:ascii="Amiri" w:hAnsi="Amiri" w:eastAsia="Amiri" w:cs="Amiri"/>
          <w:color w:val="111111"/>
          <w:sz w:val="28"/>
          <w:sz w:val="28"/>
          <w:szCs w:val="28"/>
          <w:rtl w:val="true"/>
          <w:lang w:bidi="ar-SA"/>
        </w:rPr>
        <w:t>في قفا أبي يمر عليها يده، وسألته عن الوضوء يمسح الرأس مقدمه ومؤخره،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عكنة في رقبة أبي يمسح عليها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أنَّ الخبر مظنون الصدور، إلا أنَّهُ ليس مظنون المطابقة للواقع؛ لاحتمال كونه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النورة باب التخلي صرح بعض العلماء بأنَّ الخبر صحيح، ولكن مضمونه ينادي بكذبه، فالقرائن الخارجية تدل على عدم مطابقة المضمون للواقع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الخبر مظنون المطابقة للواقع، ولا يكون مظنون الصدور، كخبر رواه كذاب كسمرة، ولكن عمل المشهور بمضمونه لا بنفسه، أي الشهرة الفتوائية لا العملية، فالخبر مظنون المطابقة للواقع؛ لعمل </w:t>
      </w:r>
    </w:p>
    <w:p>
      <w:pPr>
        <w:pStyle w:val="BookText"/>
        <w:rPr/>
      </w:pPr>
      <w:r>
        <w:rPr>
          <w:rFonts w:ascii="Amiri" w:hAnsi="Amiri" w:eastAsia="Amiri" w:cs="Amiri"/>
          <w:color w:val="111111"/>
          <w:sz w:val="28"/>
          <w:sz w:val="28"/>
          <w:szCs w:val="28"/>
          <w:rtl w:val="true"/>
          <w:lang w:bidi="ar-SA"/>
        </w:rPr>
        <w:t>المشهور، ولكن نفس الخبر لا يكون مظنون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مقتضى العلم الإجمالي المذكور العمل بكل خبر ظن بمضمونه، لا كل خبر ظن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وجوب نفسي للعمل بالأخبار، وإنَّما هو وجوب مقدمي؛ لامتثال الأحكام الإلهية الواقعية، فالملاك العلم بوجود تكاليف إلهية واقعية، فإنْ تمكنا من تحصيل الأحكام الواقعية عن طريق العلم يجب علينا ذلك بمقتضى العلم الإجمالي، وإلا فنتنزل إلى التحصيل الظني للأحكام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فالملاك هو العمل بكل خبر ظن بمطابقة مضمونه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صاحب الكفاية في الحاشية</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للعمل بكل خبر ظن بصدوره أو بمضمونه، فليس الظن بالصدور ملاكاً كما قاله المستدل، ولا الظن بالمضمون كما قاله الشيخ الأعظم، وإنَّما مقتضى العلم الإجمالي العمل بكل خبر، سواء أثبت الخبر تكليفاً أم نفى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ذكره في الخبر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يصل الأمر إلى حد الضرر والحرج أو نظائرهما، فمقتضى العلم الإجمالي العمل بالخبر حتى لو لم يكن مظنون الصدور؛ للعلم بوجود أحكام إلهية في ضمن هذه المجموعة من الأخبار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أضرب الشيخ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w:t>
      </w:r>
    </w:p>
    <w:p>
      <w:pPr>
        <w:pStyle w:val="BookText"/>
        <w:rPr/>
      </w:pPr>
      <w:r>
        <w:rPr>
          <w:rFonts w:ascii="Amiri" w:hAnsi="Amiri" w:eastAsia="Amiri" w:cs="Amiri"/>
          <w:color w:val="111111"/>
          <w:sz w:val="28"/>
          <w:sz w:val="28"/>
          <w:szCs w:val="28"/>
          <w:rtl w:val="true"/>
          <w:lang w:bidi="ar-SA"/>
        </w:rPr>
        <w:t>يدعى وجوب العمل بكل خبر منها مع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وإشكاله في الحاشية متين، ولكنه يحتاج إلى مكمل،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بكل خبر مع إدراج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مجموع الأخبار مائة، ومجموع المقدورات تسعين، ومجموع المظنونات ثمانين، فلا بد من درج المظنون في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الحالة الأولية هي العمل بجميع أطراف العلم الإجمالي، وحيث لا يمكن فلا بد من العمل بتسعين منها، بأنْ ندرج الثمانين المظنونة بالإضافة إلى العشرة غير المظنونة في المقدورات، لا أنْ نعمل بعشرين موهوماً وسبعين مظنوناً؛ وذلك لقبح ترجيح المرجوح على الراجح؛ لأنَّ في العشرة يدور الأمر بين تحصيل الواقع ظناً أو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فكلام الحاشية وإضراب الشيخ لا إطلاق فيه من حيث وجوب العمل بكل خبر، إلا أنْ يوجد محذور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أيضاً</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تأسيس حجّية الخبر الواحد، ومقتضى الوجه الأوّل العمل به من باب الاحتياط ومفهومه مغاير لمفهومها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فروق بين القول بوجوب العمل بالخبر من باب الحجّية، وبين القول بوجوبه من باب الاحتياط، وهي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خبر في قبال الأصول اللفظية، فإنْ كان حجّة أمكنه </w:t>
      </w:r>
    </w:p>
    <w:p>
      <w:pPr>
        <w:pStyle w:val="BookText"/>
        <w:rPr/>
      </w:pPr>
      <w:r>
        <w:rPr>
          <w:rFonts w:ascii="Amiri" w:hAnsi="Amiri" w:eastAsia="Amiri" w:cs="Amiri"/>
          <w:color w:val="111111"/>
          <w:sz w:val="28"/>
          <w:sz w:val="28"/>
          <w:szCs w:val="28"/>
          <w:rtl w:val="true"/>
          <w:lang w:bidi="ar-SA"/>
        </w:rPr>
        <w:t>تخصيص العمومات وتقييد المطلقات، كتقييد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ربا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لو عمل بالخبر من باب الاحتياط فلا ينهض أمام الأصول اللفظية للتقييد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حجّيته، لأنّه إنّما يعمل به من باب الاحتياط، لكنه مخالف للاحتياط، فلا يمكن أنْ يقال اعملوا بالخبر الذي مفاده مخالف للاحتياط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أن المفاهيم والعمومات والمطلقات حجّة، وهي في رتبة الأدلة الاجتهادية، والاحتياط في رتبة الأصول العملية، فيكون محكوماً أو موروداً للأدلة الاجتهادية، ولا يصلح للقيام في 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العموم ترخيصياً،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ومفاد الخبر بطلان بيع الكالي بالكالي، فلا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العموم القرآني؛ لأنَّ العمل به من باب الاحتياط، وهو محكوم أو مورود بجميع الأدلة الاجتهادية، والإطلاق والعموم دليل اجتهادي، فلا تدع مجالاً للاحتياط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الخوئي علل ذلك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يظهر من بعض </w:t>
      </w:r>
      <w:bookmarkStart w:id="60" w:name="pg15601_166507"/>
    </w:p>
    <w:p>
      <w:pPr>
        <w:pStyle w:val="BookText"/>
        <w:rPr/>
      </w:pPr>
      <w:bookmarkEnd w:id="60"/>
      <w:r>
        <w:rPr>
          <w:rFonts w:ascii="Amiri" w:hAnsi="Amiri" w:eastAsia="Amiri" w:cs="Amiri"/>
          <w:color w:val="111111"/>
          <w:sz w:val="28"/>
          <w:sz w:val="28"/>
          <w:szCs w:val="28"/>
          <w:rtl w:val="true"/>
          <w:lang w:bidi="ar-SA"/>
        </w:rPr>
        <w:t xml:space="preserve">المعاصرين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للعلم الإجمالي بإرادة العموم في بعض العمومات والإطلاقات، وهو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بصدور بعض الأخبار المخصصة والمقيدة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لهذا العلم الإجمالي، لكون متعلقه حكماً غير إلزامي، كما هو المفروض في المقام، كعلمنا بأنَّ أحد الإناءين المشتبهين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نظر؛ لإمكان دعوى عدم العلم الإجمالي بوجود عموم يشمل موارد الأخبار المتضمنة للأحكام غير الإلزامية؛ وذلك لاحتمال أنْ تكون جميع الأخبار المخصصة صادرة ومطابقة للواقع، فالعمومات والإطلاقات لا يراد منها ما يشمل موارد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هذه الموارد التي تضمنتها الأخبار المقيدة والمخصصة لا علم إجمالي بوجود عموم تعلقت به الإرادة الجدية، فلا مجال لهذا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تقريب التقديم أنْ يقال بما قاله بعض المحققين</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أو المطلق حجّة في مدلوله، ولا ترفع اليد عنهما إلا مع قيام حجّة أقوى على الخلاف، وإنّما يؤخذ بأطراف العلم الإجمالي في الأخبار من باب العلم الإجمالي، لا من باب الحجّية حتى تقدم على العمومات من باب تقديم أقوى الحجتين، فيكون المرجع أصالة الإطلاق والعموم</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0000073_2142443653"/>
      <w:bookmarkStart w:id="62" w:name="_Toc24"/>
      <w:bookmarkEnd w:id="61"/>
      <w:r>
        <w:rPr>
          <w:rtl w:val="true"/>
        </w:rPr>
        <w:t>الإشكال الثالث</w:t>
      </w:r>
      <w:r>
        <w:rPr>
          <w:rtl w:val="true"/>
        </w:rPr>
        <w:t xml:space="preserve">: </w:t>
      </w:r>
      <w:r>
        <w:rPr>
          <w:rtl w:val="true"/>
        </w:rPr>
        <w:t>تقديم الأصول العملية المثبتة للتكليف على الأخبار</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الأخبار لا تتمكن من القيام حتى في قبال الأصول العملية المثبتة </w:t>
      </w:r>
    </w:p>
    <w:p>
      <w:pPr>
        <w:pStyle w:val="BookText"/>
        <w:rPr/>
      </w:pPr>
      <w:r>
        <w:rPr>
          <w:rFonts w:ascii="Amiri" w:hAnsi="Amiri" w:eastAsia="Amiri" w:cs="Amiri"/>
          <w:color w:val="111111"/>
          <w:sz w:val="28"/>
          <w:sz w:val="28"/>
          <w:szCs w:val="28"/>
          <w:rtl w:val="true"/>
          <w:lang w:bidi="ar-SA"/>
        </w:rPr>
        <w:t>للتكليف، كما لو كان مقتضى الأصل العملي بقاء نجاسة الماء المتغير بعد زوال التغير، فلو فرض ورود خبر بالطهارة لا يمكن العمل به، لكونه مخالفاً للاحتياط، وقد عمل بالخبر من باب الاحتياط، وتكون النتيجة إلغاء أكثر الأخبار عن دائرة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 الثالث، إنه توجد 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قبال الخبر 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عموماً أم إطلاقاً أم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المحكم، ولا يعمل بالخبر لحكومة الأدلة الاجتهادية أو ورودها على الاحتياط؛ لأنَّ موضوعه الضرر المحتمل فدفعه واجب، ومع وجود الدليل الاجتهادي لا يحتمل الضرر لوجود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هنالك أصل عملي مثبت للتكليف، وكان الخبر نافياً للتكليف، فيلزم العمل بالأصل العملي لا بالخبر النافي؛ لأنَّ العمل بالخبر من باب الاحتياط، ولا احتياط في العمل بالخبر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 وظيفته الإتمام أو القصر، فمقتضى قاعدة الاشتغال الجمع، ومقتضى الخبر عدم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يظهر الفرق بين مسلك الحجّية ومسلك الاحتياط، فعلى مسلك الحجّية ينحل العلم الإجمالي، لأنَّ الدليل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نفي أحد طرفي العلم الإجمالي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مسلك الاحتياط يكون العمل بالخبر النافي مخالفاً للاحتياط، فلا يحق العمل به، وتكون قاعدة الاشتغال محكمة، فيجب الجمع بين طرفي العلم الإجمالي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 في طهارة الماء القليل النجس المتمم كراً بطاهر، فمقتضى الأصل العملي النجاسة، ومقتضى الخبر الطهارة،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كراً لم يحمل خبثاً</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بناء على شموله للدفع والرفع، فالخبر ناف للتكليف، ولا معنى للعمل به احتياطاً، بل هو مخالف للاحتياط، فاستصحاب بقاء النجاسة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 تارة هو العام والمطلق، وتارة هو المخصص والمقيد، وتارة يتخير المكلف فيما بينهما، فإطلاق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المرجع الأدلة الاجتهادية في قبال الخبر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العام حكماً إلزامياً، والخاص حكماً غير إلزامي،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عموم العام، لا الخبر الترخيصي ؛ للعلم الإجمالي بإرادة العموم في بعضها، وذلك مقتضٍ للاحتياط، حيث يعلم إجمالا بأنَّ المراد من بعض العمومات الإلزامية العموم، ومقتضاه الاحتياط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قبال هذا العلم الإجمالي علم إجمالي آخر، وهو العلم إجمالاً بورود تخصيصات ترخيصية على 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للعلم الإجمالي المتعلق بالترخيص، فإنَّ العلم الإجمالي إنّما يكون مؤثراً لو تعلق بالتنجيز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علم بنجاسة أحد الإناءين فيعلم إجمالاً بطهارة أحدهما، ولا أثر </w:t>
      </w:r>
    </w:p>
    <w:p>
      <w:pPr>
        <w:pStyle w:val="BookText"/>
        <w:rPr/>
      </w:pPr>
      <w:r>
        <w:rPr>
          <w:rFonts w:ascii="Amiri" w:hAnsi="Amiri" w:eastAsia="Amiri" w:cs="Amiri"/>
          <w:color w:val="111111"/>
          <w:sz w:val="28"/>
          <w:sz w:val="28"/>
          <w:szCs w:val="28"/>
          <w:rtl w:val="true"/>
          <w:lang w:bidi="ar-SA"/>
        </w:rPr>
        <w:t>للعلم بالطهارة، بل الأثر للعلم بالنجاسة؛ ولذلك يجب الاجتناب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بتحقق العلم بورود تخصيصات ترخيصية للعمومات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بأنْ يكون العام حكماً ترخيصياً، والخاص حكماً إلزامياً،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فالمحكم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ذهب إليه الشيخ الأعظم من العمل بالدليل الاجتهادي في قبال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للعلم الإجمالي بوجود تخصيصات وتقييدات إلزامية للمطلقات والعمومات الاجتهادية، ومقتضاه العمل بجميع الأخبار المقيدة والمخصصة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كل من العام والمطلق، وكذلك الخبر في قبالهما الحكم الإلزامي، كما لو ثبت بالتواتر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 الخبر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الشلمغاني واقع في طرفي العلم الإجمالي المتضاد، فمن جهة نعلم بوجود عمومات تنجيزية يلزم العمل بتمامها، فيلزم إكرامه، ومن جهة أخرى نعلم إجمالاً بوجود مخصصات ومقيدات تنجيزية، ومقتضاها العمل بتمامها، فيلزم عدم إكرامه، فالشلمغاني طرف للعلمين الإجماليين المتضادين، وحيث لا ترجيح فتصل النوبة إلى التخيير بين العمل بالدليل الاجتهادي، وبين العمل بالخبر الذي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لدعوى الشيخ</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على الدعوى الثانية بعدم الإطلاق؛ لأنَّ الأصل المثبت للتكليف تارة يكون من الأصول التي لا تحرز الواقع، وتارة يكون من الأصول </w:t>
      </w:r>
    </w:p>
    <w:p>
      <w:pPr>
        <w:pStyle w:val="BookText"/>
        <w:rPr/>
      </w:pPr>
      <w:r>
        <w:rPr>
          <w:rFonts w:ascii="Amiri" w:hAnsi="Amiri" w:eastAsia="Amiri" w:cs="Amiri"/>
          <w:color w:val="111111"/>
          <w:sz w:val="28"/>
          <w:sz w:val="28"/>
          <w:szCs w:val="28"/>
          <w:rtl w:val="true"/>
          <w:lang w:bidi="ar-SA"/>
        </w:rPr>
        <w:t xml:space="preserve">المحرزة، فإنْ لم يكن الأصل العملي المثبت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مقدم على الخبر النافي، كما 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الأصل محرزاً للواقع كالاستصحاب ففيه مبنيان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مبنى الشيخ والمحقق النائيني عدم جريانه فيما لو كان مثبتاً للتكليف، وتحقق العلم الإجمالي بالخلاف في بعض الأطراف؛ وذلك للزوم التناقض في الصدر والذيل في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عندنا إناءان نجسان، وعلمنا بنزول المطر على أحدهما، فلا يمكن استصحاب نجاستهما، لتعارض الصدر والذيل في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فاستصحاب نجاسة الإناءين معارض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المطلق الشامل لليقين الإجمالي والتفصيلي، وقد علمنا إجمالاً بطهارة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صاحب الكفاية لا مانع من جريان كلا الاستصحابين ما لم يؤد إلى المخالفة العملية القطعية للواقع، وأثر استصحاب نجاسة الإناءين التجنب عن كليهما، بخلاف استصحاب طهارة الإناءين؛ فإنَّ استصحابهما يؤدي إلى المخالفة العملية القطعية للواقع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المبنى الأوّل لو كان الأصل العملي مثبتاً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نجاسة الماء المتمم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المحكم الخبر لا الأصل المثبت للتكليف، لأنّا نعلم إجمالاً بأنَّ الاستصحابات المثبتة للتكليف في الشبهات الحكمية منقوضة، وهي كثيرة وهي بالمئات، ففي أوّل البعثة لم يحرم الكثير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الطعام المحترق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فنشك هل طرأ عليها التحريم أم لا؟ فنعلم إجمالاً بنقض بعض هذه الاستصحابات المثبتة قطعاً بالأدلة التي رفعت </w:t>
      </w:r>
    </w:p>
    <w:p>
      <w:pPr>
        <w:pStyle w:val="BookText"/>
        <w:rPr/>
      </w:pPr>
      <w:r>
        <w:rPr>
          <w:rFonts w:ascii="Amiri" w:hAnsi="Amiri" w:eastAsia="Amiri" w:cs="Amiri"/>
          <w:color w:val="111111"/>
          <w:sz w:val="28"/>
          <w:sz w:val="28"/>
          <w:szCs w:val="28"/>
          <w:rtl w:val="true"/>
          <w:lang w:bidi="ar-SA"/>
        </w:rPr>
        <w:t>الحكم المستصحب، فلا يجري الاستصحاب في جميع أطراف الشبهات الحكمية؛ للزوم التناقض بين الصدر والذيل، فلا بدَّ من العمل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الشيخ المرجع استصحاب المثبت لا الخبر النافي لا 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خروج موضوعي عن مفروض الشيخ الأعظم؛ لأنَّ مفروضه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المرجع الخبر النافي فيما إذا كان في مقابله أصل مثبت، ومفاد هذا الإشكال عدم وجود الأصل المثبت،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بعض المعاصرين وقريب منه ما في المصباح</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مبنى حجّية الأخبار يصح إسناد مؤدياتها إلى المولى بمقتضى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أديا إليك عني فعني يؤديان، وأمّا على مبنى العمل بالأخبار للعلم الإجمالي فلا يصح الإسناد إلى المولى؛ لعدم ثبوت صدور المؤدى عن المولى حتى يسند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حجّية الأخبار بالخصوص يكون لوازم الأخبار ومثبتاتها حجّة؛ لحجّية مثبتات الأدلة الاجتهادية، أو حجّية مثبتات خصوص الأخبار من مجموع الأدلة الاجتهادية على اختلاف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مبنى العلم الإجمالي فلا تكون مثبتات الأخبار الواردة ولوازمها العقلية والعرفية والعادية وآثار لوازمها حجّة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محلّ تأملّ؛ للعلم الإجمالي بثبوت اللوازم، فإنَّ العلم إجمالاً بثبوت الملزومات يستلزم العلم إجمالاً بثبوت اللوازم، فلو كان في اللوازم أو آثارها حكم إلزامي، فيكون معلوماً بالعلم الإجمالي، فيكون منجزاً </w:t>
      </w:r>
      <w:bookmarkStart w:id="63" w:name="pg15601_166513"/>
    </w:p>
    <w:p>
      <w:pPr>
        <w:pStyle w:val="BookText"/>
        <w:rPr/>
      </w:pPr>
      <w:bookmarkEnd w:id="63"/>
      <w:r>
        <w:rPr>
          <w:rFonts w:ascii="Amiri" w:hAnsi="Amiri" w:eastAsia="Amiri" w:cs="Amiri"/>
          <w:color w:val="111111"/>
          <w:sz w:val="28"/>
          <w:sz w:val="28"/>
          <w:szCs w:val="28"/>
          <w:rtl w:val="true"/>
          <w:lang w:bidi="ar-SA"/>
        </w:rPr>
        <w:t>لجميع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التقريب الأوّل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0000075_2142443653"/>
      <w:bookmarkStart w:id="65" w:name="_Toc25"/>
      <w:bookmarkEnd w:id="64"/>
      <w:r>
        <w:rPr>
          <w:rtl w:val="true"/>
        </w:rPr>
        <w:t>التقريب الثاني</w:t>
      </w:r>
      <w:r>
        <w:rPr>
          <w:rtl w:val="true"/>
        </w:rPr>
        <w:t xml:space="preserve">: </w:t>
      </w:r>
      <w:r>
        <w:rPr>
          <w:rtl w:val="true"/>
        </w:rPr>
        <w:t>القطع بالمخالفة في العبادات بترك العمل بأخبار الآحاد</w:t>
      </w:r>
      <w:bookmarkEnd w:id="65"/>
    </w:p>
    <w:p>
      <w:pPr>
        <w:pStyle w:val="BookText"/>
        <w:rPr/>
      </w:pPr>
      <w:r>
        <w:rPr>
          <w:rFonts w:ascii="Amiri" w:hAnsi="Amiri" w:eastAsia="Amiri" w:cs="Amiri"/>
          <w:color w:val="111111"/>
          <w:sz w:val="28"/>
          <w:sz w:val="28"/>
          <w:szCs w:val="28"/>
          <w:rtl w:val="true"/>
          <w:lang w:bidi="ar-SA"/>
        </w:rPr>
        <w:t>ما ذكره الفاضل التوني في الوافية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في الكتب المعتمدة للشيعة، كالكتب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به جمع من غير رد ظاهر، بأن لا يكون مهجوراً أو معرضاً عنه أو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منحل إلى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نقطع ببقاء التكليف إلى يوم القيامة، وخاصة في الأصول الضرورية في العبادات والمعاملات، كالصلاة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شرائط العبادات والمعاملات وأجزائها وموانعها وقواطعها ثابتة بأخبار الآحاد، فلو تركنا أخبار الآحاد نقطع بخروج هذه الأمور عن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أنكر ذلك فإنّما ينكره باللسان، وقلبه مطمئن بالإيمان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ومقتضاهما العمل بجميع الأخبار، للعلم الإجمالي بوجود الأجزاء والشرائط والموانع والقواطع فيها، ونحن مكلفون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إلى الحج من دون الاعتماد على الشرائط والموانع والأجزاء المذكورة في أخبار الآحاد، فلا يكون حجّاً قطعاً، وهكذا الصلاة التي لا تؤخذ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فالاقتصار على كتاب اللّه</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الرجوع إلى المفسرين والروايات، </w:t>
      </w:r>
    </w:p>
    <w:p>
      <w:pPr>
        <w:pStyle w:val="BookText"/>
        <w:rPr/>
      </w:pPr>
      <w:r>
        <w:rPr>
          <w:rFonts w:ascii="Amiri" w:hAnsi="Amiri" w:eastAsia="Amiri" w:cs="Amiri"/>
          <w:color w:val="111111"/>
          <w:sz w:val="28"/>
          <w:sz w:val="28"/>
          <w:szCs w:val="28"/>
          <w:rtl w:val="true"/>
          <w:lang w:bidi="ar-SA"/>
        </w:rPr>
        <w:t>يستلزم خروج الصلاة عن الصلاة المتعارفة إلى نوع من أنواع الدعاء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بتمام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الإجمالي خاصاً بالأخبار المشروطة بما ذكره من الشرطين، بل هو في جميع الأخبار، ومقتضاه العمل بكل خبر مروي، فإنْ لم يمكن فلابد من العمل بكل خبر ظن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الشيخ مخالف لما سبق منه من كون الملاك الظن بالمضمون لا الظن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فإنَّ العلم الإجمالي الكبير الذي أطرافه جميع الأخبار منحل إلى العلم الإجمالي الصغير، وأطرافه الأخبار الواجدة للشرطين، ومع الانحلال لا يكون العلم الإجمالي الكبير منجزاً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بإيرادات ثلاثة</w:t>
      </w:r>
      <w:r>
        <w:rPr>
          <w:rStyle w:val="FootnoteAnchor"/>
          <w:rtl w:val="true"/>
        </w:rPr>
        <w:footnoteReference w:id="75"/>
      </w:r>
      <w:r>
        <w:rPr>
          <w:rFonts w:ascii="IRNazanin" w:hAnsi="IRNazanin" w:eastAsia="IRNazanin"/>
          <w:color w:val="111111"/>
          <w:sz w:val="28"/>
          <w:sz w:val="28"/>
          <w:szCs w:val="28"/>
          <w:rtl w:val="true"/>
          <w:lang w:bidi="fa-IR"/>
        </w:rPr>
        <w:t>وقد أشار هو إلى بعضها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موقوف على عدم كون المعلوم بالإجمال الكبير أوسع من المعلوم بالإجمال الصغير، وإلا لم ينحل العلم الإجمالي الكبير، كما لو علم بوجود عشر شياه مغصوبة في قطيع الشياه، ثم علم بوجود خمس مغصوبة في خصوص الشياه البيضاء، فالمعلوم بالإجمال الكبير أوسع من المعلوم بالإجمال الصغير، فمع العثور على الخمس في دائرة المعلوم بالإجمال الصغير لا ينحل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وجداناً بأنَّ المعلوم بالإجمال الكبير أوسع من المعلوم بالإجمال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القطع بالشرائط والموانع في خصوص الكتب المعتبرة نعلم إجمالاً بوجود شرائط وموانع أُخرى في جميع الأخبار؟</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الشرائط والموانع في الكتب المعتبرة خمسة آلاف مثلاً، فهل العلم الإجمالي الكبير أوسع منه؟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فينحل العلم الإجمالي الكبير لاحتمال انطباقه على المعلوم بالإجمال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احتمال الانطباق، ولكن هنالك علم إجمالي صغير آخر بوجود بعض الأخبار المعتبرة في دائرة الأخبار الفاقدة للشرطين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بصدور بعض الروايات الواردة في غير الكتب المعتبرة، حيث لا يحتمل أنْ تكون كلها مجعولة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فتجتمع في المقام ثلاث علوم 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إجمالي كبير وأطرافه جميع الأخبار، وعلم إجمالي صغير دائرته خصوص الأخبار الواجدة للشرطين، </w:t>
      </w:r>
    </w:p>
    <w:p>
      <w:pPr>
        <w:pStyle w:val="BookText"/>
        <w:rPr/>
      </w:pPr>
      <w:r>
        <w:rPr>
          <w:rFonts w:ascii="Amiri" w:hAnsi="Amiri" w:eastAsia="Amiri" w:cs="Amiri"/>
          <w:color w:val="111111"/>
          <w:sz w:val="28"/>
          <w:sz w:val="28"/>
          <w:szCs w:val="28"/>
          <w:rtl w:val="true"/>
          <w:lang w:bidi="ar-SA"/>
        </w:rPr>
        <w:t>وعلم إجمالي صغير دائرته الكتب الفاقدة للشرطين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الأخبار المعلومة بالعلم الإجمالي الصغير الثاني كاذبة، وهذا العلم الإجمالي منجز لتلك الأخبار، خاصة مع ملاحظة التقريب الأوّل الذي ذكره الشيخ،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كل الأخبار الكاذبة أو الكثير منها، واستدل لذلك بأدلة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ملاك التنجيز العلم بالصدور، وإنَّما الملاك العلم باحتوائها على الشروط والأجزاء غير ما احتوته الدائرة الأولى، فهل يعلم إجمالاً بوجود شرط أو مانع أو قاطع زائداً على ما في الدائرة الأولى؟ لا يعلم ذلك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احتمال انطباق المعلوم بالإجمال الكبير على المعلوم بالإجمال الصغير في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إشكال مبنائي، والمختار أنَّ احتمال الانطباق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الإشكالات الثلاثة على الكفاية غير واردة، فما ذهب إليه من الانحلال تامّ، وإيراد الشيخ الأعظم على الفاضل التوني محلّ تأملّ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الدليل أخصّ من المدعى؛ لأنَّ المدعى وجوب العمل بجميع الأخبار الواجدة للشرطين المذكورين، مع أنَّ مؤدى التقريب حجّية خصوص الأخبار المثبتة، فلا ينهض بإثبات حجّية الأخبار النافية؛ لأنَّ وجوب العمل بالأخبار نابع عن وجود العلم الإجمالي بوجود الشرائط والموانع فيها، وأطراف هذا العلم </w:t>
      </w:r>
      <w:bookmarkStart w:id="66" w:name="pg15601_166517"/>
    </w:p>
    <w:p>
      <w:pPr>
        <w:pStyle w:val="BookText"/>
        <w:rPr/>
      </w:pPr>
      <w:bookmarkEnd w:id="66"/>
      <w:r>
        <w:rPr>
          <w:rFonts w:ascii="Amiri" w:hAnsi="Amiri" w:eastAsia="Amiri" w:cs="Amiri"/>
          <w:color w:val="111111"/>
          <w:sz w:val="28"/>
          <w:sz w:val="28"/>
          <w:szCs w:val="28"/>
          <w:rtl w:val="true"/>
          <w:lang w:bidi="ar-SA"/>
        </w:rPr>
        <w:t xml:space="preserve">الإجمالي خصوص الأخبار المثبتة، أمّا الأخبار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كنفي جزئية القنوت وعدم وجوب الطهارة في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طرف العلم الإجمالي، فيلزم القول بوجوب العمل بالأخبار المثبتة للشرائط ونحوها لا جميع الأخبار، وخصوصاً إذا كان المبنى الاشتغال فيما إذا شكّ في الشرطية والجزئية في الواجب الارتباطي، فالخبر النافي يريد القيام في قبال الأصل العملي، فما لا دليل على حجّيته يريد تخصيص أو تقييد الأصل العملي، الذي قام الدليل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w:t>
      </w:r>
      <w:r>
        <w:rPr>
          <w:rStyle w:val="FootnoteAnchor"/>
          <w:rtl w:val="true"/>
        </w:rPr>
        <w:footnoteReference w:id="77"/>
      </w:r>
      <w:r>
        <w:rPr>
          <w:rFonts w:ascii="Amiri" w:hAnsi="Amiri" w:eastAsia="Amiri" w:cs="Amiri"/>
          <w:color w:val="111111"/>
          <w:sz w:val="28"/>
          <w:sz w:val="28"/>
          <w:szCs w:val="28"/>
          <w:rtl w:val="true"/>
          <w:lang w:bidi="ar-SA"/>
        </w:rPr>
        <w:t>بعدم الإطلاق، فاللازم تقييد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الدليل المذكور حجّية الأخبار المثبتة التي لا تكون محكومة ولا مورودة بالأدلة الاجتهادية، وأمّا لو كان الخبر المثبت في مقابله إطلاق أو عموم أو مفهوم فلا يصلح الخبر لتقييد ذلك الإطلاق أو تخصيص 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وسوق الكلام في كلام صاحب الكفاية يعلم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التقريب الثاني</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0000077_2142443653"/>
      <w:bookmarkStart w:id="68" w:name="_Toc26"/>
      <w:bookmarkEnd w:id="67"/>
      <w:r>
        <w:rPr>
          <w:rtl w:val="true"/>
        </w:rPr>
        <w:t>التقريب الثالث</w:t>
      </w:r>
      <w:r>
        <w:rPr>
          <w:rtl w:val="true"/>
        </w:rPr>
        <w:t xml:space="preserve">: </w:t>
      </w:r>
      <w:r>
        <w:rPr>
          <w:rtl w:val="true"/>
        </w:rPr>
        <w:t>وجوب العمل بالكتاب والسنة ثابت إلى يوم القيامة</w:t>
      </w:r>
      <w:bookmarkEnd w:id="68"/>
    </w:p>
    <w:p>
      <w:pPr>
        <w:pStyle w:val="BookText"/>
        <w:rPr/>
      </w:pPr>
      <w:r>
        <w:rPr>
          <w:rFonts w:ascii="Amiri" w:hAnsi="Amiri" w:eastAsia="Amiri" w:cs="Amiri"/>
          <w:color w:val="111111"/>
          <w:sz w:val="28"/>
          <w:sz w:val="28"/>
          <w:szCs w:val="28"/>
          <w:rtl w:val="true"/>
          <w:lang w:bidi="ar-SA"/>
        </w:rPr>
        <w:t>ما ذكره الشيخ محمد تقي الإصفهاني في هداية المسترشدين</w:t>
      </w:r>
      <w:r>
        <w:rPr>
          <w:rStyle w:val="FootnoteAnchor"/>
          <w:rtl w:val="true"/>
        </w:rPr>
        <w:footnoteReference w:id="78"/>
      </w:r>
      <w:r>
        <w:rPr>
          <w:rFonts w:ascii="Amiri" w:hAnsi="Amiri" w:eastAsia="Amiri" w:cs="Amiri"/>
          <w:color w:val="111111"/>
          <w:sz w:val="28"/>
          <w:sz w:val="28"/>
          <w:szCs w:val="28"/>
          <w:rtl w:val="true"/>
          <w:lang w:bidi="ar-SA"/>
        </w:rPr>
        <w:t>، والكلمات في تقرير مدعاه مختلفة وربما عبارته مبهمة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مراده وجوب العمل بالكتاب والسنة إلى يوم القيامة </w:t>
      </w:r>
    </w:p>
    <w:p>
      <w:pPr>
        <w:pStyle w:val="BookText"/>
        <w:rPr/>
      </w:pPr>
      <w:r>
        <w:rPr>
          <w:rFonts w:ascii="Amiri" w:hAnsi="Amiri" w:eastAsia="Amiri" w:cs="Amiri"/>
          <w:color w:val="111111"/>
          <w:sz w:val="28"/>
          <w:sz w:val="28"/>
          <w:szCs w:val="28"/>
          <w:rtl w:val="true"/>
          <w:lang w:bidi="ar-SA"/>
        </w:rPr>
        <w:t>ثابت بالإجماع والضرورة والأخبار المتواترة، كحديث الثقلين</w:t>
      </w:r>
      <w:r>
        <w:rPr>
          <w:rStyle w:val="FootnoteAnchor"/>
          <w:rtl w:val="true"/>
        </w:rPr>
        <w:footnoteReference w:id="79"/>
      </w:r>
      <w:r>
        <w:rPr>
          <w:rFonts w:ascii="Amiri" w:hAnsi="Amiri" w:eastAsia="Amiri" w:cs="Amiri"/>
          <w:color w:val="111111"/>
          <w:sz w:val="28"/>
          <w:sz w:val="28"/>
          <w:szCs w:val="28"/>
          <w:rtl w:val="true"/>
          <w:lang w:bidi="ar-SA"/>
        </w:rPr>
        <w:t xml:space="preserve">، وقد رواه الخاصة والعامة، فيجب العمل بهما قطعاً، فإنْ تمكنا من تعيين مدلول الكتاب والسنة بالعلم والعلمي فبها، وإلا يتعين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التنزل إلى تعيين مدلولهما بالظن المطلق، والأخبار الموجودة تبين لنا مدلول الكتاب والسنة، وتكشف عنه كشفاً ظنياً، فيتعين العمل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اصطلاحاً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 وعليه فالمراد بالسنة المحكي لا الحاكي، والأخبار في الكتب الأربعة حاكية عن السنة، ولا بدّ منْ أن يجري على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تمكنا من إحراز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w:t>
      </w:r>
    </w:p>
    <w:p>
      <w:pPr>
        <w:pStyle w:val="BookText"/>
        <w:rPr/>
      </w:pPr>
      <w:r>
        <w:rPr>
          <w:rFonts w:ascii="Amiri" w:hAnsi="Amiri" w:eastAsia="Amiri" w:cs="Amiri"/>
          <w:color w:val="111111"/>
          <w:sz w:val="28"/>
          <w:sz w:val="28"/>
          <w:szCs w:val="28"/>
          <w:rtl w:val="true"/>
          <w:lang w:bidi="ar-SA"/>
        </w:rPr>
        <w:t xml:space="preserve">بالكاشف العلمي أو العلم فيتعين، وإلا يجب علينا إحرازه بالكواشف الظنية، وهي لا تختص بأخبار الآحاد، وإنّما تعم سائر الكواشف الظنية، وعليه تكون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لو كشفت كشفاً ظنياً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التقريب الثالث حجّية جميع الكواشف الظنية عن السنة، لا حجّية خصوص الخبر الواحد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الحاكي لا المحكي، وجرى على خلاف </w:t>
      </w:r>
    </w:p>
    <w:p>
      <w:pPr>
        <w:pStyle w:val="BookText"/>
        <w:rPr/>
      </w:pPr>
      <w:r>
        <w:rPr>
          <w:rFonts w:ascii="Amiri" w:hAnsi="Amiri" w:eastAsia="Amiri" w:cs="Amiri"/>
          <w:color w:val="111111"/>
          <w:sz w:val="28"/>
          <w:sz w:val="28"/>
          <w:szCs w:val="28"/>
          <w:rtl w:val="true"/>
          <w:lang w:bidi="ar-SA"/>
        </w:rPr>
        <w:t>الاصطلاح، أي يجب العمل بالأخبار الحاكية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العمل بالأخبار التي لا نعلم بمطابقتها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الوجوب لا يخلو من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 والضرورة والأحاديث المتواترة لكنها لا تصلح للمنشئية؛ لأنّها قائمة على وجوب العمل بالمحكي لا الحاكي، ووجوب العمل بالحاكي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العلم بصدور كثير من هذه الأخبار، ومقتضى العلم الإجمالي العمل بجميع الأخبار، وهذا مرجعه إلى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العلم بوجود أحكام واقعية كلفنا بها، ويجب علينا الخروج عن عهدتها ولا يتم الخروج عن عهدتها إلا بالعمل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تحتوي على الأحكام الواقعية، فيجب العمل بها مقدمة لامتثال الأحكام الواقعية، وهذا مرجعه إلى التقريب الرابع، وهو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أتعب عليه نفسه الشريفة وأطال الكلام فيه لا يصلح أنْ يكون تقريباً مستقلاً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الكفاية</w:t>
      </w:r>
      <w:r>
        <w:rPr>
          <w:rStyle w:val="FootnoteAnchor"/>
          <w:rtl w:val="true"/>
        </w:rPr>
        <w:footnoteReference w:id="82"/>
      </w:r>
      <w:r>
        <w:rPr>
          <w:rFonts w:ascii="Amiri" w:hAnsi="Amiri" w:eastAsia="Amiri" w:cs="Amiri"/>
          <w:color w:val="111111"/>
          <w:sz w:val="28"/>
          <w:sz w:val="28"/>
          <w:szCs w:val="28"/>
          <w:rtl w:val="true"/>
          <w:lang w:bidi="ar-SA"/>
        </w:rPr>
        <w:t>أشكل على إشكال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منشأ الوجوب أمراً آخر غير العلم بالصدور، وغير العلم الإجمالي بالتكاليف </w:t>
      </w:r>
    </w:p>
    <w:p>
      <w:pPr>
        <w:pStyle w:val="BookText"/>
        <w:rPr/>
      </w:pPr>
      <w:r>
        <w:rPr>
          <w:rFonts w:ascii="Amiri" w:hAnsi="Amiri" w:eastAsia="Amiri" w:cs="Amiri"/>
          <w:color w:val="111111"/>
          <w:sz w:val="28"/>
          <w:sz w:val="28"/>
          <w:szCs w:val="28"/>
          <w:rtl w:val="true"/>
          <w:lang w:bidi="ar-SA"/>
        </w:rPr>
        <w:t>الواقعية، وهو العلم بالتكليف بالرجوع إلى هذه الروايات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أنْ يكون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منشأ هذه الدعوى؟ فمنشأ العلم بوجوب الرجوع إلى هذه الأخبار، إمّا العلم بالصدور فهو الوجه الأوّل، وإمّا العلم بالتكاليف فمآله إلى الوجه الرابع، أو منشؤه الجعل الشرعي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الكفاية غير واضح ومنشأ دعوى العلم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ليس الرجوع إلى الخبر المظنون، بل مقتضاه التدرج في مراحل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بما هو متيقن الاعتبار من الأخبار كالصحيح الأعلائي؛ لأنَّ كل إجماع و ضرورة له قدر متيقن يجب الأخذ به، فإنْ كان وافياً وعاملاً في انحلال العلم الإجمالي بالتكاليف، باحتمال انطباق المعلوم بالإجمال على الدائرة المتيقنة الاعتبار فبها، وإلا فالمرحلة الثانية، وهي الأخذ بالمتيقن بالإضافة إلى غيره، مثل خبر الثقات المتيقنة بالنسبة إلى الأخبار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وجهه أنَّ للظنون مراتب، ولا تصل النوبة إلى المرحلة اللاحقة مع وجود المرحلة السابقة، فإنْ كان وافياً فبها، وإلا فالمرحلة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الأخذ بجميع الأخبار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تكون محكومة أو مورودة بالأدلة الاجتهادية، كالعمومات والإطلاقات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صاحب الحاشية</w:t>
      </w:r>
      <w:r>
        <w:rPr>
          <w:rStyle w:val="FootnoteAnchor"/>
          <w:rtl w:val="true"/>
        </w:rPr>
        <w:footnoteReference w:id="84"/>
      </w:r>
      <w:r>
        <w:rPr>
          <w:rFonts w:ascii="Amiri" w:hAnsi="Amiri" w:eastAsia="Amiri" w:cs="Amiri"/>
          <w:color w:val="111111"/>
          <w:sz w:val="28"/>
          <w:sz w:val="28"/>
          <w:szCs w:val="28"/>
          <w:rtl w:val="true"/>
          <w:lang w:bidi="ar-SA"/>
        </w:rPr>
        <w:t xml:space="preserve">من لزوم العمل بجميع الأخبار محلّ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وإنّما يتعين العمل بالأخبار مع التدرج المذكور، والظاهر أنَّ الإشكال وارد</w:t>
      </w:r>
      <w:r>
        <w:rPr>
          <w:rFonts w:eastAsia="Amiri" w:cs="Amiri" w:ascii="Amiri" w:hAnsi="Amiri"/>
          <w:color w:val="111111"/>
          <w:sz w:val="28"/>
          <w:szCs w:val="28"/>
          <w:rtl w:val="true"/>
          <w:lang w:bidi="ar-SA"/>
        </w:rPr>
        <w:t xml:space="preserve">. </w:t>
      </w:r>
      <w:bookmarkStart w:id="69" w:name="pg15601_166522"/>
    </w:p>
    <w:p>
      <w:pPr>
        <w:pStyle w:val="Heading2"/>
        <w:numPr>
          <w:ilvl w:val="1"/>
          <w:numId w:val="1"/>
        </w:numPr>
        <w:rPr/>
      </w:pPr>
      <w:bookmarkStart w:id="70" w:name="__RefHeading___Toc10000079_2142443653"/>
      <w:bookmarkStart w:id="71" w:name="_Toc27"/>
      <w:bookmarkEnd w:id="69"/>
      <w:bookmarkEnd w:id="70"/>
      <w:r>
        <w:rPr>
          <w:rtl w:val="true"/>
        </w:rPr>
        <w:t>حجية مطلق الظن</w:t>
      </w:r>
      <w:bookmarkEnd w:id="71"/>
    </w:p>
    <w:p>
      <w:pPr>
        <w:pStyle w:val="Heading3"/>
        <w:numPr>
          <w:ilvl w:val="2"/>
          <w:numId w:val="1"/>
        </w:numPr>
        <w:rPr/>
      </w:pPr>
      <w:bookmarkStart w:id="72" w:name="__RefHeading___Toc10000081_2142443653"/>
      <w:bookmarkStart w:id="73" w:name="_Toc28"/>
      <w:bookmarkEnd w:id="72"/>
      <w:r>
        <w:rPr>
          <w:rtl w:val="true"/>
        </w:rPr>
        <w:t>أدلة حجية مطلق الظن</w:t>
      </w:r>
      <w:bookmarkEnd w:id="73"/>
    </w:p>
    <w:p>
      <w:pPr>
        <w:pStyle w:val="Heading4"/>
        <w:numPr>
          <w:ilvl w:val="3"/>
          <w:numId w:val="1"/>
        </w:numPr>
        <w:rPr/>
      </w:pPr>
      <w:bookmarkStart w:id="74" w:name="__RefHeading___Toc10000083_2142443653"/>
      <w:bookmarkStart w:id="75" w:name="_Toc29"/>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لإثباتِ حجية مطلق الظنون أقيمت أدلة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0000085_2142443653"/>
      <w:bookmarkStart w:id="77" w:name="_Toc30"/>
      <w:bookmarkEnd w:id="76"/>
      <w:r>
        <w:rPr>
          <w:rtl w:val="true"/>
        </w:rPr>
        <w:t>الدليل الأول</w:t>
      </w:r>
      <w:r>
        <w:rPr>
          <w:rtl w:val="true"/>
        </w:rPr>
        <w:t xml:space="preserve">: </w:t>
      </w:r>
      <w:r>
        <w:rPr>
          <w:rtl w:val="true"/>
        </w:rPr>
        <w:t>مخالفة الظن مظنة للضرر</w:t>
      </w:r>
      <w:bookmarkEnd w:id="77"/>
    </w:p>
    <w:p>
      <w:pPr>
        <w:pStyle w:val="Heading5"/>
        <w:numPr>
          <w:ilvl w:val="4"/>
          <w:numId w:val="1"/>
        </w:numPr>
        <w:rPr/>
      </w:pPr>
      <w:bookmarkStart w:id="78" w:name="__RefHeading___Toc10000087_2142443653"/>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إن في مخالفة المجتهد لما ظنه من الحكم الوجوبي، أو التحريمي مظنة للضرر، وماهية هذا الضرر العقاب، ودفع الضرر المظنون واجب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ظَنَّ بحرمة التتن، ففي شربه مظنة العقاب؛ لأن التكليف يلازم استحقاق العقاب، فالظن بالتكليف يلازم الظن باستحقاق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والوقوع في الضرر تفويت للمصلحة الواقعية، ووقوع في المفسدة الواقعية أيضاً، بناءً على المشهور من كون الأحكام تابعة للمصالح والمفاسد الواقعية في متعلقاتها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0000089_2142443653"/>
      <w:bookmarkStart w:id="81" w:name="_Toc32"/>
      <w:bookmarkEnd w:id="80"/>
      <w:r>
        <w:rPr>
          <w:rtl w:val="true"/>
        </w:rPr>
        <w:t>البحث في كبرى الدليل الأول</w:t>
      </w:r>
      <w:bookmarkEnd w:id="81"/>
    </w:p>
    <w:p>
      <w:pPr>
        <w:pStyle w:val="Heading6"/>
        <w:numPr>
          <w:ilvl w:val="5"/>
          <w:numId w:val="1"/>
        </w:numPr>
        <w:rPr/>
      </w:pPr>
      <w:bookmarkStart w:id="82" w:name="__RefHeading___Toc10000091_2142443653"/>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وقد أشكل على كبرى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دفع الضرر المظنون واجب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بإشكالات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الحاجبي</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الكبرى الكلية لقاعدة وجوب دفع الضرر المظنون،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بالتحسين والتقبيح </w:t>
      </w:r>
    </w:p>
    <w:p>
      <w:pPr>
        <w:pStyle w:val="BookText"/>
        <w:rPr/>
      </w:pPr>
      <w:r>
        <w:rPr>
          <w:rFonts w:ascii="Amiri" w:hAnsi="Amiri" w:eastAsia="Amiri" w:cs="Amiri"/>
          <w:color w:val="111111"/>
          <w:sz w:val="28"/>
          <w:sz w:val="28"/>
          <w:szCs w:val="28"/>
          <w:rtl w:val="true"/>
          <w:lang w:bidi="ar-SA"/>
        </w:rPr>
        <w:t xml:space="preserve">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مستحسن لا واجب</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ومبنى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الحسن والقبح العقليين، حيث لا حسن ولا قبح، ولا حكم بالوجوب، استناداً إلى التحسين العقلي، ولو فرض القول بالتحسين والتقبيح فدفع الضرر المظنون مستحسن لا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المذكور حكم إلزامي أطبق العقلاء على الالتزام به في جميع أمورهم، وعلى ذم من يخالفه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استدل به المتكلمون في وجوب شكر المنعم، الذي هو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معرفة اللّه مبني على وجوب شكر المنعم، ووجوب شكر المنعم مبني على قاعدة وجوب دفع الضرر المحتمل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أنه يجب النظر في دعوى مدعي النبوة؛ لاحتمال كونه نبياً واقعاً، وفي مخالفته ضرر مظنون أو محتمل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يجب دفع الضرر بحكم العقل لزم إفحام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في </w:t>
      </w:r>
    </w:p>
    <w:p>
      <w:pPr>
        <w:pStyle w:val="BookText"/>
        <w:rPr/>
      </w:pPr>
      <w:r>
        <w:rPr>
          <w:rFonts w:ascii="Amiri" w:hAnsi="Amiri" w:eastAsia="Amiri" w:cs="Amiri"/>
          <w:color w:val="111111"/>
          <w:sz w:val="28"/>
          <w:sz w:val="28"/>
          <w:szCs w:val="28"/>
          <w:rtl w:val="true"/>
          <w:lang w:bidi="ar-SA"/>
        </w:rPr>
        <w:t>دعواهم وما يدعونه من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فدفع الضرر المظنون واجب عقلاً، لا أنه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تبعا للشيخ</w:t>
      </w:r>
      <w:r>
        <w:rPr>
          <w:rStyle w:val="FootnoteAnchor"/>
          <w:rtl w:val="true"/>
        </w:rPr>
        <w:footnoteReference w:id="90"/>
      </w:r>
      <w:r>
        <w:rPr>
          <w:rFonts w:ascii="Amiri" w:hAnsi="Amiri" w:eastAsia="Amiri" w:cs="Amiri"/>
          <w:color w:val="111111"/>
          <w:sz w:val="28"/>
          <w:sz w:val="28"/>
          <w:szCs w:val="28"/>
          <w:rtl w:val="true"/>
          <w:lang w:bidi="ar-SA"/>
        </w:rPr>
        <w:t>والسيد</w:t>
      </w:r>
      <w:r>
        <w:rPr>
          <w:rStyle w:val="FootnoteAnchor"/>
          <w:rtl w:val="true"/>
        </w:rPr>
        <w:footnoteReference w:id="91"/>
      </w:r>
      <w:r>
        <w:rPr>
          <w:rFonts w:ascii="Amiri" w:hAnsi="Amiri" w:eastAsia="Amiri" w:cs="Amiri"/>
          <w:color w:val="111111"/>
          <w:sz w:val="28"/>
          <w:sz w:val="28"/>
          <w:szCs w:val="28"/>
          <w:rtl w:val="true"/>
          <w:lang w:bidi="ar-SA"/>
        </w:rPr>
        <w:t>وجوب دفع الضرر المحتمل لا الضرر المظنون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سَلَّم به الكثير من الفقهاء والأصوليين، وله آثار كثيرةٌ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القمي في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أنها معارضة بالعقل القاطع من وجوب دفع الضرر المظنون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الإضرار بالنفس كالإضرار بالغير محرم بالأدلة العقلية والنقلية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يخفى على عاقل رجع إلى وجدانه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لا يقدم على مظنون الضرر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العقلاء عليه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الضرر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دنيوي وضرر أخروي، وكلا الضررين مما يحكم العقل بوجوب دفعه، ثم إن احتمال كل </w:t>
      </w:r>
    </w:p>
    <w:p>
      <w:pPr>
        <w:pStyle w:val="BookText"/>
        <w:rPr/>
      </w:pPr>
      <w:r>
        <w:rPr>
          <w:rFonts w:ascii="Amiri" w:hAnsi="Amiri" w:eastAsia="Amiri" w:cs="Amiri"/>
          <w:color w:val="111111"/>
          <w:sz w:val="28"/>
          <w:sz w:val="28"/>
          <w:szCs w:val="28"/>
          <w:rtl w:val="true"/>
          <w:lang w:bidi="ar-SA"/>
        </w:rPr>
        <w:t>من الضررين أيضاً مما يحكم العقل بدفعه، ولكن الأضرار الدنيوية قد تبلغ حد الهلاك، فيكون الحكم آكد، وما يرى من عدم إيجاب العقلاء لدفع الضرر اليسير المحتمل فإنما هو لتكافئه مع احتمال النفع الكثير أو المساوي كما لا يخفى</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كلية القاعدة تأمل فالضررُ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وكبيرٌ، ولا نجد في وجداننا وجوب دفعه عقلاً فيما لو كان حقيراً، حتى لو كان مقطوعاً به، فكيف إذا كان مظنوناً أو محتملاً؟</w:t>
      </w:r>
    </w:p>
    <w:p>
      <w:pPr>
        <w:pStyle w:val="BookText"/>
        <w:rPr/>
      </w:pPr>
      <w:r>
        <w:rPr>
          <w:rFonts w:ascii="Amiri" w:hAnsi="Amiri" w:eastAsia="Amiri" w:cs="Amiri"/>
          <w:color w:val="111111"/>
          <w:sz w:val="28"/>
          <w:sz w:val="28"/>
          <w:szCs w:val="28"/>
          <w:rtl w:val="true"/>
          <w:lang w:bidi="ar-SA"/>
        </w:rPr>
        <w:t>فلو أقدم عاقلٌ على ضررٍ يسيرٍ من دون مسوغ أو مبرر، يشك في فعله محرماً عقلياً بحيث يذمه العقلاء على فعله ذماً بالغاً أكيداً، ويوجبون عليه عدم ذلك إيجاباً بالغاً 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كلام جمع من الأعلام، فلا ننفرد في الشك في كلية 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حكم العقل بوجوب دفع الضرر المظنون على القطع، فمع كونه في حيز المنع جداً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العقل قاضٍ بوجوب دفع الضرر المظنون الذي لا يسهلُ تحملهُ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وجوب دفع </w:t>
      </w:r>
    </w:p>
    <w:p>
      <w:pPr>
        <w:pStyle w:val="BookText"/>
        <w:rPr/>
      </w:pPr>
      <w:r>
        <w:rPr>
          <w:rFonts w:ascii="Amiri" w:hAnsi="Amiri" w:eastAsia="Amiri" w:cs="Amiri"/>
          <w:color w:val="111111"/>
          <w:sz w:val="28"/>
          <w:sz w:val="28"/>
          <w:szCs w:val="28"/>
          <w:rtl w:val="true"/>
          <w:lang w:bidi="ar-SA"/>
        </w:rPr>
        <w:t>الضرر الدنيوي المتيقن، ولا سيما إذا كان فيه غرض عقلائي، فكيف بالضرر المظنون أو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دل الدليل على حرمة الإضرار بالنفس في موارد خاصة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قيّده في المصباح بالضرر الدنيوي ولكن نضيف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الضرر الأخروي اليسير، ككثير من المكروهات وترك المستحبات، ففيها أضرار أخروية، فهل يحكم العقل بوجوب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بحث شرعي لا عقلي، ويقتصر فيه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 إما بالغ كبير أو صغير حقير، وكل منهما دنيوي وأخروي، أما الضرر البالغ الكبير فلا شك أَن دَفعهُ لازم بالفطرة، سواء كان دنيوياً، كضرر القتل وقطع الأطراف وتلف ما يُملك، أم أخروياً، كضرر ارتكاب المحرمات الموجب لاستحقاق العقاب في الدار الآخرة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الضررُ الحقير اليسير فلا تُلزم الفطرة دفع المتيقن منه، فكيف بالمظنون منه أو المحتمل، سواء كان دنيوياً، كضرر نتفِ شعرة خفيفةِ أو قلع جلدة رقيقة، أم أخرويا كضرر سوء الحساب، الذي يخافه المُتقُّون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المفسر بالمداقة في الحساب؟ نعم، الفطرة والعقل والعقلاء بحسن دفعه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للضرر اليسير مبرر عقلائي فإنما يحسن رفعهُ فحسب لا أنه يجب، ولم يظهر لنا حرمة ارتكابه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الأعظم</w:t>
      </w:r>
      <w:r>
        <w:rPr>
          <w:rStyle w:val="FootnoteAnchor"/>
          <w:rtl w:val="true"/>
        </w:rPr>
        <w:footnoteReference w:id="103"/>
      </w:r>
      <w:r>
        <w:rPr>
          <w:rFonts w:ascii="Amiri" w:hAnsi="Amiri" w:eastAsia="Amiri" w:cs="Amiri"/>
          <w:color w:val="111111"/>
          <w:sz w:val="28"/>
          <w:sz w:val="28"/>
          <w:szCs w:val="28"/>
          <w:rtl w:val="true"/>
          <w:lang w:bidi="ar-SA"/>
        </w:rPr>
        <w:t>من لزوم دفع الضرر المحتمل والمظنون على وجه الكلية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تضرُ المناقشةُ في الكبرى فيما نحن فيه؛ لأن الضرر المحتمل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شربِ التتن مع قطع النظر عن الأجوبة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لأنه العقوبة الأخروية، وهو ضرر كبير يحكم العقل بوجوب دفعه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ابتناء وجوب أو حسن دفع الضرر المظنون أو المحتمل على قاعدة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تحريم تعريض النفس للمهالك والمضار الدنيوية والأخروية مما دل عليه الكتاب والسنة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وإن لم يسلموا بالتحسين والتقبيح العقليين، ولكنهم يسلمون بالتحسين والتقبيح الشرعيين، وأن القبيح ما قبحه الشارع والحسن ما حسنهُ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الشارع عن إلقاء النفس في معرض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النهي الشرعي عن العمل بخبر الفاسق؛ لاحتمال </w:t>
      </w:r>
    </w:p>
    <w:p>
      <w:pPr>
        <w:pStyle w:val="BookText"/>
        <w:rPr/>
      </w:pPr>
      <w:r>
        <w:rPr>
          <w:rFonts w:ascii="Amiri" w:hAnsi="Amiri" w:eastAsia="Amiri" w:cs="Amiri"/>
          <w:color w:val="111111"/>
          <w:sz w:val="28"/>
          <w:sz w:val="28"/>
          <w:szCs w:val="28"/>
          <w:rtl w:val="true"/>
          <w:lang w:bidi="ar-SA"/>
        </w:rPr>
        <w:t>مخالفة الواقع والوقوع في الندم</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الإلقاء في التهلكة المَعرضيِّة،كمن يلقي بنفسه من شاهق، فيصدق عليه الإلقاء في التهلكة مع احتمال عدم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البعض</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منهما الدنيويان، وقال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دنيوية، والعذاب 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الإصابة محتملة غير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الشيء شامل للمعلومِ والمظنونِ والمحتملِ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أردنا تحصيل الأمن لوجب الاجتناب حتى عن المظنون والمحتمل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ولصاحب الكفاية كلامان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ذكر في الحاشية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الكريمة لا تنهض للدلالة على مدعى الشيخ، لأنها بين ما ظاهرهُ التحذير عن الضرر المعلوم، وما ظاهره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يعين كونُ أيها لأيها؟ ولكن ربما مرادهُ، أن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ظاهرهُ التهلكة المعلومة، يعني الانتحار القطعي، أما ما كان محتملاً فليس إلقاءً في التهلكة، وإنما إلقاءٌ للنفس في محتمل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فظاهرهُ الإرشاد، فمن اعتمد على خبر الفاسق وقتل مؤمناً محقون الدم فعل حراماً واحداً لا حرامين، فلا يدل على الوجوب الشرعي لدفع الضرر المحتمل، وكذا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فلو لم يحذر ووقع في الحرام الواقعي فهل فعل محرمين؟ كما لو اقتحم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التحذر ليس واجبا مولوياً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الأوامر ليست مولوية، وإنما إرشاد شرعي لكيلا يقع في مخالفة الأمر المولوي، والظاهر تمامية كلامه، ويكفينا أنها ليست </w:t>
      </w:r>
    </w:p>
    <w:p>
      <w:pPr>
        <w:pStyle w:val="BookText"/>
        <w:rPr/>
      </w:pPr>
      <w:r>
        <w:rPr>
          <w:rFonts w:ascii="Amiri" w:hAnsi="Amiri" w:eastAsia="Amiri" w:cs="Amiri"/>
          <w:color w:val="111111"/>
          <w:sz w:val="28"/>
          <w:sz w:val="28"/>
          <w:szCs w:val="28"/>
          <w:rtl w:val="true"/>
          <w:lang w:bidi="ar-SA"/>
        </w:rPr>
        <w:t>ظاهرة في إنشاء حكم مولوي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الثاني كما في الكفاية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مستقلٌ بدفع الضرر المظنون، وإن لم نقل بالتحسين والتقبيح؛ لوضوح عدم انحصار ملاك حكمه بهما، فإن العقل يدرك لزوم الفرار عن الضرر، ولذا أطبق عليه العقلاء مع خلافهم في استقلاله بالتحسين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مفهومين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الحسن والقبح العقلي، بمعنى ما يذم العقلاء على فعله وتركه، أو يمدحون على فعله وتركه، وهذا ما ينكره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الملاءمة والمنافرة مع العقل والفطرة، فهنالك أمور تلائمهما والعقلاء يلتزمون بها، وأمور تنافرهما والعقلاء لا يجوزون الإقدام عليها، كالأعمال السفهية، فالانتحار منافر للعقل والفطرة حتى لو لم يكن له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عندنا وجوب عقلي أو فطري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المدرك الوحيد لوجوب دفع الضرر المحتمل قاعدة الحسن والقبح العقلية، فحتى لو تم إنكارها فلا يمكن إنكار الملاءمة والمنافرة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الحاجبي غير تام، إما للحسن والقبح العقليين، أو الحسن والقبح الشرعيين، أو الحكم بالوجوب العقلي الذي لا يبتني على الحسن </w:t>
      </w:r>
      <w:bookmarkStart w:id="84" w:name="pg15601_166531"/>
    </w:p>
    <w:p>
      <w:pPr>
        <w:pStyle w:val="BookText"/>
        <w:rPr/>
      </w:pPr>
      <w:bookmarkEnd w:id="84"/>
      <w:r>
        <w:rPr>
          <w:rFonts w:ascii="Amiri" w:hAnsi="Amiri" w:eastAsia="Amiri" w:cs="Amiri"/>
          <w:color w:val="111111"/>
          <w:sz w:val="28"/>
          <w:sz w:val="28"/>
          <w:szCs w:val="28"/>
          <w:rtl w:val="true"/>
          <w:lang w:bidi="ar-SA"/>
        </w:rPr>
        <w:t>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الثاني من الدليل الأول فما ذكره صاحب الكفاية</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جواب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 الضرر في مخالفة المجتهد لما ظنهُ من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الضرر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العقوبة وإما المفسدة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0000093_2142443653"/>
      <w:bookmarkStart w:id="86" w:name="_Toc34"/>
      <w:bookmarkEnd w:id="85"/>
      <w:r>
        <w:rPr>
          <w:rtl w:val="true"/>
        </w:rPr>
        <w:t>البحث الأول</w:t>
      </w:r>
      <w:r>
        <w:rPr>
          <w:rtl w:val="true"/>
        </w:rPr>
        <w:t xml:space="preserve">: </w:t>
      </w:r>
      <w:r>
        <w:rPr>
          <w:rtl w:val="true"/>
        </w:rPr>
        <w:t>في العقوبة الأخروية</w:t>
      </w:r>
      <w:bookmarkEnd w:id="86"/>
    </w:p>
    <w:p>
      <w:pPr>
        <w:pStyle w:val="BookText"/>
        <w:rPr/>
      </w:pPr>
      <w:r>
        <w:rPr>
          <w:rFonts w:ascii="Amiri" w:hAnsi="Amiri" w:eastAsia="Amiri" w:cs="Amiri"/>
          <w:color w:val="111111"/>
          <w:sz w:val="28"/>
          <w:sz w:val="28"/>
          <w:szCs w:val="28"/>
          <w:rtl w:val="true"/>
          <w:lang w:bidi="ar-SA"/>
        </w:rPr>
        <w:t>أما العقوبة فلعدم الملازمة بين الظن بالتكليف والظن بالعقوبة على المخالفة؛ لعدم الملازمة بين التكليف والعقوبة على المخالفة، فإن الملازمة في مرحلة الظن فرع التلازم في مرحلة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بين ذاتي الشيئين ملازمة واقعية، فبين الظن بأحدهما والظن بالآخر ملازمة أيضاً، وهكذا في القطع والشك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فالملازمة في حالات المكلف فرع التلازم الواقعي، ولا ملازمة بين التكليف وبين العقوبة على المخالفة، فإن التكليف له وجود واقعي وله وجود منجز، فإن كان التكليف واصلاً إلى 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مرحلة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ثابتة بين التكليف المنجز واستحقاق العقوبة، ولذلك فالعلم والظن والشك بأحدهما يلازم العلم والظن والشك بالآخر، لكن لو لم يصل التكليف إلى مرحلة التنجز فلا ملازمة بين التكليف بوجوده الواقعي وبين العقوبة على مخالفته، ولذا لو شَرَبَ الخمرُ جاهلاً بالموضوع، فالتكليف الواقعي موجود ولا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فالظن بالتكليف ما لم يصل </w:t>
      </w:r>
    </w:p>
    <w:p>
      <w:pPr>
        <w:pStyle w:val="BookText"/>
        <w:rPr/>
      </w:pPr>
      <w:r>
        <w:rPr>
          <w:rFonts w:ascii="Amiri" w:hAnsi="Amiri" w:eastAsia="Amiri" w:cs="Amiri"/>
          <w:color w:val="111111"/>
          <w:sz w:val="28"/>
          <w:sz w:val="28"/>
          <w:szCs w:val="28"/>
          <w:rtl w:val="true"/>
          <w:lang w:bidi="ar-SA"/>
        </w:rPr>
        <w:t>إلى مرحلة التنجز لا يلازم الظن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المفروض عدم تحقق العلم والعلمي، فلا تنجز للتكليف، وإنما احتمل التكليف بالظن المطلق الذي لم يثبت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بحصول الظن بالعقوبة لمجرد مخالفة المجتهد لما ظنه من الحكم غير تام؛ لعدم التلازم في مرحلة الواقع، فلا تلازم في مرحة 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تراجع عن هذا الجواب، فقال ما معناه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وإن لم يستقل بتنجز التكليف بمجرد الظن، إلا أنه يحتمل العقوبة حينئذ على مخالفة ذلك التكليف المظنون، فيظن بالتنجز، والظن بالتنجز ظن باستحقاق العقوبة، كما أن الشك كذلك، والعقل يحكم بوجوب دفع الضرر المشكوك كالمظنون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موضوع حكم العقل بقبح العقاب بلا بيان هو البيان الواصل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انتفى البيان الواصل فحكم العقل بالقبح قطعي، والمفروض أنه لم يصلنا الحكم بطريق معتبر، فيكون العقاب قبيحاً، ولا يصدر من الحكيم قطعاً، فينتفي العقاب قطعاً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سلم صاحب الكفاية في مباحث البراءة</w:t>
      </w:r>
      <w:r>
        <w:rPr>
          <w:rStyle w:val="FootnoteAnchor"/>
          <w:rtl w:val="true"/>
        </w:rPr>
        <w:footnoteReference w:id="120"/>
      </w:r>
      <w:r>
        <w:rPr>
          <w:rFonts w:ascii="Amiri" w:hAnsi="Amiri" w:eastAsia="Amiri" w:cs="Amiri"/>
          <w:color w:val="111111"/>
          <w:sz w:val="28"/>
          <w:sz w:val="28"/>
          <w:szCs w:val="28"/>
          <w:rtl w:val="true"/>
          <w:lang w:bidi="ar-SA"/>
        </w:rPr>
        <w:t>بقاعدة قبح العقاب بلا بيان واصل</w:t>
      </w:r>
      <w:r>
        <w:rPr>
          <w:rFonts w:eastAsia="Amiri" w:cs="Amiri" w:ascii="Amiri" w:hAnsi="Amiri"/>
          <w:color w:val="111111"/>
          <w:sz w:val="28"/>
          <w:szCs w:val="28"/>
          <w:rtl w:val="true"/>
          <w:lang w:bidi="ar-SA"/>
        </w:rPr>
        <w:t xml:space="preserve">. </w:t>
      </w:r>
      <w:bookmarkStart w:id="87" w:name="pg15601_166533"/>
    </w:p>
    <w:p>
      <w:pPr>
        <w:pStyle w:val="BookText"/>
        <w:rPr/>
      </w:pPr>
      <w:bookmarkEnd w:id="87"/>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مظنة العقوبة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نقطع بعدم العقوبة وعدم استحقاقها؛ لقاعدة قبح العقاب بلا بيان</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0000095_2142443653"/>
      <w:bookmarkStart w:id="89" w:name="_Toc35"/>
      <w:bookmarkEnd w:id="88"/>
      <w:r>
        <w:rPr>
          <w:rtl w:val="true"/>
        </w:rPr>
        <w:t>البحث الثاني</w:t>
      </w:r>
      <w:r>
        <w:rPr>
          <w:rtl w:val="true"/>
        </w:rPr>
        <w:t xml:space="preserve">: </w:t>
      </w:r>
      <w:r>
        <w:rPr>
          <w:rtl w:val="true"/>
        </w:rPr>
        <w:t>في المفسدة</w:t>
      </w:r>
      <w:bookmarkEnd w:id="89"/>
    </w:p>
    <w:p>
      <w:pPr>
        <w:pStyle w:val="BookText"/>
        <w:rPr/>
      </w:pPr>
      <w:r>
        <w:rPr>
          <w:rFonts w:ascii="Amiri" w:hAnsi="Amiri" w:eastAsia="Amiri" w:cs="Amiri"/>
          <w:color w:val="111111"/>
          <w:sz w:val="28"/>
          <w:sz w:val="28"/>
          <w:szCs w:val="28"/>
          <w:rtl w:val="true"/>
          <w:lang w:bidi="ar-SA"/>
        </w:rPr>
        <w:t>وأما أن يراد بالضررِ المفسدةُ، فما يستفاد من كلام المحقق الخراساني</w:t>
      </w:r>
      <w:r>
        <w:rPr>
          <w:rStyle w:val="FootnoteAnchor"/>
          <w:rtl w:val="true"/>
        </w:rPr>
        <w:footnoteReference w:id="121"/>
      </w:r>
      <w:r>
        <w:rPr>
          <w:rFonts w:ascii="Amiri" w:hAnsi="Amiri" w:eastAsia="Amiri" w:cs="Amiri"/>
          <w:color w:val="111111"/>
          <w:sz w:val="28"/>
          <w:sz w:val="28"/>
          <w:szCs w:val="28"/>
          <w:rtl w:val="true"/>
          <w:lang w:bidi="ar-SA"/>
        </w:rPr>
        <w:t>في الكفاية</w:t>
      </w:r>
      <w:r>
        <w:rPr>
          <w:rStyle w:val="FootnoteAnchor"/>
          <w:rtl w:val="true"/>
        </w:rPr>
        <w:footnoteReference w:id="122"/>
      </w:r>
      <w:r>
        <w:rPr>
          <w:rFonts w:ascii="IRNazanin" w:hAnsi="IRNazanin" w:eastAsia="IRNazanin"/>
          <w:color w:val="111111"/>
          <w:sz w:val="28"/>
          <w:sz w:val="28"/>
          <w:szCs w:val="28"/>
          <w:rtl w:val="true"/>
          <w:lang w:bidi="fa-IR"/>
        </w:rPr>
        <w:t>جوابان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لزوم تبعية الأحكام الشرعية للمصالح والمفاسد في متعلقاتها، بل قد تكون المصالح والمفاسد في نفس الجعل، فتستوفى تلك الملاكات بمجرد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بمظنة المفسدة على مخالفة المجتهد لما ظنه إنما يتم بناء على تبعية الأحكام للمصالح والمفاسد في متعلقاتها، ولكن إن كانت ملاكات الأحكام في نفس الجعل فلا ضرر، ولا مفسدة دنيوية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كلام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المقدار الثابت عندنا أن الأحكام الشرعية لا يمكن أن تكون نابعة عن الإرادة الجزافية، بل لابد من وجود الحكمة، وتتحقق الحكمة بوجود الملاك في الجعل، ولا يتوقف على وجود الملاك في المتعلق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لزوم كون الملاكات في المتعلق، بل يمكن أن تكون في نفس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Style w:val="FootnoteAnchor"/>
          <w:rtl w:val="true"/>
        </w:rPr>
        <w:footnoteReference w:id="123"/>
      </w:r>
      <w:r>
        <w:rPr>
          <w:rFonts w:ascii="Amiri" w:hAnsi="Amiri" w:eastAsia="Amiri" w:cs="Amiri"/>
          <w:color w:val="111111"/>
          <w:sz w:val="28"/>
          <w:sz w:val="28"/>
          <w:szCs w:val="28"/>
          <w:rtl w:val="true"/>
          <w:lang w:bidi="ar-SA"/>
        </w:rPr>
        <w:t>في موارد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قابل للتأمل عقلاً ونقلاً،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التأمل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دعوى كون الآيات الكريمة والروايات الشريفة دالة على أن الأحكام تابعة لملاكات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أحل الشيء لأنه طيب واقعاً، فالملاك في المتعلق لا أن الملاك في ذات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الْخَبَآئِثَ</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فالتحليل والتحريم تابعان للملاك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خلق الخلق فعلم ما تقوم به أبدانهم وما يصلحهم، فأحله لهم وأباحه تفضلاً منه عليهم به لمصلحتهم، وعلم ما يضرهم فنهاهم عنه وحرمه عليهم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كل ما أحل اللّه ففيه صلاح العباد وبقاؤهم، ولهم إليه الحاجة، ووجدنا المحرم من الأشياء لا حاجة </w:t>
      </w:r>
    </w:p>
    <w:p>
      <w:pPr>
        <w:pStyle w:val="BookText"/>
        <w:rPr/>
      </w:pPr>
      <w:r>
        <w:rPr>
          <w:rFonts w:ascii="Amiri" w:hAnsi="Amiri" w:eastAsia="Amiri" w:cs="Amiri"/>
          <w:color w:val="111111"/>
          <w:sz w:val="28"/>
          <w:sz w:val="28"/>
          <w:szCs w:val="28"/>
          <w:rtl w:val="true"/>
          <w:lang w:bidi="ar-SA"/>
        </w:rPr>
        <w:t>بالعباد إليه، ووجدناه مفسداً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إشكال سندي ودلالي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الحديث الأول بستة طرق مستقلة، حيث رواه الكليني بطريقين في الكافي</w:t>
      </w:r>
      <w:r>
        <w:rPr>
          <w:rStyle w:val="FootnoteAnchor"/>
          <w:rtl w:val="true"/>
        </w:rPr>
        <w:footnoteReference w:id="129"/>
      </w:r>
      <w:r>
        <w:rPr>
          <w:rFonts w:ascii="Amiri" w:hAnsi="Amiri" w:eastAsia="Amiri" w:cs="Amiri"/>
          <w:color w:val="111111"/>
          <w:sz w:val="28"/>
          <w:sz w:val="28"/>
          <w:szCs w:val="28"/>
          <w:rtl w:val="true"/>
          <w:lang w:bidi="ar-SA"/>
        </w:rPr>
        <w:t>، والصدوق في الفقيه</w:t>
      </w:r>
      <w:r>
        <w:rPr>
          <w:rStyle w:val="FootnoteAnchor"/>
          <w:rtl w:val="true"/>
        </w:rPr>
        <w:footnoteReference w:id="130"/>
      </w:r>
      <w:r>
        <w:rPr>
          <w:rFonts w:ascii="Amiri" w:hAnsi="Amiri" w:eastAsia="Amiri" w:cs="Amiri"/>
          <w:color w:val="111111"/>
          <w:sz w:val="28"/>
          <w:sz w:val="28"/>
          <w:szCs w:val="28"/>
          <w:rtl w:val="true"/>
          <w:lang w:bidi="ar-SA"/>
        </w:rPr>
        <w:t>، والأمالي</w:t>
      </w:r>
      <w:r>
        <w:rPr>
          <w:rStyle w:val="FootnoteAnchor"/>
          <w:rtl w:val="true"/>
        </w:rPr>
        <w:footnoteReference w:id="131"/>
      </w:r>
      <w:r>
        <w:rPr>
          <w:rFonts w:ascii="IRNazanin" w:hAnsi="IRNazanin" w:eastAsia="IRNazanin"/>
          <w:color w:val="111111"/>
          <w:sz w:val="28"/>
          <w:sz w:val="28"/>
          <w:szCs w:val="28"/>
          <w:rtl w:val="true"/>
          <w:lang w:bidi="fa-IR"/>
        </w:rPr>
        <w:t>، والعلل</w:t>
      </w:r>
      <w:r>
        <w:rPr>
          <w:rStyle w:val="FootnoteAnchor"/>
          <w:rtl w:val="true"/>
        </w:rPr>
        <w:footnoteReference w:id="132"/>
      </w:r>
      <w:r>
        <w:rPr>
          <w:rFonts w:ascii="Amiri" w:hAnsi="Amiri" w:eastAsia="Amiri" w:cs="Amiri"/>
          <w:color w:val="111111"/>
          <w:sz w:val="28"/>
          <w:sz w:val="28"/>
          <w:szCs w:val="28"/>
          <w:rtl w:val="true"/>
          <w:lang w:bidi="ar-SA"/>
        </w:rPr>
        <w:t>، والبرقي في المحاسن</w:t>
      </w:r>
      <w:r>
        <w:rPr>
          <w:rStyle w:val="FootnoteAnchor"/>
          <w:rtl w:val="true"/>
        </w:rPr>
        <w:footnoteReference w:id="133"/>
      </w:r>
      <w:r>
        <w:rPr>
          <w:rFonts w:ascii="Amiri" w:hAnsi="Amiri" w:eastAsia="Amiri" w:cs="Amiri"/>
          <w:color w:val="111111"/>
          <w:sz w:val="28"/>
          <w:sz w:val="28"/>
          <w:szCs w:val="28"/>
          <w:rtl w:val="true"/>
          <w:lang w:bidi="ar-SA"/>
        </w:rPr>
        <w:t>، والعياشي في تفسيره</w:t>
      </w:r>
      <w:r>
        <w:rPr>
          <w:rStyle w:val="FootnoteAnchor"/>
          <w:rtl w:val="true"/>
        </w:rPr>
        <w:footnoteReference w:id="134"/>
      </w:r>
      <w:r>
        <w:rPr>
          <w:rFonts w:ascii="Amiri" w:hAnsi="Amiri" w:eastAsia="Amiri" w:cs="Amiri"/>
          <w:color w:val="111111"/>
          <w:sz w:val="28"/>
          <w:sz w:val="28"/>
          <w:szCs w:val="28"/>
          <w:rtl w:val="true"/>
          <w:lang w:bidi="ar-SA"/>
        </w:rPr>
        <w:t>، والشيخ في التهذيب</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كل هذه الطرق ضعيفة على المشهور، إلا على تمامية مبنى ضمان الكليني، وضمان الصدوق أو محتمل ضمان الشيخ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الصدوق</w:t>
      </w:r>
      <w:r>
        <w:rPr>
          <w:rStyle w:val="FootnoteAnchor"/>
          <w:rtl w:val="true"/>
        </w:rPr>
        <w:footnoteReference w:id="136"/>
      </w:r>
      <w:r>
        <w:rPr>
          <w:rFonts w:ascii="Amiri" w:hAnsi="Amiri" w:eastAsia="Amiri" w:cs="Amiri"/>
          <w:color w:val="111111"/>
          <w:sz w:val="28"/>
          <w:sz w:val="28"/>
          <w:szCs w:val="28"/>
          <w:rtl w:val="true"/>
          <w:lang w:bidi="ar-SA"/>
        </w:rPr>
        <w:t>بسنده إلى ابن سنان، والكلام في وثاقة محمد بن سنان، فقد اختلفوا في وثاقته، حيث يرى البعض تعارض التوثيق والتضعيف فيه، بينما يرى آخرون وثاقته، ومع ذلك فإن طريق الصدوق إلى محمد بن سنان ضعيف في خصوص هذه الرواية، وإن كان صحيحاً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الإشكال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الآيات والروايات على الحصر، حيث تدل الآيات على حلية كل طيب، وحرمة كل خبيث، ولا تدل على عكس الموجبة الكلية على نحو الكلية، فهل كل ما نهي عنه خبيث، وكل ما أمر به طيب؟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الآية الأولى</w:t>
      </w:r>
      <w:r>
        <w:rPr>
          <w:rStyle w:val="FootnoteAnchor"/>
          <w:rtl w:val="true"/>
        </w:rPr>
        <w:footnoteReference w:id="137"/>
      </w:r>
      <w:r>
        <w:rPr>
          <w:rFonts w:ascii="Amiri" w:hAnsi="Amiri" w:eastAsia="Amiri" w:cs="Amiri"/>
          <w:color w:val="111111"/>
          <w:sz w:val="28"/>
          <w:sz w:val="28"/>
          <w:szCs w:val="28"/>
          <w:rtl w:val="true"/>
          <w:lang w:bidi="ar-SA"/>
        </w:rPr>
        <w:t>على ذلك، فلم يحل إلا الطيب، وظاهره الحصر، وكذا رواية محمد بن سنان صريحة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تشعر بالحصر والرواية الثانية تدل على الحصر أيضاً، لكن يلزم تصحيح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تتبعت كثيراً فلم أجد غير هاتين الروايتين، ولكن مجموع الروايات الواردة في علل الأحكام ربما تشعر بتبعية الأحكام لمصالح ومفاسد في متعلقاتها، وربما الروايات في ذلك بالمئات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بحاجة إلى تتبع وتأمل أكثر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التأمل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كون الملاك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المتعلقات متساوية النسبة بالإضافة إلى الجاعل، ولا يكون في أحدها خصوصية معينة، ومآله إلى الترجيح بلا مرجح</w:t>
      </w:r>
      <w:r>
        <w:rPr>
          <w:rStyle w:val="FootnoteAnchor"/>
          <w:rtl w:val="true"/>
        </w:rPr>
        <w:footnoteReference w:id="138"/>
      </w:r>
      <w:r>
        <w:rPr>
          <w:rFonts w:ascii="Amiri" w:hAnsi="Amiri" w:eastAsia="Amiri" w:cs="Amiri"/>
          <w:color w:val="111111"/>
          <w:sz w:val="28"/>
          <w:sz w:val="28"/>
          <w:szCs w:val="28"/>
          <w:rtl w:val="true"/>
          <w:lang w:bidi="ar-SA"/>
        </w:rPr>
        <w:t>، وهو محال، فلو أراد المولى امتحان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غرض في المتعلق أصلاً، كالأوامر الاعتبارية والاعتذارية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يرى أنه مطيع أو لا، وذلك في </w:t>
      </w:r>
    </w:p>
    <w:p>
      <w:pPr>
        <w:pStyle w:val="BookText"/>
        <w:rPr/>
      </w:pPr>
      <w:r>
        <w:rPr>
          <w:rFonts w:ascii="Amiri" w:hAnsi="Amiri" w:eastAsia="Amiri" w:cs="Amiri"/>
          <w:color w:val="111111"/>
          <w:sz w:val="28"/>
          <w:sz w:val="28"/>
          <w:szCs w:val="28"/>
          <w:rtl w:val="true"/>
          <w:lang w:bidi="ar-SA"/>
        </w:rPr>
        <w:t>المولى العرفي، أو أراد إظهار حقيقة العبد، وذلك في المولى الحقيقي، فلماذا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بماء، ولم يقل جئني بخبز، والترجيح بلا مرجح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بمبنى السيد الوالد</w:t>
      </w:r>
      <w:r>
        <w:rPr>
          <w:rStyle w:val="FootnoteAnchor"/>
          <w:rtl w:val="true"/>
        </w:rPr>
        <w:footnoteReference w:id="139"/>
      </w:r>
      <w:r>
        <w:rPr>
          <w:rFonts w:ascii="Amiri" w:hAnsi="Amiri" w:eastAsia="Amiri" w:cs="Amiri"/>
          <w:color w:val="111111"/>
          <w:sz w:val="28"/>
          <w:sz w:val="28"/>
          <w:szCs w:val="28"/>
          <w:rtl w:val="true"/>
          <w:lang w:bidi="ar-SA"/>
        </w:rPr>
        <w:t>وكثير من المتكلمين</w:t>
      </w:r>
      <w:r>
        <w:rPr>
          <w:rStyle w:val="FootnoteAnchor"/>
          <w:rtl w:val="true"/>
        </w:rPr>
        <w:footnoteReference w:id="140"/>
      </w:r>
      <w:r>
        <w:rPr>
          <w:rFonts w:ascii="Amiri" w:hAnsi="Amiri" w:eastAsia="Amiri" w:cs="Amiri"/>
          <w:color w:val="111111"/>
          <w:sz w:val="28"/>
          <w:sz w:val="28"/>
          <w:szCs w:val="28"/>
          <w:rtl w:val="true"/>
          <w:lang w:bidi="ar-SA"/>
        </w:rPr>
        <w:t>بإمكانه، وإنما المحال الترجح بلا مرجح، كرغيفي الجائع وطريقي الهارب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مبنى استحالة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يؤول إلى الترجح بلا مرجح، وواقع الترجيح هو الترجح كما اختاره جملة</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وارد، إلا أن يقال لابد من وجود خصوصية، والخصوصية لا تلازم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لدفع التأمل الثاني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الترجيح بلا مرجح،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الدليل وجود الخصوصية، وهي لا تلازم المصلحة والمفسدة، فالدليل يفيد الخصوصية في المتعلق لا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أمر بهذا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 دونه،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الأحكام تابعة للمصالح والمفاسد في متعلقاتها، لكنها لا تلازم الضرر والمفسدة الشخصية؛ وذلك لجهات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لا يكون هنالك ضرر ومفسدة شخصية في الفعل أصلاً، بل مجرد الحزازة والمنقصة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المتحقق تفويت المصلحة، وهو ليس بضرر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المتحقق الضرر فيمكن أن يكون الضرر نوعياً لا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بالتبعية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بجهاته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العقل يأمر بدفع الضرر يأمر بدفع الحزازة والمنقصة، فلو فرض عدم الضرر في عقوق الوالدين، وعدم الفائدة في برّهما، لكنه خلاف الإنسانية ففيه الحزازة العظمى، وكما يأمر العقل بدفع الضرر الخطير يأمر بدفع الحزازة العظيمة، والشاهد هو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يأمر بوجوب شكر المنعم لمن لم يشكرهُ مع فرض عدم تحقق الضرر في حقه أبداً لوعد اللّه إياه؛ لأن عدمه حزازة ومنقصة يُحرِّمهما العقل قطعاً؛ ولذا نرى أن وجوب شكر المنعم لا يبتني على قاعدة دفع الضرر المحتمل حتى وإن أمن مفادهُ 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بحث في قاعدة لا ضرر، مفادهُ هل أن تفويت المصلحة مضرة أم لا؟ خاصةً في المصالح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عنه فإن العقل كما يحكم بدفع الضرر يحكم بقبح تفويت المصلحة العظيمة على الأقل، فلو لم يكن مؤمناً وفرض أنه لا يدخل النار ولا يدخل الجنة أيضاً، ويُحرَمُ من لذاتها، كما يحرم من نعمة القرب لله تبارك وتعالى، ألا يحكم العقل بجلب هذه المصلحة؟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أحكام شرعية فيها ضرر شخصي ومصلحة نوعية، كدفع الخمس والزكاة، وأحكام فيها مصلحة شخصية وضرر نوعي، كسرقة </w:t>
      </w:r>
    </w:p>
    <w:p>
      <w:pPr>
        <w:pStyle w:val="BookText"/>
        <w:rPr/>
      </w:pPr>
      <w:r>
        <w:rPr>
          <w:rFonts w:ascii="Amiri" w:hAnsi="Amiri" w:eastAsia="Amiri" w:cs="Amiri"/>
          <w:color w:val="111111"/>
          <w:sz w:val="28"/>
          <w:sz w:val="28"/>
          <w:szCs w:val="28"/>
          <w:rtl w:val="true"/>
          <w:lang w:bidi="ar-SA"/>
        </w:rPr>
        <w:t>مال الناس، والعقل كما يحكم بوجوب دفع الأضرار الشخصية يحكم بوجوب دفع الأضرار النوعية، فلو أراد رجل تفجير بلد لا يصلني منه ضرر شخصي، ألا يحكم العقل بدفع هذا الضرر؟</w:t>
      </w:r>
    </w:p>
    <w:p>
      <w:pPr>
        <w:pStyle w:val="BookText"/>
        <w:rPr/>
      </w:pPr>
      <w:r>
        <w:rPr>
          <w:rFonts w:ascii="Amiri" w:hAnsi="Amiri" w:eastAsia="Amiri" w:cs="Amiri"/>
          <w:color w:val="111111"/>
          <w:sz w:val="28"/>
          <w:sz w:val="28"/>
          <w:szCs w:val="28"/>
          <w:rtl w:val="true"/>
          <w:lang w:bidi="ar-SA"/>
        </w:rPr>
        <w:t>فقول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لزوم جلب المصلحة المظنونة، ولزوم دفع المفسدة النوعية المظنونة ساقطةٌ لا شاهد عليها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يحكم العقل أن أكون في أمان وليذهب كل البشر إلى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فرق في الجملة بين دفع الضرر والحزازة، وبين تحقق المضرة أو تفويت المصلحة، وبين الضرر النوعي والشخصي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أشار صاحب الكفاية إلى إشكال آخر لكنه 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كون الملاك في الجعل دون المتعلق لا يخلو من احتمال عكسه، كما أنّ إمكان كون الضرر نوعياً يدل على إمكان كونه شخصياً، وإمكان كونه تفويتاً للمصلحة معناه إمكان كونه جلب المفسدة، وكذا إمكان كونه حزازة معناه إمكان كونه مضرة، وقد ثبت أن دفع الضرر المظنون، بل المشكوك واجب، وهذا ضرر مشكوك؛ لاحتمال تحقق المفسدة الشخصية في المتعلق، والعجيب التهافت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استقلال للعقل بقبح ما فيه احتمال مفسدة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استقلاله بدفع الضرر المشكوك قريبة جداً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90" w:name="pg15601_166540"/>
    </w:p>
    <w:p>
      <w:pPr>
        <w:pStyle w:val="BookText"/>
        <w:rPr/>
      </w:pPr>
      <w:bookmarkEnd w:id="90"/>
      <w:r>
        <w:rPr>
          <w:rFonts w:ascii="Amiri" w:hAnsi="Amiri" w:eastAsia="Amiri" w:cs="Amiri"/>
          <w:color w:val="111111"/>
          <w:sz w:val="28"/>
          <w:sz w:val="28"/>
          <w:szCs w:val="28"/>
          <w:rtl w:val="true"/>
          <w:lang w:bidi="ar-SA"/>
        </w:rPr>
        <w:t>فالأولى أن يقال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التأمين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الإشكال في اقتحام المفسدة المحتملة في شرب التتن، إلا أن تكون المفسدة المحتملة عظمية لا تشملها أدلة البراءة العقلية والشرعية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000097_2142443653"/>
      <w:bookmarkStart w:id="92" w:name="_Toc36"/>
      <w:bookmarkEnd w:id="91"/>
      <w:r>
        <w:rPr>
          <w:rtl w:val="true"/>
        </w:rPr>
        <w:t>الدليل الثاني</w:t>
      </w:r>
      <w:r>
        <w:rPr>
          <w:rtl w:val="true"/>
        </w:rPr>
        <w:t xml:space="preserve">: </w:t>
      </w:r>
      <w:r>
        <w:rPr>
          <w:rtl w:val="true"/>
        </w:rPr>
        <w:t>ترجيح المرجوح على الراجح</w:t>
      </w:r>
      <w:bookmarkEnd w:id="92"/>
    </w:p>
    <w:p>
      <w:pPr>
        <w:pStyle w:val="BookText"/>
        <w:rPr/>
      </w:pPr>
      <w:r>
        <w:rPr>
          <w:rFonts w:ascii="Amiri" w:hAnsi="Amiri" w:eastAsia="Amiri" w:cs="Amiri"/>
          <w:color w:val="111111"/>
          <w:sz w:val="28"/>
          <w:sz w:val="28"/>
          <w:szCs w:val="28"/>
          <w:rtl w:val="true"/>
          <w:lang w:bidi="ar-SA"/>
        </w:rPr>
        <w:t>إنه لو لم يؤخذ بالظن لزم ترجيح المرجوح على 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بين الثلاث والأربع وكان البناء على الأربع مظنوناً، والثلاث موهوماً، كان الأخذ بالموهوم ترجيح المرجوح على 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قبح ترجيح المرجوح على الراجح مطلقاً؛ إذ ليس قبيحاً مطلقاً، بل إنما يقبح لو لم يكن في طرف</w:t>
      </w:r>
    </w:p>
    <w:p>
      <w:pPr>
        <w:pStyle w:val="BookText"/>
        <w:rPr/>
      </w:pPr>
      <w:r>
        <w:rPr>
          <w:rFonts w:ascii="Amiri" w:hAnsi="Amiri" w:eastAsia="Amiri" w:cs="Amiri"/>
          <w:color w:val="111111"/>
          <w:sz w:val="28"/>
          <w:sz w:val="28"/>
          <w:szCs w:val="28"/>
          <w:rtl w:val="true"/>
          <w:lang w:bidi="ar-SA"/>
        </w:rPr>
        <w:t>الوهم جهة رجحان، ومصلحة تسهيل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كلية الكبرى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محل تأمَل؛ لأن مصلحة التسهيل إما أن تكون بحد الإلزام أو لا، فإن كانت بحد الإلزام فيخرج عن الكبرى الكلية خروجاً موضوعياً؛ لعدم ملاحظة الصفات الذاتية في الرجحان فقط، بل تلاحظ العوارضُ المكتَنِفَة أيضاً، فلو أجاز المولى الأكل المرجوح لعبده بمصلحة التسهيل أو غيرها، فالإجازة لا تكون من ترجيح المرجوح على الراجح؛ لإمكان كون المصلحة الطارئة متساوية مع مصلحة طرف الوهم فيتخير، فيكون من </w:t>
      </w:r>
    </w:p>
    <w:p>
      <w:pPr>
        <w:pStyle w:val="BookText"/>
        <w:rPr/>
      </w:pPr>
      <w:r>
        <w:rPr>
          <w:rFonts w:ascii="Amiri" w:hAnsi="Amiri" w:eastAsia="Amiri" w:cs="Amiri"/>
          <w:color w:val="111111"/>
          <w:sz w:val="28"/>
          <w:sz w:val="28"/>
          <w:szCs w:val="28"/>
          <w:rtl w:val="true"/>
          <w:lang w:bidi="ar-SA"/>
        </w:rPr>
        <w:t>ترجيح أحد المتساويين على الآخر، أو من ترجيح الموهوم الراجح بلحاظ العوارض الخارجية على المظنون الراجح لو خلّي وطبعهُ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أيضاً</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القبح فليس بالحد الملزم، كما لو ظن جودة البضاعة فاشترى الموهوم من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محل تأمَل؛ لأن المفروضَ في المقام وجود الغرض اللزومي، أما لو لم يكن غرض لزومي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 ذلك، كما لو كان طريقان للمقصد،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 الجودة،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موهوم الجودة، وحيث لا غرض لزومي فترجيح المرجوح ليس قبيحاً إلى حد الحرمة، لكن لو كان هنالك غرض لزومي، كما في وجود إناءين في أحدهما سم واضطر لشرب أحدهما لخوف الهلاك، فالغرض اللزومي موجود، وترجيح المرجوح على الراجح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الدليل إما أن يكون في مقام الإفتاء، أو يكون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 الإفتاء فيجب التوقف، وعدم الإفتاء لا بالطرف المرجوح لا بالطرف الراجح، لأن الفتوى بغير العلم والعلمي حرام،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w:t>
      </w:r>
    </w:p>
    <w:p>
      <w:pPr>
        <w:pStyle w:val="BookText"/>
        <w:rPr/>
      </w:pPr>
      <w:r>
        <w:rPr>
          <w:rFonts w:ascii="Amiri" w:hAnsi="Amiri" w:eastAsia="Amiri" w:cs="Amiri"/>
          <w:color w:val="111111"/>
          <w:sz w:val="28"/>
          <w:sz w:val="28"/>
          <w:szCs w:val="28"/>
          <w:rtl w:val="true"/>
          <w:lang w:bidi="ar-SA"/>
        </w:rPr>
        <w:t>عَلَى اللّهِ مَا لاَ تَعْلَمُونَ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حتى وإن ظن الفقيهُ بأن الحكم هو البناء على الأربع، إلا أنه مصداق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الفتوى بالمظنون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مقام العمل، كأن يشك بين الثلاث والأربع ولا يعلم الوظيفة، فتمامية </w:t>
      </w:r>
      <w:bookmarkStart w:id="93" w:name="pg15601_166542"/>
    </w:p>
    <w:p>
      <w:pPr>
        <w:pStyle w:val="BookText"/>
        <w:rPr/>
      </w:pPr>
      <w:bookmarkEnd w:id="93"/>
      <w:r>
        <w:rPr>
          <w:rFonts w:ascii="Amiri" w:hAnsi="Amiri" w:eastAsia="Amiri" w:cs="Amiri"/>
          <w:color w:val="111111"/>
          <w:sz w:val="28"/>
          <w:sz w:val="28"/>
          <w:szCs w:val="28"/>
          <w:rtl w:val="true"/>
          <w:lang w:bidi="ar-SA"/>
        </w:rPr>
        <w:t>الدليل الثاني موقوف على ضم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تكليف تنجيزي معلوم بالعلم الإجمالي، لكن لو لم يكن تكليفاً تنجيزياً فلا قبح في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تقوم حجة على الطرف المرجوح، وأنْ لا تجري البراءةُ من الطرف الراجح، أما مع وجود الحجة أو قيام البراءة فلا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الاحتياط عقلاً، أو لا يجب شرعاً، وأما لو أمكن الاحتياط فيجب الجمع بين المظنون والموهوم، كإناءي السم، حيث يجب 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ضم المقدمات الثلاث يكونُ مآل هذا الدليل إلى الدليل الرابع، وهو دليل الانسداد، فلا يصلح أن يكون دليلاً في قبالهِ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0000099_2142443653"/>
      <w:bookmarkStart w:id="95" w:name="_Toc37"/>
      <w:bookmarkEnd w:id="94"/>
      <w:r>
        <w:rPr>
          <w:rtl w:val="true"/>
        </w:rPr>
        <w:t>الدليل الثالث</w:t>
      </w:r>
      <w:r>
        <w:rPr>
          <w:rtl w:val="true"/>
        </w:rPr>
        <w:t xml:space="preserve">: </w:t>
      </w:r>
      <w:r>
        <w:rPr>
          <w:rtl w:val="true"/>
        </w:rPr>
        <w:t>وجوب الاحتياط بالمظنونات</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 عن السيد الطباطبائي</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وجود محرمات وواجبات كثيرة بين المشتبهات، ومقتضى هذا العلم الإجمالي وجوب الاحتياط الكلي بالإتيان حتى بموهوم الوجوب، والاجتناب حتى عن موهوم الحرمة، ولكنه حرجي، فمقتضى الجمع بين قاعدة الاحتياط ونفي الحرج التبعيض، بأن يحتاط في المظنونات دون المشكوكات والموهومات، لأن التبعيض على 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يحتاط بالمشكوكات والموهومات دون المظنونات، أو يدخل بعض المشكوكات ويخرج بعض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إجماعاً</w:t>
      </w:r>
      <w:r>
        <w:rPr>
          <w:rFonts w:eastAsia="Amiri" w:cs="Amiri" w:ascii="Amiri" w:hAnsi="Amiri"/>
          <w:color w:val="111111"/>
          <w:sz w:val="28"/>
          <w:szCs w:val="28"/>
          <w:rtl w:val="true"/>
          <w:lang w:bidi="ar-SA"/>
        </w:rPr>
        <w:t xml:space="preserve">. </w:t>
      </w:r>
      <w:bookmarkStart w:id="96" w:name="pg15601_166543"/>
    </w:p>
    <w:p>
      <w:pPr>
        <w:pStyle w:val="BookText"/>
        <w:rPr/>
      </w:pPr>
      <w:bookmarkEnd w:id="96"/>
      <w:r>
        <w:rPr>
          <w:rFonts w:ascii="Amiri" w:hAnsi="Amiri" w:eastAsia="Amiri" w:cs="Amiri"/>
          <w:color w:val="111111"/>
          <w:sz w:val="28"/>
          <w:sz w:val="28"/>
          <w:szCs w:val="28"/>
          <w:rtl w:val="true"/>
          <w:lang w:bidi="ar-SA"/>
        </w:rPr>
        <w:t>ولا يبعد أن يكون إجماعاً مستنبطاً أو تقديرياً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شخصي لا نوعي، ويتقدر بقدره، فتكون النتيجة وجوب العمل بما أمكنه، ففي الأواني المشتبهة لو كان الاجتناب عن الجميع حرجياً فهل يقتصر على المظنونات أم يعمل بما أمكنه، كأن يجتنب عن المظنونة والمشكوكة، وهو يختلف باختلاف الأشخاص، وقد ثبت أن هذه العناوين شخصية لا نوعية؟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إلا بضميمة المقدمات الأخرى، منها عدم العلم أو العلمي، وإلاّ انحل العلم الإجمالي، ومنها عدم جواز إجراء البراءة في جميع المظنونات والمشكوكات والموهومات، ولو اُجريت حصل المؤمِّنُ الشرعي، فلا يتم الدليل إلا بضمْ بقية المقدمات، ونتيجتها دليل الانسداد، فلا يكون دليلاً مستقلاً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0000101_2142443653"/>
      <w:bookmarkStart w:id="98" w:name="_Toc38"/>
      <w:bookmarkEnd w:id="97"/>
      <w:r>
        <w:rPr>
          <w:rtl w:val="true"/>
        </w:rPr>
        <w:t>الدليل الرابع</w:t>
      </w:r>
      <w:r>
        <w:rPr>
          <w:rtl w:val="true"/>
        </w:rPr>
        <w:t xml:space="preserve">: </w:t>
      </w:r>
      <w:r>
        <w:rPr>
          <w:rtl w:val="true"/>
        </w:rPr>
        <w:t>دليل الانسداد</w:t>
      </w:r>
      <w:bookmarkEnd w:id="98"/>
    </w:p>
    <w:p>
      <w:pPr>
        <w:pStyle w:val="Heading5"/>
        <w:numPr>
          <w:ilvl w:val="4"/>
          <w:numId w:val="1"/>
        </w:numPr>
        <w:rPr/>
      </w:pPr>
      <w:bookmarkStart w:id="99" w:name="__RefHeading___Toc10000103_2142443653"/>
      <w:bookmarkStart w:id="100" w:name="_Toc39"/>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ويبتني على خمس مقدمات عند صاحب الكفاية</w:t>
      </w:r>
      <w:r>
        <w:rPr>
          <w:rStyle w:val="FootnoteAnchor"/>
          <w:rtl w:val="true"/>
        </w:rPr>
        <w:footnoteReference w:id="150"/>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تمت لانتهى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نحو الكشف أو على 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مطلق الظن، لكن الشيخ الأعظم</w:t>
      </w:r>
      <w:r>
        <w:rPr>
          <w:rStyle w:val="FootnoteAnchor"/>
          <w:rtl w:val="true"/>
        </w:rPr>
        <w:footnoteReference w:id="151"/>
      </w:r>
      <w:r>
        <w:rPr>
          <w:rFonts w:ascii="Amiri" w:hAnsi="Amiri" w:eastAsia="Amiri" w:cs="Amiri"/>
          <w:color w:val="111111"/>
          <w:sz w:val="28"/>
          <w:sz w:val="28"/>
          <w:szCs w:val="28"/>
          <w:rtl w:val="true"/>
          <w:lang w:bidi="ar-SA"/>
        </w:rPr>
        <w:t>بناه على أربع مقدمات، وهي</w:t>
      </w:r>
      <w:r>
        <w:rPr>
          <w:rFonts w:eastAsia="Amiri" w:cs="Amiri" w:ascii="Amiri" w:hAnsi="Amiri"/>
          <w:color w:val="111111"/>
          <w:sz w:val="28"/>
          <w:szCs w:val="28"/>
          <w:rtl w:val="true"/>
          <w:lang w:bidi="ar-SA"/>
        </w:rPr>
        <w:t xml:space="preserve">: </w:t>
      </w:r>
      <w:bookmarkStart w:id="101" w:name="pg15601_166544"/>
    </w:p>
    <w:p>
      <w:pPr>
        <w:pStyle w:val="Heading5"/>
        <w:numPr>
          <w:ilvl w:val="4"/>
          <w:numId w:val="1"/>
        </w:numPr>
        <w:rPr/>
      </w:pPr>
      <w:bookmarkStart w:id="102" w:name="__RefHeading___Toc10000105_2142443653"/>
      <w:bookmarkStart w:id="103" w:name="_Toc40"/>
      <w:bookmarkEnd w:id="101"/>
      <w:bookmarkEnd w:id="102"/>
      <w:r>
        <w:rPr>
          <w:rtl w:val="true"/>
        </w:rPr>
        <w:t>مقدمات دليل الانسداد</w:t>
      </w:r>
      <w:bookmarkEnd w:id="10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الإجمالي بثبوت تكاليف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بمعظم الأحكام، فهي ليست معلومة بالعلم الوجداني ولا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الأحكام وعدم التعرض لامتثالها بالمرة،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نعلم الأحكام بالعلم التفصيلي فنهملها ونقتصر على الأحكام المعلومة بالعلم الوجداني أو التعبدي، فإنه يوجب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في أطراف العلم الإجمالي، بل عدم جواز الاحتياط في الجملة؛ لأنه يوجب اختلال النظام وحدوث الهرج والمرج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جواز الرجوع إلى الأصل في كل مسألة مسألة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ينظر إلى المسائل بالنظرة التفكيكية، وينظر في مقتضى الأصل العملي، فمقتضاه في صلاة الجمعة استصحاب الوجوب، وفي الدعاء عند رؤية الهلال البراءة، وفي الشك في وجوب دفن الكافر أو حرمته التخيير، فكل مسألة تلاحظ بنظرة منفردة وأحادية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الأصول لا تجري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الرجوع إلى فتوى العالم بحكم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إلى المجتهد الانفتاحي العالم تعبداً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رجوع المجتهد إلى غيره، وعدم جواز الرجوع إلى القرعة وأمثالها في المقام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ترجيح المرجوح على الراجح، فالأمر دائر بين الإطاعة الظنَّية والوهميَّة والشكيَّة، ويقبح ترجيح المرجوح على الراجح، والراجح هو الإطاعة الظنية للتكاليف المعلومة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التنزل من الامتثال القطعي للأحكام المعلومة بالإجمال إلى الامتثال الظني، فيجب على المجتهد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المقدمات بصورة القياس الاستثنائي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علم إجمالي بتكاليف فعلية أو لا، وعلى الأول، إما أنْ ينسد باب العلم والعلمي أو لا، وعلى الأول إما أنْ يجب التعرَّض للامتثال أو لا، وعلى الأول فالتعرض إما بالإطاعة الظنية أو بغيرها من الاحتياط، أو الأصول العملية أو التقليد أو الإطاعة الوهمية والشكيّة، والتوالي بأسرها باطلة، فيتعين الاقتصار على 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الأعظم</w:t>
      </w:r>
      <w:r>
        <w:rPr>
          <w:rStyle w:val="FootnoteAnchor"/>
          <w:rtl w:val="true"/>
        </w:rPr>
        <w:footnoteReference w:id="152"/>
      </w:r>
      <w:r>
        <w:rPr>
          <w:rFonts w:ascii="Amiri" w:hAnsi="Amiri" w:eastAsia="Amiri" w:cs="Amiri"/>
          <w:color w:val="111111"/>
          <w:sz w:val="28"/>
          <w:sz w:val="28"/>
          <w:szCs w:val="28"/>
          <w:rtl w:val="true"/>
          <w:lang w:bidi="ar-SA"/>
        </w:rPr>
        <w:t>لم يتعرض للمقدمة الأولى واقتصر على المقدمات الأربع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النهاية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المقدمة الأولى، إما معلول لعدم مقدميتها، أو معلول لوضوحها، وكل منهما لا يصلح علة لذلك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أربعة</w:t>
      </w:r>
      <w:r>
        <w:rPr>
          <w:rStyle w:val="FootnoteAnchor"/>
          <w:rtl w:val="true"/>
        </w:rPr>
        <w:footnoteReference w:id="153"/>
      </w:r>
      <w:r>
        <w:rPr>
          <w:rFonts w:ascii="Amiri" w:hAnsi="Amiri" w:eastAsia="Amiri" w:cs="Amiri"/>
          <w:color w:val="111111"/>
          <w:sz w:val="28"/>
          <w:sz w:val="28"/>
          <w:szCs w:val="28"/>
          <w:rtl w:val="true"/>
          <w:lang w:bidi="ar-SA"/>
        </w:rPr>
        <w:t>بإسقاط المقدمة الأولى، فإن كان لأجل عدم المقدميّة، فمن الواضح أنهُ لولاها لم يكن مجال للمقدمات الأخر إلا بنحو السالبة بانتفاء الموضوع</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فالمقدمة الأولى بمثابة الموضوع للمقدمات الأخرى، فلولا العلم الإجمالي لما كان للمقدمة الثانية مجال، فلا حكم أصلاً إلا على نحو السالبة بانتفاء </w:t>
      </w:r>
    </w:p>
    <w:p>
      <w:pPr>
        <w:pStyle w:val="BookText"/>
        <w:rPr/>
      </w:pPr>
      <w:r>
        <w:rPr>
          <w:rFonts w:ascii="Amiri" w:hAnsi="Amiri" w:eastAsia="Amiri" w:cs="Amiri"/>
          <w:color w:val="111111"/>
          <w:sz w:val="28"/>
          <w:sz w:val="28"/>
          <w:szCs w:val="28"/>
          <w:rtl w:val="true"/>
          <w:lang w:bidi="ar-SA"/>
        </w:rPr>
        <w:t>الموضوع، فالطريق إلى الأحكام منسد لعدم الحكم، بل لا معنى له حتى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لوضوح هذه المقدمة لدلالة سائر المقدمات عليها، فمن الواضح أن وضوحها لا يوجب عدم مقدميتها، ولا الاستغناء بذكر الباقي عن ذكرها، وإلا كان بعضها الآخر كذلك، بل بعضها أوضح</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كالمقدمة الثالثة من عدم وجود حكم للمكلفين، كالصبيان، فالصحيح ما فعله صاحب الكفاية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بين الشيخ والكفاية خلاف لفظي، لأن مدخلية العلم الإجمالي في النتيجة المبتغاة لا تنكر، إلا أن الشيخ الأعظم ذكر المقدمة بالالتزام، وصاحب الكفاية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الحديث بين الأعلام أشبه باللفظي، فإن دخالة وجود العلم الإجمالي بالأحكام، وتأثيره في تمامية الدليل مما لا ينكر، إنما البحث في ذكره مقدمة بالاستقلال وعدم ذكره كذلك، بل استفادته من طي الكلام، وهذا المعنى ليس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أخذ وجود العلم الإجمالي في جملة المقدمات؛ إذ فرض وجود الواقعيات التي لا يجوز إهمال امتثالها، وفرض انسداد باب العلم والعلمي ملازم للعلم الإجمالي، ولولاه لما كان للمقدمات الأخرى موضوع ومجال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يختلف الشيخ عن صاحب الكفاية في أن تنبيهه على العلم </w:t>
      </w:r>
    </w:p>
    <w:p>
      <w:pPr>
        <w:pStyle w:val="BookText"/>
        <w:rPr/>
      </w:pPr>
      <w:r>
        <w:rPr>
          <w:rFonts w:ascii="Amiri" w:hAnsi="Amiri" w:eastAsia="Amiri" w:cs="Amiri"/>
          <w:color w:val="111111"/>
          <w:sz w:val="28"/>
          <w:sz w:val="28"/>
          <w:szCs w:val="28"/>
          <w:rtl w:val="true"/>
          <w:lang w:bidi="ar-SA"/>
        </w:rPr>
        <w:t>الإجمالي بالالتزام، بخلاف صاحب الكفاية فإنه نص عليه مطابقةً وصريحاً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كلامهما لا يخلو من نظر؛ لعدم بناء مقدمات دليل الانسداد على قضية العلم الإجمالي ومنجزيته، فحتى لو فرض عدم تحقق العلم الإجمالي أو عدم منجزيته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 من الفقهاء</w:t>
      </w:r>
      <w:r>
        <w:rPr>
          <w:rStyle w:val="FootnoteAnchor"/>
          <w:rtl w:val="true"/>
        </w:rPr>
        <w:footnoteReference w:id="158"/>
      </w:r>
      <w:r>
        <w:rPr>
          <w:rFonts w:ascii="Amiri" w:hAnsi="Amiri" w:eastAsia="Amiri" w:cs="Amiri"/>
          <w:color w:val="111111"/>
          <w:sz w:val="28"/>
          <w:sz w:val="28"/>
          <w:szCs w:val="28"/>
          <w:rtl w:val="true"/>
          <w:lang w:bidi="ar-SA"/>
        </w:rPr>
        <w:t>، ومنهم بعض المعاصرين</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مقدمات الانسداد تامة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عدم جواز إهمال امتثال الأحكام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يستلزم المخالفة القطعية الكثيرة المعبر عنه بالخروج عن الدين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الأعظم جعل العلم الإجمالي وجهاً من وجوه عدم جواز إهمال الأحكام مستدلاً عليه بثلاثة أدلّة،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والخروج من الدين بالإجمال، والعلم الإجمالي بثبوت التكاليف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فيمن يرى عدم منجّزية العلم الإجمالي، فيجوز عنده عدم الموافقة القطعية، بل تجوز له المخالفة القطعية للعلم الإجمالي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المبنى تتم مقدمات الانسداد حتى مع عدم العلم الإجمالي، ولا تتوقف على القول بوجود العلم الإجمالي المنجّز؛ لأن الوجود التكويني للعلم الإجمالي لا أثر له، بل الأثر وجود العلم الإجمالي المنجِّز للتكليف</w:t>
      </w:r>
      <w:r>
        <w:rPr>
          <w:rFonts w:eastAsia="Amiri" w:cs="Amiri" w:ascii="Amiri" w:hAnsi="Amiri"/>
          <w:color w:val="111111"/>
          <w:sz w:val="28"/>
          <w:szCs w:val="28"/>
          <w:rtl w:val="true"/>
          <w:lang w:bidi="ar-SA"/>
        </w:rPr>
        <w:t xml:space="preserve">. </w:t>
      </w:r>
      <w:bookmarkStart w:id="104" w:name="pg15601_166548"/>
    </w:p>
    <w:p>
      <w:pPr>
        <w:pStyle w:val="BookText"/>
        <w:rPr/>
      </w:pPr>
      <w:bookmarkEnd w:id="104"/>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حذف المقدمة الأولى، والاقتصار على مقدمات الشيخ الأعظم نصل إلى نفس النتيجة، التي وصل إليها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وجود العلم الإجمالي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بتوقف الدليل عليه من باب تحقيق الموضوع، وإلا لا يبقى هنالك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فالأمر في ذلك سهل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0000107_2142443653"/>
      <w:bookmarkStart w:id="106" w:name="_Toc41"/>
      <w:bookmarkEnd w:id="105"/>
      <w:r>
        <w:rPr>
          <w:rtl w:val="true"/>
        </w:rPr>
        <w:t>المناقشة في مقدمات دليل الانسداد</w:t>
      </w:r>
      <w:bookmarkEnd w:id="106"/>
    </w:p>
    <w:p>
      <w:pPr>
        <w:pStyle w:val="Heading6"/>
        <w:numPr>
          <w:ilvl w:val="5"/>
          <w:numId w:val="1"/>
        </w:numPr>
        <w:rPr/>
      </w:pPr>
      <w:bookmarkStart w:id="107" w:name="__RefHeading___Toc10000109_2142443653"/>
      <w:bookmarkStart w:id="108" w:name="_Toc42"/>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واضحة ولا تحتاج إلى بيان وبرهان</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0000111_2142443653"/>
      <w:bookmarkStart w:id="110" w:name="_Toc43"/>
      <w:bookmarkEnd w:id="109"/>
      <w:r>
        <w:rPr>
          <w:rtl w:val="true"/>
        </w:rPr>
        <w:t>المناقشة في المقدمة الأولى</w:t>
      </w:r>
      <w:bookmarkEnd w:id="110"/>
    </w:p>
    <w:p>
      <w:pPr>
        <w:pStyle w:val="BookText"/>
        <w:rPr/>
      </w:pPr>
      <w:r>
        <w:rPr>
          <w:rFonts w:ascii="Amiri" w:hAnsi="Amiri" w:eastAsia="Amiri" w:cs="Amiri"/>
          <w:color w:val="111111"/>
          <w:sz w:val="28"/>
          <w:sz w:val="28"/>
          <w:szCs w:val="28"/>
          <w:rtl w:val="true"/>
          <w:lang w:bidi="ar-SA"/>
        </w:rPr>
        <w:t>لكن يمكن أن يشكل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منحلٌ بالاضطرار إلى بعض الأطراف؛ لعدم إمكان الاحتياط في جميع أطراف العلم الإجمالي الوسيع، أو لكونه حرجياً أو ضَررياً، وإذا إضطَر المكلف إلى بعض أطراف العلم الإجمالي سقط عن التأثير، وتحول إلى علم تفصيلي بالجواز في المضطر إليه، وشبهة بدوية في الباقي، كما في إناءين سقطت قطرة دم في أحدهما واضطر إلى شرب احدهما، فينحل العلم الإجمالي إلى جواز شرب المضطر إليه، وجريان البراءة في الثاني المشكوك بالشبهة البدوية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المبنى، فللاضطرار أربع صور،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أحدهما المعين، ككون أحدهما المعين دواء والأخر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والاضطرار إلى أحدهما غير المعين و له صور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الانحلال، وتمام البحث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المبنى والقول بالانحلال بطرو الاضطرار لبعض الأطراف، إلا أنه لا يسبب انحلال العلم الإجمالي في المقام؛ للزوم محذور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بجواز اقتحام جميع المشتبهات، والاقتصار على عدد معدود من التكاليف المعلومة بالعلم الوجداني أو بالعلمي، يسبب الخروج القطعي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الانحلال بسبب الاضطرار إلى بعض الأطراف، عدم زيادة مقدار المعلوم بالإجمال عن المقدار المضطر إليه، لكن لو عُلمت الزيادة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إناءان مشتبهان واضطر لشرب أحدهما، يمكن القول بالانحلال على المبنى؛ لعدم حرمة أحدهما للاضطرار، والثاني مؤمن عنه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علم أن إناءين من ثلاثة نجسة، واضطر لشرب أحدها، فلا ينحل العلم الإجمالي؛ لبقاء العلم بنجاسة أحد الاثنين بعد شرب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قبيل الثاني، فإنه بعد ارتكاب المضطر إليه في العلم الإجمالي الواسع، والذي أطرافهُ جميع الأحكام غير المعلومة بالعلم الوجداني، أو التعبدي يُعلم ببقاء أحكام في الذمة في المتبقي، وهو ينجز جميع الباقي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انحلال العلم الإجمالي بوجود التكاليف الفعلية إلى علم إجمالي أصغر،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قد عرفت انحلال العلم الإجمالي بما في الأخبار الصادرة عن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فيما بأيدينا، من الروايات في الكتب المعتبرة، ومعه لا موجب </w:t>
      </w:r>
    </w:p>
    <w:p>
      <w:pPr>
        <w:pStyle w:val="BookText"/>
        <w:rPr/>
      </w:pPr>
      <w:r>
        <w:rPr>
          <w:rFonts w:ascii="Amiri" w:hAnsi="Amiri" w:eastAsia="Amiri" w:cs="Amiri"/>
          <w:color w:val="111111"/>
          <w:sz w:val="28"/>
          <w:sz w:val="28"/>
          <w:szCs w:val="28"/>
          <w:rtl w:val="true"/>
          <w:lang w:bidi="ar-SA"/>
        </w:rPr>
        <w:t>للاحتياط إلا في خصوص ما في الروايات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محذور في الاحتياط في العلم الإجمالي الصغير؛ لعدم الحرج والضرر والعسر واختلال النظام، ولا إجماع على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كلامه ببيان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علوم إجمالية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بوجود تكاليف إلزامية بين جميع المشتبهات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بوجود تكاليف بين الأمارات الموجودة، كالإجماعات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بوجود تكاليف فيما بأيدينا من 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ينحل إلى الثاني، والثاني إلى الثالث، فيجب الاحتياط في خصوص الروايات أو المدونة في الكتب المعتبرة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مرحلة رابعة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الثالث إلى أخبار الثقات، فينحل العلم الإجمالي إلى علم تفصيلي بالتكليف فيما قام عليه أخبار الثقات، وشك بدوي في سائر الأخبار يؤمن عنها بالأصول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اقتُصر على المرحلة الثالثة، فمقتضاه الاحتياط في دائرة العلم الإجمالي الصغير، ولو انتقلنا إلى المرحلة الرابعة، فينحل العلم الإجمالي كاملاً، ولا وجه للاحتياط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ملاك الانحلال في الدليل العقلي الأول لحجية الخبر، فراجع</w:t>
      </w:r>
      <w:r>
        <w:rPr>
          <w:rFonts w:eastAsia="Amiri" w:cs="Amiri" w:ascii="Amiri" w:hAnsi="Amiri"/>
          <w:color w:val="111111"/>
          <w:sz w:val="28"/>
          <w:szCs w:val="28"/>
          <w:rtl w:val="true"/>
          <w:lang w:bidi="ar-SA"/>
        </w:rPr>
        <w:t xml:space="preserve">. </w:t>
      </w:r>
      <w:bookmarkStart w:id="111" w:name="pg15601_166551"/>
    </w:p>
    <w:p>
      <w:pPr>
        <w:pStyle w:val="BookText"/>
        <w:rPr/>
      </w:pPr>
      <w:bookmarkEnd w:id="111"/>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كلام الكفاية،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المذكور لا ينسجم مع إقحام المقدمة الأولى في مقدمات الانسداد، حيث نتساءل ما هو مراد صاحب الكفاية من المقدمة الأولى؟ فهل المراد وجود العلم الإجمالي المنجز، أو وجود العلم الإجمالي التكويني بغض النظر عن تنجزه؟</w:t>
      </w:r>
    </w:p>
    <w:p>
      <w:pPr>
        <w:pStyle w:val="BookText"/>
        <w:rPr/>
      </w:pPr>
      <w:r>
        <w:rPr>
          <w:rFonts w:ascii="Amiri" w:hAnsi="Amiri" w:eastAsia="Amiri" w:cs="Amiri"/>
          <w:color w:val="111111"/>
          <w:sz w:val="28"/>
          <w:sz w:val="28"/>
          <w:szCs w:val="28"/>
          <w:rtl w:val="true"/>
          <w:lang w:bidi="ar-SA"/>
        </w:rPr>
        <w:t>إن كان مراده وجود العلم الإجمالي المنجز،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الانسداد لا يبتني على هذه المقدمة، حيث يمكن القول بتمامية دليل الانسداد مع عدم القول بتنجيز العلم الإجمالي، وذلك للإجماع أو محذور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صرف الوجود التكويني للعلم الإجمالي بالتكاليف الفعلية، فما ذكره من الإشكال ليس وارداً؛ لعدم فرض التنجيز في المقدمة الأولى حتى يقال بانحلال العلم الإجمالي لعدم التنجيز، ولا انحلال للعلم الإجمالي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قول صاحب الكفاية إما أن يحذف المقدمة الأولى إن كان مراده العلم المنجز، أو يحذف إشكاله على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بوجود قطرات من الدم في الدار، ثم علم إجمالاً بوجود قطرات من الدم في خصوص هذه الغرفة، فمع انحلال العلم الإجمالي المنجز إلا أن الوجود التكويني للعلم الإجمالي باق على حاله</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0000113_2142443653"/>
      <w:bookmarkStart w:id="113" w:name="_Toc44"/>
      <w:bookmarkEnd w:id="112"/>
      <w:r>
        <w:rPr>
          <w:rtl w:val="true"/>
        </w:rPr>
        <w:t>المناقشة في المقدمة الثانية</w:t>
      </w:r>
      <w:bookmarkEnd w:id="113"/>
    </w:p>
    <w:p>
      <w:pPr>
        <w:pStyle w:val="BookText"/>
        <w:rPr/>
      </w:pPr>
      <w:r>
        <w:rPr>
          <w:rFonts w:ascii="Amiri" w:hAnsi="Amiri" w:eastAsia="Amiri" w:cs="Amiri"/>
          <w:color w:val="111111"/>
          <w:sz w:val="28"/>
          <w:sz w:val="28"/>
          <w:szCs w:val="28"/>
          <w:rtl w:val="true"/>
          <w:lang w:bidi="ar-SA"/>
        </w:rPr>
        <w:t>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انسداد باب العلم والعلمي بالأحكام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يحتاج إلى بيان وتوضيح؛ لأن دائرة العلم خاصة بالضروريات والقطعيات، وهي غالباً مجملات؛ لعدم العلم الوجداني </w:t>
      </w:r>
    </w:p>
    <w:p>
      <w:pPr>
        <w:pStyle w:val="BookText"/>
        <w:rPr/>
      </w:pPr>
      <w:r>
        <w:rPr>
          <w:rFonts w:ascii="Amiri" w:hAnsi="Amiri" w:eastAsia="Amiri" w:cs="Amiri"/>
          <w:color w:val="111111"/>
          <w:sz w:val="28"/>
          <w:sz w:val="28"/>
          <w:szCs w:val="28"/>
          <w:rtl w:val="true"/>
          <w:lang w:bidi="ar-SA"/>
        </w:rPr>
        <w:t>بالشرائط والموانع والأجزاء، والقواطع والخصوصيات للواجبات كالحج، والصلاة في هذه العهود، بل حتى في عهد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بعيداً، بل حتى المقربين في ظرف شدة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انسداد باب العلمي، أي عدم تحقق الظن بالأحكام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إلى انسداد باب الظن الخاص، فهي</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مبنية على أن لا يثبت من الأدلة المتقدمة لحجية الخبر الواحد حجية مقدار منه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الأدلة العلمية وباقي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معظم الأحكام الشرعية، بحيث لا يبقى مانع من الرجوع في المسائل الخالية عن الخبر الواحد وأخواته من الظنون الخاصة</w:t>
      </w:r>
      <w:r>
        <w:rPr>
          <w:rStyle w:val="FootnoteAnchor"/>
          <w:rtl w:val="true"/>
        </w:rPr>
        <w:footnoteReference w:id="163"/>
      </w:r>
      <w:r>
        <w:rPr>
          <w:rFonts w:ascii="Amiri" w:hAnsi="Amiri" w:eastAsia="Amiri" w:cs="Amiri"/>
          <w:color w:val="111111"/>
          <w:sz w:val="28"/>
          <w:sz w:val="28"/>
          <w:szCs w:val="28"/>
          <w:rtl w:val="true"/>
          <w:lang w:bidi="ar-SA"/>
        </w:rPr>
        <w:t>إلى ما يقتضيه الأصل في تلك الواقعة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هذا مجمل، حيث لم يتطرق إلى أنه يفي أو لا 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تمامية الشق الثاني متوقفة على نفي أحد أمور ثلاثة، ونفيه متوقف على اجتماعهاً معاً،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أخبار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رواة الأحاديث الموجودة بأيدينا، وهو بحث صغروي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ظواهر الكلام بالنسبة إلينا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ثبوت حجية خبر الثقة، وثبوت وثاقة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bookmarkStart w:id="114" w:name="pg15601_166553"/>
    </w:p>
    <w:p>
      <w:pPr>
        <w:pStyle w:val="BookText"/>
        <w:rPr/>
      </w:pPr>
      <w:bookmarkEnd w:id="114"/>
      <w:r>
        <w:rPr>
          <w:rFonts w:ascii="Amiri" w:hAnsi="Amiri" w:eastAsia="Amiri" w:cs="Amiri"/>
          <w:color w:val="111111"/>
          <w:sz w:val="28"/>
          <w:sz w:val="28"/>
          <w:szCs w:val="28"/>
          <w:rtl w:val="true"/>
          <w:lang w:bidi="ar-SA"/>
        </w:rPr>
        <w:t>وثبوت حجية ظواهر الكلام لغير المشافهين، تكون الروايات الموجودة بأيدينا كافية لإثبات معظم الأحكام الشرعية تعبداً، وحينئذ لا مانع من الرجوع إلى الأصول العملية في سائر المشكوكات، ولا يستلزم من إعمال الأصل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تمامية إحدى هذه المقدمات تثبت المقدمة الثانية للانسداد، بفقدان العلمي، كما لو كان المبنى حجية الظواهر لخصوص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كان المبنى عدم حجية غير الصحيح الأعلائي</w:t>
      </w:r>
      <w:r>
        <w:rPr>
          <w:rStyle w:val="FootnoteAnchor"/>
          <w:rtl w:val="true"/>
        </w:rPr>
        <w:footnoteReference w:id="165"/>
      </w:r>
      <w:r>
        <w:rPr>
          <w:rFonts w:ascii="Amiri" w:hAnsi="Amiri" w:eastAsia="Amiri" w:cs="Amiri"/>
          <w:color w:val="111111"/>
          <w:sz w:val="28"/>
          <w:sz w:val="28"/>
          <w:szCs w:val="28"/>
          <w:rtl w:val="true"/>
          <w:lang w:bidi="ar-SA"/>
        </w:rPr>
        <w:t>، وغالب الرواة لم تثبت وثاقتهم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كان المبنى عدم حجية أخبار الثقات، بل حجية الخبر الموثوق به</w:t>
      </w:r>
      <w:r>
        <w:rPr>
          <w:rStyle w:val="FootnoteAnchor"/>
          <w:rtl w:val="true"/>
        </w:rPr>
        <w:footnoteReference w:id="166"/>
      </w:r>
      <w:r>
        <w:rPr>
          <w:rFonts w:ascii="Amiri" w:hAnsi="Amiri" w:eastAsia="Amiri" w:cs="Amiri"/>
          <w:color w:val="111111"/>
          <w:sz w:val="28"/>
          <w:sz w:val="28"/>
          <w:szCs w:val="28"/>
          <w:rtl w:val="true"/>
          <w:lang w:bidi="ar-SA"/>
        </w:rPr>
        <w:t>، وحينئذ لا تتم المقدمة الثانية لدليل الانسداد؛ لأن الأخبار الموثوق بها من الوفرة والكثرة بدرجة تحل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أهم مقدمات دليل الانسداد، وعلى محورها يدور البحث، ولذا اكتفى بعض الأصوليين بذكرها دون غيرها، ومع نفيها ينهدم بنيان دليل الانسداد</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0000115_2142443653"/>
      <w:bookmarkStart w:id="116" w:name="_Toc45"/>
      <w:bookmarkEnd w:id="115"/>
      <w:r>
        <w:rPr>
          <w:rtl w:val="true"/>
        </w:rPr>
        <w:t>المناقشة في المقدمة الثالثة</w:t>
      </w:r>
      <w:bookmarkEnd w:id="1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جواز إهمال الأحكام المعلومة بالإجمال، بأن لا يتعرض المكلف بوجه من الوجوه لأمتثال الأحكام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المقدمة من الضروريات، ولو كان كذلك لم تحتج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الأعظم</w:t>
      </w:r>
      <w:r>
        <w:rPr>
          <w:rStyle w:val="FootnoteAnchor"/>
          <w:rtl w:val="true"/>
        </w:rPr>
        <w:footnoteReference w:id="168"/>
      </w:r>
      <w:r>
        <w:rPr>
          <w:rFonts w:ascii="Amiri" w:hAnsi="Amiri" w:eastAsia="Amiri" w:cs="Amiri"/>
          <w:color w:val="111111"/>
          <w:sz w:val="28"/>
          <w:sz w:val="28"/>
          <w:szCs w:val="28"/>
          <w:rtl w:val="true"/>
          <w:lang w:bidi="ar-SA"/>
        </w:rPr>
        <w:t>استدل لها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أنه على تقدير الانسداد لا يجوز إهمال امتثال الأحكام بالمرة، وصيرورتنا كالأطفال والمجانين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تقديري؛ لعدم تعنون الانسداد عند القدماء، وإنما ذكره بعض المتأخرين فيكون تقديرياً فلا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بأجوبة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التقدير في الإجماع بحجيته إن كان مقطوعاً لا مظنوناً، فلو عرضت المسألة على جميع فقهاء الإسلام لأفتوا بهذا الحكم وهذا يكفي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للتقريب وإن أمكن مناقشة المثال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المرأة لباساً يحكي جميع تقاطيع البدن بدون أن يظهر اللون، فإنه غير جائز، واستدل له تارة بارتكاز المتشرعة، وتارة بالإجماع التقديري، فلو عرضت على كافة الفقهاء لم يروه كافياً في الحجاب الشرعي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قطعنا بإجماع الأطباء على المنع، فيما لو عرضت عليهم المسألة </w:t>
      </w:r>
    </w:p>
    <w:p>
      <w:pPr>
        <w:pStyle w:val="BookText"/>
        <w:rPr/>
      </w:pPr>
      <w:r>
        <w:rPr>
          <w:rFonts w:ascii="Amiri" w:hAnsi="Amiri" w:eastAsia="Amiri" w:cs="Amiri"/>
          <w:color w:val="111111"/>
          <w:sz w:val="28"/>
          <w:sz w:val="28"/>
          <w:szCs w:val="28"/>
          <w:rtl w:val="true"/>
          <w:lang w:bidi="ar-SA"/>
        </w:rPr>
        <w:t>الطبية من الصدر الأول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في المعلق عليه لا في المعلق، فإن كون الظرف ظرف الانسداد تقديري، لكن المعلق وهو عدم جواز إهمال الأحكام وعدم التعرض لامتثالها بأي نحو من أنحاء التعرض محل إجماع قطعي، والعبرة في الإجماع بفعلية المعلق لا بفعلية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الإجماع من تصريحات الفقهاء في نظائر المقام، فقد لا تتعنون مسألة فلا يتحقق فيها إجماع تحقيقي، ولكن يتحقق في نظائرها، حيث لا فرق بينهما، وهو كافٍ في ثبوت الإجماع، أو ملاك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كثيراً ما يذكرون أن الظن يقوم مقام العلم في الشرعيات عند تعذر العلم</w:t>
      </w:r>
      <w:r>
        <w:rPr>
          <w:rStyle w:val="FootnoteAnchor"/>
          <w:rtl w:val="true"/>
        </w:rPr>
        <w:footnoteReference w:id="170"/>
      </w:r>
      <w:r>
        <w:rPr>
          <w:rFonts w:ascii="Amiri" w:hAnsi="Amiri" w:eastAsia="Amiri" w:cs="Amiri"/>
          <w:color w:val="111111"/>
          <w:sz w:val="28"/>
          <w:sz w:val="28"/>
          <w:szCs w:val="28"/>
          <w:rtl w:val="true"/>
          <w:lang w:bidi="ar-SA"/>
        </w:rPr>
        <w:t>، وقد حكي عن السيد 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بالعمل بالظن عند تعذر العلم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w:t>
      </w:r>
      <w:r>
        <w:rPr>
          <w:rStyle w:val="FootnoteAnchor"/>
          <w:rtl w:val="true"/>
        </w:rPr>
        <w:footnoteReference w:id="172"/>
      </w:r>
      <w:r>
        <w:rPr>
          <w:rFonts w:ascii="Amiri" w:hAnsi="Amiri" w:eastAsia="Amiri" w:cs="Amiri"/>
          <w:color w:val="111111"/>
          <w:sz w:val="28"/>
          <w:sz w:val="28"/>
          <w:szCs w:val="28"/>
          <w:rtl w:val="true"/>
          <w:lang w:bidi="ar-SA"/>
        </w:rPr>
        <w:t>ادعى الإجماع على ذلك في باب قضاء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السيد الوالد عن حاشية الآشتياني</w:t>
      </w:r>
      <w:r>
        <w:rPr>
          <w:rStyle w:val="FootnoteAnchor"/>
          <w:rtl w:val="true"/>
        </w:rPr>
        <w:footnoteReference w:id="173"/>
      </w:r>
      <w:r>
        <w:rPr>
          <w:rFonts w:ascii="Amiri" w:hAnsi="Amiri" w:eastAsia="Amiri" w:cs="Amiri"/>
          <w:color w:val="111111"/>
          <w:sz w:val="28"/>
          <w:sz w:val="28"/>
          <w:szCs w:val="28"/>
          <w:rtl w:val="true"/>
          <w:lang w:bidi="ar-SA"/>
        </w:rPr>
        <w:t>أنه قد ادعى غير واحد في باب الفوائت الإجماع على تضيق الوجبات الموسعة بظن الضيق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ادعى بعض المحققين الإجماع على حجية </w:t>
      </w:r>
    </w:p>
    <w:p>
      <w:pPr>
        <w:pStyle w:val="BookText"/>
        <w:rPr/>
      </w:pPr>
      <w:r>
        <w:rPr>
          <w:rFonts w:ascii="Amiri" w:hAnsi="Amiri" w:eastAsia="Amiri" w:cs="Amiri"/>
          <w:color w:val="111111"/>
          <w:sz w:val="28"/>
          <w:sz w:val="28"/>
          <w:szCs w:val="28"/>
          <w:rtl w:val="true"/>
          <w:lang w:bidi="ar-SA"/>
        </w:rPr>
        <w:t>الظن بالنسبة إلى الأمور المستقبلية لانسداد باب العلم فيها غالباً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مراده، أنه لو ظن بالوفاة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قضاء الفوائت ورد الأمانات، وما أشبه على التفصيل المذكور في العروة، فقد 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عند ظهور أمارات الموت أداء حقوق الناس الواجبة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الاستناد، بل مظنونه، وهو ليس بحجة على المعروف، والعجيب أن صاحب الكفاية</w:t>
      </w:r>
      <w:r>
        <w:rPr>
          <w:rStyle w:val="FootnoteAnchor"/>
          <w:rtl w:val="true"/>
        </w:rPr>
        <w:footnoteReference w:id="176"/>
      </w:r>
      <w:r>
        <w:rPr>
          <w:rFonts w:ascii="Amiri" w:hAnsi="Amiri" w:eastAsia="Amiri" w:cs="Amiri"/>
          <w:color w:val="111111"/>
          <w:sz w:val="28"/>
          <w:sz w:val="28"/>
          <w:szCs w:val="28"/>
          <w:rtl w:val="true"/>
          <w:lang w:bidi="ar-SA"/>
        </w:rPr>
        <w:t>ذكر الإجماع وجعله أحد المستندين في هذا المقام، مع أنه لا يرى الحجية للإجماع مع احتمال استناده، وقد مضى الكلام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الإهمال للمخالفة القطعية الكثيرة المعبر عنها بالخروج عن الدين، ولا يراد به الكفر، فإن مخالفة الأحكام المعلومة بالتفصيل لا يوجب الكفر، فكيف بالأحكام المعلومة بالإجمال، وإنما يراد به الخروج عن مذاق الدين، أي الخروج العملي عن الدين، فالمكلف الذي يجعل المشكوكات في أطراف العلم الإجمال بحكم المجهولات خارج عن الدين،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المخالفة القطعية الكثيرة للأحكام الواقعية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قربه الشيخ الأعظم</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فرض تحول الانسداد الغالبي إلى الانسداد الكلي، بأنْ انسد باب العلم والعلمي مطلقاً، حتى في الأحكام القليلة المعلومة بالعلم أو العلمي، أو في مثل من كان في بلاد بعيدة وانسد </w:t>
      </w:r>
    </w:p>
    <w:p>
      <w:pPr>
        <w:pStyle w:val="BookText"/>
        <w:rPr/>
      </w:pPr>
      <w:r>
        <w:rPr>
          <w:rFonts w:ascii="Amiri" w:hAnsi="Amiri" w:eastAsia="Amiri" w:cs="Amiri"/>
          <w:color w:val="111111"/>
          <w:sz w:val="28"/>
          <w:sz w:val="28"/>
          <w:szCs w:val="28"/>
          <w:rtl w:val="true"/>
          <w:lang w:bidi="ar-SA"/>
        </w:rPr>
        <w:t>عليه باب العلم والعلمي بتمام الأحكام، فهل يأذن له فقيه أن يهمل الأحكام بالمرة، ولا يتعرض لامتثالها بأي نحو من الأنحاء؟ إنه خروج عملي عن الدين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كلامه بأنه</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التصريح بأن ما يوجب تعطيل الدين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إليه في عبارات جمع من الفقهاء تصريحاً أو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الصدوق في الفقيه</w:t>
      </w:r>
      <w:r>
        <w:rPr>
          <w:rStyle w:val="FootnoteAnchor"/>
          <w:rtl w:val="true"/>
        </w:rPr>
        <w:footnoteReference w:id="179"/>
      </w:r>
      <w:r>
        <w:rPr>
          <w:rFonts w:ascii="Amiri" w:hAnsi="Amiri" w:eastAsia="Amiri" w:cs="Amiri"/>
          <w:color w:val="111111"/>
          <w:sz w:val="28"/>
          <w:sz w:val="28"/>
          <w:szCs w:val="28"/>
          <w:rtl w:val="true"/>
          <w:lang w:bidi="ar-SA"/>
        </w:rPr>
        <w:t>، والسيد المرتضى في رسائله</w:t>
      </w:r>
      <w:r>
        <w:rPr>
          <w:rStyle w:val="FootnoteAnchor"/>
          <w:rtl w:val="true"/>
        </w:rPr>
        <w:footnoteReference w:id="180"/>
      </w:r>
      <w:r>
        <w:rPr>
          <w:rFonts w:ascii="Amiri" w:hAnsi="Amiri" w:eastAsia="Amiri" w:cs="Amiri"/>
          <w:color w:val="111111"/>
          <w:sz w:val="28"/>
          <w:sz w:val="28"/>
          <w:szCs w:val="28"/>
          <w:rtl w:val="true"/>
          <w:lang w:bidi="ar-SA"/>
        </w:rPr>
        <w:t>، وقال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 يرغب أهل العلم عنه، ومن صار إليه لا يحسن مكالمته</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نهج المسترشدين</w:t>
      </w:r>
      <w:r>
        <w:rPr>
          <w:rStyle w:val="FootnoteAnchor"/>
          <w:rtl w:val="true"/>
        </w:rPr>
        <w:footnoteReference w:id="182"/>
      </w:r>
      <w:r>
        <w:rPr>
          <w:rFonts w:ascii="Amiri" w:hAnsi="Amiri" w:eastAsia="Amiri" w:cs="Amiri"/>
          <w:color w:val="111111"/>
          <w:sz w:val="28"/>
          <w:sz w:val="28"/>
          <w:szCs w:val="28"/>
          <w:rtl w:val="true"/>
          <w:lang w:bidi="ar-SA"/>
        </w:rPr>
        <w:t>، والفاضل المقداد في شرح الباب الحادي عشر</w:t>
      </w:r>
      <w:r>
        <w:rPr>
          <w:rStyle w:val="FootnoteAnchor"/>
          <w:rtl w:val="true"/>
        </w:rPr>
        <w:footnoteReference w:id="183"/>
      </w:r>
      <w:r>
        <w:rPr>
          <w:rFonts w:ascii="Amiri" w:hAnsi="Amiri" w:eastAsia="Amiri" w:cs="Amiri"/>
          <w:color w:val="111111"/>
          <w:sz w:val="28"/>
          <w:sz w:val="28"/>
          <w:szCs w:val="28"/>
          <w:rtl w:val="true"/>
          <w:lang w:bidi="ar-SA"/>
        </w:rPr>
        <w:t>، والفاضل التوني في الوافية</w:t>
      </w:r>
      <w:r>
        <w:rPr>
          <w:rStyle w:val="FootnoteAnchor"/>
          <w:rtl w:val="true"/>
        </w:rPr>
        <w:footnoteReference w:id="184"/>
      </w:r>
      <w:r>
        <w:rPr>
          <w:rFonts w:ascii="Amiri" w:hAnsi="Amiri" w:eastAsia="Amiri" w:cs="Amiri"/>
          <w:color w:val="111111"/>
          <w:sz w:val="28"/>
          <w:sz w:val="28"/>
          <w:szCs w:val="28"/>
          <w:rtl w:val="true"/>
          <w:lang w:bidi="ar-SA"/>
        </w:rPr>
        <w:t>، والمحدث البحراني في الحدائق</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الإجمالي المنجز بوجود تكاليف واقعية، فلا يجوز الإهمال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الكفاية</w:t>
      </w:r>
      <w:r>
        <w:rPr>
          <w:rStyle w:val="FootnoteAnchor"/>
          <w:rtl w:val="true"/>
        </w:rPr>
        <w:footnoteReference w:id="186"/>
      </w:r>
      <w:r>
        <w:rPr>
          <w:rFonts w:ascii="Amiri" w:hAnsi="Amiri" w:eastAsia="Amiri" w:cs="Amiri"/>
          <w:color w:val="111111"/>
          <w:sz w:val="28"/>
          <w:sz w:val="28"/>
          <w:szCs w:val="28"/>
          <w:rtl w:val="true"/>
          <w:lang w:bidi="ar-SA"/>
        </w:rPr>
        <w:t xml:space="preserve">لم يعتبره في عداد الأدلة؛ لعدم منجزية العلم </w:t>
      </w:r>
    </w:p>
    <w:p>
      <w:pPr>
        <w:pStyle w:val="BookText"/>
        <w:rPr/>
      </w:pPr>
      <w:r>
        <w:rPr>
          <w:rFonts w:ascii="Amiri" w:hAnsi="Amiri" w:eastAsia="Amiri" w:cs="Amiri"/>
          <w:color w:val="111111"/>
          <w:sz w:val="28"/>
          <w:sz w:val="28"/>
          <w:szCs w:val="28"/>
          <w:rtl w:val="true"/>
          <w:lang w:bidi="ar-SA"/>
        </w:rPr>
        <w:t>الإجمالي في المقام، فإن مبناه في مباحث البراءة سقوط العلم الإجمالي عن التنجيز بالمرة، مع الاضطرار لبعض الأطراف، فيما لو وجب أو جاز الاقتحام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سقوط العلم الإجمالي عن التنجيز يكون العقاب على ما تبقى من الأطراف عقاباً بلا بيان، وهو قبيح؛ لأن العلم الإجمالي بالتكليف هو البيان، ولو سقط عن التنجيز فلا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عنه بجوابين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نُسلِّم أن الاضطرار إلى بعض الأطراف يسقط العلم الإجمالي عن التنجيز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العلم الإجمالي لا زال باقياً، لكون المضطر إليه أضيق دائرة من المعلوم بالإجمال، فمع الاقتحام في أطراف المضطر إليه يبقى العلم الإجمالي فيما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قاعدة قبح العقاب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البيان ينتفي موضوع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والكاشف عن وجوب الاحتياط في المقام دليلان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شدِّة اهتمام الشارع بأحكامه، ولُزوم مراعاة التكاليف الواقعية، فقد ضحى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لأحكام اللّه وتكاليفه الواقعية، وهم أشرف مَنْ في الوجود، وخلق لأجلهم الكون، </w:t>
      </w:r>
    </w:p>
    <w:p>
      <w:pPr>
        <w:pStyle w:val="BookText"/>
        <w:rPr/>
      </w:pPr>
      <w:r>
        <w:rPr>
          <w:rFonts w:ascii="Amiri" w:hAnsi="Amiri" w:eastAsia="Amiri" w:cs="Amiri"/>
          <w:color w:val="111111"/>
          <w:sz w:val="28"/>
          <w:sz w:val="28"/>
          <w:szCs w:val="28"/>
          <w:rtl w:val="true"/>
          <w:lang w:bidi="ar-SA"/>
        </w:rPr>
        <w:t>فالاهتمام كاشف لمي عن إيجاب الشارع للاحتياط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المكشوف بدليل 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البيان، فيرتفع موضوع قبح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الإهمال في هذا الحال، وإنه مرغوب عنه شرعاً قطعاً، فلا مجال للإشكال وإن لم نقل بتنجيز العلم الإجمالي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إهمال الأحكام في ظرف الانسداد، ووجوب الاحتياط لا ينشأ من العلم الإجمالي، فإنه منحل بسبب الاضطرار إلى بعض الأطراف، بل ينشأ من الدليل اللمي والإجماع القائم في المقام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أشكل عليه في النهاية</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أما وجوب الاحتياط التام أو وجوب الاحتياط الناقص، والاحتياط التام ما تجب فيه الموافقة القطعية للتكليف المعلوم بالإجمال، والاحتياط الناقص ما تحرم فيه المخالفة القطعية للتكليف المعلوم بالإجمال، وإن لم تجب فيه الموافقة القطعية، فإن كان المراد وجوب الاحتياط التام، ففيه محذور المنافاة مع ما سيذكر في المقدمة الرابعة، فإن صاحب الكفاية</w:t>
      </w:r>
      <w:r>
        <w:rPr>
          <w:rStyle w:val="FootnoteAnchor"/>
          <w:rtl w:val="true"/>
        </w:rPr>
        <w:footnoteReference w:id="190"/>
      </w:r>
      <w:r>
        <w:rPr>
          <w:rFonts w:ascii="Amiri" w:hAnsi="Amiri" w:eastAsia="Amiri" w:cs="Amiri"/>
          <w:color w:val="111111"/>
          <w:sz w:val="28"/>
          <w:sz w:val="28"/>
          <w:szCs w:val="28"/>
          <w:rtl w:val="true"/>
          <w:lang w:bidi="ar-SA"/>
        </w:rPr>
        <w:t>يلتزم بأن الاحتياط التام غير واجب، وإن كان المراد وجوب الاحتياط الناقص، فهو مناف لما سلكه من عدم التفكيك بين حرمة المخالفة القطعية ووجوب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حرمت المخالفة القطعية وجبت الموافقة القطعية، وإن لم تجب الموافقة القطعية </w:t>
      </w:r>
    </w:p>
    <w:p>
      <w:pPr>
        <w:pStyle w:val="BookText"/>
        <w:rPr/>
      </w:pPr>
      <w:r>
        <w:rPr>
          <w:rFonts w:ascii="Amiri" w:hAnsi="Amiri" w:eastAsia="Amiri" w:cs="Amiri"/>
          <w:color w:val="111111"/>
          <w:sz w:val="28"/>
          <w:sz w:val="28"/>
          <w:szCs w:val="28"/>
          <w:rtl w:val="true"/>
          <w:lang w:bidi="ar-SA"/>
        </w:rPr>
        <w:t>فلا تحرم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يرد على صاحب الكفاية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المنافاة لما ألتزَم به في المقدمة الرابعة، من عدم وجوب الاحتياط التام، أو محذور المنافاة لما يراه من عدم التفكيك بين حرمة المخالفة القطعية ووجوب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المنتقى</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التفكيك تام بلحاظ العلم الإجمالي، فلا تفكيك إن ثبت وجوب الاحتياط بسبب العلم الإجمالي، لكن لو ثبت وجوب الاحتياط بدليل خارجي فالمتبع دلالته، فيمكن أن يدل على وجوب الموافقة القطعية، ويمكن أن يدل على حرمة المخالفة القطعية وعدم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اشتبهت القبلة بين ثلاث جهات، جاز الاكتفاء بالصلاة إلى جهة واحدة حسب بعض الروايات، فتكون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يصلي أو يصلى إلى 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ولا تلزم الموافقة القطعية للتكليف المعلوم بالإجمال، فتجوز الصلاة إلى إحدى الجهات الثلاث، مع أنها موافقة احتمالية لا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فالإجماع أو الدليل اللمي دال على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الانسداد بأن يهمل الأحكام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وجوب الموافقة القطعية، وإنما تكفي الموافقة الاحتمالية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في المقام احتياط ناقص، ولا يرد عليه محذور </w:t>
      </w:r>
      <w:bookmarkStart w:id="117" w:name="pg15601_166561"/>
    </w:p>
    <w:p>
      <w:pPr>
        <w:pStyle w:val="BookText"/>
        <w:rPr/>
      </w:pPr>
      <w:bookmarkEnd w:id="117"/>
      <w:r>
        <w:rPr>
          <w:rFonts w:ascii="Amiri" w:hAnsi="Amiri" w:eastAsia="Amiri" w:cs="Amiri"/>
          <w:color w:val="111111"/>
          <w:sz w:val="28"/>
          <w:sz w:val="28"/>
          <w:szCs w:val="28"/>
          <w:rtl w:val="true"/>
          <w:lang w:bidi="ar-SA"/>
        </w:rPr>
        <w:t>لزوم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يحتاج إلى تأمل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التكاليف الواقعية منجزة في ذمة المكلف أم لا؟ فإن كانت منجزة فكما تحرم المخالفة القطعية تجب الموافقة القطعية، وإن لم تكن منجزة، فكما لا تجب الموافقة القطعية لا تحرم المخالفة القطعية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هو ملاك عدم التفكيك في صورة العلم الإجمالي عند صاحب الكفاية</w:t>
      </w:r>
      <w:r>
        <w:rPr>
          <w:rStyle w:val="FootnoteAnchor"/>
          <w:rtl w:val="true"/>
        </w:rPr>
        <w:footnoteReference w:id="193"/>
      </w:r>
      <w:r>
        <w:rPr>
          <w:rFonts w:ascii="Amiri" w:hAnsi="Amiri" w:eastAsia="Amiri" w:cs="Amiri"/>
          <w:color w:val="111111"/>
          <w:sz w:val="28"/>
          <w:sz w:val="28"/>
          <w:szCs w:val="28"/>
          <w:rtl w:val="true"/>
          <w:lang w:bidi="ar-SA"/>
        </w:rPr>
        <w:t>، فيكون التكليف علة تامة لوجوب الامتثال، لا أنه مقتض حتى يمنع منه مانع، فيترتب عليه حرمة المخالفة القطيعة ووجوب الموافقة القطعية، وعليه فالتفكيك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الملاك يأتي فيما نحن فيه، فالتكليف الواقعي المعلوم بالإجمال لو كان علة تامة، لزم منه عدم وجوب الموافقة القطعية بمقتضى المقدمة الرابعة، وعدم حرمة المخالفة القطعية بمقتضى عدم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النهاية على الكفاية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هذا الإشكال بعدم ارتضاء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العلية التامة</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0000117_2142443653"/>
      <w:bookmarkStart w:id="119" w:name="_Toc46"/>
      <w:bookmarkEnd w:id="118"/>
      <w:r>
        <w:rPr>
          <w:rtl w:val="true"/>
        </w:rPr>
        <w:t>المناقشة في المقدمة الرابعة</w:t>
      </w:r>
      <w:bookmarkEnd w:id="1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عدم وجوب الاحتياط، بل عدم جوازه في الجملة، وعدم جواز إجراء الأصول العملية في كل مسألة مسألة على حدة، وعدم جواز التقليد </w:t>
      </w:r>
      <w:bookmarkStart w:id="120" w:name="pg15601_166562"/>
    </w:p>
    <w:p>
      <w:pPr>
        <w:pStyle w:val="BookText"/>
        <w:rPr/>
      </w:pPr>
      <w:bookmarkEnd w:id="120"/>
      <w:r>
        <w:rPr>
          <w:rFonts w:ascii="Amiri" w:hAnsi="Amiri" w:eastAsia="Amiri" w:cs="Amiri"/>
          <w:color w:val="111111"/>
          <w:sz w:val="28"/>
          <w:sz w:val="28"/>
          <w:szCs w:val="28"/>
          <w:rtl w:val="true"/>
          <w:lang w:bidi="ar-SA"/>
        </w:rPr>
        <w:t>وعدم جواز الرجوع إلى القرعة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الكلام في عدة مباحث</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0000119_2142443653"/>
      <w:bookmarkStart w:id="122" w:name="_Toc47"/>
      <w:bookmarkEnd w:id="121"/>
      <w:r>
        <w:rPr>
          <w:rtl w:val="true"/>
        </w:rPr>
        <w:t>المبحث الأول</w:t>
      </w:r>
      <w:r>
        <w:rPr>
          <w:rtl w:val="true"/>
        </w:rPr>
        <w:t xml:space="preserve">: </w:t>
      </w:r>
      <w:r>
        <w:rPr>
          <w:rtl w:val="true"/>
        </w:rPr>
        <w:t>عدم وجوب الاحتياط في ظرف الانسداد</w:t>
      </w:r>
      <w:bookmarkEnd w:id="122"/>
    </w:p>
    <w:p>
      <w:pPr>
        <w:pStyle w:val="BookText"/>
        <w:rPr/>
      </w:pPr>
      <w:r>
        <w:rPr>
          <w:rFonts w:ascii="Amiri" w:hAnsi="Amiri" w:eastAsia="Amiri" w:cs="Amiri"/>
          <w:color w:val="111111"/>
          <w:sz w:val="28"/>
          <w:sz w:val="28"/>
          <w:szCs w:val="28"/>
          <w:rtl w:val="true"/>
          <w:lang w:bidi="ar-SA"/>
        </w:rPr>
        <w:t>يقع الكلام في عدم وجوب الاحتياط في ظرف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وللاحتياط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متعذراً، ولا إشكال في عدم وجوب الاحتياط، لأن القدرة من الشرائط العامة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لكنه يوجب اختلال النظام، ولا إشكال في عدم وجوب الاحتياط أيضاً</w:t>
      </w:r>
      <w:r>
        <w:rPr>
          <w:rStyle w:val="FootnoteAnchor"/>
          <w:rtl w:val="true"/>
        </w:rPr>
        <w:footnoteReference w:id="194"/>
      </w:r>
      <w:r>
        <w:rPr>
          <w:rFonts w:ascii="Amiri" w:hAnsi="Amiri" w:eastAsia="Amiri" w:cs="Amiri"/>
          <w:color w:val="111111"/>
          <w:sz w:val="28"/>
          <w:sz w:val="28"/>
          <w:szCs w:val="28"/>
          <w:rtl w:val="true"/>
          <w:lang w:bidi="ar-SA"/>
        </w:rPr>
        <w:t>للعلم بعدم إرادة الشارع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موجباً للضرر أو الحرج أو العسر، فهل الاحتياط واجب أم لا؟</w:t>
      </w:r>
    </w:p>
    <w:p>
      <w:pPr>
        <w:pStyle w:val="BookText"/>
        <w:rPr/>
      </w:pPr>
      <w:r>
        <w:rPr>
          <w:rFonts w:ascii="Amiri" w:hAnsi="Amiri" w:eastAsia="Amiri" w:cs="Amiri"/>
          <w:color w:val="111111"/>
          <w:sz w:val="28"/>
          <w:sz w:val="28"/>
          <w:szCs w:val="28"/>
          <w:rtl w:val="true"/>
          <w:lang w:bidi="ar-SA"/>
        </w:rPr>
        <w:t>قال الشيخ ما توضيحه</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الاحتياط التام؛ لحكومة قاعدة نفي الحرج وأخواتها على قاعدة الاحتياط؛ لأن معنى نفي الضرر نفي حكم ينشأ منه الضرر أو الحرج أو ما أشبه، وبقاء هذه الأحكام بحيث يوجب الاحتياط سبب للحرج، فارادة الشارع مراعاة التكاليف المجهولة سبب للضرر، فيكون حكماً ضررياً، والمفروض أنه نفى الحكم الذي ينشأ منه الضرر، فالحكم الحرجي أو الضرري مرفوع بمقدارهما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ناشئ من الحكم العقلي، لأن العقل يأمر بالاحتياط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ينسب إلى علته القريبة ينسب إلى علته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القريبة للضرر حكم العقل بالاحتياط، وذلك ناشئ من إرادة الشارع لتكاليفه ولو في الظرف الحرجي، لكن لو رفع الشارع يده عن حكمه لما حكم العقل بالاحتياط، لانتفاء موضوع حكم العقل، وهو وجود تكليف مشتبه، فالحكم الشرعي علة للحكم العقلي، والحكم العقلي علة الضرر والحرج، 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الشرعي ينشأ من قبله الضرر ولو بواسطة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يرتفع وجوب الاحتياط إن كان ضررياً أو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يرتضه صاحب الكفاية</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بوجوب الاحتياط التام في أطراف العلم الإجمالي، وإن أوجب الضرر أو الحرج أو العسر، لكون المنفي بقاعدة لا ضرر الفعل الضرري، ومتعلق التكليف الشرعي ليس ضررياً، وإنما لزم الضرر من الجمع بين المحتملات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حكومة لقاعدة الضرر وأخواتها على قاعدة الاحتياط؛ لعدم كون متعلق التكليف حرجياً أوضررياً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مبنية على الخلاف المبنائي بين الشيخ</w:t>
      </w:r>
      <w:r>
        <w:rPr>
          <w:rStyle w:val="FootnoteAnchor"/>
          <w:rtl w:val="true"/>
        </w:rPr>
        <w:footnoteReference w:id="197"/>
      </w:r>
      <w:r>
        <w:rPr>
          <w:rFonts w:ascii="Amiri" w:hAnsi="Amiri" w:eastAsia="Amiri" w:cs="Amiri"/>
          <w:color w:val="111111"/>
          <w:sz w:val="28"/>
          <w:sz w:val="28"/>
          <w:szCs w:val="28"/>
          <w:rtl w:val="true"/>
          <w:lang w:bidi="ar-SA"/>
        </w:rPr>
        <w:t>وصاحب الكفاية</w:t>
      </w:r>
      <w:r>
        <w:rPr>
          <w:rStyle w:val="FootnoteAnchor"/>
          <w:rtl w:val="true"/>
        </w:rPr>
        <w:footnoteReference w:id="198"/>
      </w:r>
      <w:r>
        <w:rPr>
          <w:rFonts w:ascii="Amiri" w:hAnsi="Amiri" w:eastAsia="Amiri" w:cs="Amiri"/>
          <w:color w:val="111111"/>
          <w:sz w:val="28"/>
          <w:sz w:val="28"/>
          <w:szCs w:val="28"/>
          <w:rtl w:val="true"/>
          <w:lang w:bidi="ar-SA"/>
        </w:rPr>
        <w:t xml:space="preserve">في مفاد قاعدة لا ضرر ولا حرج، ويبنى عليه ثمرات كثيرة، وفروع متعددة في الفقه والأصول في باب الانسداد، وقاعدة لا ضرر وبعض أنواع </w:t>
      </w:r>
      <w:bookmarkStart w:id="123" w:name="pg15601_166564"/>
    </w:p>
    <w:p>
      <w:pPr>
        <w:pStyle w:val="BookText"/>
        <w:rPr/>
      </w:pPr>
      <w:bookmarkEnd w:id="123"/>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0000121_2142443653"/>
      <w:bookmarkStart w:id="125" w:name="_Toc48"/>
      <w:bookmarkEnd w:id="124"/>
      <w:r>
        <w:rPr>
          <w:rtl w:val="true"/>
        </w:rPr>
        <w:t xml:space="preserve">احتمالان في مفاد </w:t>
      </w:r>
      <w:r>
        <w:rPr>
          <w:rtl w:val="true"/>
        </w:rPr>
        <w:t>(</w:t>
      </w:r>
      <w:r>
        <w:rPr>
          <w:rtl w:val="true"/>
        </w:rPr>
        <w:t>لا ضرر</w:t>
      </w:r>
      <w:r>
        <w:rPr>
          <w:rtl w:val="true"/>
        </w:rPr>
        <w:t>)</w:t>
      </w:r>
      <w:bookmarkEnd w:id="125"/>
    </w:p>
    <w:p>
      <w:pPr>
        <w:pStyle w:val="BookText"/>
        <w:rPr/>
      </w:pPr>
      <w:r>
        <w:rPr>
          <w:rFonts w:ascii="Amiri" w:hAnsi="Amiri" w:eastAsia="Amiri" w:cs="Amiri"/>
          <w:color w:val="111111"/>
          <w:sz w:val="28"/>
          <w:sz w:val="28"/>
          <w:szCs w:val="28"/>
          <w:rtl w:val="true"/>
          <w:lang w:bidi="ar-SA"/>
        </w:rPr>
        <w:t>ففي المنفي بلا ضرر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من كون المنفي الحكم الضرري، أي لا حكم ضرري،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متكفلة لنفي حكم منشأ للضرر، 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نفي السبب بلسان نفي المسبب، فالنفي ظاهراً منصب على المسبب ولكن أريد به نفي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من أن المنفي المتعلق الضرري،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الضرري منفي، ولأن نفي الفعل الضرري مخالف للوجدان الخارجي، لوجوده خارجاً فيراد به نفي الحكم الذي يتعلق بالفعل الضرري، أي أن حكمه منفي، فيكون من قبيل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نظائر،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فالمنفي هو الموضوع، لكن المراد نفي الحكم،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وتترتب على الاختلاف في التفسير ثمرات مهمة في مختلف الأبواب، حتى باب المعاملات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الفعل ضررياً، لكن من الحكم ينشأ الضرر، فعلى مبنى </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202"/>
      </w:r>
      <w:r>
        <w:rPr>
          <w:rFonts w:ascii="Amiri" w:hAnsi="Amiri" w:eastAsia="Amiri" w:cs="Amiri"/>
          <w:color w:val="111111"/>
          <w:sz w:val="28"/>
          <w:sz w:val="28"/>
          <w:szCs w:val="28"/>
          <w:rtl w:val="true"/>
          <w:lang w:bidi="ar-SA"/>
        </w:rPr>
        <w:t>إن الحكم منفي، لأنه حكم ينشأ منه الضرر، لكن على مبنى الكفاية</w:t>
      </w:r>
      <w:r>
        <w:rPr>
          <w:rStyle w:val="FootnoteAnchor"/>
          <w:rtl w:val="true"/>
        </w:rPr>
        <w:footnoteReference w:id="203"/>
      </w:r>
      <w:r>
        <w:rPr>
          <w:rFonts w:ascii="Amiri" w:hAnsi="Amiri" w:eastAsia="Amiri" w:cs="Amiri"/>
          <w:color w:val="111111"/>
          <w:sz w:val="28"/>
          <w:sz w:val="28"/>
          <w:szCs w:val="28"/>
          <w:rtl w:val="true"/>
          <w:lang w:bidi="ar-SA"/>
        </w:rPr>
        <w:t>ليس الحكم منفياً، لأنه وإن نشأ منه الضرر لكن لم يكن متعلقه ضررياً، والمفروض أن مفاد لا ضرر نفي الفعل الضرري لا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يوضح الفرق بين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توضأ بالماء المطلق، فهنا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الوضوء بالماء المطلق ضرري لأنه مريض، فالحكم مرفوع على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الوضوء بالماء المطلق ضررياً، لكن اشتبه المطلق بين مائة من الأواني، والوضوء بجميعها ضرري أو حرجي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مبنى الشيخ الوجوب مرفوع بلا ضرر، لأن قول الشارع توضأ بالماء المطلق ينشأ منه الضرر على المكلف في هذا الظرف، فهو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مبنى صاحب الكفاية ليس الوضوء بالماء المطلق ضررياً، بل الجمع ضرري، فليس حكم الشارع ضررياً، فلا يرفعه لا ضرر، وحكم العقل بالاحتياط لا يرتبط بالشارع، ولا ضرر لا يرفع الأحكام العقلية، فالمكلف عليه أن يتوضأ بكل الأواني وإن مَرضَ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مبنى صاحب الكفاية لا ينشأ الضرر والحرج من متعلق التكاليف، ففي ظرف انفتاح باب العلم لم يكن الإتيان بالتكاليف ضررياً، بل الضرر والحرج ناشئ من طرو الجهل، وهو المفروض، وبسبب </w:t>
      </w:r>
    </w:p>
    <w:p>
      <w:pPr>
        <w:pStyle w:val="BookText"/>
        <w:rPr/>
      </w:pPr>
      <w:r>
        <w:rPr>
          <w:rFonts w:ascii="Amiri" w:hAnsi="Amiri" w:eastAsia="Amiri" w:cs="Amiri"/>
          <w:color w:val="111111"/>
          <w:sz w:val="28"/>
          <w:sz w:val="28"/>
          <w:szCs w:val="28"/>
          <w:rtl w:val="true"/>
          <w:lang w:bidi="ar-SA"/>
        </w:rPr>
        <w:t>الانسداد صار الاحتياط حرجياً، ولا ضرر لا يرفعه، فيجب على المكلف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كلام الكفاية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المبنائية، فإن المختار في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 ما ذهب إليه الشيخ الأعظم، أو غيره</w:t>
      </w:r>
      <w:r>
        <w:rPr>
          <w:rStyle w:val="FootnoteAnchor"/>
          <w:rtl w:val="true"/>
        </w:rPr>
        <w:footnoteReference w:id="204"/>
      </w:r>
      <w:r>
        <w:rPr>
          <w:rFonts w:ascii="Amiri" w:hAnsi="Amiri" w:eastAsia="Amiri" w:cs="Amiri"/>
          <w:color w:val="111111"/>
          <w:sz w:val="28"/>
          <w:sz w:val="28"/>
          <w:szCs w:val="28"/>
          <w:rtl w:val="true"/>
          <w:lang w:bidi="ar-SA"/>
        </w:rPr>
        <w:t>وتنقيحه موكول إلى آخر مباحث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الفوائد</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وزان الضرر وزان الاضطرار، فكما أن الاضطرار إلى بعض الأطراف يوجب عدم وجوب الاحتياط التام فكذلك الضرر، فإنه يوجب عدم وجوب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الفارق بين المقامين، فعدم الاضطرار قيد عقلي في تنجز التكاليف، وعدم الضرر قيد شرعي، فلو اضطر أحد لشرب أحد الإناءين المعين لأنه دواء، فالعقل يحكم بتناوله ويرفع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للاضطرار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التكليف الواقعي في هذا الإناء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إلى أحدهما غير المعين، فالعقل يرخص في الجامع بينهما، فلوطبق المكلف الترخيص في هذا الإناء وكان الدم واقعاً فيه، فالتنجيز للتكليف الواقعي مرفوع بحكم العقل، فشرط عدم الاضطرار دخيل في فعلية التكاليف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الضرر والحرج فليس شرطاً في موضوع التكاليف بحكم العقل، </w:t>
      </w:r>
    </w:p>
    <w:p>
      <w:pPr>
        <w:pStyle w:val="BookText"/>
        <w:rPr/>
      </w:pPr>
      <w:r>
        <w:rPr>
          <w:rFonts w:ascii="Amiri" w:hAnsi="Amiri" w:eastAsia="Amiri" w:cs="Amiri"/>
          <w:color w:val="111111"/>
          <w:sz w:val="28"/>
          <w:sz w:val="28"/>
          <w:szCs w:val="28"/>
          <w:rtl w:val="true"/>
          <w:lang w:bidi="ar-SA"/>
        </w:rPr>
        <w:t>وإنما امتَنَّ به الشارع على العباد، والمفروض أن المنفي فعل ضرري ولم يتحقق في المقام، لأنه المفروض في ظرف الانسداد، والعقل لم يأخذه شرطاً، وإنما هو شرط الشرع، لكنه لا ينطبق على المقام، فتنظير مقام نفي الضرر بمقام نفي الاضطرار تنظير بلا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وجوب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تكون أدلة نفي العسر والحرج حاكمة على نفس الحكم العقلي بالاحتياط</w:t>
      </w:r>
      <w:r>
        <w:rPr>
          <w:rStyle w:val="FootnoteAnchor"/>
          <w:rtl w:val="true"/>
        </w:rPr>
        <w:footnoteReference w:id="206"/>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بالاحتياط إنما هو لأجل رعاية الأحكام الشرعية</w:t>
      </w:r>
      <w:r>
        <w:rPr>
          <w:rStyle w:val="FootnoteAnchor"/>
          <w:rtl w:val="true"/>
        </w:rPr>
        <w:footnoteReference w:id="207"/>
      </w:r>
      <w:r>
        <w:rPr>
          <w:rFonts w:ascii="Amiri" w:hAnsi="Amiri" w:eastAsia="Amiri" w:cs="Amiri"/>
          <w:color w:val="111111"/>
          <w:sz w:val="28"/>
          <w:sz w:val="28"/>
          <w:szCs w:val="28"/>
          <w:rtl w:val="true"/>
          <w:lang w:bidi="ar-SA"/>
        </w:rPr>
        <w:t>، فإذا كان رعايتها في حال انسداد باب العلم والعلمي موجباً</w:t>
      </w:r>
      <w:r>
        <w:rPr>
          <w:rStyle w:val="FootnoteAnchor"/>
          <w:rtl w:val="true"/>
        </w:rPr>
        <w:footnoteReference w:id="208"/>
      </w:r>
      <w:r>
        <w:rPr>
          <w:rFonts w:ascii="Amiri" w:hAnsi="Amiri" w:eastAsia="Amiri" w:cs="Amiri"/>
          <w:color w:val="111111"/>
          <w:sz w:val="28"/>
          <w:sz w:val="28"/>
          <w:szCs w:val="28"/>
          <w:rtl w:val="true"/>
          <w:lang w:bidi="ar-SA"/>
        </w:rPr>
        <w:t>للعسر فأدلة نفيهما تقتضي عدم إلزام العقل بالاحتياط بمقدار يلزم منه العسر والحرج، فتكون حكومتها</w:t>
      </w:r>
      <w:r>
        <w:rPr>
          <w:rStyle w:val="FootnoteAnchor"/>
          <w:rtl w:val="true"/>
        </w:rPr>
        <w:footnoteReference w:id="209"/>
      </w:r>
      <w:r>
        <w:rPr>
          <w:rFonts w:ascii="Amiri" w:hAnsi="Amiri" w:eastAsia="Amiri" w:cs="Amiri"/>
          <w:color w:val="111111"/>
          <w:sz w:val="28"/>
          <w:sz w:val="28"/>
          <w:szCs w:val="28"/>
          <w:rtl w:val="true"/>
          <w:lang w:bidi="ar-SA"/>
        </w:rPr>
        <w:t>على حكم العقل بالاحتياط من شؤون حكومتها على الأحكام الشرعية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فالعسر والحرج ينتهيان إلى الأحكام الشرعية، ولو لمكان الجهل بها وانتشارها في الوقائع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كلامه غير واضح فإن للحكم العقلي منشأ، فإما يتم رفع الحكم العقلي بدون رفع منشئه أو برفع المنشأ؟</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رفع الحكم العقلي بأدلة لا ضرر بلا رفع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محال، لأن رفع الحكم بلا رفع المنشأ محال، فكأنه يرفع الزوجية بلا رفع موضوعها، فإن وجوب الاحتياط العقلي معلول للأحكام الشرعية المعلومة بالإجمال، فكيف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رفع الأحكام الواقعية والتي يريدها الشارع؟ فهذا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 رفع الحكم العقلي برفع منشئه أو مع رفع منشئه</w:t>
      </w:r>
      <w:r>
        <w:rPr>
          <w:rStyle w:val="FootnoteAnchor"/>
          <w:rtl w:val="true"/>
        </w:rPr>
        <w:footnoteReference w:id="211"/>
      </w:r>
      <w:r>
        <w:rPr>
          <w:rFonts w:ascii="Amiri" w:hAnsi="Amiri" w:eastAsia="Amiri" w:cs="Amiri"/>
          <w:color w:val="111111"/>
          <w:sz w:val="28"/>
          <w:sz w:val="28"/>
          <w:szCs w:val="28"/>
          <w:rtl w:val="true"/>
          <w:lang w:bidi="ar-SA"/>
        </w:rPr>
        <w:t>فهو بلا وجه، فإن المنشأ إن كان فعلاً ضررياً لرفع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الجمع بين المحتملات ضرري، لا المنشأ الواقعي للأحكام الشرعية، فلماذا يرفعها؟</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المنشأ وحده محال، ورفع المنشأ أيضاً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النائيني غير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العراقي</w:t>
      </w:r>
      <w:r>
        <w:rPr>
          <w:rStyle w:val="FootnoteAnchor"/>
          <w:rtl w:val="true"/>
        </w:rPr>
        <w:footnoteReference w:id="212"/>
      </w:r>
      <w:r>
        <w:rPr>
          <w:rFonts w:ascii="Amiri" w:hAnsi="Amiri" w:eastAsia="Amiri" w:cs="Amiri"/>
          <w:color w:val="111111"/>
          <w:sz w:val="28"/>
          <w:sz w:val="28"/>
          <w:szCs w:val="28"/>
          <w:rtl w:val="true"/>
          <w:lang w:bidi="ar-SA"/>
        </w:rPr>
        <w:t>لم يطرح هذا الإشكال، بل علق عليه بإمكان ورود جميع الإشكالات في الدنيا على صاحب الكفاية دون هذا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شعب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الحرج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العسر المنفي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الشعبة الأولى فيمكن القول بأنَّ دلالة أدلة لا ضرر على نفي المتعلق الضرري لا تتنافى مع دلالة دليل آخر على نفي الحكم الضرري، فيكون كلاهما منفياً، فالفعل الضرري منفي بأدلة لا ضرر، والحكم الضرري منفي </w:t>
      </w:r>
      <w:bookmarkStart w:id="126" w:name="pg15601_166569"/>
    </w:p>
    <w:p>
      <w:pPr>
        <w:pStyle w:val="BookText"/>
        <w:rPr/>
      </w:pPr>
      <w:bookmarkEnd w:id="126"/>
      <w:r>
        <w:rPr>
          <w:rFonts w:ascii="Amiri" w:hAnsi="Amiri" w:eastAsia="Amiri" w:cs="Amiri"/>
          <w:color w:val="111111"/>
          <w:sz w:val="28"/>
          <w:sz w:val="28"/>
          <w:szCs w:val="28"/>
          <w:rtl w:val="true"/>
          <w:lang w:bidi="ar-SA"/>
        </w:rPr>
        <w:t>بدليل آخر، فيرتفع حكم الشارع، لكون الاحتياط التام في المقام ضرر ينشأ من بقاء حكمه</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0000123_2142443653"/>
      <w:bookmarkStart w:id="128" w:name="_Toc49"/>
      <w:bookmarkEnd w:id="127"/>
      <w:r>
        <w:rPr>
          <w:rtl w:val="true"/>
        </w:rPr>
        <w:t>عهد أمير المؤمنين</w:t>
      </w:r>
      <w:r>
        <w:rPr>
          <w:rtl w:val="true"/>
        </w:rPr>
        <w:t>(</w:t>
      </w:r>
      <w:r>
        <w:rPr>
          <w:rtl w:val="true"/>
        </w:rPr>
        <w:t>عليه السلام</w:t>
      </w:r>
      <w:r>
        <w:rPr>
          <w:rtl w:val="true"/>
        </w:rPr>
        <w:t xml:space="preserve">) </w:t>
      </w:r>
      <w:r>
        <w:rPr>
          <w:rtl w:val="true"/>
        </w:rPr>
        <w:t>لمالك الأشتر</w:t>
      </w:r>
      <w:bookmarkEnd w:id="128"/>
    </w:p>
    <w:p>
      <w:pPr>
        <w:pStyle w:val="BookText"/>
        <w:rPr/>
      </w:pPr>
      <w:r>
        <w:rPr>
          <w:rFonts w:ascii="Amiri" w:hAnsi="Amiri" w:eastAsia="Amiri" w:cs="Amiri"/>
          <w:color w:val="111111"/>
          <w:sz w:val="28"/>
          <w:sz w:val="28"/>
          <w:szCs w:val="28"/>
          <w:rtl w:val="true"/>
          <w:lang w:bidi="ar-SA"/>
        </w:rPr>
        <w:t>والدليل الآخر هو 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مع ذلك أن في كثير منهم ضيقاً فاحشاً، وشحاً قبيحاً، واحتكاراً للمنافع، وتحكماً في البياعات، وذلك باب مضرة للعامة وعيب على الولاة، فامنع من الاحتكار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ودلالي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تصحيح هذه الرواية بأحد الطرق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في نهج البلاغة صحيح أو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قوة مؤلفه الذي أسنده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يغني عن الفحص في سنده، فحاله حال الفقيه والكافي في مراسيلهما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السيد العم حفظه اللّه</w:t>
      </w:r>
      <w:r>
        <w:rPr>
          <w:rStyle w:val="FootnoteAnchor"/>
          <w:rtl w:val="true"/>
        </w:rPr>
        <w:footnoteReference w:id="215"/>
      </w:r>
      <w:r>
        <w:rPr>
          <w:rFonts w:ascii="Amiri" w:hAnsi="Amiri" w:eastAsia="Amiri" w:cs="Amiri"/>
          <w:color w:val="111111"/>
          <w:sz w:val="28"/>
          <w:sz w:val="28"/>
          <w:szCs w:val="28"/>
          <w:rtl w:val="true"/>
          <w:lang w:bidi="ar-SA"/>
        </w:rPr>
        <w:t>حجية كل ما في النهج بالظنون الرجالية والقرائن المتراكمة، إلا ما خرج بدليل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معتبر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لجمع غفير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نوقش في هذا الطريق، فهنالك طريقان آخران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هذا العهد معتبر لقوة مضمونه، حيث يمكن </w:t>
      </w:r>
      <w:bookmarkStart w:id="129" w:name="pg15601_166570"/>
    </w:p>
    <w:p>
      <w:pPr>
        <w:pStyle w:val="BookText"/>
        <w:rPr/>
      </w:pPr>
      <w:bookmarkEnd w:id="129"/>
      <w:r>
        <w:rPr>
          <w:rFonts w:ascii="Amiri" w:hAnsi="Amiri" w:eastAsia="Amiri" w:cs="Amiri"/>
          <w:color w:val="111111"/>
          <w:sz w:val="28"/>
          <w:sz w:val="28"/>
          <w:szCs w:val="28"/>
          <w:rtl w:val="true"/>
          <w:lang w:bidi="ar-SA"/>
        </w:rPr>
        <w:t>إثبات أو نفي انتساب كلمات إلى شخص لو عرف كيفية حديثه وكتاباته وأحواله و روحياته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نُوقش فيه، فهنالك طريق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الطوسي</w:t>
      </w:r>
      <w:r>
        <w:rPr>
          <w:rStyle w:val="FootnoteAnchor"/>
          <w:rtl w:val="true"/>
        </w:rPr>
        <w:footnoteReference w:id="216"/>
      </w:r>
      <w:r>
        <w:rPr>
          <w:rFonts w:ascii="Amiri" w:hAnsi="Amiri" w:eastAsia="Amiri" w:cs="Amiri"/>
          <w:color w:val="111111"/>
          <w:sz w:val="28"/>
          <w:sz w:val="28"/>
          <w:szCs w:val="28"/>
          <w:rtl w:val="true"/>
          <w:lang w:bidi="ar-SA"/>
        </w:rPr>
        <w:t>سنداً لخصوص العهد المذكور، وهو مهم لترتب بعض الأحكام الهامة عليه، كتقليد الأعلم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وكذا حرمة الإجحاف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الشيخ عن ابن أبي جيد، عن محمد بن الحسن، عن الحميري، عن هارون بن مسلم والحسن بن طريف جميعاً، عن الحسين بن علوان الكلبي، عن سعد بن طريف، عن الأصبغ بن نباته،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أحمد بن محمد بن أبي جيد لم يرد في حقه توثيق، لكنه من مشايخ النجاشي</w:t>
      </w:r>
      <w:r>
        <w:rPr>
          <w:rStyle w:val="FootnoteAnchor"/>
          <w:rtl w:val="true"/>
        </w:rPr>
        <w:footnoteReference w:id="218"/>
      </w:r>
      <w:r>
        <w:rPr>
          <w:rFonts w:ascii="Amiri" w:hAnsi="Amiri" w:eastAsia="Amiri" w:cs="Amiri"/>
          <w:color w:val="111111"/>
          <w:sz w:val="28"/>
          <w:sz w:val="28"/>
          <w:szCs w:val="28"/>
          <w:rtl w:val="true"/>
          <w:lang w:bidi="ar-SA"/>
        </w:rPr>
        <w:t>، كما هو من مشايخ الشيخ الطوسي</w:t>
      </w:r>
      <w:r>
        <w:rPr>
          <w:rStyle w:val="FootnoteAnchor"/>
          <w:rtl w:val="true"/>
        </w:rPr>
        <w:footnoteReference w:id="219"/>
      </w:r>
      <w:r>
        <w:rPr>
          <w:rFonts w:ascii="Amiri" w:hAnsi="Amiri" w:eastAsia="Amiri" w:cs="Amiri"/>
          <w:color w:val="111111"/>
          <w:sz w:val="28"/>
          <w:sz w:val="28"/>
          <w:szCs w:val="28"/>
          <w:rtl w:val="true"/>
          <w:lang w:bidi="ar-SA"/>
        </w:rPr>
        <w:t xml:space="preserve">، وبناء على مبنى وثاقة جميع مشايخ النجاشي المباشرين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يروي عن ضعيف إلا بواسطة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وثاقته</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0000125_2142443653"/>
      <w:bookmarkStart w:id="131" w:name="_Toc50"/>
      <w:bookmarkEnd w:id="130"/>
      <w:r>
        <w:rPr>
          <w:rtl w:val="true"/>
        </w:rPr>
        <w:t>توثيق مشايخ النجاشي</w:t>
      </w:r>
      <w:bookmarkEnd w:id="131"/>
    </w:p>
    <w:p>
      <w:pPr>
        <w:pStyle w:val="BookText"/>
        <w:rPr/>
      </w:pPr>
      <w:r>
        <w:rPr>
          <w:rFonts w:ascii="Amiri" w:hAnsi="Amiri" w:eastAsia="Amiri" w:cs="Amiri"/>
          <w:color w:val="111111"/>
          <w:sz w:val="28"/>
          <w:sz w:val="28"/>
          <w:szCs w:val="28"/>
          <w:rtl w:val="true"/>
          <w:lang w:bidi="ar-SA"/>
        </w:rPr>
        <w:t>وللنجاشي عبارات ثلاث قد تدل على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شيوخنا يضعفونه فلم أرو عنه </w:t>
      </w:r>
    </w:p>
    <w:p>
      <w:pPr>
        <w:pStyle w:val="BookText"/>
        <w:rPr/>
      </w:pPr>
      <w:r>
        <w:rPr>
          <w:rFonts w:ascii="Amiri" w:hAnsi="Amiri" w:eastAsia="Amiri" w:cs="Amiri"/>
          <w:color w:val="111111"/>
          <w:sz w:val="28"/>
          <w:sz w:val="28"/>
          <w:szCs w:val="28"/>
          <w:rtl w:val="true"/>
          <w:lang w:bidi="ar-SA"/>
        </w:rPr>
        <w:t>شيئاً وتجنبته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ابن البهلول،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جل أصحابنا يغمزونه ويضعفونه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وبينه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جعفر بن محمد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 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ولا أدري كيف روى عنه شيخنا النبيل الثقة أبو علي بن همام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جمع من الأعلام</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العبارات تدل على أنه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عن المُضعَّفين، والمُضعَّف غير الضعيف، فنفس التضَعيِف له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 لا يروي عن الضَعيف، لكن لا يدل على أنه لايروي عن المجاهيل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ويتأمل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التَضعيف طريقي إلى الضعيف، ولا موضوعية فيه، لأن عدم الرواية عن المَضعف ليس لأمر تعبدي، فيكون الضعيف والمُضعَّف في حكم واحد، فلا يروي عنه مع ثبوت ضعفه بلا تَضعِيف من المشايخ</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معاشرة النجاشي للمشايخ لا يُحتمل أن يَظلوا مجهولين، فإما أن تثبت وثاقتهم وهو المطلوب، أو يثبت ضعفهم، فلا يروي عنهم، فالرواية عنهم دليل على أنهم ثقاة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جمع من الرجاليين أن جميع المشايخ المباشرين للنجاشي ثقاة، منهم بحر العلوم</w:t>
      </w:r>
      <w:r>
        <w:rPr>
          <w:rStyle w:val="FootnoteAnchor"/>
          <w:rtl w:val="true"/>
        </w:rPr>
        <w:footnoteReference w:id="225"/>
      </w:r>
      <w:r>
        <w:rPr>
          <w:rFonts w:ascii="Amiri" w:hAnsi="Amiri" w:eastAsia="Amiri" w:cs="Amiri"/>
          <w:color w:val="111111"/>
          <w:sz w:val="28"/>
          <w:sz w:val="28"/>
          <w:szCs w:val="28"/>
          <w:rtl w:val="true"/>
          <w:lang w:bidi="ar-SA"/>
        </w:rPr>
        <w:t>والشيخ البهائي</w:t>
      </w:r>
      <w:r>
        <w:rPr>
          <w:rStyle w:val="FootnoteAnchor"/>
          <w:rtl w:val="true"/>
        </w:rPr>
        <w:footnoteReference w:id="226"/>
      </w:r>
      <w:r>
        <w:rPr>
          <w:rFonts w:ascii="Amiri" w:hAnsi="Amiri" w:eastAsia="Amiri" w:cs="Amiri"/>
          <w:color w:val="111111"/>
          <w:sz w:val="28"/>
          <w:sz w:val="28"/>
          <w:szCs w:val="28"/>
          <w:rtl w:val="true"/>
          <w:lang w:bidi="ar-SA"/>
        </w:rPr>
        <w:t>والسيد الخوئي</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علي بن أحمد بن محمد 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الحسن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شيخ الشيخ الصدوق بقرينة رواية ابن أبي جيد،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جعفر الحميري،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وهارون بن مسلم، ثقة وجه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بن طريف،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وثاقة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علوان الكلبي، عامي وثقه النجاشي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وسعد بن طريف،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والأصبغ بن نباته، روى في تفسير القمي</w:t>
      </w:r>
      <w:r>
        <w:rPr>
          <w:rStyle w:val="FootnoteAnchor"/>
          <w:rtl w:val="true"/>
        </w:rPr>
        <w:footnoteReference w:id="229"/>
      </w:r>
      <w:r>
        <w:rPr>
          <w:rFonts w:ascii="Amiri" w:hAnsi="Amiri" w:eastAsia="Amiri" w:cs="Amiri"/>
          <w:color w:val="111111"/>
          <w:sz w:val="28"/>
          <w:sz w:val="28"/>
          <w:szCs w:val="28"/>
          <w:rtl w:val="true"/>
          <w:lang w:bidi="ar-SA"/>
        </w:rPr>
        <w:t>، وكامل الزيارات</w:t>
      </w:r>
      <w:r>
        <w:rPr>
          <w:rStyle w:val="FootnoteAnchor"/>
          <w:rtl w:val="true"/>
        </w:rPr>
        <w:footnoteReference w:id="230"/>
      </w:r>
      <w:r>
        <w:rPr>
          <w:rFonts w:ascii="Amiri" w:hAnsi="Amiri" w:eastAsia="Amiri" w:cs="Amiri"/>
          <w:color w:val="111111"/>
          <w:sz w:val="28"/>
          <w:sz w:val="28"/>
          <w:szCs w:val="28"/>
          <w:rtl w:val="true"/>
          <w:lang w:bidi="ar-SA"/>
        </w:rPr>
        <w:t>، فهو ثقة على المبنى، وذكر في حقه أنه كان من خاصة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وهو يفيد الحُسنْ، بل يفيد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السند إلا على البحث المبنائي في 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السيد الخوئي</w:t>
      </w:r>
      <w:r>
        <w:rPr>
          <w:rStyle w:val="FootnoteAnchor"/>
          <w:rtl w:val="true"/>
        </w:rPr>
        <w:footnoteReference w:id="232"/>
      </w:r>
      <w:r>
        <w:rPr>
          <w:rFonts w:ascii="Amiri" w:hAnsi="Amiri" w:eastAsia="Amiri" w:cs="Amiri"/>
          <w:color w:val="111111"/>
          <w:sz w:val="28"/>
          <w:sz w:val="28"/>
          <w:szCs w:val="28"/>
          <w:rtl w:val="true"/>
          <w:lang w:bidi="ar-SA"/>
        </w:rPr>
        <w:t>اعتبار العهد واعتبار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باب مضرة للعامة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تعليل للحكم بالمنع من الاحتكار، وعموم التعليل يفيد رفع كل شيء يكون باب مضرة للعامة، ومنه بقاء الأحكام الشرعية في ظرف الانسداد بحيث يجب عليهم الاحتياط التام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الأعظم</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أراد شخص أن يحتاط احتياطاً تاماً في جميع أطراف الشبهات يوماً وليلة، يرى صدق ما ادعيناه، من أنه من أظهر </w:t>
      </w:r>
    </w:p>
    <w:p>
      <w:pPr>
        <w:pStyle w:val="BookText"/>
        <w:rPr/>
      </w:pPr>
      <w:r>
        <w:rPr>
          <w:rFonts w:ascii="Amiri" w:hAnsi="Amiri" w:eastAsia="Amiri" w:cs="Amiri"/>
          <w:color w:val="111111"/>
          <w:sz w:val="28"/>
          <w:sz w:val="28"/>
          <w:szCs w:val="28"/>
          <w:rtl w:val="true"/>
          <w:lang w:bidi="ar-SA"/>
        </w:rPr>
        <w:t>مصاديق الضرر والحرج والعسر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وجوب الاحتياط التام بقاء الأحكام الشرعية، بأن لا يرفع الشارع يده عن أحكامه، فيحكم العقل بالاحتياط التام، وهو باب مضرة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وإنْ وردت في خصوص الموضوعات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العلة تعمم، كروايات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الواردة في الشبهات الموضوعية، إلا أنهم تعدوا إلى الشبهات الحكمية لعموم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استفادة عموم التعليل يكون مؤدى الحديث وجوب إغلاق كل باب مضرة للعامة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الشعبة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الحرج، وأشكل عليه في المنتقى،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التزم به في مفاد هذه الأدلة له مجال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Style w:val="FootnoteAnchor"/>
          <w:rtl w:val="true"/>
        </w:rPr>
        <w:footnoteReference w:id="236"/>
      </w:r>
      <w:r>
        <w:rPr>
          <w:rFonts w:ascii="Amiri" w:hAnsi="Amiri" w:eastAsia="Amiri" w:cs="Amiri"/>
          <w:color w:val="111111"/>
          <w:sz w:val="28"/>
          <w:sz w:val="28"/>
          <w:szCs w:val="28"/>
          <w:rtl w:val="true"/>
          <w:lang w:bidi="ar-SA"/>
        </w:rPr>
        <w:t>ونحوها مما كان بهذا التركيب، لكن نفي الحرج لم يرد بهذا اللسان أصلا</w:t>
      </w:r>
      <w:r>
        <w:rPr>
          <w:rStyle w:val="FootnoteAnchor"/>
          <w:rtl w:val="true"/>
        </w:rPr>
        <w:footnoteReference w:id="237"/>
      </w:r>
      <w:r>
        <w:rPr>
          <w:rFonts w:ascii="Amiri" w:hAnsi="Amiri" w:eastAsia="Amiri" w:cs="Amiri"/>
          <w:color w:val="111111"/>
          <w:sz w:val="28"/>
          <w:sz w:val="28"/>
          <w:szCs w:val="28"/>
          <w:rtl w:val="true"/>
          <w:lang w:bidi="ar-SA"/>
        </w:rPr>
        <w:t>، وإنما ظاهر دليله</w:t>
      </w:r>
      <w:r>
        <w:rPr>
          <w:rStyle w:val="FootnoteAnchor"/>
          <w:rtl w:val="true"/>
        </w:rPr>
        <w:footnoteReference w:id="238"/>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أن المرفوع نفس الحكم الحرجي،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ما تعلق به الجعل</w:t>
      </w:r>
      <w:r>
        <w:rPr>
          <w:rStyle w:val="FootnoteAnchor"/>
          <w:rtl w:val="true"/>
        </w:rPr>
        <w:footnoteReference w:id="240"/>
      </w:r>
      <w:r>
        <w:rPr>
          <w:rFonts w:ascii="Amiri" w:hAnsi="Amiri" w:eastAsia="Amiri" w:cs="Amiri"/>
          <w:color w:val="111111"/>
          <w:sz w:val="28"/>
          <w:sz w:val="28"/>
          <w:szCs w:val="28"/>
          <w:rtl w:val="true"/>
          <w:lang w:bidi="ar-SA"/>
        </w:rPr>
        <w:t>، فقد أخذ وصفاً للمجعول وبياناً 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لو سلمنا مبنى الكفاية</w:t>
      </w:r>
      <w:r>
        <w:rPr>
          <w:rStyle w:val="FootnoteAnchor"/>
          <w:rtl w:val="true"/>
        </w:rPr>
        <w:footnoteReference w:id="24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لسان الرفع فيهما، فلا مجال لعطف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الاحتياط التام حتى لو كان ضررياً، لكن لو كان حرجياً فلا يجب؛ لرفع يد الشارع عن الأحكام الواقعية حتى لا يقع المكلف بسببها 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السيد الروحاني</w:t>
      </w:r>
      <w:r>
        <w:rPr>
          <w:rStyle w:val="FootnoteAnchor"/>
          <w:rtl w:val="true"/>
        </w:rPr>
        <w:footnoteReference w:id="243"/>
      </w:r>
      <w:r>
        <w:rPr>
          <w:rFonts w:ascii="Amiri" w:hAnsi="Amiri" w:eastAsia="Amiri" w:cs="Amiri"/>
          <w:color w:val="111111"/>
          <w:sz w:val="28"/>
          <w:sz w:val="28"/>
          <w:szCs w:val="28"/>
          <w:rtl w:val="true"/>
          <w:lang w:bidi="ar-SA"/>
        </w:rPr>
        <w:t>يتراجع عما ذكره مشيراً إلى كلام المحقق الإصفهاني</w:t>
      </w:r>
      <w:r>
        <w:rPr>
          <w:rStyle w:val="FootnoteAnchor"/>
          <w:rtl w:val="true"/>
        </w:rPr>
        <w:footnoteReference w:id="244"/>
      </w:r>
      <w:r>
        <w:rPr>
          <w:rFonts w:ascii="Amiri" w:hAnsi="Amiri" w:eastAsia="Amiri" w:cs="Amiri"/>
          <w:color w:val="111111"/>
          <w:sz w:val="28"/>
          <w:sz w:val="28"/>
          <w:szCs w:val="28"/>
          <w:rtl w:val="true"/>
          <w:lang w:bidi="ar-SA"/>
        </w:rPr>
        <w:t>،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ذكره تام،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يعني رفع الحكم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نكتة لا تخل بالنتيجة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الحرج لم يرد بهذا اللسان أصلاً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محل تأمل؛ 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في الشريعة، كما في رواية الكليني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يبق شيء مما ينبغي لهم أن يقدموه إلا أخروه، ولا شيء مما ينبغي لهم أن يؤخروه إلا قدموه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حرج لا حرج</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رويت بأسانيد بعضها معتبرة منها ما رواه الكليني، عن علي بن </w:t>
      </w:r>
    </w:p>
    <w:p>
      <w:pPr>
        <w:pStyle w:val="BookText"/>
        <w:rPr/>
      </w:pPr>
      <w:r>
        <w:rPr>
          <w:rFonts w:ascii="Amiri" w:hAnsi="Amiri" w:eastAsia="Amiri" w:cs="Amiri"/>
          <w:color w:val="111111"/>
          <w:sz w:val="28"/>
          <w:sz w:val="28"/>
          <w:szCs w:val="28"/>
          <w:rtl w:val="true"/>
          <w:lang w:bidi="ar-SA"/>
        </w:rPr>
        <w:t>إبراهيم، عن أبيه، عن ابن أبي عمير، 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عدة من أصحابنا</w:t>
      </w:r>
      <w:r>
        <w:rPr>
          <w:rStyle w:val="FootnoteAnchor"/>
          <w:rtl w:val="true"/>
        </w:rPr>
        <w:footnoteReference w:id="248"/>
      </w:r>
      <w:r>
        <w:rPr>
          <w:rFonts w:ascii="Amiri" w:hAnsi="Amiri" w:eastAsia="Amiri" w:cs="Amiri"/>
          <w:color w:val="111111"/>
          <w:sz w:val="28"/>
          <w:sz w:val="28"/>
          <w:szCs w:val="28"/>
          <w:rtl w:val="true"/>
          <w:lang w:bidi="ar-SA"/>
        </w:rPr>
        <w:t>، عن سهل بن زياد</w:t>
      </w:r>
      <w:r>
        <w:rPr>
          <w:rStyle w:val="FootnoteAnchor"/>
          <w:rtl w:val="true"/>
        </w:rPr>
        <w:footnoteReference w:id="249"/>
      </w:r>
      <w:r>
        <w:rPr>
          <w:rFonts w:ascii="Amiri" w:hAnsi="Amiri" w:eastAsia="Amiri" w:cs="Amiri"/>
          <w:color w:val="111111"/>
          <w:sz w:val="28"/>
          <w:sz w:val="28"/>
          <w:szCs w:val="28"/>
          <w:rtl w:val="true"/>
          <w:lang w:bidi="ar-SA"/>
        </w:rPr>
        <w:t>،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اللاحرج الجزئي، كما في أعمال الحج، وفي التقديم والتأخير وجميع الموارد الأخرى جزئية، ولا يفيد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الشعبة الثالثة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والضيق، والروايات كثيرة نكتفي بموثقة واحدة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الدين ليس بمضيق</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أراد الشارع أحكامه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حتى في ظرف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هذا التعليل؟</w:t>
      </w:r>
    </w:p>
    <w:p>
      <w:pPr>
        <w:pStyle w:val="BookText"/>
        <w:rPr/>
      </w:pPr>
      <w:r>
        <w:rPr>
          <w:rFonts w:ascii="Amiri" w:hAnsi="Amiri" w:eastAsia="Amiri" w:cs="Amiri"/>
          <w:color w:val="111111"/>
          <w:sz w:val="28"/>
          <w:sz w:val="28"/>
          <w:szCs w:val="28"/>
          <w:rtl w:val="true"/>
          <w:lang w:bidi="ar-SA"/>
        </w:rPr>
        <w:t>وروايات أخرى في أسنادها تأمل، كما عن الكليني، عن عدة من أصحابنا، عن أحمد بن محمد البرقي، عن علي بن الحكم، عن أبان الأحمر، عن حمزة بن الطيار،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نظرت في جميع الأشياء لم تجد أحداً 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بدون سعتهم، وكل شيء أمر الناس به فهم يسعون له، وكل شيء لا يسعون له فهو موضوع عنهم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الإشكال في حمزة بن الطيار، إلاّ على مبنى وثاقة مشايخ أصحاب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صاحب الكفاية</w:t>
      </w:r>
      <w:r>
        <w:rPr>
          <w:rStyle w:val="FootnoteAnchor"/>
          <w:rtl w:val="true"/>
        </w:rPr>
        <w:footnoteReference w:id="252"/>
      </w:r>
      <w:r>
        <w:rPr>
          <w:rFonts w:ascii="Amiri" w:hAnsi="Amiri" w:eastAsia="Amiri" w:cs="Amiri"/>
          <w:color w:val="111111"/>
          <w:sz w:val="28"/>
          <w:sz w:val="28"/>
          <w:szCs w:val="28"/>
          <w:rtl w:val="true"/>
          <w:lang w:bidi="ar-SA"/>
        </w:rPr>
        <w:t>في الشعب الثلاث محل تأمل؛ لدلالة هذه الأدلة على أن المرفوع هو الحكم الضرري والحرجي والعسري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المشكيني</w:t>
      </w:r>
      <w:r>
        <w:rPr>
          <w:rStyle w:val="FootnoteAnchor"/>
          <w:rtl w:val="true"/>
        </w:rPr>
        <w:footnoteReference w:id="253"/>
      </w:r>
      <w:r>
        <w:rPr>
          <w:rFonts w:ascii="Amiri" w:hAnsi="Amiri" w:eastAsia="Amiri" w:cs="Amiri"/>
          <w:color w:val="111111"/>
          <w:sz w:val="28"/>
          <w:sz w:val="28"/>
          <w:szCs w:val="28"/>
          <w:rtl w:val="true"/>
          <w:lang w:bidi="ar-SA"/>
        </w:rPr>
        <w:t>وورد في المصباح</w:t>
      </w:r>
      <w:r>
        <w:rPr>
          <w:rStyle w:val="FootnoteAnchor"/>
          <w:rtl w:val="true"/>
        </w:rPr>
        <w:footnoteReference w:id="254"/>
      </w:r>
      <w:r>
        <w:rPr>
          <w:rFonts w:ascii="Amiri" w:hAnsi="Amiri" w:eastAsia="Amiri" w:cs="Amiri"/>
          <w:color w:val="111111"/>
          <w:sz w:val="28"/>
          <w:sz w:val="28"/>
          <w:szCs w:val="28"/>
          <w:rtl w:val="true"/>
          <w:lang w:bidi="ar-SA"/>
        </w:rPr>
        <w:t>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أطراف الشبهة تدريجية تارة ودفعية أخرى، فلو كانت أطراف الشبهة تدريجية، فالحرج إنما يتحقق في الأفراد الأخيرة، فيعلم بانتفاء التكليف فيها، لأن التكليف في متن الواقع إما متعلق بالأفراد الأولى أو الأخيرة، فإن كان الأول فلا تكليف بالأفراد الأخيرة، وإنْ كان الثاني فالتكليف منفي فيها؛ لكون متعلق التكليف حرجياً، فالتكليف في الأفراد الأخيرة منتف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وجب عليه بالنذر أن يصوم يوماً، وكان مردداً بين الخميس والجمعة، وكان الجمع بينهما حرجياً عليه، فمقتضى كلام صاحب الكفاية عدم نفي هذا الحرج فيجب عليه صوم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مفاد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عالم الثبوت لا يخلو من أحد اثنين، فالمنذور واقعاً إمّا صوم الخميس، فلا يجب الجمعة؛ لعدم تعلق النذر به، وإما يوم الجمعة فمتعلقه حرجي، وهو منتف حتى على مبنى الكفاية، فيجب عليه صوم الخميس دون الجمعة على كل التقادير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أفراد الشبهة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كإناءين 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الاجتناب عنهما معاً بوصف الاجتماع حرجياً أو ضررياً يمكن القول </w:t>
      </w:r>
    </w:p>
    <w:p>
      <w:pPr>
        <w:pStyle w:val="BookText"/>
        <w:rPr/>
      </w:pPr>
      <w:r>
        <w:rPr>
          <w:rFonts w:ascii="Amiri" w:hAnsi="Amiri" w:eastAsia="Amiri" w:cs="Amiri"/>
          <w:color w:val="111111"/>
          <w:sz w:val="28"/>
          <w:sz w:val="28"/>
          <w:szCs w:val="28"/>
          <w:rtl w:val="true"/>
          <w:lang w:bidi="ar-SA"/>
        </w:rPr>
        <w:t>بوجوب الاحتياط التام، وأدلة نفي الضرر لا تنفيه على مبنى الكفاية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الانسداد وانتشار الأحكام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الأول لا الثاني؛ لعدم ابتلاء المكلف بجميع الوقائع دفعة واحدة، بل يبتلى بها تدريجا، فعليه الاحتياط إلى أن يلزم منه الحرج أو الضرر فيسقط وجوبه، فكلام الكفاية بوجوب الاحتياط التام وإن أوجب الحرج إنما يصح في العرضيين لا الطوليين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ما ذكره المحقق الحائري،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أدلة نفي الحرج والضرر بين حرج يترتب على الحكم الابتدائي والحكم الإمضائي،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 يفهم العرف من أدلة الحرج هو عدم تحقق الحرج على المكلف من ناحية الشارع، سواء كان بجعله ابتداء أم كان بجعل الأحكام الواقعية واشتبه على المكلف فَوقَع في الكُلفة بحكم العقل و إمضاء الشارع</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واضح؛ لأنه رجوع إلى مبنى الشيخ الأعظم</w:t>
      </w:r>
      <w:r>
        <w:rPr>
          <w:rStyle w:val="FootnoteAnchor"/>
          <w:rtl w:val="true"/>
        </w:rPr>
        <w:footnoteReference w:id="257"/>
      </w:r>
      <w:r>
        <w:rPr>
          <w:rFonts w:ascii="Amiri" w:hAnsi="Amiri" w:eastAsia="Amiri" w:cs="Amiri"/>
          <w:color w:val="111111"/>
          <w:sz w:val="28"/>
          <w:sz w:val="28"/>
          <w:szCs w:val="28"/>
          <w:rtl w:val="true"/>
          <w:lang w:bidi="ar-SA"/>
        </w:rPr>
        <w:t>، حيث نفى الحكم الضرري، فالحكم الذي ينشأ منه الحرج لا فرق فيه بين أن يكون ابتدائياً أو امضائياً، لكن مبنى الكفاية عدم نفي الحكم الحرجي، بل نفي المتعلق الحرجي، والمفروض أن المتعلق في المقام ليس حرجياً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البروجردي من إلغاء الخصوصية،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العرف إنما يفهمون من ذلك أن تمام الملاك في رفع التكليف هو الوقوع في العسر والحرج من غير خصوصية من طرو ذلك بنفس الحكم، وكونه علة تامة لذلك، أو بذلك مع ضميمة أمر خارج عن نفس الحكم، كجهل المكلف وتردد المكلف به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عدم الفرق في أن يكون الحكم منشأ منفرداً أو منضماً فهو رجوع إلى مبنى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عدم الفرق في أن يكون المتعلق منشأ أو الحكم منشأ بعد قبول مبنى الكفاية من أنَّ المنفي المتعلق الحرجي، من غير فرق بين أن يكون المتعلق حرجياً أو يكون الحكم حرجياً، فهذا يحتاج إلى القطع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ينفي الشارع المتعلق الحرجي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ينفي الحكم الحرجي لعدم الفرق بينهما ملاكاً، فهذا عهدته على مدعيه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 ما ذكره السيد السبزواري،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الامتثال الحرجي خلاف الطريقة العقلائية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فلا حاجة إلى أدلة نفي الحرج كي يبحث في مفادها، وان فُقِدَ الدليل او ارتأينا مبنى الكفاية بل عدم ثبوت الردع عنه كافٍ، فإن الامتثال الحرجي خلاف الطريقة العقلائية، والشارع لم يردع عنه، وعليه الحكم الذي ينشأ منه الحرج لا يجب امتثاله، والمفروض في المقام أن الحرج نشأ من الاحتياط التام في ظرف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الامتثال فيما لو أوقعَ المولى العرفي عبده 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فرق بين المولى العرفي والحقيقي، فحتى لو فرضنا أن الحرج يرفع تكليف المولى العرفي، لكن يحق للمولى الحقيقي، الذي له الأمر كله، أن يوقعهم في الحرج الكامل</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لك جسمي تعله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فدمي لا تطله</w:t>
      </w:r>
    </w:p>
    <w:p>
      <w:pPr>
        <w:pStyle w:val="BookText"/>
        <w:rPr/>
      </w:pPr>
      <w:r>
        <w:rPr>
          <w:rFonts w:ascii="Amiri" w:hAnsi="Amiri" w:eastAsia="Amiri" w:cs="Amiri"/>
          <w:color w:val="111111"/>
          <w:sz w:val="28"/>
          <w:sz w:val="28"/>
          <w:szCs w:val="28"/>
          <w:rtl w:val="true"/>
          <w:lang w:bidi="ar-SA"/>
        </w:rPr>
        <w:t>قال إن كنت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 الأمر 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حكومة هذه الأدلة على قاعدة الاحتياط بين المبنيين، سواء كان المنفي الحكم الحرجي أم المتعلق الحرجي، فلا يجب الاحتياط التام في المقام وذلك لبعض الأجوبة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في النهاية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المبنيين في عدم حكومة أدلة رفع الحرج على قاعدة الاحتياط، فيجب الاحتياط التام وإن أوجب الضرر والحرج والعسر، وتبعه في المنتقى أيضاً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امتثال الحكم حرجياً، فيرفع بقاعدة نفي الحرج والضرر، وتارة لا يكون امتثال الحكم حرجياً وإنما تحصيل العلم بامتثال الحكم حرجي، فلا حكومة لأدلة رفع الحرج على قاعدة الاحتياط العقلية، والمقام من قبيل الثاني</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 وإن كان مقتضياً لامتثاله</w:t>
      </w:r>
      <w:r>
        <w:rPr>
          <w:rStyle w:val="FootnoteAnchor"/>
          <w:rtl w:val="true"/>
        </w:rPr>
        <w:footnoteReference w:id="264"/>
      </w:r>
      <w:r>
        <w:rPr>
          <w:rFonts w:ascii="IRNazanin" w:hAnsi="IRNazanin" w:eastAsia="IRNazanin"/>
          <w:color w:val="111111"/>
          <w:sz w:val="28"/>
          <w:sz w:val="28"/>
          <w:szCs w:val="28"/>
          <w:rtl w:val="true"/>
          <w:lang w:bidi="fa-IR"/>
        </w:rPr>
        <w:t>إلا أن العسر</w:t>
      </w:r>
      <w:r>
        <w:rPr>
          <w:rStyle w:val="FootnoteAnchor"/>
          <w:rtl w:val="true"/>
        </w:rPr>
        <w:footnoteReference w:id="265"/>
      </w:r>
      <w:r>
        <w:rPr>
          <w:rFonts w:ascii="Amiri" w:hAnsi="Amiri" w:eastAsia="Amiri" w:cs="Amiri"/>
          <w:color w:val="111111"/>
          <w:sz w:val="28"/>
          <w:sz w:val="28"/>
          <w:szCs w:val="28"/>
          <w:rtl w:val="true"/>
          <w:lang w:bidi="ar-SA"/>
        </w:rPr>
        <w:t>ليس في امتثاله</w:t>
      </w:r>
      <w:r>
        <w:rPr>
          <w:rStyle w:val="FootnoteAnchor"/>
          <w:rtl w:val="true"/>
        </w:rPr>
        <w:footnoteReference w:id="266"/>
      </w:r>
      <w:r>
        <w:rPr>
          <w:rFonts w:ascii="Amiri" w:hAnsi="Amiri" w:eastAsia="Amiri" w:cs="Amiri"/>
          <w:color w:val="111111"/>
          <w:sz w:val="28"/>
          <w:sz w:val="28"/>
          <w:szCs w:val="28"/>
          <w:rtl w:val="true"/>
          <w:lang w:bidi="ar-SA"/>
        </w:rPr>
        <w:t>، بل في تحصيل العلم بامتثاله</w:t>
      </w:r>
      <w:r>
        <w:rPr>
          <w:rStyle w:val="FootnoteAnchor"/>
          <w:rtl w:val="true"/>
        </w:rPr>
        <w:footnoteReference w:id="267"/>
      </w:r>
      <w:r>
        <w:rPr>
          <w:rFonts w:ascii="Amiri" w:hAnsi="Amiri" w:eastAsia="Amiri" w:cs="Amiri"/>
          <w:color w:val="111111"/>
          <w:sz w:val="28"/>
          <w:sz w:val="28"/>
          <w:szCs w:val="28"/>
          <w:rtl w:val="true"/>
          <w:lang w:bidi="ar-SA"/>
        </w:rPr>
        <w:t>بالجمع بين محتملاته، وهو</w:t>
      </w:r>
      <w:r>
        <w:rPr>
          <w:rStyle w:val="FootnoteAnchor"/>
          <w:rtl w:val="true"/>
        </w:rPr>
        <w:footnoteReference w:id="268"/>
      </w:r>
      <w:r>
        <w:rPr>
          <w:rFonts w:ascii="Amiri" w:hAnsi="Amiri" w:eastAsia="Amiri" w:cs="Amiri"/>
          <w:color w:val="111111"/>
          <w:sz w:val="28"/>
          <w:sz w:val="28"/>
          <w:szCs w:val="28"/>
          <w:rtl w:val="true"/>
          <w:lang w:bidi="ar-SA"/>
        </w:rPr>
        <w:t>ليس من مقتضيات التكليف</w:t>
      </w:r>
      <w:r>
        <w:rPr>
          <w:rStyle w:val="FootnoteAnchor"/>
          <w:rtl w:val="true"/>
        </w:rPr>
        <w:footnoteReference w:id="269"/>
      </w:r>
      <w:r>
        <w:rPr>
          <w:rFonts w:ascii="Amiri" w:hAnsi="Amiri" w:eastAsia="Amiri" w:cs="Amiri"/>
          <w:color w:val="111111"/>
          <w:sz w:val="28"/>
          <w:sz w:val="28"/>
          <w:szCs w:val="28"/>
          <w:rtl w:val="true"/>
          <w:lang w:bidi="ar-SA"/>
        </w:rPr>
        <w:t>ولو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w:t>
      </w:r>
      <w:r>
        <w:rPr>
          <w:rStyle w:val="FootnoteAnchor"/>
          <w:rtl w:val="true"/>
        </w:rPr>
        <w:footnoteReference w:id="270"/>
      </w:r>
      <w:r>
        <w:rPr>
          <w:rFonts w:ascii="Amiri" w:hAnsi="Amiri" w:eastAsia="Amiri" w:cs="Amiri"/>
          <w:color w:val="111111"/>
          <w:sz w:val="28"/>
          <w:sz w:val="28"/>
          <w:szCs w:val="28"/>
          <w:rtl w:val="true"/>
          <w:lang w:bidi="ar-SA"/>
        </w:rPr>
        <w:t>إطلاق يفيد الإرادة الأعم من اقتضاء العسر أو الموضوعية لأمر عقلي لازمه العسر</w:t>
      </w:r>
      <w:r>
        <w:rPr>
          <w:rStyle w:val="FootnoteAnchor"/>
          <w:rtl w:val="true"/>
        </w:rPr>
        <w:footnoteReference w:id="271"/>
      </w:r>
      <w:r>
        <w:rPr>
          <w:rFonts w:ascii="Amiri" w:hAnsi="Amiri" w:eastAsia="Amiri" w:cs="Amiri"/>
          <w:color w:val="111111"/>
          <w:sz w:val="28"/>
          <w:sz w:val="28"/>
          <w:szCs w:val="28"/>
          <w:rtl w:val="true"/>
          <w:lang w:bidi="ar-SA"/>
        </w:rPr>
        <w:t>، بل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Style w:val="FootnoteAnchor"/>
          <w:rtl w:val="true"/>
        </w:rPr>
        <w:footnoteReference w:id="272"/>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الحكم الموصوف بالضرر أو العسر</w:t>
      </w:r>
      <w:r>
        <w:rPr>
          <w:rStyle w:val="FootnoteAnchor"/>
          <w:rtl w:val="true"/>
        </w:rPr>
        <w:footnoteReference w:id="274"/>
      </w:r>
      <w:r>
        <w:rPr>
          <w:rFonts w:ascii="Amiri" w:hAnsi="Amiri" w:eastAsia="Amiri" w:cs="Amiri"/>
          <w:color w:val="111111"/>
          <w:sz w:val="28"/>
          <w:sz w:val="28"/>
          <w:szCs w:val="28"/>
          <w:rtl w:val="true"/>
          <w:lang w:bidi="ar-SA"/>
        </w:rPr>
        <w:t>هو كونه</w:t>
      </w:r>
      <w:r>
        <w:rPr>
          <w:rStyle w:val="FootnoteAnchor"/>
          <w:rtl w:val="true"/>
        </w:rPr>
        <w:footnoteReference w:id="275"/>
      </w:r>
      <w:r>
        <w:rPr>
          <w:rFonts w:ascii="Amiri" w:hAnsi="Amiri" w:eastAsia="Amiri" w:cs="Amiri"/>
          <w:color w:val="111111"/>
          <w:sz w:val="28"/>
          <w:sz w:val="28"/>
          <w:szCs w:val="28"/>
          <w:rtl w:val="true"/>
          <w:lang w:bidi="ar-SA"/>
        </w:rPr>
        <w:t>موصوفاً بهما ولو بالواسطة والاقتضاء</w:t>
      </w:r>
      <w:r>
        <w:rPr>
          <w:rStyle w:val="FootnoteAnchor"/>
          <w:rtl w:val="true"/>
        </w:rPr>
        <w:footnoteReference w:id="276"/>
      </w:r>
      <w:r>
        <w:rPr>
          <w:rFonts w:ascii="Amiri" w:hAnsi="Amiri" w:eastAsia="Amiri" w:cs="Amiri"/>
          <w:color w:val="111111"/>
          <w:sz w:val="28"/>
          <w:sz w:val="28"/>
          <w:szCs w:val="28"/>
          <w:rtl w:val="true"/>
          <w:lang w:bidi="ar-SA"/>
        </w:rPr>
        <w:t xml:space="preserve">، لا أن يكون من باب الوصف بحال </w:t>
      </w:r>
    </w:p>
    <w:p>
      <w:pPr>
        <w:pStyle w:val="BookText"/>
        <w:rPr/>
      </w:pPr>
      <w:r>
        <w:rPr>
          <w:rFonts w:ascii="IRNazanin" w:hAnsi="IRNazanin" w:eastAsia="IRNazanin"/>
          <w:color w:val="111111"/>
          <w:sz w:val="28"/>
          <w:sz w:val="28"/>
          <w:szCs w:val="28"/>
          <w:rtl w:val="true"/>
          <w:lang w:bidi="fa-IR"/>
        </w:rPr>
        <w:t>المتعلق</w:t>
      </w:r>
      <w:r>
        <w:rPr>
          <w:rStyle w:val="FootnoteAnchor"/>
          <w:rtl w:val="true"/>
        </w:rPr>
        <w:footnoteReference w:id="277"/>
      </w:r>
      <w:r>
        <w:rPr>
          <w:rFonts w:ascii="IRNazanin" w:hAnsi="IRNazanin" w:eastAsia="IRNazanin"/>
          <w:color w:val="111111"/>
          <w:sz w:val="28"/>
          <w:sz w:val="28"/>
          <w:szCs w:val="28"/>
          <w:rtl w:val="true"/>
          <w:lang w:bidi="fa-IR"/>
        </w:rPr>
        <w:t>، وهو</w:t>
      </w:r>
      <w:r>
        <w:rPr>
          <w:rStyle w:val="FootnoteAnchor"/>
          <w:rtl w:val="true"/>
        </w:rPr>
        <w:footnoteReference w:id="278"/>
      </w:r>
      <w:r>
        <w:rPr>
          <w:rFonts w:ascii="Amiri" w:hAnsi="Amiri" w:eastAsia="Amiri" w:cs="Amiri"/>
          <w:color w:val="111111"/>
          <w:sz w:val="28"/>
          <w:sz w:val="28"/>
          <w:szCs w:val="28"/>
          <w:rtl w:val="true"/>
          <w:lang w:bidi="ar-SA"/>
        </w:rPr>
        <w:t>لازمه العقلي</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فحتى على مبنى الشيخ</w:t>
      </w:r>
      <w:r>
        <w:rPr>
          <w:rStyle w:val="FootnoteAnchor"/>
          <w:rtl w:val="true"/>
        </w:rPr>
        <w:footnoteReference w:id="280"/>
      </w:r>
      <w:r>
        <w:rPr>
          <w:rFonts w:ascii="Amiri" w:hAnsi="Amiri" w:eastAsia="Amiri" w:cs="Amiri"/>
          <w:color w:val="111111"/>
          <w:sz w:val="28"/>
          <w:sz w:val="28"/>
          <w:szCs w:val="28"/>
          <w:rtl w:val="true"/>
          <w:lang w:bidi="ar-SA"/>
        </w:rPr>
        <w:t>أدلة رفع الضرر لا حكومة لها على قاعدة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بنظر العرف في صدق أدلة نفي الضرر والحرج بين أن يكون الحكم الشرعي منشأ للضرر والحرج، أو منشأ لما يكون منشأ لهما، ففي الصورتين يصدق أن الحكم ضرري، 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فمتعلق الحكم الشرعي وإن لم يكن منشأ للحرج، إلا أن الحكم الشرعي منشأ للحكم العقلي، وهو منشأ الضرر والشيء، كما ينسب إلى منشئه ينسب إلى منشأ منشئه،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حرجي لأنه منشأ لمنشأ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مجموع أدلة نفي الحرج والضرر والعسر على العرف، لم يَرَ فرقاً في شمول الأدلة بين الحكم الشرعي الذي ينشأ منه الحرج، أو الحكم الشرعي الذي ينشأ منه حكم عقلي ينشأ منه الحرج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باب مضرة للعامة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فالتكليف الشرعي باب </w:t>
      </w:r>
    </w:p>
    <w:p>
      <w:pPr>
        <w:pStyle w:val="BookText"/>
        <w:rPr/>
      </w:pPr>
      <w:r>
        <w:rPr>
          <w:rFonts w:ascii="Amiri" w:hAnsi="Amiri" w:eastAsia="Amiri" w:cs="Amiri"/>
          <w:color w:val="111111"/>
          <w:sz w:val="28"/>
          <w:sz w:val="28"/>
          <w:szCs w:val="28"/>
          <w:rtl w:val="true"/>
          <w:lang w:bidi="ar-SA"/>
        </w:rPr>
        <w:t>مضرة، فإن باب الباب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حرج، لا حرج</w:t>
      </w:r>
      <w:r>
        <w:rPr>
          <w:rFonts w:eastAsia="IRNazanin" w:cs="IRNazanin"/>
          <w:color w:val="111111"/>
          <w:sz w:val="28"/>
          <w:szCs w:val="28"/>
          <w:rtl w:val="true"/>
          <w:lang w:bidi="fa-IR"/>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يصدق أن هذا الحكم الشرعي حكم ينشأ منه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المولى يريد تكليفه في ظرف الجهل على كل حال، وإن نشأ العسر من حكم العقل بلزوم تحصيل الامتثال، فإنه يصدق أن المولى يريد بعبيده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الدين ليس بمضيق</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الذي يأمر بشيء يتبعه حكم العقل الذي يتبعه الضيق يصدق عليه أنه دين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مصاديق الإصر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المحاسن</w:t>
      </w:r>
      <w:r>
        <w:rPr>
          <w:rStyle w:val="FootnoteAnchor"/>
          <w:rtl w:val="true"/>
        </w:rPr>
        <w:footnoteReference w:id="286"/>
      </w:r>
      <w:r>
        <w:rPr>
          <w:rFonts w:ascii="Amiri" w:hAnsi="Amiri" w:eastAsia="Amiri" w:cs="Amiri"/>
          <w:color w:val="111111"/>
          <w:sz w:val="28"/>
          <w:sz w:val="28"/>
          <w:szCs w:val="28"/>
          <w:rtl w:val="true"/>
          <w:lang w:bidi="ar-SA"/>
        </w:rPr>
        <w:t>عن أبيه</w:t>
      </w:r>
      <w:r>
        <w:rPr>
          <w:rStyle w:val="FootnoteAnchor"/>
          <w:rtl w:val="true"/>
        </w:rPr>
        <w:footnoteReference w:id="287"/>
      </w:r>
      <w:r>
        <w:rPr>
          <w:rFonts w:ascii="Amiri" w:hAnsi="Amiri" w:eastAsia="Amiri" w:cs="Amiri"/>
          <w:color w:val="111111"/>
          <w:sz w:val="28"/>
          <w:sz w:val="28"/>
          <w:szCs w:val="28"/>
          <w:rtl w:val="true"/>
          <w:lang w:bidi="ar-SA"/>
        </w:rPr>
        <w:t>، عن صفوان بن يحيى</w:t>
      </w:r>
      <w:r>
        <w:rPr>
          <w:rStyle w:val="FootnoteAnchor"/>
          <w:rtl w:val="true"/>
        </w:rPr>
        <w:footnoteReference w:id="288"/>
      </w:r>
      <w:r>
        <w:rPr>
          <w:rFonts w:ascii="IRNazanin" w:hAnsi="IRNazanin" w:eastAsia="IRNazanin"/>
          <w:color w:val="111111"/>
          <w:sz w:val="28"/>
          <w:sz w:val="28"/>
          <w:szCs w:val="28"/>
          <w:rtl w:val="true"/>
          <w:lang w:bidi="fa-IR"/>
        </w:rPr>
        <w:t>، عن منصور بن حازم</w:t>
      </w:r>
      <w:r>
        <w:rPr>
          <w:rStyle w:val="FootnoteAnchor"/>
          <w:rtl w:val="true"/>
        </w:rPr>
        <w:footnoteReference w:id="2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مأمورون ومنهيون، ومن كان له </w:t>
      </w:r>
    </w:p>
    <w:p>
      <w:pPr>
        <w:pStyle w:val="BookText"/>
        <w:rPr/>
      </w:pPr>
      <w:r>
        <w:rPr>
          <w:rFonts w:ascii="IRNazanin" w:hAnsi="IRNazanin" w:eastAsia="IRNazanin"/>
          <w:color w:val="111111"/>
          <w:sz w:val="28"/>
          <w:sz w:val="28"/>
          <w:szCs w:val="28"/>
          <w:rtl w:val="true"/>
          <w:lang w:bidi="fa-IR"/>
        </w:rPr>
        <w:t>عذر عذره اللّه</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العذر العرفي، أي ما يكون عذراً عرفاً، والمشقة والضيق والحرج عذر،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العذر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في مقام رد صاحب الكفاية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أمر الشارع لم يكونا</w:t>
      </w:r>
      <w:r>
        <w:rPr>
          <w:rStyle w:val="FootnoteAnchor"/>
          <w:rtl w:val="true"/>
        </w:rPr>
        <w:footnoteReference w:id="291"/>
      </w:r>
      <w:r>
        <w:rPr>
          <w:rFonts w:ascii="IRNazanin" w:hAnsi="IRNazanin" w:eastAsia="IRNazanin"/>
          <w:color w:val="111111"/>
          <w:sz w:val="28"/>
          <w:sz w:val="28"/>
          <w:szCs w:val="28"/>
          <w:rtl w:val="true"/>
          <w:lang w:bidi="fa-IR"/>
        </w:rPr>
        <w:t>، فصح الإسناد لولا الرفع</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فإن لم يرفع الشارع حكمه لصح الإسناد إليه أنه أوقعنا في الضرر والحرج، وعليه لو تم هذا الاستظهار لكان كلام النهاية والمنتقى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البحث الكبروي في أن الاحتياط التام لو استلزم الإخلال بالنظام أو الحرج أو الضرر هل هو مرفوع أم لا؟</w:t>
      </w:r>
    </w:p>
    <w:p>
      <w:pPr>
        <w:pStyle w:val="BookText"/>
        <w:rPr/>
      </w:pPr>
      <w:r>
        <w:rPr>
          <w:rFonts w:ascii="Amiri" w:hAnsi="Amiri" w:eastAsia="Amiri" w:cs="Amiri"/>
          <w:color w:val="111111"/>
          <w:sz w:val="28"/>
          <w:sz w:val="28"/>
          <w:szCs w:val="28"/>
          <w:rtl w:val="true"/>
          <w:lang w:bidi="ar-SA"/>
        </w:rPr>
        <w:t>وأما البحث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الفقيه الاحتياط التام في ظرف الانسداد في جميع أطراف الشبهات الحكمية، سواء كان الحكم مظنوناً أم مشكوكاً أم موهوماً، فهل يوجب ذلك الحرج أو العسر أو الضرر أو الإخلال بالنظام؟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العسر الشديد والحرج الأكيد في التزامه، لكثرة ما يحتمل موهوماً وجوبه، خصوصاً في أبواب الطهارة والصلاة، فمراعاته مما يوجب الحرج، والمثال لا يحتاج إليه، فلو بنى العالم الخبير بموارد الاحتياط في ما لم ينعقد عليه إجماع قطعي أو خبر متواتر، على الالتزام بالاحتياط في جميع أموره يوماً وليله لوجد صدق ما أدعيناه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نفس العمل بالاحتياط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تعليم المجتهد موارد الاحتياط لمقلده، وتعلم المقلد موارد الاحتياط الشخصية، وعلاج تعارض الاحتياطات، وترجيح الاحتياط الناشئ عن الاحتمال القوي على الاحتياط الناشئ عن الاحتمال الضعيف، فهو أمر مستغرق لأوقات المجتهد والمقلد، فيقع الناس من جهة تعليم هذه الموارد وتعلمها في حرج يخل بنظام معاشهم ومعادهم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مسألة التطهير بالماء المستعمل في رفع الحدث الأكبر، ترك التطهير به، لكن قد يعارضه في الموارد الشخصية احتياطات أخر بعضها أقوى منه، وبعضها أضعف وبعضها مساو، فإنه قد يوجد ماء آخر للطهارة، وقد لا يوجد معه إلا التراب، وقد لا يوجد من مطلق الطهور غيره، فإن الاحتياط في الأول</w:t>
      </w:r>
      <w:r>
        <w:rPr>
          <w:rStyle w:val="FootnoteAnchor"/>
          <w:rtl w:val="true"/>
        </w:rPr>
        <w:footnoteReference w:id="295"/>
      </w:r>
      <w:r>
        <w:rPr>
          <w:rFonts w:ascii="Amiri" w:hAnsi="Amiri" w:eastAsia="Amiri" w:cs="Amiri"/>
          <w:color w:val="111111"/>
          <w:sz w:val="28"/>
          <w:sz w:val="28"/>
          <w:szCs w:val="28"/>
          <w:rtl w:val="true"/>
          <w:lang w:bidi="ar-SA"/>
        </w:rPr>
        <w:t>، هو الطهارة من ماء آخر لو لم يزاحمه الاحتياط من جهة أخرى، كما إذا كان قد أصابه ما لم ينعقد الإجماع على طهارته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الثاني</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هو الجمع بين الطهارة المائية والترابية إن لم يزاحمه ضيق الوقت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الثالث</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الطهارة من ذلك المستعمل والصلاة إن لم يزاحمه أمر آخر محتمل الوجوب</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مثال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أن يكون الكر حوالي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فلو كان عنده كر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ووقعت فيه نجاسة، فالأحوط ترك التوضؤ به، فلو لم يكن له ماء آخر، فالأحوط أن يتيمم ويصلي ثم يتوضأ ويعيد صلاته، لكنه معارض ببقاء نجاسة البدن للصلاة القادمة، ويحتمل كون الوجوبات تعليقية لا مشروطة، فالوضوء بهذا الماء مع الجمع يسبب نجاسة البدن للصلاة الآتية، فما هو مقتضى الاحتياط، الجمع أو الترك؟</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كرية الكر تساوي السطوح أم لا؟ مقتضى الاحتياط ذلك، وعليه يجري على المياه في الأنابيب أحكام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الإنسان يعاشر من يعتقد أنها محكومة بالكرية، فماذا يفعل؟</w:t>
      </w:r>
    </w:p>
    <w:p>
      <w:pPr>
        <w:pStyle w:val="BookText"/>
        <w:rPr/>
      </w:pPr>
      <w:r>
        <w:rPr>
          <w:rFonts w:ascii="Amiri" w:hAnsi="Amiri" w:eastAsia="Amiri" w:cs="Amiri"/>
          <w:color w:val="111111"/>
          <w:sz w:val="28"/>
          <w:sz w:val="28"/>
          <w:szCs w:val="28"/>
          <w:rtl w:val="true"/>
          <w:lang w:bidi="ar-SA"/>
        </w:rPr>
        <w:t>ولأجل ذلك يقع المقلد والمرجع في مخمصة لا بداية ولا نهاية لها، ومن أراد الجمع في الاحتياطات الفقهية لا يستقر عنده حجر على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المحقق الحائري لم يرتض كلام الشيخ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العلم الإجمالي إنما يكون في موارد الأمارات المثبتة</w:t>
      </w:r>
      <w:r>
        <w:rPr>
          <w:rStyle w:val="FootnoteAnchor"/>
          <w:rtl w:val="true"/>
        </w:rPr>
        <w:footnoteReference w:id="301"/>
      </w:r>
      <w:r>
        <w:rPr>
          <w:rFonts w:ascii="Amiri" w:hAnsi="Amiri" w:eastAsia="Amiri" w:cs="Amiri"/>
          <w:color w:val="111111"/>
          <w:sz w:val="28"/>
          <w:sz w:val="28"/>
          <w:szCs w:val="28"/>
          <w:rtl w:val="true"/>
          <w:lang w:bidi="ar-SA"/>
        </w:rPr>
        <w:t xml:space="preserve">لا بينها وبين ما لا </w:t>
      </w:r>
    </w:p>
    <w:p>
      <w:pPr>
        <w:pStyle w:val="BookText"/>
        <w:rPr/>
      </w:pPr>
      <w:r>
        <w:rPr>
          <w:rFonts w:ascii="Amiri" w:hAnsi="Amiri" w:eastAsia="Amiri" w:cs="Amiri"/>
          <w:color w:val="111111"/>
          <w:sz w:val="28"/>
          <w:sz w:val="28"/>
          <w:szCs w:val="28"/>
          <w:rtl w:val="true"/>
          <w:lang w:bidi="ar-SA"/>
        </w:rPr>
        <w:t>يكون عليه أمارة أصلاً،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الاحتياط في تمام مواردها</w:t>
      </w:r>
      <w:r>
        <w:rPr>
          <w:rStyle w:val="FootnoteAnchor"/>
          <w:rtl w:val="true"/>
        </w:rPr>
        <w:footnoteReference w:id="302"/>
      </w:r>
      <w:r>
        <w:rPr>
          <w:rFonts w:ascii="Amiri" w:hAnsi="Amiri" w:eastAsia="Amiri" w:cs="Amiri"/>
          <w:color w:val="111111"/>
          <w:sz w:val="28"/>
          <w:sz w:val="28"/>
          <w:szCs w:val="28"/>
          <w:rtl w:val="true"/>
          <w:lang w:bidi="ar-SA"/>
        </w:rPr>
        <w:t>حرج بحيث يوجب اختلال النظام، بل لا يكون حرجاً لا يتُحمل عادةً بالنسبة إلى كثير من المكلفين، الذين ليس محل ابتلائهم إلا القليل من التكاليف</w:t>
      </w:r>
      <w:r>
        <w:rPr>
          <w:rStyle w:val="FootnoteAnchor"/>
          <w:rtl w:val="true"/>
        </w:rPr>
        <w:footnoteReference w:id="303"/>
      </w:r>
      <w:r>
        <w:rPr>
          <w:rFonts w:ascii="Amiri" w:hAnsi="Amiri" w:eastAsia="Amiri" w:cs="Amiri"/>
          <w:color w:val="111111"/>
          <w:sz w:val="28"/>
          <w:sz w:val="28"/>
          <w:szCs w:val="28"/>
          <w:rtl w:val="true"/>
          <w:lang w:bidi="ar-SA"/>
        </w:rPr>
        <w:t>، واتفاق الحرج في بعض الموارد لبعض الأشخاص يوجب دفع الاحتياط عنه</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ذكرناه أن بناء سيد مشايخنا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إرجاع مقلديه إلى الاحتياط، وقل ما اتفق منه إظهار الفتوى والمخالفة للاحتياط، وكان مرجع تمام أفراد الشيعة مدة متمادية، ومع ذلك ما اختل نظام العالم بواسطة الرجوع إلى الاحتياط، وما كان تحمل هذا الاحتياط شاقاً على المسلمين بحيث لا يتحمل عادة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المقطع الأخير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احتياطات المجدد كانت قليلة جداً كما يظهر لمن راجع حواشيه على نجاة العباد وآداب تجارة الوحيد، وأين هما مما ذكره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في بادئ النظر أن ما ذكره المحقق الحائري هو الأقرب، لأن الحرج إنما يرفع التكليف إذا كان دائمياً، أما لو كان غالبياً أو اتفاقياً، فيجب </w:t>
      </w:r>
      <w:bookmarkStart w:id="132" w:name="pg15601_166588"/>
    </w:p>
    <w:p>
      <w:pPr>
        <w:pStyle w:val="BookText"/>
        <w:rPr/>
      </w:pPr>
      <w:bookmarkEnd w:id="132"/>
      <w:r>
        <w:rPr>
          <w:rFonts w:ascii="Amiri" w:hAnsi="Amiri" w:eastAsia="Amiri" w:cs="Amiri"/>
          <w:color w:val="111111"/>
          <w:sz w:val="28"/>
          <w:sz w:val="28"/>
          <w:szCs w:val="28"/>
          <w:rtl w:val="true"/>
          <w:lang w:bidi="ar-SA"/>
        </w:rPr>
        <w:t>على عامة المكلفين الاحتياط في جميع الموارد، إلا أن يصادفهم الضرر والحرج، فلا بد من تقييد إطلاق كلام الشيخ</w:t>
      </w:r>
      <w:r>
        <w:rPr>
          <w:rStyle w:val="FootnoteAnchor"/>
          <w:rtl w:val="true"/>
        </w:rPr>
        <w:footnoteReference w:id="307"/>
      </w:r>
      <w:r>
        <w:rPr>
          <w:rFonts w:ascii="Amiri" w:hAnsi="Amiri" w:eastAsia="Amiri" w:cs="Amiri"/>
          <w:color w:val="111111"/>
          <w:sz w:val="28"/>
          <w:sz w:val="28"/>
          <w:szCs w:val="28"/>
          <w:rtl w:val="true"/>
          <w:lang w:bidi="ar-SA"/>
        </w:rPr>
        <w:t>بقيدين، قيد أفرادي، وقيد أحوالي، بأن يقال بعدم لزوم الاحتياط على كل فرد كان عليه الاحتياط حرجياً في مورده، وإلا فإن إطلاقه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w:t>
      </w:r>
    </w:p>
    <w:p>
      <w:pPr>
        <w:pStyle w:val="Heading6"/>
        <w:numPr>
          <w:ilvl w:val="5"/>
          <w:numId w:val="1"/>
        </w:numPr>
        <w:rPr/>
      </w:pPr>
      <w:bookmarkStart w:id="133" w:name="__RefHeading___Toc10000127_2142443653"/>
      <w:bookmarkStart w:id="134" w:name="_Toc51"/>
      <w:bookmarkEnd w:id="133"/>
      <w:r>
        <w:rPr>
          <w:rtl w:val="true"/>
        </w:rPr>
        <w:t>نتيجة الانسداد</w:t>
      </w:r>
      <w:bookmarkEnd w:id="134"/>
    </w:p>
    <w:p>
      <w:pPr>
        <w:pStyle w:val="BookText"/>
        <w:rPr/>
      </w:pPr>
      <w:r>
        <w:rPr>
          <w:rFonts w:ascii="Amiri" w:hAnsi="Amiri" w:eastAsia="Amiri" w:cs="Amiri"/>
          <w:color w:val="111111"/>
          <w:sz w:val="28"/>
          <w:sz w:val="28"/>
          <w:szCs w:val="28"/>
          <w:rtl w:val="true"/>
          <w:lang w:bidi="ar-SA"/>
        </w:rPr>
        <w:t>نبه الشيخ</w:t>
      </w:r>
      <w:r>
        <w:rPr>
          <w:rStyle w:val="FootnoteAnchor"/>
          <w:rtl w:val="true"/>
        </w:rPr>
        <w:footnoteReference w:id="308"/>
      </w:r>
      <w:r>
        <w:rPr>
          <w:rFonts w:ascii="Amiri" w:hAnsi="Amiri" w:eastAsia="Amiri" w:cs="Amiri"/>
          <w:color w:val="111111"/>
          <w:sz w:val="28"/>
          <w:sz w:val="28"/>
          <w:szCs w:val="28"/>
          <w:rtl w:val="true"/>
          <w:lang w:bidi="ar-SA"/>
        </w:rPr>
        <w:t>في ذيل نفي وجوب الاحتياط التام في أطراف العلم الإجمالي في ظرف الانسداد على مطلب مبتن على الفرق بين حجية الظن، والتبعيض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مقدمات الانسداد حجية الظن، كما هو المعروف على الألسن،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نتيجته التبعيض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حجية الظن، كونه طريقاً إلى الواقع ومعياراً للنفي والإثبات في الشريعة،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الحجية المنجزية والمعذرية، لكن التبعيض في الاحتياط مفاده متابعة العلم الإجمالي في الجملة لا بالجملة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0000129_2142443653"/>
      <w:bookmarkStart w:id="136" w:name="_Toc52"/>
      <w:bookmarkEnd w:id="135"/>
      <w:r>
        <w:rPr>
          <w:rtl w:val="true"/>
        </w:rPr>
        <w:t>ثلاث ثمرات</w:t>
      </w:r>
      <w:bookmarkEnd w:id="136"/>
    </w:p>
    <w:p>
      <w:pPr>
        <w:pStyle w:val="BookText"/>
        <w:rPr/>
      </w:pPr>
      <w:r>
        <w:rPr>
          <w:rFonts w:ascii="Amiri" w:hAnsi="Amiri" w:eastAsia="Amiri" w:cs="Amiri"/>
          <w:color w:val="111111"/>
          <w:sz w:val="28"/>
          <w:sz w:val="28"/>
          <w:szCs w:val="28"/>
          <w:rtl w:val="true"/>
          <w:lang w:bidi="ar-SA"/>
        </w:rPr>
        <w:t>والفرق بينهما يظهر في ثلاث ثمرات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يتطرق إليها الشيخ فيما رأيت،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الإسناد إلى الشارع، فلو أدى الظن الانسدادي إلى حكم من الأحكام، فبناء على حجية الظن يمكن الإسناد إلى الشارع؛ لعدم الفرق في جواز الإسناد بين </w:t>
      </w:r>
    </w:p>
    <w:p>
      <w:pPr>
        <w:pStyle w:val="BookText"/>
        <w:rPr/>
      </w:pPr>
      <w:r>
        <w:rPr>
          <w:rFonts w:ascii="Amiri" w:hAnsi="Amiri" w:eastAsia="Amiri" w:cs="Amiri"/>
          <w:color w:val="111111"/>
          <w:sz w:val="28"/>
          <w:sz w:val="28"/>
          <w:szCs w:val="28"/>
          <w:rtl w:val="true"/>
          <w:lang w:bidi="ar-SA"/>
        </w:rPr>
        <w:t>العلم الوجداني والتعبدي، فللفقيه أن يسند اجتهاده وعلمه التعبدي إلى الشارع؛ لأن وزانه وزان العلم الوجداني، وهذه إحدى ثمرات قيام الأمارات مقام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التبعيض في الاحتياط في أطراف العلم الإجمالي، حيث لا يمكن الاحتياط الكلي، لا يمكن الإسناد إلى الشارع، بل هو منهي عنه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بين الكشف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حجية الظن كشفاً يمكن إسناده إلى الشارع، وكذلك بناء على الحكومة والقبول بالملازمة بين حكم العقل وحكم الشارع، ولكن على الحكومة من دون قبول الملازمة، فلا يمكن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بناء على حجية الظن يمكن الإسناد إلى الشارع ولو على التقديرين الأولين، ولكن على التبعيض في الاحتياط لا يمكن الإسناد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الشيخ</w:t>
      </w:r>
      <w:r>
        <w:rPr>
          <w:rStyle w:val="FootnoteAnchor"/>
          <w:rtl w:val="true"/>
        </w:rPr>
        <w:footnoteReference w:id="309"/>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الظن لا يجب الاحتياط في سلسلة المشكوكات والموهومات، لانحلال العلم الإجمالي مع وجود الحجة إلى علم تفصيلي بما قامت عليه الحجة، وشك بدوي في الباقي، كما ينحل مع العلم التفصيلي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التبعيض في الاحتياط حيث يحكم العقل بوجوبه في جميع الدوائر المظنونة والمشكوكة والموهومة إلا بمقدار الحرج، فلو اندفع </w:t>
      </w:r>
    </w:p>
    <w:p>
      <w:pPr>
        <w:pStyle w:val="BookText"/>
        <w:rPr/>
      </w:pPr>
      <w:r>
        <w:rPr>
          <w:rFonts w:ascii="Amiri" w:hAnsi="Amiri" w:eastAsia="Amiri" w:cs="Amiri"/>
          <w:color w:val="111111"/>
          <w:sz w:val="28"/>
          <w:sz w:val="28"/>
          <w:szCs w:val="28"/>
          <w:rtl w:val="true"/>
          <w:lang w:bidi="ar-SA"/>
        </w:rPr>
        <w:t>الحرج بترك الاحتياط في الموهومات وجب الاحتياط في الباقي، وكذا لو كان للموهومات مراتب قوية وضعيفة، فلو اندفع الحرج بترك الاحتياط في دائرة الوهم الضعيف، فلا بد من الاحتياط في جميع المراتب الأخرى، وهذا الأخير مما لم يتطرق إليه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Style w:val="FootnoteAnchor"/>
          <w:rtl w:val="true"/>
        </w:rPr>
        <w:footnoteReference w:id="310"/>
      </w:r>
      <w:r>
        <w:rPr>
          <w:rFonts w:ascii="Amiri" w:hAnsi="Amiri" w:eastAsia="Amiri" w:cs="Amiri"/>
          <w:color w:val="111111"/>
          <w:sz w:val="28"/>
          <w:sz w:val="28"/>
          <w:szCs w:val="28"/>
          <w:rtl w:val="true"/>
          <w:lang w:bidi="ar-SA"/>
        </w:rPr>
        <w:t>وفيه غموض،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تقييد المطلقات والعمومات المثبتة للتكليف بالظن النافي بناء على حجيته، وأما على التبعيض في الاحتياط، فالاحتياط النافي لا يمكن أن يقف أمام العمومات والمطلقات، وقد اختار الشيخ مسلك التبعيض في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الاحتياط بالغاً ما بلغ ما لم يمنع عنه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لا يخلوان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الثمرة الثانية</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مبنية على التوسط في التنجيز، والمبنى محل إشكال، فلو لم يكن العلم الإجمالي منجزاً تاماً، فالتوسط في التنجيز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لذهاب جمع من الأساطين إلى أن العلم الإجمالي إما أن يكون منجزا تاماً أو لا يكون له تنجيز أبداً، فلا توسط للتنجيز</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الثالثة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المطلق في طول الظن الخاص، ولا يصلح أن يكون في عرضه، وإن كان حجة فإحدى مقدمات الانسداد عدم وجود العلم والعلمي، فإن كان هنالك مطلق أو عام ثبت بالتواتر، فكيف يمكن </w:t>
      </w:r>
      <w:bookmarkStart w:id="137" w:name="pg15601_166591"/>
    </w:p>
    <w:p>
      <w:pPr>
        <w:pStyle w:val="BookText"/>
        <w:rPr/>
      </w:pPr>
      <w:bookmarkEnd w:id="137"/>
      <w:r>
        <w:rPr>
          <w:rFonts w:ascii="Amiri" w:hAnsi="Amiri" w:eastAsia="Amiri" w:cs="Amiri"/>
          <w:color w:val="111111"/>
          <w:sz w:val="28"/>
          <w:sz w:val="28"/>
          <w:szCs w:val="28"/>
          <w:rtl w:val="true"/>
          <w:lang w:bidi="ar-SA"/>
        </w:rPr>
        <w:t>للظن المطلق وإن كان حجة أن يقيده؟</w:t>
      </w:r>
    </w:p>
    <w:p>
      <w:pPr>
        <w:pStyle w:val="BookText"/>
        <w:rPr/>
      </w:pPr>
      <w:r>
        <w:rPr>
          <w:rFonts w:ascii="Amiri" w:hAnsi="Amiri" w:eastAsia="Amiri" w:cs="Amiri"/>
          <w:color w:val="111111"/>
          <w:sz w:val="28"/>
          <w:sz w:val="28"/>
          <w:szCs w:val="28"/>
          <w:rtl w:val="true"/>
          <w:lang w:bidi="ar-SA"/>
        </w:rPr>
        <w:t>فمثلاً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عموم قرآني، وهو ظن خاص، فلو ظن بظن مطلق عدم وجوب الحج على العبد، وإن كان مأذوناً من قبل مولاه، فإن مؤدى كلام الشيخ إمكان تخصيص العموم القرآني به لو قلنا بكون نتيجة مقدمات الانسداد حجية الظن، فلا يجب الحج على العبد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الطولية بين الظن الخاص والظن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فرق بين المبنيين، حيث لا يمكن للظن العام نفي العموم المثبت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بعض الفقهاء في باب القبلة من حجية الظنون طولاً، فلو تحقق العلم فلا تصل النوبة إلى الظن الخاص، ونفس الظنون الخاصة متفاوتة في مراتبها، فمع أن الشارع جعل الظن حجة في باب القبلة إلا أنه يقدم الظن الأقوى على الظن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الشق الأول من شقوق المقدمة الرابعة لدليل الانسداد، وهو الاحتياط التام أو الناقص</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0000131_2142443653"/>
      <w:bookmarkStart w:id="139" w:name="_Toc53"/>
      <w:bookmarkEnd w:id="138"/>
      <w:r>
        <w:rPr>
          <w:rtl w:val="true"/>
        </w:rPr>
        <w:t>المبحث الثاني</w:t>
      </w:r>
      <w:r>
        <w:rPr>
          <w:rtl w:val="true"/>
        </w:rPr>
        <w:t xml:space="preserve">: </w:t>
      </w:r>
      <w:r>
        <w:rPr>
          <w:rtl w:val="true"/>
        </w:rPr>
        <w:t>الرجوع إلى الأصل بغض النظر عن العلم الإجمالي</w:t>
      </w:r>
      <w:bookmarkEnd w:id="1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الشق الثاني من شقوق المقدمة الرابعة للانسداد،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ما يقتضيه كل أصل منفرداً في كل واقعة واقعة من الوقائع بدون لحاظ العلم الإجمالي، فلو كان للشيء حالة سابقة فمجراه الاستصحاب، كوجوب صلاة الجمعة، وإن لم يكن له حالة سابقة وكان الشك في التكليف فمجراهُ </w:t>
      </w:r>
      <w:bookmarkStart w:id="140" w:name="pg15601_166592"/>
    </w:p>
    <w:p>
      <w:pPr>
        <w:pStyle w:val="BookText"/>
        <w:rPr/>
      </w:pPr>
      <w:bookmarkEnd w:id="140"/>
      <w:r>
        <w:rPr>
          <w:rFonts w:ascii="Amiri" w:hAnsi="Amiri" w:eastAsia="Amiri" w:cs="Amiri"/>
          <w:color w:val="111111"/>
          <w:sz w:val="28"/>
          <w:sz w:val="28"/>
          <w:szCs w:val="28"/>
          <w:rtl w:val="true"/>
          <w:lang w:bidi="ar-SA"/>
        </w:rPr>
        <w:t>البراءة، كالشك في حرمة التتن، وإن كان الشك في المكلف به وأمكن الاحتياط فمجراهُ قاعدة الاشتغال، كالشك في وجوب القصر أو التمام، وإن لم يمكن الاحتياط فمجراهُ أصالة التخيير، كالشك في وجوب دفن الكافر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الرجوع إلى هذه الأصول أم لا؟</w:t>
      </w:r>
    </w:p>
    <w:p>
      <w:pPr>
        <w:pStyle w:val="BookText"/>
        <w:rPr/>
      </w:pPr>
      <w:r>
        <w:rPr>
          <w:rFonts w:ascii="Amiri" w:hAnsi="Amiri" w:eastAsia="Amiri" w:cs="Amiri"/>
          <w:color w:val="111111"/>
          <w:sz w:val="28"/>
          <w:sz w:val="28"/>
          <w:szCs w:val="28"/>
          <w:rtl w:val="true"/>
          <w:lang w:bidi="ar-SA"/>
        </w:rPr>
        <w:t>والأصول الجارية منقسمة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مفادها إثبات التكليف، كقاعدة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مفادها نفي التكليف، كالبراءة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0000133_2142443653"/>
      <w:bookmarkStart w:id="142" w:name="_Toc54"/>
      <w:bookmarkEnd w:id="141"/>
      <w:r>
        <w:rPr>
          <w:rtl w:val="true"/>
        </w:rPr>
        <w:t>جريان الأصول المثبتة للتكليف</w:t>
      </w:r>
      <w:bookmarkEnd w:id="142"/>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الأصول المثبتة للتكليف، وهي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المثبتة غير المحرزة التي لا تنظر إلى الواقع، بل تشخص الوظيفة العملية للمكلف، ولا محذور للرجوع إليها، لكون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العقل أو عموم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والمانع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شك في أن وظيفة المكلف القصر أو التمام، فمقتضى قاعدة الاشتغال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المثبتة المحرزة الناظرة إلى الواقع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نتصور فيها حالتين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إجمالاً بانتقاض الأصل في بعض أطراف العلم الإجمالي، كالشك في وجوب صلاة الجمعة، فيستصحب الوجوب، والشك </w:t>
      </w:r>
    </w:p>
    <w:p>
      <w:pPr>
        <w:pStyle w:val="BookText"/>
        <w:rPr/>
      </w:pPr>
      <w:r>
        <w:rPr>
          <w:rFonts w:ascii="Amiri" w:hAnsi="Amiri" w:eastAsia="Amiri" w:cs="Amiri"/>
          <w:color w:val="111111"/>
          <w:sz w:val="28"/>
          <w:sz w:val="28"/>
          <w:szCs w:val="28"/>
          <w:rtl w:val="true"/>
          <w:lang w:bidi="ar-SA"/>
        </w:rPr>
        <w:t>في بقاء نجاسة الماء المتغير إذا زال تغيره بتصفيق الرياح، فتستصحب النجاسة، والشك في جواز مقاربة الطامث بعد انقطاع الدم وقبل التطهر، فتستصحب حرمتها، والشك في ثبوت خيار الغبن بعد أول أزمنة العلم، فيستصحب بقاء الخيار، ففي مجموع هذه الشبهات الحكمية لو احتمل المجتهد أن جميع هذه الاستصحابات مطابقة للواقع، ولم يحصل العلم الإجمالي بانتقاض بعضها، فالظاهر جريانها لما تقدم في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بانتقاض الحالة السابقة في بعض موارد جريان هذه الأصول المحرزة، فهل يجري الاستصحاب مع العلم الإجمالي؟</w:t>
      </w:r>
    </w:p>
    <w:p>
      <w:pPr>
        <w:pStyle w:val="BookText"/>
        <w:rPr/>
      </w:pPr>
      <w:r>
        <w:rPr>
          <w:rFonts w:ascii="Amiri" w:hAnsi="Amiri" w:eastAsia="Amiri" w:cs="Amiri"/>
          <w:color w:val="111111"/>
          <w:sz w:val="28"/>
          <w:sz w:val="28"/>
          <w:szCs w:val="28"/>
          <w:rtl w:val="true"/>
          <w:lang w:bidi="ar-SA"/>
        </w:rPr>
        <w:t>في المقام مبنيان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صاحب الكفاية، ومبنى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مبنى الكفاية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جريان الأصول في أطراف العلم الإجمالي منحصر في لزوم المخالفة العملية، والمفروض في المقام عدمه؛ لفرض كونها مثبتة للتكليف، فلا تحصل المخالفة العملية لو صلى الجمعة واجتنب الطامث، واجتنب الماء المتغير، وإنما تحصل المخالفة العملية في إجراء الأصول النافية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مبنى الشيخ</w:t>
      </w:r>
      <w:r>
        <w:rPr>
          <w:rStyle w:val="FootnoteAnchor"/>
          <w:rtl w:val="true"/>
        </w:rPr>
        <w:footnoteReference w:id="316"/>
      </w:r>
      <w:r>
        <w:rPr>
          <w:rFonts w:ascii="Amiri" w:hAnsi="Amiri" w:eastAsia="Amiri" w:cs="Amiri"/>
          <w:color w:val="111111"/>
          <w:sz w:val="28"/>
          <w:sz w:val="28"/>
          <w:szCs w:val="28"/>
          <w:rtl w:val="true"/>
          <w:lang w:bidi="ar-SA"/>
        </w:rPr>
        <w:t>والمحقق النائيني</w:t>
      </w:r>
      <w:r>
        <w:rPr>
          <w:rStyle w:val="FootnoteAnchor"/>
          <w:rtl w:val="true"/>
        </w:rPr>
        <w:footnoteReference w:id="317"/>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المانع في المخالفة العملية، بل نفس المخالفة العلمية أيضاً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يمكن جريان الأصل المحرز مع حصول العلم الإجمالي بانتقاض بعض موارده؛ </w:t>
      </w:r>
    </w:p>
    <w:p>
      <w:pPr>
        <w:pStyle w:val="BookText"/>
        <w:rPr/>
      </w:pPr>
      <w:r>
        <w:rPr>
          <w:rFonts w:ascii="Amiri" w:hAnsi="Amiri" w:eastAsia="Amiri" w:cs="Amiri"/>
          <w:color w:val="111111"/>
          <w:sz w:val="28"/>
          <w:sz w:val="28"/>
          <w:szCs w:val="28"/>
          <w:rtl w:val="true"/>
          <w:lang w:bidi="ar-SA"/>
        </w:rPr>
        <w:t>لترتب محذور المناقضة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جميعها، لتحقق 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 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لوجوب النقض بيقين آخر، وهو مطلق يشمل اليقين التفصيلي والإجمالي، والمفروض تحقق اليقين الإجمالي بانتقاض الاستصحاب في بعض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المناقضة بين الصدر والذيل، فإن مقتضى الصدر حرمة النقض في تمام الأطراف، ومقتضى الذيل وجوب النقض في بعض الأطراف، والموجبة الجزئية نقيض السالبة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طرف على مبنى الشيخ والمحقق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الكفاية كلام غريب حيث يرى جريان الاستصحاب في كل الأطراف مع تحقق العلم الإجمالي بانتقاض بعضها حتى على مبنى الشيخ والمحقق النائيني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w:t>
      </w:r>
      <w:r>
        <w:rPr>
          <w:rStyle w:val="FootnoteAnchor"/>
          <w:rtl w:val="true"/>
        </w:rPr>
        <w:footnoteReference w:id="318"/>
      </w:r>
      <w:r>
        <w:rPr>
          <w:rFonts w:ascii="Amiri" w:hAnsi="Amiri" w:eastAsia="Amiri" w:cs="Amiri"/>
          <w:color w:val="111111"/>
          <w:sz w:val="28"/>
          <w:sz w:val="28"/>
          <w:szCs w:val="28"/>
          <w:rtl w:val="true"/>
          <w:lang w:bidi="ar-SA"/>
        </w:rPr>
        <w:t>إنما يلزم فيما إذا كان الشك في أطرافه فعلياً، وأما إذا لم يكن كذلك، بل لم يكن الشك فعلاً إلاّ في بعض أطرافه، وكان بعض أطرافه الأخر غير ملتفت إليه فعلاً أصلاً، كما هو حال المجتهد في مقام استنباط الأحكام، كما لا يخفى، فلا يكاد يلزم ذلك</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تدرجية استنباط الأحكام مانعية من فعلية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محذور تناقض الصدر والذيل موقوف على جريان الاستصحاب في جميع الأطراف، لكن لو جرى في بعض دون بعض، فلا يتحقق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الاستصحاب في تمام أطراف العلم الإجمالي موقوف على تحقق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اليقين السابق والشك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موضوع الاستصحاب متوقف على فعلية اليقين والشك، لما تقرر في محله من أن الألفاظ ظاهرة في الفعلية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فعلية اليقين والشك متوقفة على الالتفات إلى جميع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مفقود في المجتهد في مقام استنباطه للأحكام الشرعية، لأن استنباطه تدرجي، وما هو محل استنباطه فعلاً الماء المتغير مثلاً، فعنده يقين فعلي بسبق النجاسة وشك فعلي ببقائها، وحيث إن الموضوع محقق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بقية الشبهات الحكمية التي يتدرج المجتهد في استنباطها فلا شك فعلي له، فلم يتحقق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المحمول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إجمالي بالانتقاض في بعض الأطراف، والمحذور المذكور لا يجري في المقام، لكنه محل تأمل من جهات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الغفلة عن بعض الأطراف مناف مع المقدمة الأولى التي ذكرها في مقدمات الانسداد، وهي وجود العلم الإجمالي بأحكام فعلية، فالعلم يتنافى مع الغفلة، لكنه غير وارد، ففي المقدمة الأولى فرض تحقق العلم الإجمالي بالأحكام، وفي المقام فرض عدم فعلية الشك اللاحق فلا تناقض، فالمجتهد يعلم بوجود أحكام، ولكن لا شك لاحق فعلاً، ففي مقام استنباط حكم الماء المتغير شك لاحق في خصوصه، أما في بقاء وجوب الجمعة لا شك فعلي، وإنما هو شك 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تحقق العلم الإجمالي بالانتقاض عند الاستنباط، حيث يمكن للفقيه أن يجعل مجموع الشبهات الحكمية أمامه، فيشك فعلاً في أن الأحكام باقية في جميع هذه الموارد أم لا؟ فالعلم الإجمالي بالانتقاض مانع من جريان الأصل في أي واحد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بالانتقاض حاصل بعد الفراغ من الاستنباط، حيث يعلم إجمالاً بأن بعض هذه الاستصحابات باطلة، فكيف يعطي رسالته للمقلد؟ وكيف هو يعمل به؟ ولأجل ذلك لم يقبل مشهور الأصوليين كلام صاحب الكفاية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سلك في النهاية</w:t>
      </w:r>
      <w:r>
        <w:rPr>
          <w:rStyle w:val="FootnoteAnchor"/>
          <w:rtl w:val="true"/>
        </w:rPr>
        <w:footnoteReference w:id="321"/>
      </w:r>
      <w:r>
        <w:rPr>
          <w:rFonts w:ascii="Amiri" w:hAnsi="Amiri" w:eastAsia="Amiri" w:cs="Amiri"/>
          <w:color w:val="111111"/>
          <w:sz w:val="28"/>
          <w:sz w:val="28"/>
          <w:szCs w:val="28"/>
          <w:rtl w:val="true"/>
          <w:lang w:bidi="ar-SA"/>
        </w:rPr>
        <w:t>مسلكاً آخر لإثبات جريان استصحاب المثبت في تمام أطراف العلم الإجمالي، ولو مع العلم الإجمالي بالانتقاض في بعض الأطراف، ولو على مبنى الشيخ الأعظم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تدريجية فعلية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يتم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المجتهد ويقينه وشكه بالأحكام المستنبطة من قبيل العلم بالقضايا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المحمولات في القضايا الحقيقية منوطة بفعلية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واضحتان ولا تحتاجان إلى توضيح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أثر لعلم المجتهد الإجمالي بالأحكام المسوقة على نحو القضايا الحقيقية، إلا إذا تمت فعلية المحمولات، أما إذا لم تكن المحمولات فعلية؛ لعدم فعلية الموضوعات، فلا أثر للعلم بهذه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بوجوب الحج على المستطيع، فلا أثر له إلا أن يصبح الموضوع فعلياً، فيصبح الحكم فعلياً، ومع قطع النظر عن فعلية الموضوع لا أثر للعلم بالقضية الحقيقية، وهكذا لا أثر ليقين المجتهد بحكم سابقاً وشكه في بقائه؛ لأن بقاء الحكم إنما يكون له أثر إذا كان الموضوع فعلياً، أما لو لم يكن فعلياً فلا أثر لليقين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عليه نتيجتان غريبتان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للمجتهد بأحكام فعلية على الإجمال، لأن ابتلاءه بالوقائع تدريجي، وعند تحقق موضوع واقعة يتحقق الحكم، فلو كانت مسألة صلاة الجمعة محل ابتلاء المجتهد فقط، فهو يعلم بهذا التكليف فحسب، أما سائر الوقائع المستقبلية فلا تكليف فيها؛ لأن التكليف يعني المحمول، ولأنه لم يبتل بالواقعة فلم يتحقق الموضوع، فلا يمكن القول بتحقق العلم الإجمالي </w:t>
      </w:r>
    </w:p>
    <w:p>
      <w:pPr>
        <w:pStyle w:val="BookText"/>
        <w:rPr/>
      </w:pPr>
      <w:r>
        <w:rPr>
          <w:rFonts w:ascii="Amiri" w:hAnsi="Amiri" w:eastAsia="Amiri" w:cs="Amiri"/>
          <w:color w:val="111111"/>
          <w:sz w:val="28"/>
          <w:sz w:val="28"/>
          <w:szCs w:val="28"/>
          <w:rtl w:val="true"/>
          <w:lang w:bidi="ar-SA"/>
        </w:rPr>
        <w:t>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إلا في الواقعة التي ابتلي بها، وأما في الوقائع التي لم يبتل بها، فلا موضوع حتى يكون هنالك تعبد 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المحرزة المثبتة للتكليف لا مانع من جريانها ولو على مبنى الشيخ الأعظم</w:t>
      </w:r>
      <w:r>
        <w:rPr>
          <w:rStyle w:val="FootnoteAnchor"/>
          <w:rtl w:val="true"/>
        </w:rPr>
        <w:footnoteReference w:id="323"/>
      </w:r>
      <w:r>
        <w:rPr>
          <w:rFonts w:ascii="Amiri" w:hAnsi="Amiri" w:eastAsia="Amiri" w:cs="Amiri"/>
          <w:color w:val="111111"/>
          <w:sz w:val="28"/>
          <w:sz w:val="28"/>
          <w:szCs w:val="28"/>
          <w:rtl w:val="true"/>
          <w:lang w:bidi="ar-SA"/>
        </w:rPr>
        <w:t>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إجمالي بالتكاليف، فإن المانع من جريان الأصول في أطراف العلم الإجمالي هو العلم الإجمالي بالتكاليف الواقعية وهو منتف، فيستصحب المجتهد وجوب صلاة الجمعة، ولا يمنعه العلم الإجمالي بالانتقاض؛ لعدم تحقق العلم الإجمالي بالتكاليف؛ لان الوقائع البعدية متدرجة الوجود، وكذا أحكامها، فلا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جريان الأصل في أطراف العلم الإجمالي تمانع الأصلين أو الأصول، وليس في المقام إلا أصل واحد، وهو استصحاب وجوب صلاة الجمعة التي ابتلى بها المجتهد، ولا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الوقائع اللاحقة؛ لعدم ابتلاء المجتهد بها، فلم يتحقق موضوعها، فلا تمانع حتى يتساقطان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فتدرجية فعلية الأحكام المستنبطة سبب ارتفاع المانع عن جريان الأصل العملي في خصوص الواقعة المبتلى بها؛ لعدم العلم الإجمالي بالتكليف أولاً، ولعدم التمانع بين الأصلين الجاريين في الوقائع التدريجية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نظيره من إمكان فرض فعلية ابتلائه بتمام الوقائع التي لها حكم، فالابتلاء تارة عملي خارجي، وتارة فتوائي، فلو استنبط المجتهد جميع الأحكام وأراد عرض رسالته العملية والإفتاء بها، فكيف يضمنها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مبرئة للذمة، مع العلم الإجمالي بأن بعض الأحكام التي استند فيها إلى الأصول المحرزة المثبتة 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بنفسه في النهاية</w:t>
      </w:r>
      <w:r>
        <w:rPr>
          <w:rStyle w:val="FootnoteAnchor"/>
          <w:rtl w:val="true"/>
        </w:rPr>
        <w:footnoteReference w:id="32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تدريجية الفعلية لا تمنع عن ترتيب الأثر فعلاً، وتحقيقه موكول إلى مباحث الاشتغال، أما على نحو التوضيح بالمثال، فهو ما ذكره الشيخ الأعظم</w:t>
      </w:r>
      <w:r>
        <w:rPr>
          <w:rStyle w:val="FootnoteAnchor"/>
          <w:rtl w:val="true"/>
        </w:rPr>
        <w:footnoteReference w:id="325"/>
      </w:r>
      <w:r>
        <w:rPr>
          <w:rFonts w:ascii="Amiri" w:hAnsi="Amiri" w:eastAsia="Amiri" w:cs="Amiri"/>
          <w:color w:val="111111"/>
          <w:sz w:val="28"/>
          <w:sz w:val="28"/>
          <w:szCs w:val="28"/>
          <w:rtl w:val="true"/>
          <w:lang w:bidi="ar-SA"/>
        </w:rPr>
        <w:t>ضمن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أنه يبتلى بمعاملة ربوية في معاملاته خلال هذا الشهر، فإن هذا العلم الإجمالي منجز للتكليف، ولا يمكنه إجراء أصل البراءة في المعاملة التي ابتلي به الآن، وإن لم تكن الوقائع القادمة محل ابتلائه فعلاً، ومثاله العرفي لو علم بوجود إناء سم في الأواني التي ستأتيه خلال الشهر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المستمرة الدم، حيث يعلم الزوج أنها خلال الشهر تكون طامثاً، فمع أن الأيام القادمة ليست موضع ابتلائه فعلاً إلاّ أنه يجب عليه الاجتناب، ولا يحق له استصحاب الطهر في اليوم الأول من الشهر، لكن يشترط في هذه الكبرى أن تكون أطراف العلم الإجمالي ملحوظة أولا، إما على نحو التفصيل، أو الإجمال، إما على نحو الجمع، أو الفرق إما على نحو </w:t>
      </w:r>
      <w:bookmarkStart w:id="143" w:name="pg15601_166600"/>
    </w:p>
    <w:p>
      <w:pPr>
        <w:pStyle w:val="BookText"/>
        <w:rPr/>
      </w:pPr>
      <w:bookmarkEnd w:id="143"/>
      <w:r>
        <w:rPr>
          <w:rFonts w:ascii="Amiri" w:hAnsi="Amiri" w:eastAsia="Amiri" w:cs="Amiri"/>
          <w:color w:val="111111"/>
          <w:sz w:val="28"/>
          <w:sz w:val="28"/>
          <w:szCs w:val="28"/>
          <w:rtl w:val="true"/>
          <w:lang w:bidi="ar-SA"/>
        </w:rPr>
        <w:t>الكلية، أو الجزئية، أما لو لم تلاحظ أطراف العلم الإجمالي، بأن لم يلتفت في اليوم الأول إلى استمرار دمها، فمع عدم الأمارة يمكن إجراء الاستصحاب في اليومين، منتهى الأمر أنه سيعلم في اليوم الثاني أنه إما ارتكب الحرام في اليوم الأول أو يرتكب الحرام في اليوم الثاني ولا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علم بنجاسة ماء شربه أمس أو ماء يشربه الآن، فلو لم يكن للطرف الأول أثراً فعلاً، فلا أثر لهذا العلم الإجمالي، فإن العلم بارتكاب الحرام لا أثر له وليس بمحرم، والشرط حاصل في المقام؛ لأن المجتهد يعلم بأنه في الوقائع المستقبلة المتدرجة يخالف بعضها الواقع، فلا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الاستصحاب ولو في خصوص الواقعة الفعلية المبتلى بها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المؤاخذة على مبنى الكفاية</w:t>
      </w:r>
      <w:r>
        <w:rPr>
          <w:rStyle w:val="FootnoteAnchor"/>
          <w:rtl w:val="true"/>
        </w:rPr>
        <w:footnoteReference w:id="326"/>
      </w:r>
      <w:r>
        <w:rPr>
          <w:rFonts w:ascii="Amiri" w:hAnsi="Amiri" w:eastAsia="Amiri" w:cs="Amiri"/>
          <w:color w:val="111111"/>
          <w:sz w:val="28"/>
          <w:sz w:val="28"/>
          <w:szCs w:val="28"/>
          <w:rtl w:val="true"/>
          <w:lang w:bidi="ar-SA"/>
        </w:rPr>
        <w:t>في الشق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الأصول المثبتة للتكليف</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0000135_2142443653"/>
      <w:bookmarkStart w:id="145" w:name="_Toc55"/>
      <w:bookmarkEnd w:id="144"/>
      <w:r>
        <w:rPr>
          <w:rtl w:val="true"/>
        </w:rPr>
        <w:t>جريان الأصول النافية للتكليف</w:t>
      </w:r>
      <w:bookmarkEnd w:id="14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الأصول النافية للتكليف،كأصالة البراءة؟</w:t>
      </w:r>
    </w:p>
    <w:p>
      <w:pPr>
        <w:pStyle w:val="BookText"/>
        <w:rPr/>
      </w:pPr>
      <w:r>
        <w:rPr>
          <w:rFonts w:ascii="Amiri" w:hAnsi="Amiri" w:eastAsia="Amiri" w:cs="Amiri"/>
          <w:color w:val="111111"/>
          <w:sz w:val="28"/>
          <w:sz w:val="28"/>
          <w:szCs w:val="28"/>
          <w:rtl w:val="true"/>
          <w:lang w:bidi="ar-SA"/>
        </w:rPr>
        <w:t>ولصاحب الكفاية</w:t>
      </w:r>
      <w:r>
        <w:rPr>
          <w:rStyle w:val="FootnoteAnchor"/>
          <w:rtl w:val="true"/>
        </w:rPr>
        <w:footnoteReference w:id="327"/>
      </w:r>
      <w:r>
        <w:rPr>
          <w:rFonts w:ascii="Amiri" w:hAnsi="Amiri" w:eastAsia="Amiri" w:cs="Amiri"/>
          <w:color w:val="111111"/>
          <w:sz w:val="28"/>
          <w:sz w:val="28"/>
          <w:szCs w:val="28"/>
          <w:rtl w:val="true"/>
          <w:lang w:bidi="ar-SA"/>
        </w:rPr>
        <w:t>كلام لإثبات جريان الأصول النافية، يمكن تحليله إلى ثلاثة مقاطع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المقدار المعلوم بالعلم التفصيلي، وما نهض عليه العلمي، وموارد الأصول المثبتة بمقدار المعلوم بالإجمال، فإنه ينحل العلم </w:t>
      </w:r>
    </w:p>
    <w:p>
      <w:pPr>
        <w:pStyle w:val="BookText"/>
        <w:rPr/>
      </w:pPr>
      <w:r>
        <w:rPr>
          <w:rFonts w:ascii="Amiri" w:hAnsi="Amiri" w:eastAsia="Amiri" w:cs="Amiri"/>
          <w:color w:val="111111"/>
          <w:sz w:val="28"/>
          <w:sz w:val="28"/>
          <w:szCs w:val="28"/>
          <w:rtl w:val="true"/>
          <w:lang w:bidi="ar-SA"/>
        </w:rPr>
        <w:t>الإجمالي بالتكليف، ومعه لا مانع من جريان الأصول النافية، لأن المانع منه إما المخالفة العلمية أو العملية، ومع الانحلال لا مخالفة،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بوجود ألف تكليف، وما ثبت بالعلم أو العلمي أو الأصول المثبتة انتهى إلى هذا العدد، فلا يبقى علم بالتكليف في غيره، فلو شك في حلية أكل العظم تجري أصالة البراءة، ولا مانع عقلاً ونقلاً عن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انحلال العلم الإجمالي، وعلم بوجود تكاليف خارج دائرة موارد الأصول المثبتة بضميمة العلم والعلمي، فتجري الأصول أيضاً، إذا كانت موارد الأصول المثبتة بمقدار لم يكن معه مجال لاستكشاف إيجاب الاحتياط، وإن لم يكن بمقدار المعلوم بالإجمال، فإنه وإن لم ينحل العلم الإجمالي، إلا أنه لا مانع من جريان الأصول النافية بهذا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بمقدار لم يكن معه مجال لاستكشاف 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كلامه مبنى على مبناه من عدم التوسط في التنجيز؛ لأن المفروض أن الاحتياط التام حرجي، أو مخل بالنظام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الاضطرار إلى الاقتحام في بعض الأطراف يسقط كل العلم الإجمالي، وإلا فمع وجود التكاليف المعلومة بالإجمال كيف يجيز إجراء الأصول النافية؟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الانحلال، وعلمنا اهتمام الشارع بالموارد المتبقية، لمحذور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المبنى عدم التوسط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خصوص المقام يتوسط في التنجيز، فتكون موارد الأصول النافية </w:t>
      </w:r>
    </w:p>
    <w:p>
      <w:pPr>
        <w:pStyle w:val="BookText"/>
        <w:rPr/>
      </w:pPr>
      <w:r>
        <w:rPr>
          <w:rFonts w:ascii="Amiri" w:hAnsi="Amiri" w:eastAsia="Amiri" w:cs="Amiri"/>
          <w:color w:val="111111"/>
          <w:sz w:val="28"/>
          <w:sz w:val="28"/>
          <w:szCs w:val="28"/>
          <w:rtl w:val="true"/>
          <w:lang w:bidi="ar-SA"/>
        </w:rPr>
        <w:t>خاصة محل الاحتياط</w:t>
      </w:r>
      <w:r>
        <w:rPr>
          <w:rStyle w:val="FootnoteAnchor"/>
          <w:rtl w:val="true"/>
        </w:rPr>
        <w:footnoteReference w:id="329"/>
      </w:r>
      <w:r>
        <w:rPr>
          <w:rFonts w:ascii="Amiri" w:hAnsi="Amiri" w:eastAsia="Amiri" w:cs="Amiri"/>
          <w:color w:val="111111"/>
          <w:sz w:val="28"/>
          <w:sz w:val="28"/>
          <w:szCs w:val="28"/>
          <w:rtl w:val="true"/>
          <w:lang w:bidi="ar-SA"/>
        </w:rPr>
        <w:t>، ويرفع اليد عن وجوب الاحتياط فيها بمقدار رفع الاختلال</w:t>
      </w:r>
      <w:r>
        <w:rPr>
          <w:rStyle w:val="FootnoteAnchor"/>
          <w:rtl w:val="true"/>
        </w:rPr>
        <w:footnoteReference w:id="330"/>
      </w:r>
      <w:r>
        <w:rPr>
          <w:rFonts w:ascii="IRNazanin" w:hAnsi="IRNazanin" w:eastAsia="IRNazanin"/>
          <w:color w:val="111111"/>
          <w:sz w:val="28"/>
          <w:sz w:val="28"/>
          <w:szCs w:val="28"/>
          <w:rtl w:val="true"/>
          <w:lang w:bidi="fa-IR"/>
        </w:rPr>
        <w:t>أو العسر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الانحلال غير واقع؛ لأن موارد الأصول المثبتة في الشبهات الحكمية في العبادات والمعاملات</w:t>
      </w:r>
      <w:r>
        <w:rPr>
          <w:rStyle w:val="FootnoteAnchor"/>
          <w:rtl w:val="true"/>
        </w:rPr>
        <w:footnoteReference w:id="332"/>
      </w:r>
      <w:r>
        <w:rPr>
          <w:rFonts w:ascii="Amiri" w:hAnsi="Amiri" w:eastAsia="Amiri" w:cs="Amiri"/>
          <w:color w:val="111111"/>
          <w:sz w:val="28"/>
          <w:sz w:val="28"/>
          <w:szCs w:val="28"/>
          <w:rtl w:val="true"/>
          <w:lang w:bidi="ar-SA"/>
        </w:rPr>
        <w:t>نادرة جداً حتى تكون مجرى للأصول المثبتة، فضميمتها إلى العلم والعلمي لا توجب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مبنى عدم التوسط في التنجيز، أما على مبنى التوسط في التنجيز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فهوترجيح بلا مرجح، فإن مبنى الشيخ الأعظم</w:t>
      </w:r>
      <w:r>
        <w:rPr>
          <w:rStyle w:val="FootnoteAnchor"/>
          <w:rtl w:val="true"/>
        </w:rPr>
        <w:footnoteReference w:id="333"/>
      </w:r>
      <w:r>
        <w:rPr>
          <w:rFonts w:ascii="Amiri" w:hAnsi="Amiri" w:eastAsia="Amiri" w:cs="Amiri"/>
          <w:color w:val="111111"/>
          <w:sz w:val="28"/>
          <w:sz w:val="28"/>
          <w:szCs w:val="28"/>
          <w:rtl w:val="true"/>
          <w:lang w:bidi="ar-SA"/>
        </w:rPr>
        <w:t>عدم جريان الأصول المثبتة والنافية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ولتحقق العلم الإجمالي بالتكليف يجب الاحتياط في جميع موارد الأصول إلا بمقدار رفع محذور الاختلال، فرفع اليد عن وجوب الاحتياط لا يختص بالدائرة النافية، بل يشمل الدائرة المثبتة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 صاحب الكفاية</w:t>
      </w:r>
      <w:r>
        <w:rPr>
          <w:rStyle w:val="FootnoteAnchor"/>
          <w:rtl w:val="true"/>
        </w:rPr>
        <w:footnoteReference w:id="334"/>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المثبتة تثبت التكليف في الدائرة المثبتة، والاحتياط يثبت التكليف في الدائرة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العملية واحدة وإن اختلف الطريق، فالشيخ أثبت التكليف بالاحتياط في الدائرتين، وصاحب الكفاية أثبتهُ في الدائرة المثبتة بالأصول المثبتة، وفي الدائرة النافية بأدلة وجوب الاحتياط، ففي إثبات التكليف لا فرق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صاحب الكفاية يرى رفع اليد عن الاحتياط في الدائرة النافية بمقدار رفع الاختلال والعسر،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خصوص موارد أصول النافية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مظنونات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للاحتياط فعلاً، ويرفع اليد عنه فيها كلاً أو بعضاً، بمقدار رفع الاختلال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نسبة دليل رفع ما يوجب الإخلال إلى دائرة المثبت والنافي على حد واحد، فكيف يقال برفع اليد عن خصوص وجوب الاحتياط في الدائرة المنفية بمقدار الإخلال؟ فهذا ترجيح بلا مرجح، بل نرفع اليد عن الاشتغال في الدائرة المثبتة، فلو كان اندفاع العسر متحقق برفع اليد عن بعض التكاليف، إما في دائرة المثبت أو النافي، فلم الاختصار على الثاني فحسب؟ لم يظهر له وجه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كلام الشيخ فهو عام</w:t>
      </w:r>
      <w:r>
        <w:rPr>
          <w:rStyle w:val="FootnoteAnchor"/>
          <w:rtl w:val="true"/>
        </w:rPr>
        <w:footnoteReference w:id="336"/>
      </w:r>
      <w:r>
        <w:rPr>
          <w:rFonts w:ascii="Amiri" w:hAnsi="Amiri" w:eastAsia="Amiri" w:cs="Amiri"/>
          <w:color w:val="111111"/>
          <w:sz w:val="28"/>
          <w:sz w:val="28"/>
          <w:szCs w:val="28"/>
          <w:rtl w:val="true"/>
          <w:lang w:bidi="ar-SA"/>
        </w:rPr>
        <w:t xml:space="preserve">، حيث يرفع اليد في جميع محتملات التكليف </w:t>
      </w:r>
      <w:bookmarkStart w:id="146" w:name="pg15601_166604"/>
    </w:p>
    <w:p>
      <w:pPr>
        <w:pStyle w:val="BookText"/>
        <w:rPr/>
      </w:pPr>
      <w:bookmarkEnd w:id="146"/>
      <w:r>
        <w:rPr>
          <w:rFonts w:ascii="IRNazanin" w:hAnsi="IRNazanin" w:eastAsia="IRNazanin"/>
          <w:color w:val="111111"/>
          <w:sz w:val="28"/>
          <w:sz w:val="28"/>
          <w:szCs w:val="28"/>
          <w:rtl w:val="true"/>
          <w:lang w:bidi="fa-IR"/>
        </w:rPr>
        <w:t>بمقدار الإخلال أو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محتملات التكليف يرفع اليد بمقدار رفع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في المقام ثلاثة مبانٍ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الشيخ،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الأصول النافية والمثبتة؛ وذلك للعلم الإجمالي في الأول، وللإخلال والحرج والضرر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جريانهما معاً، إلا في الفرض الثالث في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في بادئ النظر من عدم المانع من جريان الأصول المثبتة، ولا يلزم منه الحرج لقلة مواردها، وأما الأصول النافية فلا تجري؛ لمخالفتها للعلم الإجمالي بالتكليف، وموارد الأصول المثبتة قليلة بحيث لا يمكنها أن تحل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الطريق الثاني في ظرف الانسداد</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0000137_2142443653"/>
      <w:bookmarkStart w:id="148" w:name="_Toc56"/>
      <w:bookmarkEnd w:id="147"/>
      <w:r>
        <w:rPr>
          <w:rtl w:val="true"/>
        </w:rPr>
        <w:t>المبحث الثالث</w:t>
      </w:r>
      <w:r>
        <w:rPr>
          <w:rtl w:val="true"/>
        </w:rPr>
        <w:t xml:space="preserve">: </w:t>
      </w:r>
      <w:r>
        <w:rPr>
          <w:rtl w:val="true"/>
        </w:rPr>
        <w:t>الرجوع إلى العالم بالحكم</w:t>
      </w:r>
      <w:bookmarkEnd w:id="148"/>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وفي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فللرجوع إلى العالم بالحكم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الفاقد للملكة إلى الواجد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الواجد الذي لم يستنبط بالفعل إلى الواجد المستنبط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الواجد المستنبط إلى واجد مستنبط مع تخطئته له في استنباطه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في المقام إنما هو في المورد الثالث،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صاحب القوانين المعتقد بالانسداد</w:t>
      </w:r>
      <w:r>
        <w:rPr>
          <w:rStyle w:val="FootnoteAnchor"/>
          <w:rtl w:val="true"/>
        </w:rPr>
        <w:footnoteReference w:id="338"/>
      </w:r>
      <w:r>
        <w:rPr>
          <w:rFonts w:ascii="Amiri" w:hAnsi="Amiri" w:eastAsia="Amiri" w:cs="Amiri"/>
          <w:color w:val="111111"/>
          <w:sz w:val="28"/>
          <w:sz w:val="28"/>
          <w:szCs w:val="28"/>
          <w:rtl w:val="true"/>
          <w:lang w:bidi="ar-SA"/>
        </w:rPr>
        <w:t>إلى صاحب الرياض المعتقد بالانفتاح مع تخطئته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الأعظم</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لعدم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وقد ذكره على نحو البت بلا تردد أو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الرجوع إلى العالم عن الشمول لهذا المورد؛ لأن أدلة الرجوع إلى العالم في مورد يختفي على الراجع منشأ اعتقاد المرجع</w:t>
      </w:r>
      <w:r>
        <w:rPr>
          <w:rStyle w:val="FootnoteAnchor"/>
          <w:rtl w:val="true"/>
        </w:rPr>
        <w:footnoteReference w:id="340"/>
      </w:r>
      <w:r>
        <w:rPr>
          <w:rFonts w:ascii="Amiri" w:hAnsi="Amiri" w:eastAsia="Amiri" w:cs="Amiri"/>
          <w:color w:val="111111"/>
          <w:sz w:val="28"/>
          <w:sz w:val="28"/>
          <w:szCs w:val="28"/>
          <w:rtl w:val="true"/>
          <w:lang w:bidi="ar-SA"/>
        </w:rPr>
        <w:t>، وهكذا في باب الرجوع إلى الشاهد، فإن أدلة حجية الشهادة تتكفل حجية الشهادة التي تخفى على المشهود عنده منشؤها، وأما لو عرف منشأ الشهادة، وكان المشهود عنده يُخطئ الشاهد في المنشأ، فإن أدلة حجية الشهادة قاصرة عن الشمول لهذا المورد، فكيف يكلف بالرجوع إليه ولم يحكم بالعكس؟ هذا ترجيح بلا مرجح، ولذا أجمعوا على أن المرجع البراءة لو لم يصل المجتهد إلى دليل، لا إلى مجتهد آخر يعتقد بقيام الدليل على الحكم، ولا يفرق في ذلك بين الاعتقاد المضاد أو عدم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بالتفصيل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المجتهد الانفتاحي قد يكون بعيداً عن عهد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التخطئة وارد في حقه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المجتهد الانفتاحي قريب العهد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9" w:name="pg15601_166606"/>
    </w:p>
    <w:p>
      <w:pPr>
        <w:pStyle w:val="BookText"/>
        <w:rPr/>
      </w:pPr>
      <w:bookmarkEnd w:id="149"/>
      <w:r>
        <w:rPr>
          <w:rFonts w:ascii="Amiri" w:hAnsi="Amiri" w:eastAsia="Amiri" w:cs="Amiri"/>
          <w:color w:val="111111"/>
          <w:sz w:val="28"/>
          <w:sz w:val="28"/>
          <w:szCs w:val="28"/>
          <w:rtl w:val="true"/>
          <w:lang w:bidi="ar-SA"/>
        </w:rPr>
        <w:t>والمجتهد الانسدادي يعتقد بانفتاح باب العلم أو العلمي في ذلك العهد، أو يحتمل انفتاحه ففي هذه الصورة فإنّ دليل التخطئة والتغليظ الذي ذكره الشيخ غير وارد؛ لإمكان كون فتاواه في ظرف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محذوران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لواجد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مما ادعي الإجماع على عدم جوازه،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لبي، ولا يعلم شموله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كمن لا يعرف الطريق، فهل هنالك محذور لرجوعه إلى من انفتح عليه باب العلم أو العلمي؟ ألا يكون أولى من العمل بالظن المطلق؟</w:t>
      </w:r>
    </w:p>
    <w:p>
      <w:pPr>
        <w:pStyle w:val="BookText"/>
        <w:rPr/>
      </w:pPr>
      <w:r>
        <w:rPr>
          <w:rFonts w:ascii="Amiri" w:hAnsi="Amiri" w:eastAsia="Amiri" w:cs="Amiri"/>
          <w:color w:val="111111"/>
          <w:sz w:val="28"/>
          <w:sz w:val="28"/>
          <w:szCs w:val="28"/>
          <w:rtl w:val="true"/>
          <w:lang w:bidi="ar-SA"/>
        </w:rPr>
        <w:t>لكن الظاهر التسالم بينهم على أنه لا يحق للمجتهد المستنبط تقليد غيره مطلقاً، ولذا لم ينقل عن أحد من الفقهاء أنه رجع إلى غيره في المسائل التي استنبطها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0000139_2142443653"/>
      <w:bookmarkStart w:id="151" w:name="_Toc57"/>
      <w:bookmarkEnd w:id="150"/>
      <w:r>
        <w:rPr>
          <w:rtl w:val="true"/>
        </w:rPr>
        <w:t>المبحث الرابع</w:t>
      </w:r>
      <w:r>
        <w:rPr>
          <w:rtl w:val="true"/>
        </w:rPr>
        <w:t xml:space="preserve">: </w:t>
      </w:r>
      <w:r>
        <w:rPr>
          <w:rtl w:val="true"/>
        </w:rPr>
        <w:t>القرعة</w:t>
      </w:r>
      <w:bookmarkEnd w:id="151"/>
    </w:p>
    <w:p>
      <w:pPr>
        <w:pStyle w:val="BookText"/>
        <w:rPr/>
      </w:pPr>
      <w:r>
        <w:rPr>
          <w:rFonts w:ascii="Amiri" w:hAnsi="Amiri" w:eastAsia="Amiri" w:cs="Amiri"/>
          <w:color w:val="111111"/>
          <w:sz w:val="28"/>
          <w:sz w:val="28"/>
          <w:szCs w:val="28"/>
          <w:rtl w:val="true"/>
          <w:lang w:bidi="ar-SA"/>
        </w:rPr>
        <w:t>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لوحظت القرعة في حد نفسها وإن لوحظت بالإضافة إلى دليلها، فلا يخفى أن الدليل إنما دل على جريانها في موارد خاصة ليس فيها طريق إلى الوصول إلى الواقع، فلا وجه للتعدي منها إلى سائر الموارد، كما لا يمكن تنقيح المناط</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تأمل؛ لوجود بعض الأدلة العامة في باب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والعبرة بعموم الجواب لا بخصوص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الصدوق إلى محمد بن حكيم صحيح، وإنما الكلام في محمد بن حكيم، حيث لم يرد في حقه توثيق، إلا رواية معتبرة ربما يستفاد منها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رجال الكشي بسند معتبر عن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محمد بن حكيم أن يجالس أهل المدينة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يكلمهم ويخاصمهم حتى كلمهم في صاحب القبر، فكان إذا انصرف إليه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وما قالوا لك؟ ويرضى بذلك منه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كونه وجهاً للشيعة في قبال الآخرين يدل على التوثيق، أو إنه اعتماد في هذه الجهة فحسب؟ لم يتضح لنا في بادئ النظر، بل فيه نوع من الغموض، فلوكلف مرجع شخصاً للمناظرة مع أعداء الحق فهل يدل على وثاقته؟</w:t>
      </w:r>
    </w:p>
    <w:p>
      <w:pPr>
        <w:pStyle w:val="BookText"/>
        <w:rPr/>
      </w:pPr>
      <w:r>
        <w:rPr>
          <w:rFonts w:ascii="Amiri" w:hAnsi="Amiri" w:eastAsia="Amiri" w:cs="Amiri"/>
          <w:color w:val="111111"/>
          <w:sz w:val="28"/>
          <w:sz w:val="28"/>
          <w:szCs w:val="28"/>
          <w:rtl w:val="true"/>
          <w:lang w:bidi="ar-SA"/>
        </w:rPr>
        <w:t>نعم، لو استفيد منها الوثاقة المطلقة تكون الرواية صحيحة، ودالة على حجية القرعة بنحو مطلق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سيابة وإبراهيم بن عمر جميعاً،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مملوك أملكه فهو حر، فورث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w:t>
      </w:r>
    </w:p>
    <w:p>
      <w:pPr>
        <w:pStyle w:val="BookText"/>
        <w:rPr/>
      </w:pPr>
      <w:r>
        <w:rPr>
          <w:rFonts w:ascii="Amiri" w:hAnsi="Amiri" w:eastAsia="Amiri" w:cs="Amiri"/>
          <w:color w:val="111111"/>
          <w:sz w:val="28"/>
          <w:sz w:val="28"/>
          <w:szCs w:val="28"/>
          <w:rtl w:val="true"/>
          <w:lang w:bidi="ar-SA"/>
        </w:rPr>
        <w:t>فمن أصابه القرعة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واقع للموضوع، حيث مات مورثه وانتقل إليه ثلاثة من المماليك، فكان الأول ثلاثة، فهذا دليل على حجية القرعة مطلقاً، فإن السنة بمعنى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الجامع مجهولاً، فهل القرعة سنة في كل مجهول؟ أو في كل ما لا طريق إلى تعيينه، لا عقلاً ولا شرعاً؟ فلو كان المراد الثاني فلا ينطبق على المقام؛ لوجود الطريق إلى التعيين عقلاً أو شرعاً وهو الظن، فإنه على الكشف طريق شرعي، وعلى الحكومة طريق عقلي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المتأخرين،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مقتضي لحجيتها</w:t>
      </w:r>
      <w:r>
        <w:rPr>
          <w:rStyle w:val="FootnoteAnchor"/>
          <w:rtl w:val="true"/>
        </w:rPr>
        <w:footnoteReference w:id="346"/>
      </w:r>
      <w:r>
        <w:rPr>
          <w:rFonts w:ascii="Amiri" w:hAnsi="Amiri" w:eastAsia="Amiri" w:cs="Amiri"/>
          <w:color w:val="111111"/>
          <w:sz w:val="28"/>
          <w:sz w:val="28"/>
          <w:szCs w:val="28"/>
          <w:rtl w:val="true"/>
          <w:lang w:bidi="ar-SA"/>
        </w:rPr>
        <w:t>، إذ دليلها أخبار آحاد</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والبحث عدم ثبوت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دعوى كون روايات القرعة متواترة معنى، لا أقل من التواتر الإجمالي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الوسائل يذكر اثنين وعشرين رواية</w:t>
      </w:r>
      <w:r>
        <w:rPr>
          <w:rStyle w:val="FootnoteAnchor"/>
          <w:rtl w:val="true"/>
        </w:rPr>
        <w:footnoteReference w:id="348"/>
      </w:r>
      <w:r>
        <w:rPr>
          <w:rFonts w:ascii="Amiri" w:hAnsi="Amiri" w:eastAsia="Amiri" w:cs="Amiri"/>
          <w:color w:val="111111"/>
          <w:sz w:val="28"/>
          <w:sz w:val="28"/>
          <w:szCs w:val="28"/>
          <w:rtl w:val="true"/>
          <w:lang w:bidi="ar-SA"/>
        </w:rPr>
        <w:t xml:space="preserve">فيها بأسانيد مختلفة، </w:t>
      </w:r>
    </w:p>
    <w:p>
      <w:pPr>
        <w:pStyle w:val="BookText"/>
        <w:rPr/>
      </w:pPr>
      <w:r>
        <w:rPr>
          <w:rFonts w:ascii="Amiri" w:hAnsi="Amiri" w:eastAsia="Amiri" w:cs="Amiri"/>
          <w:color w:val="111111"/>
          <w:sz w:val="28"/>
          <w:sz w:val="28"/>
          <w:szCs w:val="28"/>
          <w:rtl w:val="true"/>
          <w:lang w:bidi="ar-SA"/>
        </w:rPr>
        <w:t>بالإضافة إلى روايات أخرى في أبواب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كتاب العتق</w:t>
      </w:r>
      <w:r>
        <w:rPr>
          <w:rStyle w:val="FootnoteAnchor"/>
          <w:rtl w:val="true"/>
        </w:rPr>
        <w:footnoteReference w:id="349"/>
      </w:r>
      <w:r>
        <w:rPr>
          <w:rFonts w:ascii="Amiri" w:hAnsi="Amiri" w:eastAsia="Amiri" w:cs="Amiri"/>
          <w:color w:val="111111"/>
          <w:sz w:val="28"/>
          <w:sz w:val="28"/>
          <w:szCs w:val="28"/>
          <w:rtl w:val="true"/>
          <w:lang w:bidi="ar-SA"/>
        </w:rPr>
        <w:t>روايات تدل على القرعة، وكذا في أبواب الوصايا</w:t>
      </w:r>
      <w:r>
        <w:rPr>
          <w:rStyle w:val="FootnoteAnchor"/>
          <w:rtl w:val="true"/>
        </w:rPr>
        <w:footnoteReference w:id="350"/>
      </w:r>
      <w:r>
        <w:rPr>
          <w:rFonts w:ascii="Amiri" w:hAnsi="Amiri" w:eastAsia="Amiri" w:cs="Amiri"/>
          <w:color w:val="111111"/>
          <w:sz w:val="28"/>
          <w:sz w:val="28"/>
          <w:szCs w:val="28"/>
          <w:rtl w:val="true"/>
          <w:lang w:bidi="ar-SA"/>
        </w:rPr>
        <w:t>، وأبواب ميراث الملاعنة</w:t>
      </w:r>
      <w:r>
        <w:rPr>
          <w:rStyle w:val="FootnoteAnchor"/>
          <w:rtl w:val="true"/>
        </w:rPr>
        <w:footnoteReference w:id="351"/>
      </w:r>
      <w:r>
        <w:rPr>
          <w:rFonts w:ascii="Amiri" w:hAnsi="Amiri" w:eastAsia="Amiri" w:cs="Amiri"/>
          <w:color w:val="111111"/>
          <w:sz w:val="28"/>
          <w:sz w:val="28"/>
          <w:szCs w:val="28"/>
          <w:rtl w:val="true"/>
          <w:lang w:bidi="ar-SA"/>
        </w:rPr>
        <w:t>، وأبواب ميراث الخنثى</w:t>
      </w:r>
      <w:r>
        <w:rPr>
          <w:rStyle w:val="FootnoteAnchor"/>
          <w:rtl w:val="true"/>
        </w:rPr>
        <w:footnoteReference w:id="352"/>
      </w:r>
      <w:r>
        <w:rPr>
          <w:rFonts w:ascii="Amiri" w:hAnsi="Amiri" w:eastAsia="Amiri" w:cs="Amiri"/>
          <w:color w:val="111111"/>
          <w:sz w:val="28"/>
          <w:sz w:val="28"/>
          <w:szCs w:val="28"/>
          <w:rtl w:val="true"/>
          <w:lang w:bidi="ar-SA"/>
        </w:rPr>
        <w:t>، وأبواب ميراث الغرقى والمهدوم عليهم</w:t>
      </w:r>
      <w:r>
        <w:rPr>
          <w:rStyle w:val="FootnoteAnchor"/>
          <w:rtl w:val="true"/>
        </w:rPr>
        <w:footnoteReference w:id="353"/>
      </w:r>
      <w:r>
        <w:rPr>
          <w:rFonts w:ascii="Amiri" w:hAnsi="Amiri" w:eastAsia="Amiri" w:cs="Amiri"/>
          <w:color w:val="111111"/>
          <w:sz w:val="28"/>
          <w:sz w:val="28"/>
          <w:szCs w:val="28"/>
          <w:rtl w:val="true"/>
          <w:lang w:bidi="ar-SA"/>
        </w:rPr>
        <w:t>، وأبواب ميراث الأبوين</w:t>
      </w:r>
      <w:r>
        <w:rPr>
          <w:rStyle w:val="FootnoteAnchor"/>
          <w:rtl w:val="true"/>
        </w:rPr>
        <w:footnoteReference w:id="354"/>
      </w:r>
      <w:r>
        <w:rPr>
          <w:rFonts w:ascii="Amiri" w:hAnsi="Amiri" w:eastAsia="Amiri" w:cs="Amiri"/>
          <w:color w:val="111111"/>
          <w:sz w:val="28"/>
          <w:sz w:val="28"/>
          <w:szCs w:val="28"/>
          <w:rtl w:val="true"/>
          <w:lang w:bidi="ar-SA"/>
        </w:rPr>
        <w:t>، وأبواب نكاح العبيد والإماء</w:t>
      </w:r>
      <w:r>
        <w:rPr>
          <w:rStyle w:val="FootnoteAnchor"/>
          <w:rtl w:val="true"/>
        </w:rPr>
        <w:footnoteReference w:id="355"/>
      </w:r>
      <w:r>
        <w:rPr>
          <w:rFonts w:ascii="Amiri" w:hAnsi="Amiri" w:eastAsia="Amiri" w:cs="Amiri"/>
          <w:color w:val="111111"/>
          <w:sz w:val="28"/>
          <w:sz w:val="28"/>
          <w:szCs w:val="28"/>
          <w:rtl w:val="true"/>
          <w:lang w:bidi="ar-SA"/>
        </w:rPr>
        <w:t>، وأبواب كيفية الحكم من كتاب القضاء</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مجموعة هذه الروايات متواترة إجمالاً، فتخرج عن كونها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لا في المقام</w:t>
      </w:r>
      <w:r>
        <w:rPr>
          <w:rStyle w:val="FootnoteAnchor"/>
          <w:rtl w:val="true"/>
        </w:rPr>
        <w:footnoteReference w:id="357"/>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لا تجري في الشبهات الحكمية؛ لظهور عنوان المجهول والمشتبه في كونه وصفاً لذات الشيء، وليس وصفاً لحكمه، وفي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الشيء معلوم وحكمه مجهول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لعموم الأدلة،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فالمجهول </w:t>
      </w:r>
      <w:bookmarkStart w:id="152" w:name="pg15601_166610"/>
    </w:p>
    <w:p>
      <w:pPr>
        <w:pStyle w:val="BookText"/>
        <w:rPr/>
      </w:pPr>
      <w:bookmarkEnd w:id="152"/>
      <w:r>
        <w:rPr>
          <w:rFonts w:ascii="Amiri" w:hAnsi="Amiri" w:eastAsia="Amiri" w:cs="Amiri"/>
          <w:color w:val="111111"/>
          <w:sz w:val="28"/>
          <w:sz w:val="28"/>
          <w:szCs w:val="28"/>
          <w:rtl w:val="true"/>
          <w:lang w:bidi="ar-SA"/>
        </w:rPr>
        <w:t>أعم، وكما يصح أن يقال الموضوع مجهول يصح أن يقال الحكم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غير المقام</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القرعة موهونة بكثرة التخصيصات، وهو أمر مستهجن كاشف عن كون المراد بالقرعة معنى آخر، ولأنه مجهول فلا يمكن العمل بعموم دليل القرعة، إلا فيما ثبت عمل الفقهاء فيه، ولم يعمل بها الفقهاء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القرعة هو المجهول الذي لا طريق إلى تعيينه لا واقعاً ولا ظاهراً، فإشكال الموهونية بكثرة التخصيصات مندفع، لبقاء موارد محدودة لها لا طريق إلى تعيينها لا واقعاً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الضرورة الفقهية على عدم اللجوء إلى القرعة في تعيين الأحكام الكلية، وقد ادعي الإجماع على ذلك، وإنما يرجع إليها في تعيين الشبهات الموضوعية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تام، ولذلك لا يمكن للانسدادي تعيين الأحكام بالقرعة، بل ربما يكون ذلك من المنكرات في أذهان المتشرعة، هذا تمام الكلام في المقدمة الرابعة</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0000141_2142443653"/>
      <w:bookmarkStart w:id="154" w:name="_Toc58"/>
      <w:bookmarkEnd w:id="153"/>
      <w:r>
        <w:rPr>
          <w:rtl w:val="true"/>
        </w:rPr>
        <w:t>المناقشة في المقدمة الخامسة</w:t>
      </w:r>
      <w:r>
        <w:rPr>
          <w:rtl w:val="true"/>
        </w:rPr>
        <w:t>:</w:t>
      </w:r>
      <w:bookmarkEnd w:id="1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الإطاعة الظنية والشكية والوهمية، وقد قالوا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للإطاعة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العلمية التفصيلية، ثم الإطاعة العلمية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بل منع في الترتيب بين المرتبة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الإطاعة الظنية ثم الشكية ثم </w:t>
      </w:r>
    </w:p>
    <w:p>
      <w:pPr>
        <w:pStyle w:val="BookText"/>
        <w:rPr/>
      </w:pPr>
      <w:r>
        <w:rPr>
          <w:rFonts w:ascii="Amiri" w:hAnsi="Amiri" w:eastAsia="Amiri" w:cs="Amiri"/>
          <w:color w:val="111111"/>
          <w:sz w:val="28"/>
          <w:sz w:val="28"/>
          <w:szCs w:val="28"/>
          <w:rtl w:val="true"/>
          <w:lang w:bidi="ar-SA"/>
        </w:rPr>
        <w:t>الوهمية، وهذه المراتب الخمس أو الأربع مترتبة في نظر العقل، فلا تصل النوبة إلى المرحلة اللاحقة بعد إمكان المرحلة السابقة، وحيث إن الإطاعة العلمية في المقام متعذرة أو غير واجبة، فيدور الأمر بين المراتب الثلاث الأخيرة، فتتعين الإطاعة الظنية؛ لقبح ترجيح المرجوح على الراجح، بل يمكن القول بأن ترجيح المرجوح على الراجح محال في المقام، وإن قلنا بإمكانه في حد ذاته، لأن العبد بصدد إفراغ ذمته من التكاليف الواقعية، ولو قصر النظر على هذا اللحاظ، فلا يوجد هنالك أي مرجح للإطاعة الشكية والوهمية، فيكون ترجيحهما ترجيحاً للمرجوح على الراجح، وهو قبيح أو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عليه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العقلاء عند الجهل يعملون بكل من الثلاثة، وهل يقال إنه فعل قبيحاً إذا ترك الأول إلى الأخيرين في الملبس والمأكل والمسكن وما أشبه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ترجيح المرجوح على الراجح يفرض تارة في الأغراض الشخصية، وتارة في الأغراض المولوية، وفي الدائرة الشخصية أغراض مهمة وأخرى غير مهمة، ولا مانع من ترجيح المرجوح على الراجح في غير المهم، أما في المهم، كالحياة والموت، أو الغرض المولوي بأن كلف المولى عبده بشيء ودار الأمر بين امتثاله ظناً أو شكاً أو وهماً، فالظاهر إلزام العقلاء المكلف بالإطاعة الظنية، وما ذكر من الأمثلة في المأكل والملبس، فهي </w:t>
      </w:r>
    </w:p>
    <w:p>
      <w:pPr>
        <w:pStyle w:val="BookText"/>
        <w:rPr/>
      </w:pPr>
      <w:r>
        <w:rPr>
          <w:rFonts w:ascii="Amiri" w:hAnsi="Amiri" w:eastAsia="Amiri" w:cs="Amiri"/>
          <w:color w:val="111111"/>
          <w:sz w:val="28"/>
          <w:sz w:val="28"/>
          <w:szCs w:val="28"/>
          <w:rtl w:val="true"/>
          <w:lang w:bidi="ar-SA"/>
        </w:rPr>
        <w:t>أغراض شخصية غير مهمة، ولا مانع فيها من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القبح أعم من استحقاق العقاب، فكلما فيه استحقاق العقاب قبيح ولا عكس، وهذه المناقشة بعد تسليم القبح في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الحاكم على الإطلاق في باب الاستحقاق العقل والطريقة العقلائية، كما مر تفصيله، والظاهر أن العقلاء يجدون العبد الذي قدم المرجوح على الراجح مستحقاً للعقاب، ولو عاقبه المولى ما كان ملوماً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تمامية جميع المقدمات فتكون النتيجة التبعيض في الاحتياط لا حجية الظن، فالعقل يحكم بلزوم الاحتياط بالمقدار الممكن، سواء في دائرة المظنونات أم المشكوكات أم الموهومات، ويرفع اليد عن ذلك بمقدار الضرر والحرج و إخلال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الأمر بين محذورين حيث لا يمكن الاحتياط، فاللازم تقديم الظن على الشك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غير تامة، لما ذكرناه من انحلال العلم الإجمالي الأكبر إلى الكبير، والكبير إلى الصغير، وإنحلال الصغير بأخبار الثقات، هذا أولاً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تماميتها، فالنتيجة التبعيض في الاحتياط لا حجية الظن</w:t>
      </w:r>
      <w:r>
        <w:rPr>
          <w:rFonts w:eastAsia="Amiri" w:cs="Amiri" w:ascii="Amiri" w:hAnsi="Amiri"/>
          <w:color w:val="111111"/>
          <w:sz w:val="28"/>
          <w:szCs w:val="28"/>
          <w:rtl w:val="true"/>
          <w:lang w:bidi="ar-SA"/>
        </w:rPr>
        <w:t xml:space="preserve">. </w:t>
      </w:r>
      <w:bookmarkStart w:id="155" w:name="pg15601_166613"/>
    </w:p>
    <w:p>
      <w:pPr>
        <w:pStyle w:val="Heading5"/>
        <w:numPr>
          <w:ilvl w:val="4"/>
          <w:numId w:val="1"/>
        </w:numPr>
        <w:rPr/>
      </w:pPr>
      <w:bookmarkStart w:id="156" w:name="__RefHeading___Toc10000143_2142443653"/>
      <w:bookmarkStart w:id="157" w:name="_Toc59"/>
      <w:bookmarkEnd w:id="155"/>
      <w:bookmarkEnd w:id="156"/>
      <w:r>
        <w:rPr>
          <w:rtl w:val="true"/>
        </w:rPr>
        <w:t>تنبيهات باب الانسداد</w:t>
      </w:r>
      <w:bookmarkEnd w:id="157"/>
    </w:p>
    <w:p>
      <w:pPr>
        <w:pStyle w:val="Heading6"/>
        <w:numPr>
          <w:ilvl w:val="5"/>
          <w:numId w:val="1"/>
        </w:numPr>
        <w:rPr/>
      </w:pPr>
      <w:bookmarkStart w:id="158" w:name="__RefHeading___Toc10000145_2142443653"/>
      <w:bookmarkStart w:id="159" w:name="_Toc60"/>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وبعد تمامية البحث في مقدمات دليل الانسداد، تعرض القوم لتنبيهات في المقام نذكر بعضها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000147_2142443653"/>
      <w:bookmarkStart w:id="161" w:name="_Toc61"/>
      <w:bookmarkEnd w:id="160"/>
      <w:r>
        <w:rPr>
          <w:rtl w:val="true"/>
        </w:rPr>
        <w:t>التنبيه الأول</w:t>
      </w:r>
      <w:r>
        <w:rPr>
          <w:rtl w:val="true"/>
        </w:rPr>
        <w:t xml:space="preserve">: </w:t>
      </w:r>
      <w:r>
        <w:rPr>
          <w:rtl w:val="true"/>
        </w:rPr>
        <w:t>في أقسام الظن</w:t>
      </w:r>
      <w:bookmarkEnd w:id="161"/>
    </w:p>
    <w:p>
      <w:pPr>
        <w:pStyle w:val="BookText"/>
        <w:rPr/>
      </w:pPr>
      <w:r>
        <w:rPr>
          <w:rFonts w:ascii="Amiri" w:hAnsi="Amiri" w:eastAsia="Amiri" w:cs="Amiri"/>
          <w:color w:val="111111"/>
          <w:sz w:val="28"/>
          <w:sz w:val="28"/>
          <w:szCs w:val="28"/>
          <w:rtl w:val="true"/>
          <w:lang w:bidi="ar-SA"/>
        </w:rPr>
        <w:t xml:space="preserve">الظن المتعلق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يتعلق بالحكم الشرعي بلا واسطة، والظن الذي يتعلق بالحكم الشرعي مع الواسطة، ولا فرق بينهما، لوحدة الملاك في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هنالك أمارة تبين متعلق أو موضوع الحكم الشرعي</w:t>
      </w:r>
      <w:r>
        <w:rPr>
          <w:rStyle w:val="FootnoteAnchor"/>
          <w:rtl w:val="true"/>
        </w:rPr>
        <w:footnoteReference w:id="362"/>
      </w:r>
      <w:r>
        <w:rPr>
          <w:rFonts w:ascii="Amiri" w:hAnsi="Amiri" w:eastAsia="Amiri" w:cs="Amiri"/>
          <w:color w:val="111111"/>
          <w:sz w:val="28"/>
          <w:sz w:val="28"/>
          <w:szCs w:val="28"/>
          <w:rtl w:val="true"/>
          <w:lang w:bidi="ar-SA"/>
        </w:rPr>
        <w:t>، كقول اللغوي في كون الصعيد مطلق وجه الأرض، فيكون الظن به ملازماً للظن بالحكم الشرعي، فإن الظن بقوله ظن بأن الشارع أباح التيمم بمطلق وجه الأرض، ولا فرق بكون الأمارة تورث الظن بالحكم مباشرة أو بالواسطة، ومقدمات الانسداد تثبت حجية كلا النوعين، والملاك واحد فيهما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أورثت الأمارة الظن بالموضوع الخارجي لا الحكم الشرعي ولا متعلقه، كما لو دار الأمر بين كون الراوي زرارة بن أعين الثقة، أو زرارة بن لطيفة المجهول، فلو أخبر الرجالي الخبير أنه الثقة وحصل لنا الظن من قوله، فهو ملازم للظن بالحكم الشرعي أو يستتبعه، والمفروض أنه حجة، </w:t>
      </w:r>
    </w:p>
    <w:p>
      <w:pPr>
        <w:pStyle w:val="BookText"/>
        <w:rPr/>
      </w:pPr>
      <w:r>
        <w:rPr>
          <w:rFonts w:ascii="Amiri" w:hAnsi="Amiri" w:eastAsia="Amiri" w:cs="Amiri"/>
          <w:color w:val="111111"/>
          <w:sz w:val="28"/>
          <w:sz w:val="28"/>
          <w:szCs w:val="28"/>
          <w:rtl w:val="true"/>
          <w:lang w:bidi="ar-SA"/>
        </w:rPr>
        <w:t>وبناء عليه تثبت حجية كل الظنون الرجالية بمبنى الانسداد والوصول إلى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في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منوطة بالانسداد الكبير، ودائرة مداره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الانسداد الكبير دون الانسداد الصغير، وقامت الأمارة الظنية على إثبات متعلق الحكم أو موضوعه أو شيء له مدخلية ما في الحكم فهي حجة،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انفتاح باب العلم والعلمي في اللغات في جميع الموارد، لكنه انسد في مورد واحد، كلفظ الصعيد، فالانسداد الصغير</w:t>
      </w:r>
      <w:r>
        <w:rPr>
          <w:rStyle w:val="FootnoteAnchor"/>
          <w:rtl w:val="true"/>
        </w:rPr>
        <w:footnoteReference w:id="363"/>
      </w:r>
      <w:r>
        <w:rPr>
          <w:rFonts w:ascii="Amiri" w:hAnsi="Amiri" w:eastAsia="Amiri" w:cs="Amiri"/>
          <w:color w:val="111111"/>
          <w:sz w:val="28"/>
          <w:sz w:val="28"/>
          <w:szCs w:val="28"/>
          <w:rtl w:val="true"/>
          <w:lang w:bidi="ar-SA"/>
        </w:rPr>
        <w:t>غير محقق، أما لو فرض تحقق الانسداد الكبير</w:t>
      </w:r>
      <w:r>
        <w:rPr>
          <w:rStyle w:val="FootnoteAnchor"/>
          <w:rtl w:val="true"/>
        </w:rPr>
        <w:footnoteReference w:id="364"/>
      </w:r>
      <w:r>
        <w:rPr>
          <w:rFonts w:ascii="Amiri" w:hAnsi="Amiri" w:eastAsia="Amiri" w:cs="Amiri"/>
          <w:color w:val="111111"/>
          <w:sz w:val="28"/>
          <w:sz w:val="28"/>
          <w:szCs w:val="28"/>
          <w:rtl w:val="true"/>
          <w:lang w:bidi="ar-SA"/>
        </w:rPr>
        <w:t>في باب الأحكام الشرعية، وقامت الأمارة الظنية على كون الصعيد مطلق وجه الأرض لا خصوص التراب، فهي حجة، لأن الظن بالمتعلق ظن بالحكم، والمفروض حجية الظن في جميع الأحكام الشرعية بمقدمات الانسداد، فالظن بكون الصعيد مطلق وجه الأرض ملازم للظن بجواز التيمم بالحجر والمدر شرعاً وهو حجة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الانسداد الصغير دون الكبير، فلا تكون الأمارات الظنية في دائرة الانسداد الصغير حجة، لكن قال بعض الرجاليين</w:t>
      </w:r>
      <w:r>
        <w:rPr>
          <w:rStyle w:val="FootnoteAnchor"/>
          <w:rtl w:val="true"/>
        </w:rPr>
        <w:footnoteReference w:id="365"/>
      </w:r>
      <w:r>
        <w:rPr>
          <w:rFonts w:ascii="Amiri" w:hAnsi="Amiri" w:eastAsia="Amiri" w:cs="Amiri"/>
          <w:color w:val="111111"/>
          <w:sz w:val="28"/>
          <w:sz w:val="28"/>
          <w:szCs w:val="28"/>
          <w:rtl w:val="true"/>
          <w:lang w:bidi="ar-SA"/>
        </w:rPr>
        <w:t xml:space="preserve">إن باب العلم والعلمي في علم الرجال منسد، فتكون الظنون كلها حجة في باب الرجال، </w:t>
      </w:r>
    </w:p>
    <w:p>
      <w:pPr>
        <w:pStyle w:val="BookText"/>
        <w:rPr/>
      </w:pPr>
      <w:r>
        <w:rPr>
          <w:rFonts w:ascii="Amiri" w:hAnsi="Amiri" w:eastAsia="Amiri" w:cs="Amiri"/>
          <w:color w:val="111111"/>
          <w:sz w:val="28"/>
          <w:sz w:val="28"/>
          <w:szCs w:val="28"/>
          <w:rtl w:val="true"/>
          <w:lang w:bidi="ar-SA"/>
        </w:rPr>
        <w:t>إلا أنه محل إشكال؛ لأن انسداد باب العلم والعلمي في خصوص علم الرجال لا يسبب حجية مطلق الظن؛ لكون مقدمات الانسداد مساقة بلحاظ الانسداد الكبير، ولا تثبت حجية الظنون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الظن الرجالي في فرض عدم تحقق الانسداد الكبير لا يكون حجة، بل يكون مشمولاً للأدلة الرادعة عن العمل بالظن، فيكون المرجع في كل مشكوك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الانسداد الصغير يؤدي إلى الانسداد الكبير، فيعود الأمر إلى علية الانسداد الكبير لحجية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الانسداد الكبير دون الصغير، فالظن بالمتعلق أو الموضوع حجة، وإن تحقق الانسداد الصغير دون الكبير فلا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حجية الأمارة الظنية التي لها مدخلية في إثبات الحكم الشرعي، وبين حجية الأمارة الظنية في إثبات الموضوعات الخارجية التي لها آثار شرعية؛ لأن دليل الانسداد محوره انسداد باب العلم والعلمي بالأحكام لا الموضوعات الخارجية،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مطلق وجه الأرض، فيثبت الحكم الكلي الشرعي مع الظن بقوله، ولكنه لا يثبت الموضوع الخارجي ذا الأثر الشرعي، فلو قال المولى العرفي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بالصعيد، فلا يحق له أن يأتي بالحجر، لكونه موضوعاً لا يرتبط بالأحكام الشرعية الكلية، ولو أوصى شخص بإعطاء كل الأواني لزيد وحصل الشك في صدق الآنية على المكحلة والإناء المثقوب والخلخال المجوف، فلا يمكن القول بحجية قول اللغوي في إثبات الموضوع الخارجي؛ لكونه حجة في إثبات الأحكام الكلية، حيث لا </w:t>
      </w:r>
    </w:p>
    <w:p>
      <w:pPr>
        <w:pStyle w:val="BookText"/>
        <w:rPr/>
      </w:pPr>
      <w:r>
        <w:rPr>
          <w:rFonts w:ascii="Amiri" w:hAnsi="Amiri" w:eastAsia="Amiri" w:cs="Amiri"/>
          <w:color w:val="111111"/>
          <w:sz w:val="28"/>
          <w:sz w:val="28"/>
          <w:szCs w:val="28"/>
          <w:rtl w:val="true"/>
          <w:lang w:bidi="ar-SA"/>
        </w:rPr>
        <w:t>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لهذه الرواية هو زرارة بن أعين العادل، لا زرارة بن لطيفة المجهول، وكان قول الرجالي موجباً للظن، فهو حجة، لكنه لو كان إمام الجماعة، فلا يكون قوله المفيد للظن كاف في جواز الائتمام خلفه؛ لأنه ظن بموضوع يترتب عليه حكم جزئي، وهو جواز الائتمام بخصوص هذا الشخص، ومقدمات الانسداد لا تجري في الأحكام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دليل على حجية مطلق الظن في الموضوعات، أو قام دليل على حجية قول الرجالي واللغوي مطلقاً، أو تمت مقدمات الانسداد في الموضوعات الخارجية، فلا مانع من القول بحجية الظن الرجالي واللغوي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على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استقلال العقل بلزوم تقليل الاحتمالات المتطرقة إلى مثل السند أو الدلالة أو جهة الصدور، مهما أمكن في الرواية، وعدم الاقتصار على الظن الحاصل منها بلا سد بابه فيه بالحجة من علم أو علمي</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استكشاف الحكم الشرعي من الخبر على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والظهور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والعملي في جميع الجهات، ولا إشكال في حجية الظن الانسدادي، بناء على تمامية مقدمات الانسداد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انفتاح باب العلم والعلمي في جميع الجهات، ولا إشكال في عدم </w:t>
      </w:r>
    </w:p>
    <w:p>
      <w:pPr>
        <w:pStyle w:val="BookText"/>
        <w:rPr/>
      </w:pPr>
      <w:r>
        <w:rPr>
          <w:rFonts w:ascii="Amiri" w:hAnsi="Amiri" w:eastAsia="Amiri" w:cs="Amiri"/>
          <w:color w:val="111111"/>
          <w:sz w:val="28"/>
          <w:sz w:val="28"/>
          <w:szCs w:val="28"/>
          <w:rtl w:val="true"/>
          <w:lang w:bidi="ar-SA"/>
        </w:rPr>
        <w:t>حجية الظن، ولزوم تحصيل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انسداده في بعضها وانفتاحه في بعضها الآخر، كأن يكون باب العلم والعلمي منسد في السند دون الجهة، فهل يجوز الاكتفاء بالظن في الجهة أم يلزم تحصيل العلم والعلمي؟</w:t>
      </w:r>
    </w:p>
    <w:p>
      <w:pPr>
        <w:pStyle w:val="BookText"/>
        <w:rPr/>
      </w:pPr>
      <w:r>
        <w:rPr>
          <w:rFonts w:ascii="Amiri" w:hAnsi="Amiri" w:eastAsia="Amiri" w:cs="Amiri"/>
          <w:color w:val="111111"/>
          <w:sz w:val="28"/>
          <w:sz w:val="28"/>
          <w:szCs w:val="28"/>
          <w:rtl w:val="true"/>
          <w:lang w:bidi="ar-SA"/>
        </w:rPr>
        <w:t xml:space="preserve">والنتيجة على كل تقدير واحدة، فإنها تابعة لأخس المقدمات، فلو كان السند مظنوناً بالظن المطلق، وكان الظهور والجهة مظنونين بالظن الخاص، إلا 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مظنونة بالظن المطلق، ومع ذلك يجب تحصيل العلم أو العلمي بما أمكن فيه من جهات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لعدم جواز التنزل في صورة الانسداد إلى الضعيف مع التمكن من القوي</w:t>
      </w:r>
      <w:r>
        <w:rPr>
          <w:rStyle w:val="FootnoteAnchor"/>
          <w:rtl w:val="true"/>
        </w:rPr>
        <w:footnoteReference w:id="367"/>
      </w:r>
      <w:r>
        <w:rPr>
          <w:rFonts w:ascii="Amiri" w:hAnsi="Amiri" w:eastAsia="Amiri" w:cs="Amiri"/>
          <w:color w:val="111111"/>
          <w:sz w:val="28"/>
          <w:sz w:val="28"/>
          <w:szCs w:val="28"/>
          <w:rtl w:val="true"/>
          <w:lang w:bidi="ar-SA"/>
        </w:rPr>
        <w:t>أو ما بحكمه</w:t>
      </w:r>
      <w:r>
        <w:rPr>
          <w:rStyle w:val="FootnoteAnchor"/>
          <w:rtl w:val="true"/>
        </w:rPr>
        <w:footnoteReference w:id="368"/>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جميع جهات الخبر مظنوناً بالظن المطلق فالنتيجة النهائية الظن المطلق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بالمائة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السند مظنوناً بالظن المطلق، والظهور والجهة معلومان بالعلم الوجداني أو العلم التعبدي، فنسبة الظن إلى الحكم يرتفع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بالمائة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إمكان تحصيل الظن القوي بالحكم، لا يجيز العقل التنزل إلى الظن الضعيف بالحكم، فتكون النتيجة وجوب التفكيك بين الجهات</w:t>
      </w:r>
      <w:r>
        <w:rPr>
          <w:rStyle w:val="FootnoteAnchor"/>
          <w:rtl w:val="true"/>
        </w:rPr>
        <w:footnoteReference w:id="370"/>
      </w:r>
      <w:r>
        <w:rPr>
          <w:rFonts w:ascii="Amiri" w:hAnsi="Amiri" w:eastAsia="Amiri" w:cs="Amiri"/>
          <w:color w:val="111111"/>
          <w:sz w:val="28"/>
          <w:sz w:val="28"/>
          <w:szCs w:val="28"/>
          <w:rtl w:val="true"/>
          <w:lang w:bidi="ar-SA"/>
        </w:rPr>
        <w:t>، ويقتصر في الظن المطلق على ما لا يمكن معه تحصيل العلم والعلمي في تلك الجهة</w:t>
      </w:r>
      <w:r>
        <w:rPr>
          <w:rFonts w:eastAsia="Amiri" w:cs="Amiri" w:ascii="Amiri" w:hAnsi="Amiri"/>
          <w:color w:val="111111"/>
          <w:sz w:val="28"/>
          <w:szCs w:val="28"/>
          <w:rtl w:val="true"/>
          <w:lang w:bidi="ar-SA"/>
        </w:rPr>
        <w:t xml:space="preserve">. </w:t>
      </w:r>
      <w:bookmarkStart w:id="162" w:name="pg15601_166618"/>
    </w:p>
    <w:p>
      <w:pPr>
        <w:pStyle w:val="Heading6"/>
        <w:numPr>
          <w:ilvl w:val="5"/>
          <w:numId w:val="1"/>
        </w:numPr>
        <w:rPr/>
      </w:pPr>
      <w:bookmarkStart w:id="163" w:name="__RefHeading___Toc10000149_2142443653"/>
      <w:bookmarkStart w:id="164" w:name="_Toc62"/>
      <w:bookmarkEnd w:id="162"/>
      <w:bookmarkEnd w:id="163"/>
      <w:r>
        <w:rPr>
          <w:rtl w:val="true"/>
        </w:rPr>
        <w:t>التنبيه الثاني</w:t>
      </w:r>
      <w:r>
        <w:rPr>
          <w:rtl w:val="true"/>
        </w:rPr>
        <w:t xml:space="preserve">: </w:t>
      </w:r>
      <w:r>
        <w:rPr>
          <w:rtl w:val="true"/>
        </w:rPr>
        <w:t>في عدم حجية الظن في مقام الامتثال</w:t>
      </w:r>
      <w:bookmarkEnd w:id="164"/>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بالظن الانسدادي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إسقاط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الملازمة بين المرحلتين، فليس الظن الانسدادي حجة في إسقاط التكليف، كما كان حجة في إثبات التكليف؛ لأن مقدمات الانسداد الجارية في باب إثبات التكليف غير جارية في باب الامتثال، فمن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لكنه في مرحلة الامتثال غير منسد، ومن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الاحتياط، أو عدم وجوبه، ولا مانع من القول بوجوب الاحتياط في مرحلة الامتثال، وإسقاط التكليف، ولا يترتب عليه إخلال أو حرج، فلو ثبت وجوب صلاة الجمعة بالظن فهو حجة، لكن لو شك المكلف بعد مضي مقدار من الوقت أنه أدى الواجب أم لا، فإن الظن بالامتثال ليس بحجة، فإن الاشتغال اليقيني يقتضي البراءة اليقينية، ولا بد من إحراز الامتثال بالعلم أو بالعلمي، كقاعدة الحيلولة، أي الوقت حائل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تجري في الأحكام الكلية، لا في تطبيق متعلقاتها على الخارج، والظاهر عدم الإشكال في أصل المطلب، لكن خالف المحقق القمي</w:t>
      </w:r>
      <w:r>
        <w:rPr>
          <w:rStyle w:val="FootnoteAnchor"/>
          <w:rtl w:val="true"/>
        </w:rPr>
        <w:footnoteReference w:id="371"/>
      </w:r>
      <w:r>
        <w:rPr>
          <w:rFonts w:ascii="Amiri" w:hAnsi="Amiri" w:eastAsia="Amiri" w:cs="Amiri"/>
          <w:color w:val="111111"/>
          <w:sz w:val="28"/>
          <w:sz w:val="28"/>
          <w:szCs w:val="28"/>
          <w:rtl w:val="true"/>
          <w:lang w:bidi="ar-SA"/>
        </w:rPr>
        <w:t>في ذلك على ما حكي عنه</w:t>
      </w:r>
      <w:r>
        <w:rPr>
          <w:rStyle w:val="FootnoteAnchor"/>
          <w:rtl w:val="true"/>
        </w:rPr>
        <w:footnoteReference w:id="372"/>
      </w:r>
      <w:r>
        <w:rPr>
          <w:rFonts w:ascii="Amiri" w:hAnsi="Amiri" w:eastAsia="Amiri" w:cs="Amiri"/>
          <w:color w:val="111111"/>
          <w:sz w:val="28"/>
          <w:sz w:val="28"/>
          <w:szCs w:val="28"/>
          <w:rtl w:val="true"/>
          <w:lang w:bidi="ar-SA"/>
        </w:rPr>
        <w:t>بإن الظن حجة حتى في مقام الامتثال، لأن القطع بالإتيان لا يوجب القطع بالامتثال، بل الحاصل هو الظن بالامتثال، قطع أو ظن بالإتيان</w:t>
      </w:r>
      <w:r>
        <w:rPr>
          <w:rFonts w:eastAsia="Amiri" w:cs="Amiri" w:ascii="Amiri" w:hAnsi="Amiri"/>
          <w:color w:val="111111"/>
          <w:sz w:val="28"/>
          <w:szCs w:val="28"/>
          <w:rtl w:val="true"/>
          <w:lang w:bidi="ar-SA"/>
        </w:rPr>
        <w:t xml:space="preserve">. </w:t>
      </w:r>
      <w:bookmarkStart w:id="165" w:name="pg15601_166619"/>
    </w:p>
    <w:p>
      <w:pPr>
        <w:pStyle w:val="BookText"/>
        <w:rPr/>
      </w:pPr>
      <w:bookmarkEnd w:id="165"/>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العلم بالامتثال أو الانطباق لا يجدي، لأن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 على كل تقدير، فمن صلى الجمعة إلى الجهة المعلومة ومن صلاها إلى الجهة المظنونة يشتركان في أن الحاصل هو الظن بالامتثال بالتكليف الواقعي لا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بالظنون الخاصة، فلو فرض تحقق الظن الخاص بشيء، فهل يكفي في إفراغ الذمة الظن بالامتثال والإتيان والانطباق؟</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تذنيب التنبيه الأول من كون الظنون مراتب، وإنه لا يمكن التنزل إلى الظن الضعيف مع إمكان الظن القوي، فلو قطع المكلف بالإتيان مع الظن في الحكم فهو ظن قوي بالامتثال، ولكن لو كانت الجهتان</w:t>
      </w:r>
      <w:r>
        <w:rPr>
          <w:rStyle w:val="FootnoteAnchor"/>
          <w:rtl w:val="true"/>
        </w:rPr>
        <w:footnoteReference w:id="373"/>
      </w:r>
      <w:r>
        <w:rPr>
          <w:rFonts w:ascii="Amiri" w:hAnsi="Amiri" w:eastAsia="Amiri" w:cs="Amiri"/>
          <w:color w:val="111111"/>
          <w:sz w:val="28"/>
          <w:sz w:val="28"/>
          <w:szCs w:val="28"/>
          <w:rtl w:val="true"/>
          <w:lang w:bidi="ar-SA"/>
        </w:rPr>
        <w:t>مظنونتين، فالحاصل من مجموع الظنين ظن أضعف بالامتثال، ويجب بحكم العقل تحصيل الظن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بوجوب إفراغ الذمة القطعي مع قيام الأمارة، وقد فرض حجية الظن الانسدادي، بمعنى المنجزية والمعذرية، فتنجز الحكم الكلي وهو وجوب الجمعة، فلو ظن بالإتيان والانطباق يكون الحاصل هو الإفراغ الظني، وهو غير كاف بحكم العقل</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0000151_2142443653"/>
      <w:bookmarkStart w:id="167" w:name="_Toc63"/>
      <w:bookmarkEnd w:id="166"/>
      <w:r>
        <w:rPr>
          <w:rtl w:val="true"/>
        </w:rPr>
        <w:t>استدراك على التنبيه الثاني</w:t>
      </w:r>
      <w:bookmarkEnd w:id="1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يجري نظير مقدمات الانسداد في الأحكام في بعض الموضوعات الخارجية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المقام مقام </w:t>
      </w:r>
    </w:p>
    <w:p>
      <w:pPr>
        <w:pStyle w:val="BookText"/>
        <w:rPr/>
      </w:pPr>
      <w:r>
        <w:rPr>
          <w:rFonts w:ascii="Amiri" w:hAnsi="Amiri" w:eastAsia="Amiri" w:cs="Amiri"/>
          <w:color w:val="111111"/>
          <w:sz w:val="28"/>
          <w:sz w:val="28"/>
          <w:szCs w:val="28"/>
          <w:rtl w:val="true"/>
          <w:lang w:bidi="ar-SA"/>
        </w:rPr>
        <w:t>الامتثال وإسقاط التكليف، إلا أن نظير مقدمات الانسداد جارية،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بالامتثال في هذه الموضوعات الخارجية،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أمره بين الوجوب والحرمة، بحيث لا يعلم حرمة الوضوء بهذا الماء لضرره، أو وجوبه لعدمه، فيجري شبيه مقدمات الانسداد، فيقال باب العلم والعلمي منسد بالضرر، لأن المكلف لا يعلم بالضرر إلا بعد وقوعه، وهو سالبة بانتفاء الموضوع، وإجراء الأصول العملية يوجب وقوع المكلف في مخالفة الواقع كثيراً، مما علم أن الشارع لا يرضى بذلك، فقد يصوم ويعمى مثلاً، والاحتياط يوجب الإخلال والعسر إلى آخر مقدمات الانسداد، فيدور الأمر بين ترجيح المرجوح أو الراجح، فيتعين ترجيح الظن فيعمل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وقد أشكل عليه الكثيرون، فإنه تام لو كان الموضوع في الأدلة الضرر، فيقال الضرر حقيقة تكوينية، ولا طريق إلى هذه الحقيقة علماً وعلمياً فيعمل بالظن، ولكن الموضوع في لسان الأدلة خوف الضرر، وهو مسألة وجدانية ينسجم مع الظن والشك والوهم العقلائي، فلا نحتاج إلى جريان مقدمات الانسداد، فينتفي الحكم بمجرد خوف المكلف؛ لتحقق موضوع الحكم الشرعي وجداناً، وهكذا في نظائر مقام الضرر كإثبات العدالة، فلا داعي لمقدمات الانسداد لإثباتها، فالشارع جعل طريقاً لإحراز العدالة وهو حسن الظاهر، وهكذا في باب النسب، فلا يحتاج إلى جريان مقدمات الانسداد للعمل بالظن، فإن الشارع جعل الشهرة طريقاً إلى إثباته، فكل من اشتهر بأنه سيد يحكم عليه بالسيادة، وهكذا في باب الرضاع، فلا مانع من جريان الأصول العملية عند الشك في تحقق العنوان، فمتى شك أنها أخته من الرضاعة يعمل بالأصل، وهو عدم كونها أختاً رضاعية، بالعدم </w:t>
      </w:r>
      <w:bookmarkStart w:id="168" w:name="pg15601_166622"/>
    </w:p>
    <w:p>
      <w:pPr>
        <w:pStyle w:val="BookText"/>
        <w:rPr/>
      </w:pPr>
      <w:bookmarkEnd w:id="168"/>
      <w:r>
        <w:rPr>
          <w:rFonts w:ascii="Amiri" w:hAnsi="Amiri" w:eastAsia="Amiri" w:cs="Amiri"/>
          <w:color w:val="111111"/>
          <w:sz w:val="28"/>
          <w:sz w:val="28"/>
          <w:szCs w:val="28"/>
          <w:rtl w:val="true"/>
          <w:lang w:bidi="ar-SA"/>
        </w:rPr>
        <w:t>النعتي لا العدم الأزلي، فإنها يوم ولدت لم تكن أختاً 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هنالك كبرى فرضية، وهي لو جرى شبيه مقدمات الانسداد في موضوع فلا مانع من القول بحجية الظن فيه</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0000153_2142443653"/>
      <w:bookmarkStart w:id="170" w:name="_Toc64"/>
      <w:bookmarkEnd w:id="169"/>
      <w:r>
        <w:rPr>
          <w:rtl w:val="true"/>
        </w:rPr>
        <w:t>التنبيه الثالث</w:t>
      </w:r>
      <w:r>
        <w:rPr>
          <w:rtl w:val="true"/>
        </w:rPr>
        <w:t xml:space="preserve">: </w:t>
      </w:r>
      <w:r>
        <w:rPr>
          <w:rtl w:val="true"/>
        </w:rPr>
        <w:t>في حجية الظن في الأصول الاعتقادية</w:t>
      </w:r>
      <w:bookmarkEnd w:id="170"/>
    </w:p>
    <w:p>
      <w:pPr>
        <w:pStyle w:val="BookText"/>
        <w:rPr/>
      </w:pPr>
      <w:r>
        <w:rPr>
          <w:rFonts w:ascii="Amiri" w:hAnsi="Amiri" w:eastAsia="Amiri" w:cs="Amiri"/>
          <w:color w:val="111111"/>
          <w:sz w:val="28"/>
          <w:sz w:val="28"/>
          <w:szCs w:val="28"/>
          <w:rtl w:val="true"/>
          <w:lang w:bidi="ar-SA"/>
        </w:rPr>
        <w:t>وهو بحث مهم، وقبل الخوض في البحث نقدم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الاعتقادية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الاعتقاد والتدين، ولا يشترط فيه حصول العلم، فالواجب مطلق لا مشروط، كالألوهية والتوحيد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فيه الاعتقاد والتدين على فرض حصول العلم، كتفاصيل المعاد وعالم البرزخ، وأن أول ما خلق اللّه هو الماء، أو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 وأن المبشر والبشير متحدان مع منكر ونكير أو لا</w:t>
      </w:r>
      <w:r>
        <w:rPr>
          <w:rStyle w:val="FootnoteAnchor"/>
          <w:rtl w:val="true"/>
        </w:rPr>
        <w:footnoteReference w:id="376"/>
      </w:r>
      <w:r>
        <w:rPr>
          <w:rFonts w:ascii="IRNazanin" w:hAnsi="IRNazanin" w:eastAsia="IRNazanin"/>
          <w:color w:val="111111"/>
          <w:sz w:val="28"/>
          <w:sz w:val="28"/>
          <w:szCs w:val="28"/>
          <w:rtl w:val="true"/>
          <w:lang w:bidi="fa-IR"/>
        </w:rPr>
        <w:t>، وهل عندنا رومان فتان القبور</w:t>
      </w:r>
      <w:r>
        <w:rPr>
          <w:rStyle w:val="FootnoteAnchor"/>
          <w:rtl w:val="true"/>
        </w:rPr>
        <w:footnoteReference w:id="377"/>
      </w:r>
      <w:r>
        <w:rPr>
          <w:rFonts w:ascii="Amiri" w:hAnsi="Amiri" w:eastAsia="Amiri" w:cs="Amiri"/>
          <w:color w:val="111111"/>
          <w:sz w:val="28"/>
          <w:sz w:val="28"/>
          <w:szCs w:val="28"/>
          <w:rtl w:val="true"/>
          <w:lang w:bidi="ar-SA"/>
        </w:rPr>
        <w:t>؟ وهل الشمس تكون على مقدار رمح أو أكثر؟ وما أشبه ذلك مما يرتبط بتفاصيل الأمور الاعتقادية المرتبطة بالمبدأ والمعاد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البحث في مقامين</w:t>
      </w:r>
      <w:r>
        <w:rPr>
          <w:rFonts w:eastAsia="Amiri" w:cs="Amiri" w:ascii="Amiri" w:hAnsi="Amiri"/>
          <w:color w:val="111111"/>
          <w:sz w:val="28"/>
          <w:szCs w:val="28"/>
          <w:rtl w:val="true"/>
          <w:lang w:bidi="ar-SA"/>
        </w:rPr>
        <w:t xml:space="preserve">: </w:t>
      </w:r>
      <w:bookmarkStart w:id="171" w:name="pg15601_166624"/>
    </w:p>
    <w:p>
      <w:pPr>
        <w:pStyle w:val="Heading6"/>
        <w:numPr>
          <w:ilvl w:val="5"/>
          <w:numId w:val="1"/>
        </w:numPr>
        <w:rPr/>
      </w:pPr>
      <w:bookmarkStart w:id="172" w:name="__RefHeading___Toc10000155_2142443653"/>
      <w:bookmarkStart w:id="173" w:name="_Toc65"/>
      <w:bookmarkEnd w:id="171"/>
      <w:bookmarkEnd w:id="172"/>
      <w:r>
        <w:rPr>
          <w:rtl w:val="true"/>
        </w:rPr>
        <w:t>الأمور الاعتقادية المشروطة بحصول العلم</w:t>
      </w:r>
      <w:bookmarkEnd w:id="173"/>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الاعتقادية المشروطة بحصول العلم، وفيه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الظن المطلق الانسدادي حجة في إثبات الاعتقاديات المشروطة؛ لعدم جريان مقدمات الانسداد في المقام، ومنها عدم إمكان الاحتياط، فالاحتياط ممكن في المقام، بأن يعتقد بما هو الواقع إجمالاً، والمفروض أن الاعتقاد واجب مشروط بحصول العلم، ولم يحصل العلم، والاحتياط ممكن بأن يعتقد فيما هو مدون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 الخاص في الاعتقاديات المشروطة</w:t>
      </w:r>
      <w:r>
        <w:rPr>
          <w:rStyle w:val="FootnoteAnchor"/>
          <w:rtl w:val="true"/>
        </w:rPr>
        <w:footnoteReference w:id="378"/>
      </w:r>
      <w:r>
        <w:rPr>
          <w:rFonts w:ascii="Amiri" w:hAnsi="Amiri" w:eastAsia="Amiri" w:cs="Amiri"/>
          <w:color w:val="111111"/>
          <w:sz w:val="28"/>
          <w:sz w:val="28"/>
          <w:szCs w:val="28"/>
          <w:rtl w:val="true"/>
          <w:lang w:bidi="ar-SA"/>
        </w:rPr>
        <w:t>، فهل يجوز الاعتقاد والإخبار فيما لو قام الدليل المعتبر الظني على تفاصيلها؟ أشكل بعض المعاصرين في جواز ذلك حيث قال</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خبر الواحد في أصول الفقه، فضلاً عن أصول العقائد، فرع وجود إطلاق في أدلة حجية خبر الواحد، وعمدتها السيرة العقلائية، والقدر المتيقن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جوازه، ففي كونه من آثار نفس المسألة الأصولية حتى جاز ترتيبه عليها إذا قام عليها طريق معتبر، أو من آثار العلم بها كي لا يترتب بدونه إشكال</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الآثار آثار الواقع فتترتب على الظن الخاص الآثار المترتبة على الواقع، وإن كانت آثار العلم بالواقع فلا يكون الظن الخاص </w:t>
      </w:r>
    </w:p>
    <w:p>
      <w:pPr>
        <w:pStyle w:val="BookText"/>
        <w:rPr/>
      </w:pPr>
      <w:r>
        <w:rPr>
          <w:rFonts w:ascii="Amiri" w:hAnsi="Amiri" w:eastAsia="Amiri" w:cs="Amiri"/>
          <w:color w:val="111111"/>
          <w:sz w:val="28"/>
          <w:sz w:val="28"/>
          <w:szCs w:val="28"/>
          <w:rtl w:val="true"/>
          <w:lang w:bidi="ar-SA"/>
        </w:rPr>
        <w:t>حجة، وحيث لا دليل في المقام يكون الإقرار والإخبار من قبيل القول بغير العلم،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الاعتقاد والإخبار من آثار الواقع أو آثار العلم بالواقع؟ فلو كان من آثار الواقع قام الظن الخاص مقامه كما مر، في بحث القطع الطريقي بأن الحجج الظنية تقوم مقامه، فالقطع طريق إلى الواقع والأثر للواقع، والدليل المعتبر يثبت الواقع تعبداً، فيترتب عليه أثره، فالحرمة أثر الخمر، والقطع طريق إلى الخمر، والبينة تثبت الخمرية تعبداً، فيترتب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التدين والإذعان والإخبار أثر الواقع، فتقوم الأمارة الظنية بالظن الخاص مقام العلم، أو من آثار العلم بالواقع، يعني القطع الموضوعي؟ والأمارة لا تقوم مقام القطع الموضوعي،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بحياة ولدي فأتصدق، فالأمارة لا تكفي لإثبات الأثر إن لم توجب القطع الوجداني، ويستشكل صاحب الكفاية في ذلك، حيث لا دليل على أن هذه الآثار آثار الواقع، فيكون الإخبار والإقرار من قبيل القول بغير العلم،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علم عدم جواز الإخبار ببعض تفاصيل الحشر والنشر بمجرد مساعدة ظهور آية أو رواية عليه، كما هو ديدن بعض الواعظين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وحتى لو كان الخبر معتبراً صحيحاً أعلائياً فالإخبار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قابل للتأمل؛ لإمكان الاستدلال بدليلين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اللفظية، والتي مر بعضها، وكانت معتبرة، كما سبق،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مطلقة تشمل الفروع العملية، وفروع الأصول الاعتقادية، ولو بقرينة عموم التعليل،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مذيلة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 له وأطع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قرينة على كون السماع في الفروع العملية، إلا أن التعليل</w:t>
      </w:r>
      <w:r>
        <w:rPr>
          <w:rStyle w:val="FootnoteAnchor"/>
          <w:rtl w:val="true"/>
        </w:rPr>
        <w:footnoteReference w:id="385"/>
      </w:r>
      <w:r>
        <w:rPr>
          <w:rFonts w:ascii="Amiri" w:hAnsi="Amiri" w:eastAsia="Amiri" w:cs="Amiri"/>
          <w:color w:val="111111"/>
          <w:sz w:val="28"/>
          <w:sz w:val="28"/>
          <w:szCs w:val="28"/>
          <w:rtl w:val="true"/>
          <w:lang w:bidi="ar-SA"/>
        </w:rPr>
        <w:t>يعمم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لم يقر يأتكم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عليه الحجة ممن يثق به في علمنا فلم يثق به فهو كافر، وأما من لم يسمع فهو في عذر حتى يسمع</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فيما نحن فيه، ولا ترتبط بالفروع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يرويه عنا ثقاتنا، قد عرفوا بأنا نفاوضهم سرنا، ونحمله إياه إليهم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رواه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لك أن </w:t>
      </w:r>
    </w:p>
    <w:p>
      <w:pPr>
        <w:pStyle w:val="BookText"/>
        <w:rPr/>
      </w:pPr>
      <w:r>
        <w:rPr>
          <w:rFonts w:ascii="IRNazanin" w:hAnsi="IRNazanin" w:eastAsia="IRNazanin"/>
          <w:color w:val="111111"/>
          <w:sz w:val="28"/>
          <w:sz w:val="28"/>
          <w:szCs w:val="28"/>
          <w:rtl w:val="true"/>
          <w:lang w:bidi="fa-IR"/>
        </w:rPr>
        <w:t>ترده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أبان بن تغلب فإنه قد سمع مني حديثاً كثيراً، فما رواه لك فاروه عني</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دعوى أن هذه الروايات</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الروايات المعتبرة، وبعضها الصحيح الأعلائي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القطع بالصدور، وقد قال بعض الأصوليين في موضعه نقطع وجدانا بصدورها</w:t>
      </w:r>
      <w:r>
        <w:rPr>
          <w:rStyle w:val="FootnoteAnchor"/>
          <w:rtl w:val="true"/>
        </w:rPr>
        <w:footnoteReference w:id="391"/>
      </w:r>
      <w:r>
        <w:rPr>
          <w:rFonts w:ascii="Amiri" w:hAnsi="Amiri" w:eastAsia="Amiri" w:cs="Amiri"/>
          <w:color w:val="111111"/>
          <w:sz w:val="28"/>
          <w:sz w:val="28"/>
          <w:szCs w:val="28"/>
          <w:rtl w:val="true"/>
          <w:lang w:bidi="ar-SA"/>
        </w:rPr>
        <w:t>، ولا يفرق فيها بين كون المخبر به فرع عملي، أو أمر اعتقادي لا يطلب فيه العلم الوجداني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حجية الخبر الواحد بالسيرة العملية، وقد قلنا إنه لو لم يكن خبر الواحد حجة في نظر الشارع لكانت ظاهرة غير مألوفة؛ لجريان طريقة العقلاء على الاعتماد على أخبار الثقاة، فلو أراد الشارع تغيير هذه الطريقة لبان، وكانت ترد عنه روايات كثيرة، كما هو الحال في القياس، والمقام كذلك، فالعقلاء يعتمدون على أخبار الثقاة، ولا يفرق عندهم بين ما يرتبط بالعمل أو لا يرتبط به مباشرة، فلو أراد الشارع الاعتماد على أخبار الثقاة في خصوص الفروع العملية دون الاعتقادية، ولم يكن اعتماد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في الأمور الاعتقادية، كعلم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وأحوال القيامة والبعث والنشور، لبان ذلك لنا، وحيث </w:t>
      </w:r>
    </w:p>
    <w:p>
      <w:pPr>
        <w:pStyle w:val="BookText"/>
        <w:rPr/>
      </w:pPr>
      <w:r>
        <w:rPr>
          <w:rFonts w:ascii="Amiri" w:hAnsi="Amiri" w:eastAsia="Amiri" w:cs="Amiri"/>
          <w:color w:val="111111"/>
          <w:sz w:val="28"/>
          <w:sz w:val="28"/>
          <w:szCs w:val="28"/>
          <w:rtl w:val="true"/>
          <w:lang w:bidi="ar-SA"/>
        </w:rPr>
        <w:t>لم يبن فلم يكن، قال الشيخ الأعظم</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وجوبه</w:t>
      </w:r>
      <w:r>
        <w:rPr>
          <w:rStyle w:val="FootnoteAnchor"/>
          <w:rtl w:val="true"/>
        </w:rPr>
        <w:footnoteReference w:id="393"/>
      </w:r>
      <w:r>
        <w:rPr>
          <w:rFonts w:ascii="Amiri" w:hAnsi="Amiri" w:eastAsia="Amiri" w:cs="Amiri"/>
          <w:color w:val="111111"/>
          <w:sz w:val="28"/>
          <w:sz w:val="28"/>
          <w:szCs w:val="28"/>
          <w:rtl w:val="true"/>
          <w:lang w:bidi="ar-SA"/>
        </w:rPr>
        <w:t>في مورد خبر الواحد، بناء على أن هذا نوع عمل بالخبر</w:t>
      </w:r>
      <w:r>
        <w:rPr>
          <w:rStyle w:val="FootnoteAnchor"/>
          <w:rtl w:val="true"/>
        </w:rPr>
        <w:footnoteReference w:id="394"/>
      </w:r>
      <w:r>
        <w:rPr>
          <w:rFonts w:ascii="Amiri" w:hAnsi="Amiri" w:eastAsia="Amiri" w:cs="Amiri"/>
          <w:color w:val="111111"/>
          <w:sz w:val="28"/>
          <w:sz w:val="28"/>
          <w:szCs w:val="28"/>
          <w:rtl w:val="true"/>
          <w:lang w:bidi="ar-SA"/>
        </w:rPr>
        <w:t>، فإن ما دل على وجوب تصديق العادل لا يأبى الشمول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العمل بالخبر لا لأجل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أدلة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الإجماع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 على ذلك</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رجوعه محل تأمل، فإن الأخبار تدل على حجية أخبار الآحاد،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الإجماع العملي هو الدليل على الحجية، فقد مر أن الإجماع العملي يساعد على الحجية المطلقة، 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في بطلان صوم من يخبر بما لا يعلم عن اللّه، والنبي،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الراوي ثقة يشمله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بمنزلته من الأدلة المسوغة للإخبار،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الخبر عن الكذب العمدي، فهو مما أذن به اللّه، وهو قول على اللّه بما يعلم، 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حجة، بمعنى أنه لا مانع من الالتزام بمتعلقه</w:t>
      </w:r>
      <w:r>
        <w:rPr>
          <w:rStyle w:val="FootnoteAnchor"/>
          <w:rtl w:val="true"/>
        </w:rPr>
        <w:footnoteReference w:id="398"/>
      </w:r>
      <w:bookmarkStart w:id="174" w:name="pg15601_166635"/>
    </w:p>
    <w:p>
      <w:pPr>
        <w:pStyle w:val="BookText"/>
        <w:rPr/>
      </w:pPr>
      <w:bookmarkEnd w:id="174"/>
      <w:r>
        <w:rPr>
          <w:rFonts w:ascii="Amiri" w:hAnsi="Amiri" w:eastAsia="Amiri" w:cs="Amiri"/>
          <w:color w:val="111111"/>
          <w:sz w:val="28"/>
          <w:sz w:val="28"/>
          <w:szCs w:val="28"/>
          <w:rtl w:val="true"/>
          <w:lang w:bidi="ar-SA"/>
        </w:rPr>
        <w:t>وعقد القلب عليه، لأنه ثابت بالتعبد الشرعي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رتب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ثمرة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ظهورات الآيات الكريمة والروايات المتواترة في الأمور الاعتقادية،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فهل يمكن الاعتماد 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ظاهرة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الميزان المادي والاعتقاد والإخبار به؟ فلو قلنا بحجية الظواهر مطلقاً، سواء فيما يتعلق بالأمور العلمية، أم الاعتقادية من النوع الأول، لأمكن التدين والإذعان والإقرار، وأمكن القول بأن الميزان ميزان مادي</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0000157_2142443653"/>
      <w:bookmarkStart w:id="176" w:name="_Toc66"/>
      <w:bookmarkEnd w:id="175"/>
      <w:r>
        <w:rPr>
          <w:rtl w:val="true"/>
        </w:rPr>
        <w:t>حجية الظن في الأمور الاعتقادية التي يجب تحصيل العلم بها</w:t>
      </w:r>
      <w:bookmarkEnd w:id="17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 في الأمور الاعتقادية التي يجب تحصيل العلم بها، وليست من الواجبات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ضمن عدة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القادر على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 جهلاً قصوريا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 جهلاً تقصيرياً</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0000159_2142443653"/>
      <w:bookmarkStart w:id="178" w:name="_Toc67"/>
      <w:bookmarkEnd w:id="177"/>
      <w:r>
        <w:rPr>
          <w:rtl w:val="true"/>
        </w:rPr>
        <w:t>البحث الأول</w:t>
      </w:r>
      <w:bookmarkEnd w:id="1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الظن للقادر على تحصيل العلم، سواء كان </w:t>
      </w:r>
      <w:bookmarkStart w:id="179" w:name="pg15601_166637"/>
    </w:p>
    <w:p>
      <w:pPr>
        <w:pStyle w:val="BookText"/>
        <w:rPr/>
      </w:pPr>
      <w:bookmarkEnd w:id="179"/>
      <w:r>
        <w:rPr>
          <w:rFonts w:ascii="Amiri" w:hAnsi="Amiri" w:eastAsia="Amiri" w:cs="Amiri"/>
          <w:color w:val="111111"/>
          <w:sz w:val="28"/>
          <w:sz w:val="28"/>
          <w:szCs w:val="28"/>
          <w:rtl w:val="true"/>
          <w:lang w:bidi="ar-SA"/>
        </w:rPr>
        <w:t>الظن انسدادياً أم خاصاً؛ لأن العقل أو النقل أوجب تحصيل العلم أو المعرفة،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وليست المعرفة الظنية علماً، وقد ذكروا في علم العقائد وجوب معرفة 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المنعم، ولا يتحقق شكره إلا بمعرفته، أو إن المعرفة نوع من أنواع الشكر، والنبي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الفيوضات الإلهية وأولياء النعم، فالعقل يوجب معرفة اللّه تعالى، والنبي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شكر المنعم، أو من باب وجوب دفع الضرر المحتمل، فلو وجب تحصيل العلم في مسألة عقلاً أو نقلاً، فلا يكتفى فيها بالظن، لأنه ليس علماً ويقيناً وتفقهاً، ولا يفرق في ذلك بين أسباب حصول العلم،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يكفي التقليد في أصول الدين، لو أورث العلم</w:t>
      </w:r>
      <w:r>
        <w:rPr>
          <w:rStyle w:val="FootnoteAnchor"/>
          <w:rtl w:val="true"/>
        </w:rPr>
        <w:footnoteReference w:id="403"/>
      </w:r>
      <w:r>
        <w:rPr>
          <w:rFonts w:ascii="Amiri" w:hAnsi="Amiri" w:eastAsia="Amiri" w:cs="Amiri"/>
          <w:color w:val="111111"/>
          <w:sz w:val="28"/>
          <w:sz w:val="28"/>
          <w:szCs w:val="28"/>
          <w:rtl w:val="true"/>
          <w:lang w:bidi="ar-SA"/>
        </w:rPr>
        <w:t>؟ المختار أنه لم يدل دليل على لزوم تحصيل العلم من طريق خاص، فإذا أوجب التقليد العلم كفى، وهذا بحث مفصل يوكل إلى محله</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0000161_2142443653"/>
      <w:bookmarkStart w:id="181" w:name="_Toc68"/>
      <w:bookmarkEnd w:id="180"/>
      <w:r>
        <w:rPr>
          <w:rtl w:val="true"/>
        </w:rPr>
        <w:t>البحث الثاني</w:t>
      </w:r>
      <w:bookmarkEnd w:id="181"/>
    </w:p>
    <w:p>
      <w:pPr>
        <w:pStyle w:val="BookText"/>
        <w:rPr/>
      </w:pPr>
      <w:r>
        <w:rPr>
          <w:rFonts w:ascii="Amiri" w:hAnsi="Amiri" w:eastAsia="Amiri" w:cs="Amiri"/>
          <w:color w:val="111111"/>
          <w:sz w:val="28"/>
          <w:sz w:val="28"/>
          <w:szCs w:val="28"/>
          <w:rtl w:val="true"/>
          <w:lang w:bidi="ar-SA"/>
        </w:rPr>
        <w:t>أما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بتحصيل المعارف الضرورية على نحو الجهل القصوري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وجود الجاهل القاصر، فهل هنالك جاهل قاصر في المعارف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كالألوهية والنبوة والمعاد</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شكك في وجود الجاهل القاصر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وقد فسرت العبادة بالمعرفة، وأوضح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وظاهر اللام الغاية، فعلة الخلق أن تعلموا، وقد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يترتب على شيء لا يعقل أن يكون غاية أو غرضاً له لدى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جاهلاً أمكن أن يكون ما لا يترتب غاية، أما العالم بعدم ترتب الشيء، كمن يعلم أنه إذا ذهب إلى السوق لا يترتب عليه الشراء؛ لعدم وجود بائع، فلا يعقل أن يكون ذهابه إلى السوق لغاية الشراء، وعليه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المعرفة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على خلق كل إنسان، فكل إنسان يكون عالماً، فلا وجود للجاهل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بالأطفال والمجانين، فإن ماتوا قبل الشعور والإدراك لم تتحقق فيهم الغاية، فما يجاب به هنا يجاب به في الجاهل القاصر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عليه، بأن نفي العلم فرع الإحاطة العلمية، ولا نحيط علماً بمشاعر الأطفال والمجانين، فلا يمكن نفي علمهم بالمعارف الضرورية، وهو رجم بالغيب، إلا أن يجاب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النفي، وهي تفيد </w:t>
      </w:r>
    </w:p>
    <w:p>
      <w:pPr>
        <w:pStyle w:val="BookText"/>
        <w:rPr/>
      </w:pPr>
      <w:r>
        <w:rPr>
          <w:rFonts w:ascii="Amiri" w:hAnsi="Amiri" w:eastAsia="Amiri" w:cs="Amiri"/>
          <w:color w:val="111111"/>
          <w:sz w:val="28"/>
          <w:sz w:val="28"/>
          <w:szCs w:val="28"/>
          <w:rtl w:val="true"/>
          <w:lang w:bidi="ar-SA"/>
        </w:rPr>
        <w:t>العموم، وعليه فالطفل عند الولادة لا علم له حتى بالبديهيات والأوليات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غاية للنوع لا لكل واحد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ظاهر أمثال هذه الغايات الاستغراق الأفرداي، كمن يأتي بجمع من العمال ثم يقول لهم جئت بكم هنا لتبنوا هذا البيت،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 الغاية الاستغراقية، وتشمل جميع الأفراد،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لِتَعْلَمُوا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يعني ليعلم، وليعبد كل واحد واحد منكم، لأن الخطاب بمجموع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وجود القاصر بالنسبة إلى معرفة اللّه تعالى، وكما قال البعض</w:t>
      </w:r>
      <w:r>
        <w:rPr>
          <w:rStyle w:val="FootnoteAnchor"/>
          <w:rtl w:val="true"/>
        </w:rPr>
        <w:footnoteReference w:id="410"/>
      </w:r>
      <w:r>
        <w:rPr>
          <w:rFonts w:ascii="Amiri" w:hAnsi="Amiri" w:eastAsia="Amiri" w:cs="Amiri"/>
          <w:color w:val="111111"/>
          <w:sz w:val="28"/>
          <w:sz w:val="28"/>
          <w:szCs w:val="28"/>
          <w:rtl w:val="true"/>
          <w:lang w:bidi="ar-SA"/>
        </w:rPr>
        <w:t xml:space="preserve">إن الإنسان أول ما يدرك يدرك ذاته، ثم وجود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يدرك وجود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هذا الترتيب نظر يبحث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الإيمان بالخالق مسألة فطرية، إلا أنه لا يثبت أن كل المعارف الضرورية فطرية وإنها هي الغاية، كالإيمان بالمعاد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معرفة اللّه غاية، لكن الآيتين لا تتكفلان بإثبات كون بقية المعارف الضرورية غاية، فالدليل أخص من المدعى، وعليه يمكن القول بإمكان وجود القاصر في ثبوت المعاد، أو مسألة الإمامة أو المعاد الجسماني، ومنه يظهر الكلام في الوجه الآتي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حَنِيفًا فِطْرَةَ اللَّهِ الَّتِي </w:t>
      </w:r>
    </w:p>
    <w:p>
      <w:pPr>
        <w:pStyle w:val="BookText"/>
        <w:rPr/>
      </w:pPr>
      <w:r>
        <w:rPr>
          <w:rFonts w:ascii="Amiri" w:hAnsi="Amiri" w:eastAsia="Amiri" w:cs="Amiri"/>
          <w:color w:val="111111"/>
          <w:sz w:val="28"/>
          <w:sz w:val="28"/>
          <w:szCs w:val="28"/>
          <w:rtl w:val="true"/>
          <w:lang w:bidi="ar-SA"/>
        </w:rPr>
        <w:t>فَطَرَ النَّاسَ عَلَيْهَا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حيث إنه أمر فطري، لكن الإشكال الثالث المذكور على الوجه الأول يرد على هذا الوجه أيضاً، فلا يعلم أن للآية إطلاقاً لجميع المعارف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لنفي وجود الجاهل القاصر في المعارف الضرورية، وإن تأمل فيه، وهو مركب من ثلاث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العمومات</w:t>
      </w:r>
      <w:r>
        <w:rPr>
          <w:rStyle w:val="FootnoteAnchor"/>
          <w:rtl w:val="true"/>
        </w:rPr>
        <w:footnoteReference w:id="413"/>
      </w:r>
      <w:r>
        <w:rPr>
          <w:rFonts w:ascii="Amiri" w:hAnsi="Amiri" w:eastAsia="Amiri" w:cs="Amiri"/>
          <w:color w:val="111111"/>
          <w:sz w:val="28"/>
          <w:sz w:val="28"/>
          <w:szCs w:val="28"/>
          <w:rtl w:val="true"/>
          <w:lang w:bidi="ar-SA"/>
        </w:rPr>
        <w:t>على حصر الناس في المؤمن والكافر، وعدم وجود قسم ثالث،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وَمِنكُم مُّؤْمِنٌ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على خلود الكافرين في النار،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وَالْمُشْرِكِينَ فِي نَارِ جَهَنَّمَ خَالِدِينَ فِيهَا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العقلي على قبح عقاب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الكفار من أهل النار، ولأنه يقبح عقاب الجاهل القاصر، إذن كلهم مقصرون، ولا يوجد هنالك قاصر، وإلا لقبح عقابهم بالإلقاء في جهنم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المقدمات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فلما سيأتي، من أن الحصر غير حاصر، لوجود واسطة بين الكافر والمؤمن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كان هنالك عموم لإثباته، إلا أنه مخصص بالروايات التي تنص على عدم دخولهم وخلودهم في النار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إبراهيم القمي، عن أبيه، عن حماد، عن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جمع اللّه عز وجل الأطفال</w:t>
      </w:r>
      <w:r>
        <w:rPr>
          <w:rStyle w:val="FootnoteAnchor"/>
          <w:rtl w:val="true"/>
        </w:rPr>
        <w:footnoteReference w:id="418"/>
      </w:r>
      <w:r>
        <w:rPr>
          <w:rFonts w:ascii="Amiri" w:hAnsi="Amiri" w:eastAsia="Amiri" w:cs="Amiri"/>
          <w:color w:val="111111"/>
          <w:sz w:val="28"/>
          <w:sz w:val="28"/>
          <w:szCs w:val="28"/>
          <w:rtl w:val="true"/>
          <w:lang w:bidi="ar-SA"/>
        </w:rPr>
        <w:t>، والذي مات من الناس في الفترة</w:t>
      </w:r>
      <w:r>
        <w:rPr>
          <w:rStyle w:val="FootnoteAnchor"/>
          <w:rtl w:val="true"/>
        </w:rPr>
        <w:footnoteReference w:id="419"/>
      </w:r>
      <w:r>
        <w:rPr>
          <w:rFonts w:ascii="Amiri" w:hAnsi="Amiri" w:eastAsia="Amiri" w:cs="Amiri"/>
          <w:color w:val="111111"/>
          <w:sz w:val="28"/>
          <w:sz w:val="28"/>
          <w:szCs w:val="28"/>
          <w:rtl w:val="true"/>
          <w:lang w:bidi="ar-SA"/>
        </w:rPr>
        <w:t>، والشيخ الكبير الذي أدرك النبي وهو لا يعقل، والأصم والأبكم الذي لا يعقل، والمجنون والأبله الذي لا يعقل</w:t>
      </w:r>
      <w:r>
        <w:rPr>
          <w:rStyle w:val="FootnoteAnchor"/>
          <w:rtl w:val="true"/>
        </w:rPr>
        <w:footnoteReference w:id="420"/>
      </w:r>
      <w:r>
        <w:rPr>
          <w:rFonts w:ascii="Amiri" w:hAnsi="Amiri" w:eastAsia="Amiri" w:cs="Amiri"/>
          <w:color w:val="111111"/>
          <w:sz w:val="28"/>
          <w:sz w:val="28"/>
          <w:szCs w:val="28"/>
          <w:rtl w:val="true"/>
          <w:lang w:bidi="ar-SA"/>
        </w:rPr>
        <w:t>، وكل واحد منهم يحتج على اللّه عز وجل</w:t>
      </w:r>
      <w:r>
        <w:rPr>
          <w:rStyle w:val="FootnoteAnchor"/>
          <w:rtl w:val="true"/>
        </w:rPr>
        <w:footnoteReference w:id="421"/>
      </w:r>
      <w:r>
        <w:rPr>
          <w:rFonts w:ascii="Amiri" w:hAnsi="Amiri" w:eastAsia="Amiri" w:cs="Amiri"/>
          <w:color w:val="111111"/>
          <w:sz w:val="28"/>
          <w:sz w:val="28"/>
          <w:szCs w:val="28"/>
          <w:rtl w:val="true"/>
          <w:lang w:bidi="ar-SA"/>
        </w:rPr>
        <w:t>، فيبعث اللّه إليهم ملكاً من الملائكة فيؤجج لهم ناراً، ثم يبعث اللّه إليهم ملكاً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يأمركم أن تثبوا فيها، فمن دخلها كانت عليه برداً وسلاماً وأدخل الجنة، ومن تخلف عنها دخل النار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إبراهيم، عن أبيه، عن ابن أبي عمير، عن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عمن مات في الفترة، وعمن لم يدرك </w:t>
      </w:r>
    </w:p>
    <w:p>
      <w:pPr>
        <w:pStyle w:val="BookText"/>
        <w:rPr/>
      </w:pPr>
      <w:r>
        <w:rPr>
          <w:rFonts w:ascii="IRNazanin" w:hAnsi="IRNazanin" w:eastAsia="IRNazanin"/>
          <w:color w:val="111111"/>
          <w:sz w:val="28"/>
          <w:sz w:val="28"/>
          <w:szCs w:val="28"/>
          <w:rtl w:val="true"/>
          <w:lang w:bidi="fa-IR"/>
        </w:rPr>
        <w:t>الحنث</w:t>
      </w:r>
      <w:r>
        <w:rPr>
          <w:rStyle w:val="FootnoteAnchor"/>
          <w:rtl w:val="true"/>
        </w:rPr>
        <w:footnoteReference w:id="425"/>
      </w:r>
      <w:r>
        <w:rPr>
          <w:rFonts w:ascii="IRNazanin" w:hAnsi="IRNazanin" w:eastAsia="IRNazanin"/>
          <w:color w:val="111111"/>
          <w:sz w:val="28"/>
          <w:sz w:val="28"/>
          <w:szCs w:val="28"/>
          <w:rtl w:val="true"/>
          <w:lang w:bidi="fa-IR"/>
        </w:rPr>
        <w:t>والمعتوه؟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اللّه عليهم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w:t>
      </w:r>
      <w:r>
        <w:rPr>
          <w:rStyle w:val="FootnoteAnchor"/>
          <w:rtl w:val="true"/>
        </w:rPr>
        <w:footnoteReference w:id="427"/>
      </w:r>
      <w:r>
        <w:rPr>
          <w:rFonts w:ascii="Amiri" w:hAnsi="Amiri" w:eastAsia="Amiri" w:cs="Amiri"/>
          <w:color w:val="111111"/>
          <w:sz w:val="28"/>
          <w:sz w:val="28"/>
          <w:szCs w:val="28"/>
          <w:rtl w:val="true"/>
          <w:lang w:bidi="ar-SA"/>
        </w:rPr>
        <w:t>والطفل ومن مات في الفترة فترفع لهم نار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فرضنا تمامية المقدمة الأولى، لكن المقدمة الثانية محل تأمل؛ فإن الكافر قد يدخل النار، وقد لا يدخل، والقاصر منهم يعاد امتحانه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عنها عرضاً بمناسبة، صاحب الكفاية في الحاشية، بعدم القبح في عقاب الجاهل القاصر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 العقاب بالمؤاخذة على العصيان، يقبح عقاب القاصر، لكن لو فسر العقاب بالأثر الوضعي المترتب على النقص الذاتي فلا يقبح،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نقصان الإنسان لذلك يوجب بعده عن ساحة جلاله تعالى، وهو يستتبع لا محالة دركة من الدركات، وعليه فلا إشكال فيما هو ظاهر بعض الروايات والآيات، من خلود الكافر مطلقاً ولو كان قاصرا</w:t>
      </w:r>
      <w:r>
        <w:rPr>
          <w:rStyle w:val="FootnoteAnchor"/>
          <w:rtl w:val="true"/>
        </w:rPr>
        <w:footnoteReference w:id="429"/>
      </w:r>
      <w:r>
        <w:rPr>
          <w:rFonts w:ascii="Amiri" w:hAnsi="Amiri" w:eastAsia="Amiri" w:cs="Amiri"/>
          <w:color w:val="111111"/>
          <w:sz w:val="28"/>
          <w:sz w:val="28"/>
          <w:szCs w:val="28"/>
          <w:rtl w:val="true"/>
          <w:lang w:bidi="ar-SA"/>
        </w:rPr>
        <w:t>، فقصوره إنما ينفعه في دفع المؤاخذة عنه بما يتبعها من الدركات، لا فيما يستتبعه نقصان ذاته ودنو نفسه وخساسته، فإذا انتهى إلى اقتضاء الذات لذلك فلا مجال للسؤال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ذاتي، وذاتيه النقص، فشقاوة الشقي كحمارية الحمار، فكما 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الحمار ناهقاً، لا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الشمر شمراً؟</w:t>
      </w:r>
    </w:p>
    <w:p>
      <w:pPr>
        <w:pStyle w:val="BookText"/>
        <w:rPr/>
      </w:pPr>
      <w:r>
        <w:rPr>
          <w:rFonts w:ascii="Amiri" w:hAnsi="Amiri" w:eastAsia="Amiri" w:cs="Amiri"/>
          <w:color w:val="111111"/>
          <w:sz w:val="28"/>
          <w:sz w:val="28"/>
          <w:szCs w:val="28"/>
          <w:rtl w:val="true"/>
          <w:lang w:bidi="ar-SA"/>
        </w:rPr>
        <w:t>و له عبارت متعددة في مواقع مختلفة في الحاشية، وفي مباحث الطلب والإرادة وفي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قال السبزواري في ارجوزته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ذاتي شيء لم يكن 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 يسبقه تعقلا</w:t>
      </w:r>
    </w:p>
    <w:p>
      <w:pPr>
        <w:pStyle w:val="BookText"/>
        <w:rPr/>
      </w:pPr>
      <w:r>
        <w:rPr>
          <w:rFonts w:ascii="Amiri" w:hAnsi="Amiri" w:eastAsia="Amiri" w:cs="Amiri"/>
          <w:color w:val="111111"/>
          <w:sz w:val="28"/>
          <w:sz w:val="28"/>
          <w:szCs w:val="28"/>
          <w:rtl w:val="true"/>
          <w:lang w:bidi="ar-SA"/>
        </w:rPr>
        <w:t>وكان أيضاً بين الثبوت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وعرضيه اعرفن مقابله</w:t>
      </w:r>
      <w:r>
        <w:rPr>
          <w:rStyle w:val="FootnoteAnchor"/>
          <w:rtl w:val="true"/>
        </w:rPr>
        <w:footnoteReference w:id="4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ذاتية الشقاوة والعصيان فهو خلاف الوجدان والقرآن والروايات، وتفصيله في مباحث الطلب والإرادة، وأما مسألة الخلود في جهنم، وإنه أثر وضعي لبعده عن ساحة الحق، فغير واضح، لأن ظاهر الآيات والروايات الكريمة أن الخلود في جهنم نوع من العقاب، ونوع من أنواع الإيلام، والغضب الإلهي، ولا تنسجم هذه المعاني مع القصور، بأن يؤلم اللّه عبده لشيء خارج عن اختياره، كمن ولد في قلب كهف ولم تبلغه مسألة المعاد، فيخلد في نار جهنم ويعاقب بأشد العقوبة،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أي ظاهرة أسنانهم كالشاة المشوية</w:t>
      </w:r>
      <w:r>
        <w:rPr>
          <w:rStyle w:val="FootnoteAnchor"/>
          <w:rtl w:val="true"/>
        </w:rPr>
        <w:footnoteReference w:id="434"/>
      </w:r>
      <w:r>
        <w:rPr>
          <w:rFonts w:ascii="IRNazanin" w:hAnsi="IRNazanin" w:eastAsia="IRNazanin"/>
          <w:color w:val="111111"/>
          <w:sz w:val="28"/>
          <w:sz w:val="28"/>
          <w:szCs w:val="28"/>
          <w:rtl w:val="true"/>
          <w:lang w:bidi="fa-IR"/>
        </w:rPr>
        <w:t>، وقال عز من قائل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اخْسَؤُوا فِيهَا وَلَا تُكَلِّمُونِ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أثار وضعية قبيح في نظر العقل، أما القول بعدم دخوله الجنة، لعدم كونه أهلاً فمعقول، لكن العقاب والإيلام والإيذاء لشيء ليس باختياره، فالظاهر أنه نوع من أنواع الظلم، ومرفوض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على أن المخطئ في العقائد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في العدة</w:t>
      </w:r>
      <w:r>
        <w:rPr>
          <w:rStyle w:val="FootnoteAnchor"/>
          <w:rtl w:val="true"/>
        </w:rPr>
        <w:footnoteReference w:id="437"/>
      </w:r>
      <w:r>
        <w:rPr>
          <w:rFonts w:ascii="Amiri" w:hAnsi="Amiri" w:eastAsia="Amiri" w:cs="Amiri"/>
          <w:color w:val="111111"/>
          <w:sz w:val="28"/>
          <w:sz w:val="28"/>
          <w:szCs w:val="28"/>
          <w:rtl w:val="true"/>
          <w:lang w:bidi="ar-SA"/>
        </w:rPr>
        <w:t>، وكذا صاحب المعالم</w:t>
      </w:r>
      <w:r>
        <w:rPr>
          <w:rStyle w:val="FootnoteAnchor"/>
          <w:rtl w:val="true"/>
        </w:rPr>
        <w:footnoteReference w:id="438"/>
      </w:r>
      <w:r>
        <w:rPr>
          <w:rFonts w:ascii="Amiri" w:hAnsi="Amiri" w:eastAsia="Amiri" w:cs="Amiri"/>
          <w:color w:val="111111"/>
          <w:sz w:val="28"/>
          <w:sz w:val="28"/>
          <w:szCs w:val="28"/>
          <w:rtl w:val="true"/>
          <w:lang w:bidi="ar-SA"/>
        </w:rPr>
        <w:t>، وعدم المعذورية يلازم عدم القصور، وإلا فالجاهل القاصر معذور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لأنه دليل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فالوجوه المذكورة لإثبات عدم وجود الجاهل القاصر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يقتضيه الإنصاف شهادة الوجدان بقصور بعض المكلفين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العاجز عن التحصيل بمنزلة البهائم لا تكليف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الجاهل القاصر كافر أم لا؟</w:t>
      </w:r>
    </w:p>
    <w:p>
      <w:pPr>
        <w:pStyle w:val="BookText"/>
        <w:rPr/>
      </w:pPr>
      <w:r>
        <w:rPr>
          <w:rFonts w:ascii="Amiri" w:hAnsi="Amiri" w:eastAsia="Amiri" w:cs="Amiri"/>
          <w:color w:val="111111"/>
          <w:sz w:val="28"/>
          <w:sz w:val="28"/>
          <w:szCs w:val="28"/>
          <w:rtl w:val="true"/>
          <w:lang w:bidi="ar-SA"/>
        </w:rPr>
        <w:t xml:space="preserve">ظاهر كلمات بعض المتكلمين أن الإيمان والكفر من قبيل العدم والملكة، فلا واسطة بينهما في المحل القابل، ويمكن ارتفاعهما إن لم يكن المحل 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المحل القابل، فارتفاع أحدهما يساوق وجود الثاني، فكل من ليس مؤمناً فهو كافر، ولكن ظاهر مجموعة من الأخبار ثبوت الواسطة بين الإيمان والكفر، كما تشير إلى ذلك مجموعة من الروايات الشريفة،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معاني الأخبار للصدوق بسند معتبر ودلالة ظاهرة،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Style w:val="FootnoteAnchor"/>
          <w:rtl w:val="true"/>
        </w:rPr>
        <w:footnoteReference w:id="441"/>
      </w:r>
      <w:r>
        <w:rPr>
          <w:rFonts w:ascii="IRNazanin" w:hAnsi="IRNazanin" w:eastAsia="IRNazanin"/>
          <w:color w:val="111111"/>
          <w:sz w:val="28"/>
          <w:sz w:val="28"/>
          <w:szCs w:val="28"/>
          <w:rtl w:val="true"/>
          <w:lang w:bidi="fa-IR"/>
        </w:rPr>
        <w:t>، عن سعد</w:t>
      </w:r>
      <w:r>
        <w:rPr>
          <w:rStyle w:val="FootnoteAnchor"/>
          <w:rtl w:val="true"/>
        </w:rPr>
        <w:footnoteReference w:id="442"/>
      </w:r>
      <w:r>
        <w:rPr>
          <w:rFonts w:ascii="Amiri" w:hAnsi="Amiri" w:eastAsia="Amiri" w:cs="Amiri"/>
          <w:color w:val="111111"/>
          <w:sz w:val="28"/>
          <w:sz w:val="28"/>
          <w:szCs w:val="28"/>
          <w:rtl w:val="true"/>
          <w:lang w:bidi="ar-SA"/>
        </w:rPr>
        <w:t>، عن ابن عيسى</w:t>
      </w:r>
      <w:r>
        <w:rPr>
          <w:rStyle w:val="FootnoteAnchor"/>
          <w:rtl w:val="true"/>
        </w:rPr>
        <w:footnoteReference w:id="443"/>
      </w:r>
      <w:r>
        <w:rPr>
          <w:rFonts w:ascii="Amiri" w:hAnsi="Amiri" w:eastAsia="Amiri" w:cs="Amiri"/>
          <w:color w:val="111111"/>
          <w:sz w:val="28"/>
          <w:sz w:val="28"/>
          <w:szCs w:val="28"/>
          <w:rtl w:val="true"/>
          <w:lang w:bidi="ar-SA"/>
        </w:rPr>
        <w:t>، عن علي بن الحكم، عن سيف بن عميرة، عن أبي الصباح</w:t>
      </w:r>
      <w:r>
        <w:rPr>
          <w:rStyle w:val="FootnoteAnchor"/>
          <w:rtl w:val="true"/>
        </w:rPr>
        <w:footnoteReference w:id="444"/>
      </w:r>
      <w:r>
        <w:rPr>
          <w:rFonts w:ascii="Amiri" w:hAnsi="Amiri" w:eastAsia="Amiri" w:cs="Amiri"/>
          <w:color w:val="111111"/>
          <w:sz w:val="28"/>
          <w:sz w:val="28"/>
          <w:szCs w:val="28"/>
          <w:rtl w:val="true"/>
          <w:lang w:bidi="ar-SA"/>
        </w:rPr>
        <w:t>،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المستضعفين الذين لا يجدون حيلة ولا يهتدون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حيلة فيدخلوا في الكفر، ولا يهتدون فيدخلوا في الإيمان، فليس هم من الكفر والإيمان في شيء</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عن الكليني، عن عدة من أصحابنا، عن أحمد بن محمد بن خالد، عن أبيه، عن خلف بن حماد، عن أبي أيوب الخزاز،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 يساره وزرارة </w:t>
      </w:r>
    </w:p>
    <w:p>
      <w:pPr>
        <w:pStyle w:val="BookText"/>
        <w:rPr/>
      </w:pPr>
      <w:r>
        <w:rPr>
          <w:rFonts w:ascii="IRNazanin" w:hAnsi="IRNazanin" w:eastAsia="IRNazanin"/>
          <w:color w:val="111111"/>
          <w:sz w:val="28"/>
          <w:sz w:val="28"/>
          <w:szCs w:val="28"/>
          <w:rtl w:val="true"/>
          <w:lang w:bidi="fa-IR"/>
        </w:rPr>
        <w:t>عن يمينه، فدخل عليه أبو بصير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فيمن شك في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يكفر إذا جحد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الشك مصاحباً للجحود فهو موجب للكفر، وإلا فلا، وقد ذكر العلامة المجلسي</w:t>
      </w:r>
      <w:r>
        <w:rPr>
          <w:rStyle w:val="FootnoteAnchor"/>
          <w:rtl w:val="true"/>
        </w:rPr>
        <w:footnoteReference w:id="447"/>
      </w:r>
      <w:r>
        <w:rPr>
          <w:rFonts w:ascii="Amiri" w:hAnsi="Amiri" w:eastAsia="Amiri" w:cs="Amiri"/>
          <w:color w:val="111111"/>
          <w:sz w:val="28"/>
          <w:sz w:val="28"/>
          <w:szCs w:val="28"/>
          <w:rtl w:val="true"/>
          <w:lang w:bidi="ar-SA"/>
        </w:rPr>
        <w:t>في ذيلها احتمالات،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أصول الدين مطلقاً إنما يصير سبباً للكفر بعد البيان، وإقامة الدليل، ومن لم تتم عليه الحجة ليس كذلك، فالمستضعف الذي لا يمكنه التمييز بين الحق والباطل، ولم تتم عليه الحجة ليس بكافر، وقد كان زرارة في إبان شبابه يزعم عدم الواسطة بين الكفر والإيمان، وله مناظرة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وقد 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لو بقيت لرجعت عن هذا الكلام، وتحللت عنك عقدك</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أو الحسنة، عن الكليني، عن علي بن إبراهيم، عن أبيه، عن ابن أبي عمير، عن جميل،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المستضعفون الذين لا يستطيعون حيلة ولا يهتدون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إلى الإيمان ولا يكفرون، الصبيان، وأشباه عقول الصبيان من الرجال والنساء</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عدة من أصحابنا، عن سهل بن زياد، عن ابن </w:t>
      </w:r>
    </w:p>
    <w:p>
      <w:pPr>
        <w:pStyle w:val="BookText"/>
        <w:rPr/>
      </w:pPr>
      <w:r>
        <w:rPr>
          <w:rFonts w:ascii="Amiri" w:hAnsi="Amiri" w:eastAsia="Amiri" w:cs="Amiri"/>
          <w:color w:val="111111"/>
          <w:sz w:val="28"/>
          <w:sz w:val="28"/>
          <w:szCs w:val="28"/>
          <w:rtl w:val="true"/>
          <w:lang w:bidi="ar-SA"/>
        </w:rPr>
        <w:t>محبوب، عن ابن رئاب،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يستطيع حيلة يدفع بها عنه الكفر</w:t>
      </w:r>
      <w:r>
        <w:rPr>
          <w:rStyle w:val="FootnoteAnchor"/>
          <w:rtl w:val="true"/>
        </w:rPr>
        <w:footnoteReference w:id="451"/>
      </w:r>
      <w:r>
        <w:rPr>
          <w:rFonts w:ascii="Amiri" w:hAnsi="Amiri" w:eastAsia="Amiri" w:cs="Amiri"/>
          <w:color w:val="111111"/>
          <w:sz w:val="28"/>
          <w:sz w:val="28"/>
          <w:szCs w:val="28"/>
          <w:rtl w:val="true"/>
          <w:lang w:bidi="ar-SA"/>
        </w:rPr>
        <w:t>، ولا يهتدي بها إلى سبيل الإيمان، لا يستطيع أن يؤمن ولا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ومن كان من الرجال والنساء على مثل عقول الصبيان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عن الكليني، عن محمد بن يحيى، عن أحمد بن محمد، عن ابن فضال، عن ابن بكير، وعلي بن إبراهيم، عن محمد بن عيسى، عن يونس، عن رجل جميعاً، عن زرارة، 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أصحاب الأعراف؟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مؤمنون أو كافرون، إن دخلوا الجنة فهم مؤمنون، وإن دخلوا النار فهم كافرون،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بمؤمنين ولا كافرين، ولو كانوا مؤمنين دخلوا الجنة كما دخلها المؤمنون، ولو كانوا كافرين لدخلوا النار كما دخلها الكافرون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عن محمد بن يحيى، عن أحمد بن محمد، عن محمد بن سنان، عن ابن بكير،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العباد إذا جهلوا وقفوا ولم يجحدوا لم يكفروا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المبحث الثالث تعليقة على هذه الروايات الشريفة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أنه ليس بكافر، أو بغض النظر عن ذلك، فهل </w:t>
      </w:r>
    </w:p>
    <w:p>
      <w:pPr>
        <w:pStyle w:val="BookText"/>
        <w:rPr/>
      </w:pPr>
      <w:r>
        <w:rPr>
          <w:rFonts w:ascii="Amiri" w:hAnsi="Amiri" w:eastAsia="Amiri" w:cs="Amiri"/>
          <w:color w:val="111111"/>
          <w:sz w:val="28"/>
          <w:sz w:val="28"/>
          <w:szCs w:val="28"/>
          <w:rtl w:val="true"/>
          <w:lang w:bidi="ar-SA"/>
        </w:rPr>
        <w:t>الأحكام الوضعية المرتبة على الكافر تترتب على الجاهل القاصر؟ فيه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جريان أحكام الكفر على الجاهل بالأصول الاعتقادية، ولو كان جهله عن قصور، لإطلاقات الأدلة الدالة على ترتب تلك الأحكام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لأن الأحكام مرتبة على الكافر، والمفروض أنه ليس بكافر، حسب هذه الروايات، فليس بمشرك حتى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العنوان المأخوذ في الأدلة، فإن كان الحكم الوضعي مرتباً على عنوان غير المؤمن، ترتب على الجاهل القاصر؛ لأنه غير مؤمن، مثلا تمسك المحقق الحلي</w:t>
      </w:r>
      <w:r>
        <w:rPr>
          <w:rStyle w:val="FootnoteAnchor"/>
          <w:rtl w:val="true"/>
        </w:rPr>
        <w:footnoteReference w:id="458"/>
      </w:r>
      <w:r>
        <w:rPr>
          <w:rFonts w:ascii="Amiri" w:hAnsi="Amiri" w:eastAsia="Amiri" w:cs="Amiri"/>
          <w:color w:val="111111"/>
          <w:sz w:val="28"/>
          <w:sz w:val="28"/>
          <w:szCs w:val="28"/>
          <w:rtl w:val="true"/>
          <w:lang w:bidi="ar-SA"/>
        </w:rPr>
        <w:t>لنجاسة الكافر،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فالنجاسة مرتبة على عنوان غير المؤمن، فينطبق العنوان على الجاهل القاصر، فيكون نجساً، لكن لو رتب الحكم على عنوان الكافر،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الكافر من إرث المؤمن، فهو ليس بكافر، ولتشخيص العنوان المرتب عليه الحكم لا بد من مراجعة كتاب الفقه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الالتزام به، فربما يمكن دعوى التسالم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ندع </w:t>
      </w:r>
    </w:p>
    <w:p>
      <w:pPr>
        <w:pStyle w:val="BookText"/>
        <w:rPr/>
      </w:pPr>
      <w:r>
        <w:rPr>
          <w:rFonts w:ascii="Amiri" w:hAnsi="Amiri" w:eastAsia="Amiri" w:cs="Amiri"/>
          <w:color w:val="111111"/>
          <w:sz w:val="28"/>
          <w:sz w:val="28"/>
          <w:szCs w:val="28"/>
          <w:rtl w:val="true"/>
          <w:lang w:bidi="ar-SA"/>
        </w:rPr>
        <w:t xml:space="preserve">الضرورة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لم يقر بالشهادتين فهو كافر، وتترتب عليه جميع أحكام الكفار، ولم يعهد من أحد من الفقهاء التفصيل بين الكافر القاصر والمقصر والجاحد وغيره في ذلك، مع قصور الكثيرين من غير المعتقدين، فلا بد من تأويل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التسالم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كافراً عند اللّه تعالى،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نوعان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وضعية دنيوية، وأحكام أخروية ترتبط بالخلود بالنار، والمراد من الروايات أنه لا يعامل في الآخرة معاملة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كلام حول ما ذكر في المصباح</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أحكام الكفر على الجاهل بالأصول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 ليس الجهل والعلم، وإنما الإظهار والالتزام الظاهري، 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لو كان جاهلاً، بل منكراً للأصول الاعتقادية قطعاً لكنه يتظاهر بالإسلام ويلتزم بالأحكام، فمنتهى الأمر أنه منافق محكوم بأحكام الإسلام ظاهراً، وأما من كان عالماً لكنه جاحد فهو كافر، فليس الملاك الجهل، ولا يدور مداره وجوداً وعدماً، بل يدور مدار الإظهار مطلقاً، أو الإظهار مع الالتزام الظاهري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الفرق بينهما في ما لو أراد كافر الزواج من مسلمة، فيتشهد مع العلم بأنه غير معتقد ولا يلتزم، فيشكل الحكم بجواز تزويجه، وكذا من يريد الدخول في حرم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فيتشهد مع العلم بكذبه وعدم </w:t>
      </w:r>
    </w:p>
    <w:p>
      <w:pPr>
        <w:pStyle w:val="BookText"/>
        <w:rPr/>
      </w:pPr>
      <w:r>
        <w:rPr>
          <w:rFonts w:ascii="Amiri" w:hAnsi="Amiri" w:eastAsia="Amiri" w:cs="Amiri"/>
          <w:color w:val="111111"/>
          <w:sz w:val="28"/>
          <w:sz w:val="28"/>
          <w:szCs w:val="28"/>
          <w:rtl w:val="true"/>
          <w:lang w:bidi="ar-SA"/>
        </w:rPr>
        <w:t>التزامه، بل عوده إلى ما كان عليه، وعلى كل تقدير لا يكون الجهل والعلم ملاكاً، والمسألة بحاجة إلى تتبع وتأمل أكثر،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الجاهل القاصر مكلفاً، لقاعدة قبح التكليف بغير المقدور، والمفروض أنه عاجز عن تحصيل المعارف اللازمة، فلا تكليف، ولكن ينبغي التنبيه على أن ارتفاع التكليف لا يساوق ارتفاع الحكم، بل معناه في المقام ارتفاع خصوص مرتبة التنجز، وأما الحكم بمراتبه الأخرى فهو ثابت في حقه، لما ثبت في محله من اشتراك الأحكام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الجاهل القاصر العقاب والخلود في النار؟</w:t>
      </w:r>
    </w:p>
    <w:p>
      <w:pPr>
        <w:pStyle w:val="BookText"/>
        <w:rPr/>
      </w:pPr>
      <w:r>
        <w:rPr>
          <w:rFonts w:ascii="Amiri" w:hAnsi="Amiri" w:eastAsia="Amiri" w:cs="Amiri"/>
          <w:color w:val="111111"/>
          <w:sz w:val="28"/>
          <w:sz w:val="28"/>
          <w:szCs w:val="28"/>
          <w:rtl w:val="true"/>
          <w:lang w:bidi="ar-SA"/>
        </w:rPr>
        <w:t>مضى بعض الكلام حوله في المبحث الأول، وحيث إن المحقق الخراساني ذهب في مواضع متعددة من الكفاية</w:t>
      </w:r>
      <w:r>
        <w:rPr>
          <w:rStyle w:val="FootnoteAnchor"/>
          <w:rtl w:val="true"/>
        </w:rPr>
        <w:footnoteReference w:id="462"/>
      </w:r>
      <w:r>
        <w:rPr>
          <w:rFonts w:ascii="IRNazanin" w:hAnsi="IRNazanin" w:eastAsia="IRNazanin"/>
          <w:color w:val="111111"/>
          <w:sz w:val="28"/>
          <w:sz w:val="28"/>
          <w:szCs w:val="28"/>
          <w:rtl w:val="true"/>
          <w:lang w:bidi="fa-IR"/>
        </w:rPr>
        <w:t>باستحقاقه العقاب</w:t>
      </w:r>
      <w:r>
        <w:rPr>
          <w:rStyle w:val="FootnoteAnchor"/>
          <w:rtl w:val="true"/>
        </w:rPr>
        <w:footnoteReference w:id="463"/>
      </w:r>
      <w:r>
        <w:rPr>
          <w:rFonts w:ascii="Amiri" w:hAnsi="Amiri" w:eastAsia="Amiri" w:cs="Amiri"/>
          <w:color w:val="111111"/>
          <w:sz w:val="28"/>
          <w:sz w:val="28"/>
          <w:szCs w:val="28"/>
          <w:rtl w:val="true"/>
          <w:lang w:bidi="ar-SA"/>
        </w:rPr>
        <w:t>، وعدم المانع من تخليده في النار، فلا بد من توضيح الأمر ببيان صغرى وكبرى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الإيلام على أمر غير اختياري بلا تعويض قبيح بحكم العقل كأن يعذب شخص أسود بجرم سواده، إيلاماً يحس به بلا تعويض، فإن الظاهر أنه نوع من أنواع الظلم بحكم العقل والعقلاء، وهذا بخلاف ما لو كان الأمر اختيارياً، أو غير اختياري، بلا إيلام، كأن يكون في مرتبة دانية من مراتب الوجود، ولا يحس به، فإنه يمكن التشكيك في قبح </w:t>
      </w:r>
      <w:bookmarkStart w:id="182" w:name="pg15601_166665"/>
    </w:p>
    <w:p>
      <w:pPr>
        <w:pStyle w:val="BookText"/>
        <w:rPr/>
      </w:pPr>
      <w:bookmarkEnd w:id="182"/>
      <w:r>
        <w:rPr>
          <w:rFonts w:ascii="Amiri" w:hAnsi="Amiri" w:eastAsia="Amiri" w:cs="Amiri"/>
          <w:color w:val="111111"/>
          <w:sz w:val="28"/>
          <w:sz w:val="28"/>
          <w:szCs w:val="28"/>
          <w:rtl w:val="true"/>
          <w:lang w:bidi="ar-SA"/>
        </w:rPr>
        <w:t>ذلك، أو كان هنالك إيلام مصحوب بالتعويض، كالمعلول الذي يتألم في الدنيا لكنه يعوض عليها حيث يمكن القول بعدم قبحه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0000163_2142443653"/>
      <w:bookmarkStart w:id="184" w:name="_Toc69"/>
      <w:bookmarkEnd w:id="183"/>
      <w:r>
        <w:rPr>
          <w:rtl w:val="true"/>
        </w:rPr>
        <w:t>الكلام حول عذاب جهنم والخلود فيها</w:t>
      </w:r>
      <w:bookmarkEnd w:id="184"/>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العرفاء والفلاسفة حول عذاب جهنم والخلود فيها، حتى وصل الأمر إلى التناقض في الرأي عند غير واحد منهم، وفي المقام 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الأخروي ليس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عذاب لكن المعذب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عذاب ويشعر به، ولكنه مؤقت وينتهي في يوم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بعض بأن جهنم مرتبة من مراتب الجنة، وقال ابن العربي يسمى عذاباً من عذوبة لفظه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نعيم النار دائمون مؤبدون، كنعيم النائم بالرؤيا التي يراها في حال نومه من السرور، وربما يكون في فراشه مريضاً ذا بؤس وفقر، ويرى نفسه في المنام ذا سلطان ونعمة وملك، فإن نظرت إلى النائم من حيث ما يراه في منامه ويلتذ به قلت إنه في نعيم وصدقت، وإن نظرت إليه من حيث ما تراه في فراشه الخشن ومرضه ويأسه وفقره وكلومه قلت إنه في عذاب، هكذا يكون أهل النار، فلا يموت فيها ولا يحيى، أي لا يستيقظ أبداً من نومته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وكأنه أراد الجمع بين ظواهر الآيات، ومسلك نفي العذاب بكونهم في العذاب ولكنهم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فترة الشعور بالعذاب والتي هي فترة مؤقته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العذاب واقعاً، ولكن لا يشعرون، كمريض في أشد حالات الألم البدني، ولكنه نائم يرى نفسه في النعيم، وكفقير في نهاية الفقر ويتصور أو يرى في المنام أنه ملك الملوك، وكالمدمن على المخدرات الذي يتصور أنه يسير في عوالم، وهو في أشد حالات الذل والمهانة، وأهل جهنم كذلك، فبعد تلك الفترة يتحولون إلى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النار فمآلهم إلى النعيم</w:t>
      </w:r>
      <w:r>
        <w:rPr>
          <w:rStyle w:val="FootnoteAnchor"/>
          <w:rtl w:val="true"/>
        </w:rPr>
        <w:footnoteReference w:id="466"/>
      </w:r>
      <w:r>
        <w:rPr>
          <w:rFonts w:ascii="Amiri" w:hAnsi="Amiri" w:eastAsia="Amiri" w:cs="Amiri"/>
          <w:color w:val="111111"/>
          <w:sz w:val="28"/>
          <w:sz w:val="28"/>
          <w:szCs w:val="28"/>
          <w:rtl w:val="true"/>
          <w:lang w:bidi="ar-SA"/>
        </w:rPr>
        <w:t>ولكن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فنعيم أهل النار بعد استيفاء الحقوق نعيم خليل اللّه حين أُلقي في النار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ألف موطنه كان به مسروراً، وأشد العذاب مفارقة الوطن</w:t>
      </w:r>
      <w:r>
        <w:rPr>
          <w:rStyle w:val="FootnoteAnchor"/>
          <w:rtl w:val="true"/>
        </w:rPr>
        <w:footnoteReference w:id="468"/>
      </w:r>
      <w:r>
        <w:rPr>
          <w:rFonts w:ascii="IRNazanin" w:hAnsi="IRNazanin" w:eastAsia="IRNazanin"/>
          <w:color w:val="111111"/>
          <w:sz w:val="28"/>
          <w:sz w:val="28"/>
          <w:szCs w:val="28"/>
          <w:rtl w:val="true"/>
          <w:lang w:bidi="fa-IR"/>
        </w:rPr>
        <w:t>، فلو فارق النار أهلها لتعذبوا باغترابهم عما أهلوا له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الكاشي في شرح فصوص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تعودوا بالعذاب ألفوه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يتعذبوا بشدته بعد طول مدته، ولم يتألموا به وإن عظم، ثم آل أمرهم إلى أن يتلذذوا به ويستعذبوه، حتى لو هبّ عليهم نسيم من الجنة استكرهوا وتعذبوا به كالجعل وتأذيه برائحة الورد</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واختاره ملا صدرا بتفصيل كبير في تفسير سورة البقرة وأقام عليه أدلة عقلية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مانع من تخليد الكافر القاصر في النار، فإنه مرتبة من مراتب الجنة، أو جهنم لا يحس بإيلامها وأذاها، أو إيلام مؤقت ينتهي بنعيم دائم باق ببقاء اللّه، ولكن هذا التصور لا يوافق القرآن الكريم والروايات الشريفة، نقتصر على ذكر بعض الآيات الكريمات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 أَلِيمٌ وَمَا لَهُم مِّن نَّاصِرِينَ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وظاهر كلمة الأليم أنه 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العربي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يألفون ذلك المكان ولو أخرجوا منها لتعذبوا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وَرَآئِهِ جَهَنَّمُ وَيُسْقَى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وَلاَ يَكَادُ يُسِيغُهُ وَيَأْتِيهِ الْمَوْتُ مِن كُلِّ مَكَانٍ وَمَا هُوَ بِمَيِّتٍ وَمِن وَرَآئِهِ عَذَابٌ غَلِيظٌ</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لكن ابن العربي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ويسيغه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رَأى الَّذِينَ ظَلَمُواْ الْعَذَابَ فَلاَ يُخَفَّفُ عَنْهُمْ وَلاَ </w:t>
      </w:r>
    </w:p>
    <w:p>
      <w:pPr>
        <w:pStyle w:val="BookText"/>
        <w:rPr/>
      </w:pP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لكن ابن العربي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عنهم، بل يرتفع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يَسْتَغِيثُوا يُغَاثُوا بِمَاء كَالْمُهْلِ يَشْوِي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آيَاتِي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اخْسَؤُوا فِيهَا وَلَا تُكَلِّمُونِ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صَالِحًا غَيْرَ الَّذِي كُنَّا نَعْمَلُ أَوَلَمْ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أَوَلَمْ تَكُ تَأْتِيكُمْ رُسُلُكُم بِالْبَيِّنَاتِ قَالُوا بَلَى قَالُوا فَادْعُوا 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فَلَن نَّزِيدَكُمْ إِلَّا عَذَابًا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بغض النظر عن الروايات الكثيرة التي هي 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التصوير المذكور في الآيات والروايات عن العذاب الإلهي، يكون الإيلام به على أمر غير اختياري بلا تعويض، خاصة مع ملاحظة دوام العذاب، نوع من أنواع الظلم وهو قبيح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الجاهل القاصر تحصيل الظن، ولو حصل الظن فهل هو حجة أم لا؟</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فيه عدم وجوب تحصيل الظن؛ لأن المفروض عجزه عن الإيمان والتصديق المأمور به</w:t>
      </w:r>
      <w:r>
        <w:rPr>
          <w:rStyle w:val="FootnoteAnchor"/>
          <w:rtl w:val="true"/>
        </w:rPr>
        <w:footnoteReference w:id="484"/>
      </w:r>
      <w:r>
        <w:rPr>
          <w:rFonts w:ascii="Amiri" w:hAnsi="Amiri" w:eastAsia="Amiri" w:cs="Amiri"/>
          <w:color w:val="111111"/>
          <w:sz w:val="28"/>
          <w:sz w:val="28"/>
          <w:szCs w:val="28"/>
          <w:rtl w:val="true"/>
          <w:lang w:bidi="ar-SA"/>
        </w:rPr>
        <w:t>، ولا دليل آخر على عدم جواز التوقف</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التفصيل بين الظن الخاص والظن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الظن المطلق، فقد يقال بعدم وجوب تحصيله؛ لعدم الدليل عليه، ولو حصل لا يكون حجة، لعدم الدليل على حجيته، بل ربما يأمر العقل بالتوقف والبقاء في الشك، لأنه </w:t>
      </w:r>
      <w:bookmarkStart w:id="185" w:name="pg15601_166675"/>
    </w:p>
    <w:p>
      <w:pPr>
        <w:pStyle w:val="BookText"/>
        <w:rPr/>
      </w:pPr>
      <w:bookmarkEnd w:id="185"/>
      <w:r>
        <w:rPr>
          <w:rFonts w:ascii="Amiri" w:hAnsi="Amiri" w:eastAsia="Amiri" w:cs="Amiri"/>
          <w:color w:val="111111"/>
          <w:sz w:val="28"/>
          <w:sz w:val="28"/>
          <w:szCs w:val="28"/>
          <w:rtl w:val="true"/>
          <w:lang w:bidi="ar-SA"/>
        </w:rPr>
        <w:t>اقتحام فيما لا يعلم، فيكون معذوراً، أما لو اعتقد اعتقاداً ظنياً فربما لا يكون له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معتبرة دالة على كون المعاد 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حجة،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ذلك أن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 المطلق فلا يجب تحصيله، وإذا حصل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الخاص، ففي وجوب تحصيله تأمل، ولكن لو حصل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بحاجة إلى تتبع أكثر</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0000165_2142443653"/>
      <w:bookmarkStart w:id="187" w:name="_Toc70"/>
      <w:bookmarkEnd w:id="186"/>
      <w:r>
        <w:rPr>
          <w:rtl w:val="true"/>
        </w:rPr>
        <w:t>البحث الثالث</w:t>
      </w:r>
      <w:r>
        <w:rPr>
          <w:rtl w:val="true"/>
        </w:rPr>
        <w:t xml:space="preserve">: </w:t>
      </w:r>
      <w:r>
        <w:rPr>
          <w:rtl w:val="true"/>
        </w:rPr>
        <w:t>في حكم الجاهل المقصر</w:t>
      </w:r>
      <w:bookmarkEnd w:id="187"/>
    </w:p>
    <w:p>
      <w:pPr>
        <w:pStyle w:val="BookText"/>
        <w:rPr/>
      </w:pPr>
      <w:r>
        <w:rPr>
          <w:rFonts w:ascii="Amiri" w:hAnsi="Amiri" w:eastAsia="Amiri" w:cs="Amiri"/>
          <w:color w:val="111111"/>
          <w:sz w:val="28"/>
          <w:sz w:val="28"/>
          <w:szCs w:val="28"/>
          <w:rtl w:val="true"/>
          <w:lang w:bidi="ar-SA"/>
        </w:rPr>
        <w:t>في الجاهل المقصر العاجز عن تحصيل الأصول الاعتقادية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العقاب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الخطاب بالتحصيل لقبح التكليف بغير المقدور، ولا فرق بين أن يكون العجز بسوء اختياره، أو لا يكون،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اغتبت مؤمناً وجب عليك الجمع بين النقيضين، فإنه وإن كانت علة التكليف سوء اختياره، إلا أن التكليف بالجمع بين النقيضين قبيح عقلياً </w:t>
      </w:r>
    </w:p>
    <w:p>
      <w:pPr>
        <w:pStyle w:val="BookText"/>
        <w:rPr/>
      </w:pPr>
      <w:r>
        <w:rPr>
          <w:rFonts w:ascii="Amiri" w:hAnsi="Amiri" w:eastAsia="Amiri" w:cs="Amiri"/>
          <w:color w:val="111111"/>
          <w:sz w:val="28"/>
          <w:sz w:val="28"/>
          <w:szCs w:val="28"/>
          <w:rtl w:val="true"/>
          <w:lang w:bidi="ar-SA"/>
        </w:rPr>
        <w:t>وعقلائياً،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بغير المقدور للمولى الملتفت ليس بقبيح فحسب، بل محال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يعلم باستحالة تحققه في الخارج مع فرض الالتفات إلى استحالته يكون المطلوب محالاً، فيسري إلى الطلب فيكون الطلب محالاً، ولذا يستحيل الحكم بحرمة البقاء والخروج من الدار، فيمن دخلها غصباً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الامتناع بالاختيار لا ينافي الاختيار عقاباً وإن نافاه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المقصر العاجز يسقط عنه التكليف، لكنه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مباحث أخرى في الجاهل المقصر يعلم الحال فيها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البحث في كون الأصول الاعتقادية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والتدين به وهو غير مشروط بحصول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به على فرض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التمييز بين القسمين؟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إن الفرق بين القسمين المذكورين، وتمييز ما يجب تحصيل العلم به عما لا يجب في غاية الإشكال</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في المقام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ينهض الدليل العقلي أو النقلي على وجوب معرفة شيء من المعارف بالخصوص، فالظاهر أن مقتضى الأصول العملية عدم الوجوب؛ لتحقق موضوع البراءة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فارقاً بين جريان البراءة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وجوب معرفة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عقلاً ونقلاً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ما تقتضيه الأدلة الاجتهادية</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يرى أنّ العمومات</w:t>
      </w:r>
      <w:r>
        <w:rPr>
          <w:rStyle w:val="FootnoteAnchor"/>
          <w:rtl w:val="true"/>
        </w:rPr>
        <w:footnoteReference w:id="491"/>
      </w:r>
      <w:r>
        <w:rPr>
          <w:rFonts w:ascii="IRNazanin" w:hAnsi="IRNazanin" w:eastAsia="IRNazanin"/>
          <w:color w:val="111111"/>
          <w:sz w:val="28"/>
          <w:sz w:val="28"/>
          <w:szCs w:val="28"/>
          <w:rtl w:val="true"/>
          <w:lang w:bidi="fa-IR"/>
        </w:rPr>
        <w:t xml:space="preserve">تدل على عموم وجوب المعرفة، سواء كانت معرفة اللّه تعالى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كل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فيجب على كل قادر تحصيل المعرفة بعموم الأمور الاعتقادية، سواء كانت من أصول المعارف أم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غير القادر معذور، وعليه لا بد من صرف شطر كثير من العمر في تحصيل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لذلك بأربعة أدلة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نقل اتفاق المفسرين على أن المراد من العبادة، المعرفة، وهي مطلقة ولم تقيد بمعرفة اللّه والنبي والإمام، فيجب تحصيل مطلق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فالمعرفة مقدمة رتبة على الصلوات الخمس، والتي هي عمود الدين، وما يكون متقدماً رتبة على الواجب يكون واجباً،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بناء على أن الأفضلية من الواجب خصوصاً مثل الصلاة تستلزم الوجوب</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الدين خاصاً بالفروع العملية، بقرينة 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على وجوب النفر لمعرفة الإمام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أدلة وجوب تحصيل العلم المذكورة في الكافي الشريف وغيره، وقد فرّع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الاشتغال بعلم المعارف أهم من الاشتغال بعلم المسائل العملية؛ لأن مقتضى هذه الأدلة، أن الاشتغال بتحصيل المعارف واجب عيني، أما تحصيل علم الفروع العملية فواجب كفائي، فإذا قام من فيه الكفاية سقط الوجوب عن </w:t>
      </w:r>
    </w:p>
    <w:p>
      <w:pPr>
        <w:pStyle w:val="BookText"/>
        <w:rPr/>
      </w:pPr>
      <w:r>
        <w:rPr>
          <w:rFonts w:ascii="Amiri" w:hAnsi="Amiri" w:eastAsia="Amiri" w:cs="Amiri"/>
          <w:color w:val="111111"/>
          <w:sz w:val="28"/>
          <w:sz w:val="28"/>
          <w:szCs w:val="28"/>
          <w:rtl w:val="true"/>
          <w:lang w:bidi="ar-SA"/>
        </w:rPr>
        <w:t>الآخرين، فيقلدون فيها ويشتغلون بتحصيل المعارف</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استشكل عليه، بعدم إمكان تحصيل علم المعارف إلا لمن وجد قوتين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استنباط المطالب من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لا قدرة له على الاستنباط لا يمكنه التحقيق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بالفعل أو بالقوة أو انه محيط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الروايات عام وخاص، ومطلق ومقيد وناسخ ومنسوخ، ولا بد من التحقيق في أسنادها أو طرق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الإحاطة بالبراهين العقلية، حتى لا يعمل بظاهر الخبر الذي يصادم الدليل العقلي، ففي روايات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ينزل في جمع من الملائكة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فلا بد من العلم بالبرهان العقلي بأنه تعالى ليس جسماً وليس له عوارض الجسم، حتى يصرف الظاهر عن ظاهره بمقدار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والواجد لهاتين القوتين مجتهد يحرم عليه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المستفادة من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واجبان متزاحمان، فتحصيل المعارف واجب، وتحصيل العلم التفصيلي بالأحكام الفرعية عن أدلتها التفصيلية واجب آخر، ولا وجه لترجيح الأول على الثاني مع عدم إحراز الأهمية، فيتخير المكلف بينهما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إذا لم يتعين عليه الإفتاء والمرافعة لأجل قلة </w:t>
      </w:r>
    </w:p>
    <w:p>
      <w:pPr>
        <w:pStyle w:val="BookText"/>
        <w:rPr/>
      </w:pPr>
      <w:r>
        <w:rPr>
          <w:rFonts w:ascii="Amiri" w:hAnsi="Amiri" w:eastAsia="Amiri" w:cs="Amiri"/>
          <w:color w:val="111111"/>
          <w:sz w:val="28"/>
          <w:sz w:val="28"/>
          <w:szCs w:val="28"/>
          <w:rtl w:val="true"/>
          <w:lang w:bidi="ar-SA"/>
        </w:rPr>
        <w:t>المجتهدين، وأما في مثل زماننا فالأمر أوضح</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 المجتهدون في مثل زمانه، فماذا يمكن أن نقول في مثل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المذكورة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بالآية الكريمة فيرد عليها 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تفسير العبادة بالمعرفة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ذلك مجموعة من التفاسير ولا حجية فيها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ما اشتهر من تفسير العبادة بالمعرفة مأخوذ من تفاسير العامة، وإلا فما في تفاسير الخاصة من أهل بيت الوحي هو ما نقلناه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بحثت بالمقدار المتيسر فلم أجد حتى رواية واحدة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هو خصوص عبادة اللّه تعالى ومعرفته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لم يذكر لذلك دليلاً، ويمكن تقريره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لا نون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نون وقاية وليسي قد نظم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عددت قومي كعديد الطيس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القوم الكرام ليسي</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ونادر، وكان 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تكسر السين إثر مجاورة الياء، وفي المقام 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الجمع، لأنها مفتوحة،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مكسورة،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ونون مجموع وما به التحق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 وقل من بكسره نطق</w:t>
      </w:r>
    </w:p>
    <w:p>
      <w:pPr>
        <w:pStyle w:val="BookText"/>
        <w:rPr/>
      </w:pPr>
      <w:r>
        <w:rPr>
          <w:rFonts w:ascii="Amiri" w:hAnsi="Amiri" w:eastAsia="Amiri" w:cs="Amiri"/>
          <w:color w:val="111111"/>
          <w:sz w:val="28"/>
          <w:sz w:val="28"/>
          <w:szCs w:val="28"/>
          <w:rtl w:val="true"/>
          <w:lang w:bidi="ar-SA"/>
        </w:rPr>
        <w:t>ونون ما ثني والملحق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ذاك استعملوه فانتبه</w:t>
      </w:r>
      <w:r>
        <w:rPr>
          <w:rStyle w:val="FootnoteAnchor"/>
          <w:rtl w:val="true"/>
        </w:rPr>
        <w:footnoteReference w:id="5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نون الجمع لا تذكر مع دخول اللام عليه، فتكون 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أضافته إلى ياء المتكلم، فجيء بنون الوقاية، لوقاية نون الجمع من الكسر،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وإثر دخول اللام حذفت نون الجمع،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بعد اللام، وبقيت نون الوقاية، ثم حذفت ياء المتكلم، ولعله للتخفيف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ليعبدوا اللّه تعالى، وهو بمعنى ليعرفوا اللّه، فالآية تختص بمعرفة اللّه، فلا تدل على وجوب تحصيل جميع المعارف،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ليعبدون هو خصوص عبادة اللّه ومعرفته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المشكيني</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التمسك بإطلاق الدليل متفرع على كون المولى في مقام البيان من الجهة التي يراد استفادة الإطلاق منها، وليست الآية في مقام البيان من هذه الجهة؛ لأنها في مقام بيان غائية المعرفة لا في مقام بيان متعلق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الآية كون العبادة أو المعرفة غاية، لا أنها في مقام بيان ما يجب وما لا يجب، حتى يقال حذف المتعلق يفيد العموم، والظاهر تمامية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الآشتياني</w:t>
      </w:r>
      <w:r>
        <w:rPr>
          <w:rStyle w:val="FootnoteAnchor"/>
          <w:rtl w:val="true"/>
        </w:rPr>
        <w:footnoteReference w:id="510"/>
      </w:r>
      <w:r>
        <w:rPr>
          <w:rFonts w:ascii="Amiri" w:hAnsi="Amiri" w:eastAsia="Amiri" w:cs="Amiri"/>
          <w:color w:val="111111"/>
          <w:sz w:val="28"/>
          <w:sz w:val="28"/>
          <w:szCs w:val="28"/>
          <w:rtl w:val="true"/>
          <w:lang w:bidi="ar-SA"/>
        </w:rPr>
        <w:t>بعنوان قد يقال، ومؤداه أنَّ الغاية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القهرية الحصولية، وهي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المعرفة الفطرية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الاختيارية التحصيلية، وهي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المعرفة الاكتسابية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ظاهرة في المعنى الأول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المراد كاف في سقوط الاستدلال بالآية، فإنه لو كان المراد المعرفة القهرية الحصولية فهي فعل اللّه تعالى، ومرادة بالإرادة التكوينة له، ولا معنى لأن يتعلق بفعله سبحانه وجوب موجه إلى المكلف، فلا ترتبط الآية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البعض في مواضع من الأصول، من أن إسناد الفعل إلى الفاعل المختار ظاهر في صدور اختياري للفعل عن الفاعل، فلوقال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نسبة السجود إلى المخاطب صدوره عنه بالاختيار، أو بالإرادة، لكن لو قهر على السجود بأن كان ملجأ، فلا يكفي في امتثال الأمر،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ارتمس في الماء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نسبة الارتماس إلى الفاعل المختار صدوره بالإرادة أو الاختيار، ولا يشمله الدليل فيما لو ألقي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العرفي يساعد على هذا المعنى، فنسبة المعرفة إلى الجن والأنس ظاهرة في صدور المعرفة عنهم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الكريمات يؤيد أو يدل على أن المراد العبادة أو المعرفة التحصيلية لا الحصولية، ويتولد منها الظهور، فيكون حجة،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إِنِّي لَكُم مِّنْهُ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مَعَ اللَّهِ إِلَهًا آخَرَ إِنِّي لَكُم مِّنْهُ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فمجموع هذه الآيات في سياق توبيخ الكفار، ومفادها أنكم خلقتم للعبادة والمعرفة فلماذا تنحرفون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يكفي في امتثال الأمر بالطبيعية الإتيان بأحد أفرادها، كذلك يكفي في امتثال الأمر بالطبيعة المشككة الإتيان بدرجة من درجاتها ومرتبة من مراتبها، والمعرفة حقيقة تشكيكية ذات مراتب وأفراد، ويكفي الإتيان بمرتبة منها لامتثال غرض المولى، ولا يلزم الاستيعاب، ولا فرق بين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يكفي فيه الإتيان بفرد،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يكفى أدنى مراتب المعرفة لتتحقق امتثال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من جهة سندها صحيحة</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الكافي الشريف عن محمد بن يحيى، عن أحمد بن محمد بن عيسى، عن الحسن بن محبوب، عن معاوية بن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فمحل تأمل من جهتين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نظيره في المناقشة الثالثة، للدليل الأول، فالرواية في مقام بيان فضيلة الصلاة، لا في مقام بيان متعلق المعرفة</w:t>
      </w:r>
      <w:r>
        <w:rPr>
          <w:rStyle w:val="FootnoteAnchor"/>
          <w:rtl w:val="true"/>
        </w:rPr>
        <w:footnoteReference w:id="514"/>
      </w:r>
      <w:r>
        <w:rPr>
          <w:rFonts w:ascii="Amiri" w:hAnsi="Amiri" w:eastAsia="Amiri" w:cs="Amiri"/>
          <w:color w:val="111111"/>
          <w:sz w:val="28"/>
          <w:sz w:val="28"/>
          <w:szCs w:val="28"/>
          <w:rtl w:val="true"/>
          <w:lang w:bidi="ar-SA"/>
        </w:rPr>
        <w:t>، فلا ينعقد له 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الأفضلية والوجوب، فليس كل ما هو أفضل من الواجب واجباً، وقد يبرهن عليه بالسلام حيث إنه مستحب، وهو أفضل من الرد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الأفضلية لا تدل على الوجوب لو كانت حيثية، فالسلام أفضل بلحاظ الثواب حيث يعطى للمسلِّم تسعة وتسعون حسنة وللمجيب حسنة واحدة، أما لو كانت الأفضلية مطلقة بلا حيث، فيمكن دعوى الظهور العرفي في الوجوب، وما نحن فيه من القبيل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آية النفر</w:t>
      </w:r>
      <w:r>
        <w:rPr>
          <w:rStyle w:val="FootnoteAnchor"/>
          <w:rtl w:val="true"/>
        </w:rPr>
        <w:footnoteReference w:id="515"/>
      </w:r>
      <w:r>
        <w:rPr>
          <w:rFonts w:ascii="Amiri" w:hAnsi="Amiri" w:eastAsia="Amiri" w:cs="Amiri"/>
          <w:color w:val="111111"/>
          <w:sz w:val="28"/>
          <w:sz w:val="28"/>
          <w:szCs w:val="28"/>
          <w:rtl w:val="true"/>
          <w:lang w:bidi="ar-SA"/>
        </w:rPr>
        <w:t>، وفي الاستدلال بها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التفقه في الدين أعم من الأصول والفروع، فإن الدين لا يختص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الروايات التي استشهدت بالآية للتفقه في أصول الدين، فلا يقال إن الآية الكريمة لا ترتبط بما نحن فيه، ولم يتطرق الشيخ إلى ذكر الروايات لكننا نذكر إثنتين منها، وقد رويتا بطريقين صحيحين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عن محمد بن يحيى، عن محمد بن الحسين،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على الإمام حدث كيف يصنع الناس</w:t>
      </w:r>
      <w:r>
        <w:rPr>
          <w:rStyle w:val="FootnoteAnchor"/>
          <w:rtl w:val="true"/>
        </w:rPr>
        <w:footnoteReference w:id="5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طَآئِفَةٌ لِّيَتَفَقَّهُواْ فِي الدِّينِ وَلِيُنذِرُواْ قَوْمَهُمْ إِذَا رَجَعُواْ إِلَيْهِمْ لَعَلَّهُمْ </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والكليني، عن محمد بن يحيى، عن أحمد بن محمد بن عيسى، عن محمد بن خالد، عن النضر بن سويد، عن يحيى الحلبي، عن بريد بن معاوية،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 بلغنا شكواك وأشفقنا فلو أعلمتنا أو علّمتنا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والعلم يتوارث فلا يهلك عالم إلا بقي من بعده من يعلم مثل علمه أو ما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أفيسع الناس إذا مات العالم ألا يعرفوا الذي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من البلدان فبقدر مسيرهم؛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مات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خرج من بيته مهاجراً إلی اللّه ورسوله ثمّ يدركه الموت فقد وقع أجره علی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قدموا بأيّ شيءٍ يعرفون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يعطی السّكينة والوقار والهيبة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فاستدلّ بالآية للتفقه المتعلق بأصول الدين،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خاصة بالتفقه في الأحكام الفرعية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المشكيني</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التفقه مقيد بكونه في الدين، ولم يعلم كون المشكوك منه حتى يجب التفقه فيه، فما علم أنه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التفقه فيه، أما ما يشك أنه من الدين أو ليس من الدين فلا تشمله الآية؛ لأنه 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كونه من الدين أعم من النفي والإثبات،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 اللّه تعلق علمه بالأشياء قبل تقديرها أو خلقها، أو لم يتعلق من باب السالبة بانتفاء الموضوع،كما ذهب إليه البعض، فلا يعلم كون التعلق من الدين، لكن النتيجة أن التعلق أو عدم التعلق من الدين، فالتفقه فيه سواء أكانت النتيجة مثبتة أم منفية 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الخلود في النار، هل هو ثابت أم لا؟ ومهما كانت النتيجة يكون التفقه فيه من الدين؛ لتحقق الموقف الشرعي من الموضوع نفياً أو إثباتاً، فإن الدليل إما يدل على وجوده، فيكون وجوده من الدين، أو يدل على عدمه، فيكون عدمه من الدين، أو لم يدل دليل عليه من الدين، فيكون نسبته إلى الدين افتراء على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متعلق بها، إثباتاً أو نفياً واقعياً أو ظاهرياً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نظيره من كون الآية ليست مطلقة؛ لأنها في </w:t>
      </w:r>
    </w:p>
    <w:p>
      <w:pPr>
        <w:pStyle w:val="BookText"/>
        <w:rPr/>
      </w:pPr>
      <w:r>
        <w:rPr>
          <w:rFonts w:ascii="Amiri" w:hAnsi="Amiri" w:eastAsia="Amiri" w:cs="Amiri"/>
          <w:color w:val="111111"/>
          <w:sz w:val="28"/>
          <w:sz w:val="28"/>
          <w:szCs w:val="28"/>
          <w:rtl w:val="true"/>
          <w:lang w:bidi="ar-SA"/>
        </w:rPr>
        <w:t>مقام بيان الحث على النفر، أو في مقام بيان كيفية النفر</w:t>
      </w:r>
      <w:r>
        <w:rPr>
          <w:rStyle w:val="FootnoteAnchor"/>
          <w:rtl w:val="true"/>
        </w:rPr>
        <w:footnoteReference w:id="5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فالنفر العام حرجي أو ضرري أو غير ممكن، وليست في مقام بيان ما يجب التفقه فيه ومعرفته، حتى يتمسك بعمومها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التجارة الذهاب إلى العاصمة، والمشورة مع التجار الكبار ثم العود، فليس بمطلق حتى يشمل جميع أنواع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دل على وجوب طلب العلم،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فيرد عليه نظير ما تقدم من أن الآية في صدد الحث على طلب العلم، لا في صدد بيان ما يجب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أنها لو كانت مطلقة أو عامة لزم تخصيص الأكثر، فإن كان المراد شموله حتى للعلوم غير الدينية فهي غير واجبة، إلا بمقدار ما يتوقف عليه نظام الحياة، وإن كان المراد العلوم الدينية فحسب فليس معظمها واجباً أيضاً، كالعلم بالمستحبات والمكروهات، وكذا المحرمات والواجبات التي ليست محل ابتلاء المكلف، فلا يبقى تحت العموم إلا مجموعة محدودة من الواجبات والمحرمات التي هي محل ابتلاء المكلف، وهو تخصيص للأكثر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الشيخ غير واضح الدلالة على عموم وجوب المعرفة</w:t>
      </w:r>
      <w:r>
        <w:rPr>
          <w:rFonts w:eastAsia="Amiri" w:cs="Amiri" w:ascii="Amiri" w:hAnsi="Amiri"/>
          <w:color w:val="111111"/>
          <w:sz w:val="28"/>
          <w:szCs w:val="28"/>
          <w:rtl w:val="true"/>
          <w:lang w:bidi="ar-SA"/>
        </w:rPr>
        <w:t xml:space="preserve">. </w:t>
      </w:r>
      <w:bookmarkStart w:id="188" w:name="pg15601_166703"/>
    </w:p>
    <w:p>
      <w:pPr>
        <w:pStyle w:val="Heading6"/>
        <w:numPr>
          <w:ilvl w:val="5"/>
          <w:numId w:val="1"/>
        </w:numPr>
        <w:rPr/>
      </w:pPr>
      <w:bookmarkStart w:id="189" w:name="__RefHeading___Toc10000167_2142443653"/>
      <w:bookmarkStart w:id="190" w:name="_Toc71"/>
      <w:bookmarkEnd w:id="188"/>
      <w:bookmarkEnd w:id="189"/>
      <w:r>
        <w:rPr>
          <w:rtl w:val="true"/>
        </w:rPr>
        <w:t>حرم التقليد لواجد ملكة الاستنباط</w:t>
      </w:r>
      <w:bookmarkEnd w:id="190"/>
    </w:p>
    <w:p>
      <w:pPr>
        <w:pStyle w:val="BookText"/>
        <w:rPr/>
      </w:pPr>
      <w:r>
        <w:rPr>
          <w:rFonts w:ascii="Amiri" w:hAnsi="Amiri" w:eastAsia="Amiri" w:cs="Amiri"/>
          <w:color w:val="111111"/>
          <w:sz w:val="28"/>
          <w:sz w:val="28"/>
          <w:szCs w:val="28"/>
          <w:rtl w:val="true"/>
          <w:lang w:bidi="ar-SA"/>
        </w:rPr>
        <w:t xml:space="preserve">يبقى الكلام فيما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تفريعه، حيث حرم التقليد في الأحكام الفرعية لواجد ملكة استنباط الأحكام، وبنى عليه وقوع التزاحم بين تحصيل العلم بالأحكام الفرعية، وبين تحصيل العلم بالمعارف الاعتقادية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محل تأمل، حيث يمكن دعوى جواز التقليد لواجد الملكة إذا لم يستنبط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المدعى يمكن الاستدلال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رجوع العالم إلى الجاهل هو الجاهل بالفعل، سواء أكان واجداً للملكة أم فاقداً لها، فالطبيب الذي له ملكة استنباط الأحكام الطبية لا يلزم نفسه الاجتهاد في جميع تلك الأحكام، بل يرى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 الاجتهاد والتقليد والاحتياط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مرض هذا الطبيب فيحق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الغير لو كان له عذر عقلائي أو عقلي في عدم الاجتهاد، بل حتى بلا عذر، فلا مرجح لاجتهاده الذي لم يتحقق على الاجتهاد الذي تحقق من الغير، ولا يلزمه </w:t>
      </w:r>
    </w:p>
    <w:p>
      <w:pPr>
        <w:pStyle w:val="BookText"/>
        <w:rPr/>
      </w:pPr>
      <w:r>
        <w:rPr>
          <w:rFonts w:ascii="Amiri" w:hAnsi="Amiri" w:eastAsia="Amiri" w:cs="Amiri"/>
          <w:color w:val="111111"/>
          <w:sz w:val="28"/>
          <w:sz w:val="28"/>
          <w:szCs w:val="28"/>
          <w:rtl w:val="true"/>
          <w:lang w:bidi="ar-SA"/>
        </w:rPr>
        <w:t>العقلاء بالاحتياط إن لم يجتهد بالفعل، بل يرون أن من حقه 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بناء أهل الفن على عدم لزوم الاجتهاد في جميع الفروع المبتلى بها، كما يظهر من ملاحظة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شرح العروة</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شمول السيرة للمقام مما لا يمكن التفوه به أصلاً؛ إذ كيف يسوغ دعوى أن العقلاء يلزمون صاحب الملكة بالرجوع إلى من يحتمل انكشاف خطئه إذا راجع الأدلة، بل قد يكون قاطعاً بأنه لو راجع الأدلة لأخطأ في كثير من استدلالاته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بنفس احتمال انكشاف الخطأ عند العامي المحض، فهو يعلم أنه لو اجتهد وراجع الأدلة لخطأ المجتهد في استنباطاته، ولا فرق في الملاك بين الطويل والقصير، فإن الملاك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انكشاف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 كما يمكن أن يكون العامي طالباً فاضلاً من دون حصوله على الملكة، فيظن أن المجتهد أخطأ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أرجع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إلى الرواة، مع احتمال الخطأ وإمكان رجوع الأفراد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نحتمل أو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إرجاع في الرواية لا في الاجتهاد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يجتهدون،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في مسجد المدينة </w:t>
      </w:r>
    </w:p>
    <w:p>
      <w:pPr>
        <w:pStyle w:val="BookText"/>
        <w:rPr/>
      </w:pPr>
      <w:r>
        <w:rPr>
          <w:rFonts w:ascii="IRNazanin" w:hAnsi="IRNazanin" w:eastAsia="IRNazanin"/>
          <w:color w:val="111111"/>
          <w:sz w:val="28"/>
          <w:sz w:val="28"/>
          <w:szCs w:val="28"/>
          <w:rtl w:val="true"/>
          <w:lang w:bidi="fa-IR"/>
        </w:rPr>
        <w:t>وأفت الناس</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 وكان زرارة يفتي كما في رواية ركب الجارية،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نصاً فلا أجده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لكنه طبق الكبرى الكلية على صغرى ركب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الحجية هو التنجيز والإعذار، وإن تطرق احتمال الخطأ فيها، وإلا فجميع الحجج يحتمل فيها الخطأ، فلو كان دليل التقليد هو السيرة العقلائية، وفرض جريانها على رجوع الجاهل الواجد للعالم، فمعناه أن قول الغير حجة، وأنه منجز ومعذر وإن احتمل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إجمالاً بأن بعض استنباطاته خطأ فتكون قواعد العلم الإجمالي حاكمة، ولا فرق في ذلك بين العامي المحض والواجد للملكة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إطلاقات الأدلة اللفظية،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أو الشرط عدم العلم لا عدم القدرة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شرح العروة</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الجواز عنه، حيث إن ظاهرها يختص بمن لا يتمكن من تحصيل العلم بالأحكام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لاحظنا نفس الموضوع أو الشرط فهو عدم العلم لا عدم القدرة على العلم، فإن لاحظتم الانصراف بعد الحكم بإطلاق الدليل وشموله للواجد للملكة فعهدته على مدعيه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الحكم الوضعي أي الحجية، أو استصحاب الحكم التكليفي أي الجواز بان يقال إنه كان مقلداً ثم تحول إلى واجد فيشك في حجية فتاوى المجتهد عليه بقاءً، فيستصحب الحكم التكليفي أو الوضعي، وإن لم يكن مقلداً بالفعل أوكان محتاطاً، فلو قلنا بحجية الاستصحاب التعليقي لأمكن جريانه بأن يقول لو قلدته لكان حجة، فيستصحب القضية الشرطية التعليقية، ومع تحقق المقدم يترتب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لم نقل به اختص الدليل الثالث بما لو كان قلده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عليه بأن الموضوع متغير؛ لأن المتيقن هو حكم الفاقد، والمشكوك حكم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بأن الواجدية والفاقدية من الحالات الطارئة، لا من المقومات في نظر العرف، والملاك في وحدة القضية المتيقنة والمشكوكة نظر العرف، والموضوع عندهم هو الجاهل وهو مستمر، ولو مع تغير الفاقدية إلى الواجدية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أحد الأدلة الثلاثة فيحق للمجتهد الواجد الذي لم يستنبط بالفعل أن يرجع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أقيم دليلان لعدم جواز تقليد الواجد، وهما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فقد تنجزت الأحكام الواقعية في ذمة المجتهد بالعلم الإجمالي، أو بقيام الأمارات في محلها، فيشك في براءة ذمته بالتقليد، والشك في الحجية موضوع عدم الحجية، والاشتغال اليقيني يقتضي البراءة اليقينية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الموضوع، فإن الموضوع هو الشك في الحجية، ومع وجود إطلاقات الأدلة اللفظية، أو السيرة العقلائية أو الاستصحاب لا شك تعبداً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والبراءة اليقينية أعم من الوجدانية والتعبدية، والتعبدية حاصلة في المقام مع فرض نهوض الأدلة الثلاثة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الذي ذكره الشيخ الأعظم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الإيرادات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الصغرى؛ لعدم تعنون المسألة في كثير من كلماتهم، فلم يتحصل لدينا اتفاق، بل الظن قائم على عدم 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ذهب إلى الجواز صاحب المناهل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لو فرض أن تحصيل علم المعارف واجب ليتعين تحصيل علم المعارف للواجد للملكة، لأن أحد مرجحات باب التزاحم ترجيح ما لا بدل له على ما له البدل، والمفروض أن واجد الملكة يمكنه التقليد في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الأدلة الأربعة التي أقامها الشيخ الأعظم أثبتت وجوب المعرفة، فهل مفادها وجوب خصوص المعرفة الاجتهادية أو الأعم منها ومن التقليدية؟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لزوم كونها معرفة اجتهادية؛ حيث لم يظهر ذلك </w:t>
      </w:r>
      <w:bookmarkStart w:id="191" w:name="pg15601_166713"/>
    </w:p>
    <w:p>
      <w:pPr>
        <w:pStyle w:val="BookText"/>
        <w:rPr/>
      </w:pPr>
      <w:bookmarkEnd w:id="191"/>
      <w:r>
        <w:rPr>
          <w:rFonts w:ascii="Amiri" w:hAnsi="Amiri" w:eastAsia="Amiri" w:cs="Amiri"/>
          <w:color w:val="111111"/>
          <w:sz w:val="28"/>
          <w:sz w:val="28"/>
          <w:szCs w:val="28"/>
          <w:rtl w:val="true"/>
          <w:lang w:bidi="ar-SA"/>
        </w:rPr>
        <w:t>من الأدلة التي أقامها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تزاحم بين تحصيل العلم بالفروع العملية، والمعارف الاجتهادية</w:t>
      </w:r>
      <w:r>
        <w:rPr>
          <w:rStyle w:val="FootnoteAnchor"/>
          <w:rtl w:val="true"/>
        </w:rPr>
        <w:footnoteReference w:id="533"/>
      </w:r>
      <w:r>
        <w:rPr>
          <w:rFonts w:ascii="Amiri" w:hAnsi="Amiri" w:eastAsia="Amiri" w:cs="Amiri"/>
          <w:color w:val="111111"/>
          <w:sz w:val="28"/>
          <w:sz w:val="28"/>
          <w:szCs w:val="28"/>
          <w:rtl w:val="true"/>
          <w:lang w:bidi="ar-SA"/>
        </w:rPr>
        <w:t>لإمكان حله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يقلد في الفروع العملية ويجتهد في الأصول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يجتهد في الفروع العملية ويقلد في الأصول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سبق في فروع الأصول الاعتقادية لا في أصول الأصول الاعتقادية، بل قال البعض</w:t>
      </w:r>
      <w:r>
        <w:rPr>
          <w:rStyle w:val="FootnoteAnchor"/>
          <w:rtl w:val="true"/>
        </w:rPr>
        <w:footnoteReference w:id="534"/>
      </w:r>
      <w:r>
        <w:rPr>
          <w:rFonts w:ascii="Amiri" w:hAnsi="Amiri" w:eastAsia="Amiri" w:cs="Amiri"/>
          <w:color w:val="111111"/>
          <w:sz w:val="28"/>
          <w:sz w:val="28"/>
          <w:szCs w:val="28"/>
          <w:rtl w:val="true"/>
          <w:lang w:bidi="ar-SA"/>
        </w:rPr>
        <w:t>بجواز التقليد في أصول الأصول الاعتقادية إذا أفاد العلم</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0000169_2142443653"/>
      <w:bookmarkStart w:id="193" w:name="_Toc72"/>
      <w:bookmarkEnd w:id="192"/>
      <w:r>
        <w:rPr>
          <w:rtl w:val="true"/>
        </w:rPr>
        <w:t>عدم اشتراط عموم وجوب المعرفة في تحقق الإسلام والإيمان</w:t>
      </w:r>
      <w:bookmarkEnd w:id="193"/>
    </w:p>
    <w:p>
      <w:pPr>
        <w:pStyle w:val="BookText"/>
        <w:rPr/>
      </w:pPr>
      <w:r>
        <w:rPr>
          <w:rFonts w:ascii="Amiri" w:hAnsi="Amiri" w:eastAsia="Amiri" w:cs="Amiri"/>
          <w:color w:val="111111"/>
          <w:sz w:val="28"/>
          <w:sz w:val="28"/>
          <w:szCs w:val="28"/>
          <w:rtl w:val="true"/>
          <w:lang w:bidi="ar-SA"/>
        </w:rPr>
        <w:t>ثم إنه لو سلمنا دلالة الأدلة المذكورة على عموم وجوب المعرفة، فلا دليل على مدخلية عموم المعرفة في تحقق الإسلام أو الإيمان،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المعرفة ليس شرط إسلام المسلم أو إيمان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لا بأس بالتنبيه إلى أن هنالك مفهومين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قادحية الإنكار،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المعرفة والإقرار، ولابد من التفكيك بينهما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قادحية الإنكار أو الشك في المعارف غير الألوهية، والنبوة والمعاد وما أشبه في الإسلام والإيمان موكول إلى محله من الفقه في باب النجاسات، بحث نجاسة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 في أربع صور، حيث قد يكون الشيء ضروري الدين، وقد يكون ضروري المذهب كالرجعة، وقد لا يكون ضرورياً، لكن علم كونه من الدين بالعلم الوجداني، كما لو قامت عليه أخبار متواترة، وقد لا يكون ضرورياً، ولكن علم كونه من الدين بالعلم التعبدي، كما لو قام عليه الخبر الواحد، ففي هذه الصور يتم البحث في أن الإنكار قادح في الإسلام والإيمان مطلقاً، أو إنه إنما يكون قادحاً إذا رجع إلى إنكار الألوهية والنبوة والمعاد، ومثل الإنكار التشكيك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تحقق الإسلام أو الإيمان بالاعتقاد بهذه المعارف، بناء على وجوبها، كما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عدم دلالة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الاعتقاد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اعتقادي مستقل، ولا يسلب الإسلام أو الإيمان عن المكلف لو جهله، فإن الأدلة المتقدمة لم تدل على الوجوب الشرطي،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ليعرفون</w:t>
      </w:r>
      <w:r>
        <w:rPr>
          <w:rStyle w:val="FootnoteAnchor"/>
          <w:rtl w:val="true"/>
        </w:rPr>
        <w:footnoteReference w:id="535"/>
      </w:r>
      <w:r>
        <w:rPr>
          <w:rFonts w:ascii="Amiri" w:hAnsi="Amiri" w:eastAsia="Amiri" w:cs="Amiri"/>
          <w:color w:val="111111"/>
          <w:sz w:val="28"/>
          <w:sz w:val="28"/>
          <w:szCs w:val="28"/>
          <w:rtl w:val="true"/>
          <w:lang w:bidi="ar-SA"/>
        </w:rPr>
        <w:t>تدل على كون المعرفة واجبة، لكنها لا تدل على كونها دخيلة في تحقق الإسلام والإيمان، وهكذا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قيام الأدلة على عدم الوجوب الشرطي، وهذا ما ورد في بعض الروايات الصحيحة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محمد بن عيسى، عن يونس </w:t>
      </w:r>
    </w:p>
    <w:p>
      <w:pPr>
        <w:pStyle w:val="BookText"/>
        <w:rPr/>
      </w:pPr>
      <w:r>
        <w:rPr>
          <w:rFonts w:ascii="Amiri" w:hAnsi="Amiri" w:eastAsia="Amiri" w:cs="Amiri"/>
          <w:color w:val="111111"/>
          <w:sz w:val="28"/>
          <w:sz w:val="28"/>
          <w:szCs w:val="28"/>
          <w:rtl w:val="true"/>
          <w:lang w:bidi="ar-SA"/>
        </w:rPr>
        <w:t>بن عبد الرحمن،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والإقرار بما جاء به من عند اللّه، وصلاة الخمس وأداء الزكاة وصوم شهر رمضان، وحج البيت وولاية ولينا وعداوة عدونا، والدخول مع الصادقين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له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تفصيلي وإجمالي، والظاهر صدقه على الإقرار الإجمالي بأن يعتقد الإنسان بأن كل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والمراد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بالمعنى الخاص، وإن لم يعتقد لجهله ببعض الفروع الاعتقادية، فلا مدخلية لها في تحقق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مع الصادقين يشمل الدخول في كل ما 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عنه بأن الدخول أعم من الإجمالي والتفصيلي، فلو اعتقد بكل ما اعتقده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بإجمالها لإجمال حدود الكون مع الصادقين فهناك روايات أخرى تدل على المختار بلا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بسندين صحيحين، أحدهما عن محمد بن يحيى، عن أحمد بن محمد، عن صفوان بن يحيى، أبي اليسع،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بدعائم الإسلام التي لا يسع أحداً التقصير عن معرفة شيء منها، الذي من قصر عن معرفة شيء منها فسد دينه، ولم يقبل اللّه منه عمله، ومن عرفها وعمل بها صلح له دينه، وقبل منه عمله، ولم يضق به مما هو </w:t>
      </w:r>
    </w:p>
    <w:p>
      <w:pPr>
        <w:pStyle w:val="BookText"/>
        <w:rPr/>
      </w:pPr>
      <w:r>
        <w:rPr>
          <w:rFonts w:ascii="Amiri" w:hAnsi="Amiri" w:eastAsia="Amiri" w:cs="Amiri"/>
          <w:color w:val="111111"/>
          <w:sz w:val="28"/>
          <w:sz w:val="28"/>
          <w:szCs w:val="28"/>
          <w:rtl w:val="true"/>
          <w:lang w:bidi="ar-SA"/>
        </w:rPr>
        <w:t>فيه لجهل شيء من الأمور جهله</w:t>
      </w:r>
      <w:r>
        <w:rPr>
          <w:rStyle w:val="FootnoteAnchor"/>
          <w:rtl w:val="true"/>
        </w:rPr>
        <w:footnoteReference w:id="53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والإيمان بأن محمداً رسول اللّه، والإقرار بما جاء به من عند اللّه، وحق في الأموال الزكاة، والولاية التي أمر اللّه عز وجل بها ولاية آل محمد</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محمد بن عيسى، عن يونس، عن حماد بن عثمان، عن عيسى بن السري،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بنيت عليه دعائم الإسلام إذا أنا أخذت بها زكى عملي، ولم يضرني جهل ما جهلت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والإقرار بما جاء به من عند اللّه، وحق في الأموال من الزكاة، والولاية التي أمر اللّه عز وجل بها، ولاية آل محمد، فإن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إمامه مات ميتة جاهلية،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وَاُوْلِي الأَمْرِ مِنكُمْ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فكان عليٌّ ثم صار من بعده حسن، ثم من بعده حسين، ثم من بعده علي بن الحسين، ثم من بعده محمد بن علي، ثم هكذا يكون الأمر، إن الأرض لا تصلح إلا بإمام، ومن مات لا يعرف إمامه مات ميتة جاهلية، وأحوج ما يكون أحدكم إلى معرفته إذا بلغت نفسه هاهنا، وأهوى بيده إلى صدره يقول حينئذ لقد كنت على أمر حسن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وبسندين صحيحين آخرين،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w:t>
      </w:r>
    </w:p>
    <w:p>
      <w:pPr>
        <w:pStyle w:val="BookText"/>
        <w:rPr/>
      </w:pPr>
      <w:r>
        <w:rPr>
          <w:rFonts w:ascii="Amiri" w:hAnsi="Amiri" w:eastAsia="Amiri" w:cs="Amiri"/>
          <w:color w:val="111111"/>
          <w:sz w:val="28"/>
          <w:sz w:val="28"/>
          <w:szCs w:val="28"/>
          <w:rtl w:val="true"/>
          <w:lang w:bidi="ar-SA"/>
        </w:rPr>
        <w:t>صفوان، عن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ألا أقص عليك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اللّه بشهادة أن لا إله إلا اللّه وحده لا شريك له، وأن محمداً عبده ورسوله، وأن الساعة آتية لا ريب فيها، وأن اللّه يبعث من في القبور، وإقام الصلاة وإيتاء الزكاة، وصوم شهر رمضان وحج البيت، والولاية لعلي أمير المؤمنين بعد رسول اللّه، والولاية للحسن والحسين، والولاية لعلي بن الحسين، والولاية لمحمد بن علي، ولك من بعده صلوات اللّه عليهم أجمعين، وإنكم أئمتي، عليه أحيا وعليه أموت، وأدين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واللّه دين اللّه ودين آبائي الذي أدين اللّه به في السر والعلانية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صريحة وواضحة، وتدل على أنه لا مدخلية لاعتقاد آخر في أصل ماهية الدين والإيمان، وإن كان له المدخلية في كمال الإيمان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عن مثنى، عن إسماعيل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الذي لا يسع العباد جهله،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واسع ولكن الخوارج ضيقوا على أنفسهم من جهلهم</w:t>
      </w:r>
      <w:r>
        <w:rPr>
          <w:rStyle w:val="FootnoteAnchor"/>
          <w:rtl w:val="true"/>
        </w:rPr>
        <w:footnoteReference w:id="54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فأحدثك بديني الذي أنا عليه،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والإقرار بما جاء به من عند اللّه، وأتولاكم وأبرأ من عدوكم، ومن ركب رقابكم وتأمر عليكم وظلمكم حقكم،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جهلت شيئاً، هو واللّه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أحد لا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المستضعفين،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وأولادكم،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أم أيمن؟ فإني أشهد أنها من أهل الجنة، وما كانت تعرف ما أنتم عليه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هذه الروايات و غيرها، يمكن دعوى كون عدم شرطية عموم المعارف في تحقق الإسلام والإيمان إحدى الضروريات الفقهية، والظاهر أنه لا يحتاج إلى الاستدلال، فمن عرف الأصول الضرورية للإسلام فهو مسلم بالضرورة الفقهية، ومن عرف الضروريات الإيمانية فهو مؤمن بالضرورة الفقهية، وإن كان جاهلاً بالتفاصيل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601_166726"/>
      <w:bookmarkStart w:id="195" w:name="pg15601_166726"/>
      <w:bookmarkEnd w:id="195"/>
    </w:p>
    <w:p>
      <w:pPr>
        <w:pStyle w:val="Heading2"/>
        <w:numPr>
          <w:ilvl w:val="1"/>
          <w:numId w:val="1"/>
        </w:numPr>
        <w:rPr/>
      </w:pPr>
      <w:bookmarkStart w:id="196" w:name="pg15601_166726"/>
      <w:bookmarkStart w:id="197" w:name="__RefHeading___Toc10000171_2142443653"/>
      <w:bookmarkStart w:id="198" w:name="_Toc73"/>
      <w:bookmarkEnd w:id="196"/>
      <w:bookmarkEnd w:id="197"/>
      <w:r>
        <w:rPr>
          <w:rtl w:val="true"/>
        </w:rPr>
        <w:t>المقصد الثاني</w:t>
      </w:r>
      <w:r>
        <w:rPr>
          <w:rtl w:val="true"/>
        </w:rPr>
        <w:t xml:space="preserve">: </w:t>
      </w:r>
      <w:r>
        <w:rPr>
          <w:rtl w:val="true"/>
        </w:rPr>
        <w:t>في مباحث الأصول العملية</w:t>
      </w:r>
      <w:bookmarkEnd w:id="1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0000173_2142443653"/>
      <w:bookmarkStart w:id="200" w:name="_Toc74"/>
      <w:bookmarkEnd w:id="199"/>
      <w:r>
        <w:rPr>
          <w:rtl w:val="true"/>
        </w:rPr>
        <w:t>اشارة</w:t>
      </w:r>
      <w:bookmarkEnd w:id="2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5601_166730"/>
      <w:bookmarkStart w:id="202" w:name="pg15601_166730"/>
      <w:bookmarkEnd w:id="202"/>
    </w:p>
    <w:p>
      <w:pPr>
        <w:pStyle w:val="Heading3"/>
        <w:numPr>
          <w:ilvl w:val="2"/>
          <w:numId w:val="1"/>
        </w:numPr>
        <w:rPr/>
      </w:pPr>
      <w:bookmarkStart w:id="203" w:name="pg15601_166730"/>
      <w:bookmarkStart w:id="204" w:name="__RefHeading___Toc10000175_2142443653"/>
      <w:bookmarkStart w:id="205" w:name="_Toc75"/>
      <w:bookmarkEnd w:id="203"/>
      <w:bookmarkEnd w:id="204"/>
      <w:r>
        <w:rPr>
          <w:rtl w:val="true"/>
        </w:rPr>
        <w:t>مباحث الأصول العملية</w:t>
      </w:r>
      <w:bookmarkEnd w:id="205"/>
    </w:p>
    <w:p>
      <w:pPr>
        <w:pStyle w:val="Heading4"/>
        <w:numPr>
          <w:ilvl w:val="3"/>
          <w:numId w:val="1"/>
        </w:numPr>
        <w:rPr/>
      </w:pPr>
      <w:bookmarkStart w:id="206" w:name="__RefHeading___Toc10000177_2142443653"/>
      <w:bookmarkStart w:id="207" w:name="_Toc7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بعد الفراغ من مباحث القطع والأمارات تصل النوبة إلى مباحث الأصول العملية، وجريانها موقوف على فقدان القطع والأمارات المعتبرة؛ لأن موضوعها الشك وعدم قيام الحجة، فينتفي مع وجودهما،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البراءة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علم وبيان، فتكون الأمارات المعتبرة والقطع واردة على الأصول العملية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0000179_2142443653"/>
      <w:bookmarkStart w:id="209" w:name="_Toc77"/>
      <w:bookmarkEnd w:id="208"/>
      <w:r>
        <w:rPr>
          <w:rtl w:val="true"/>
        </w:rPr>
        <w:t>مباحث البراءة</w:t>
      </w:r>
      <w:bookmarkEnd w:id="209"/>
    </w:p>
    <w:p>
      <w:pPr>
        <w:pStyle w:val="Heading5"/>
        <w:numPr>
          <w:ilvl w:val="4"/>
          <w:numId w:val="1"/>
        </w:numPr>
        <w:rPr/>
      </w:pPr>
      <w:bookmarkStart w:id="210" w:name="__RefHeading___Toc10000181_2142443653"/>
      <w:bookmarkStart w:id="211" w:name="_Toc78"/>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وأول الأصول العملية البراءة، والمشهور جريانها في الشبهات الوجوبية والتحريمية في صورة عدم وجود الحجة المعتبرة، وعدم وجود الحالة السابقة المتيقنة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0000183_2142443653"/>
      <w:bookmarkStart w:id="213" w:name="_Toc79"/>
      <w:bookmarkEnd w:id="212"/>
      <w:r>
        <w:rPr>
          <w:rtl w:val="true"/>
        </w:rPr>
        <w:t>أدلة البراءة</w:t>
      </w:r>
      <w:bookmarkEnd w:id="213"/>
    </w:p>
    <w:p>
      <w:pPr>
        <w:pStyle w:val="Heading6"/>
        <w:numPr>
          <w:ilvl w:val="5"/>
          <w:numId w:val="1"/>
        </w:numPr>
        <w:rPr/>
      </w:pPr>
      <w:bookmarkStart w:id="214" w:name="__RefHeading___Toc10000185_2142443653"/>
      <w:bookmarkStart w:id="215" w:name="_Toc8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واستدل على البراءة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0000187_2142443653"/>
      <w:bookmarkStart w:id="217" w:name="_Toc81"/>
      <w:bookmarkEnd w:id="216"/>
      <w:r>
        <w:rPr>
          <w:rtl w:val="true"/>
        </w:rPr>
        <w:t>الدليل الأول</w:t>
      </w:r>
      <w:r>
        <w:rPr>
          <w:rtl w:val="true"/>
        </w:rPr>
        <w:t xml:space="preserve">: </w:t>
      </w:r>
      <w:r>
        <w:rPr>
          <w:rtl w:val="true"/>
        </w:rPr>
        <w:t>القرآن الكريم</w:t>
      </w:r>
      <w:bookmarkEnd w:id="217"/>
    </w:p>
    <w:p>
      <w:pPr>
        <w:pStyle w:val="Heading6"/>
        <w:numPr>
          <w:ilvl w:val="5"/>
          <w:numId w:val="1"/>
        </w:numPr>
        <w:rPr/>
      </w:pPr>
      <w:bookmarkStart w:id="218" w:name="__RefHeading___Toc10000189_2142443653"/>
      <w:bookmarkStart w:id="219" w:name="_Toc82"/>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أما من الكتاب العزيز، فبآيات كريمة</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0000191_2142443653"/>
      <w:bookmarkStart w:id="221" w:name="_Toc83"/>
      <w:bookmarkEnd w:id="220"/>
      <w:r>
        <w:rPr>
          <w:rtl w:val="true"/>
        </w:rPr>
        <w:t>الأولى</w:t>
      </w:r>
      <w:r>
        <w:rPr>
          <w:rtl w:val="true"/>
        </w:rPr>
        <w:t xml:space="preserve">: </w:t>
      </w:r>
      <w:r>
        <w:rPr>
          <w:rtl w:val="true"/>
        </w:rPr>
        <w:t>آية التعذيب</w:t>
      </w:r>
      <w:bookmarkEnd w:id="22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خصوصية لبعث الرسول، وإنما هو كناية عن عدم وصول البيان، وإنما عبر عن عدم البيان بعدم بعث الرسول، وعن وصول البيان ببعث الرسول لتحقق البيان عادة ببعث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فالملاك هو البيان، والعذاب موقوف على وجود البيان، ولا خصوصية لبعث الرسول من قبل اللّه تعالى، وهذا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أصلي حتى يؤذن المؤذن، حيث لا موضوعية لأذانه، بل هو كناية عن دخول الوقت، وإنما عبر بأذان المؤذن لأن العلم بدخول الوقت متوقف على أذان المؤذن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الفرق بينهما بذكر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شرب التتن، فإن كان المراد من الآية بعث النبي، فالغاية محققة، ولا يمكن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لحلية التتن لتحقق الغاية، أما لو كان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أي حتى نبين، فيمكن الاستدلال بها لحلية التتن؛ لعدم تحقق الغاية، فلا عذاب على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البعث كناية عن إيصال الحجة، وإلا كان تعبداً صرفاً، وهو خلاف الظاهر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الغاية في الآية وجود البيان فهي تشير إلى قاعدة عقلائية،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يتم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تأكيد أو مطابق لحكم العقل بقبح العقاب، وأما لو كان لبعث النبي خصوصية وموضوعية فهو تعبد صرف، وخلاف الظاهر من الآية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ذكر الإيرادات عليها نشير إلى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مشهور الأصوليين في المقام على ذكر هذه الآية المباركة، ولكن هنالك آيات متعددة في القرآن الكريم بهذا المفاد نفسه أو 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مُهْلِكَ الْقُرَى حَتَّى يَبْعَثَ فِي أُمِّهَا رَسُولًا يَتْلُوعليهمْ آيَاتِنَا</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فالإهلاك متوقف على بعث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لَهَا مُنذِرُونَ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الآيات الكريمات موقوف على عدم وجود البيان لا بالعنوان الأولي، أي بيان حكم الشيء بما هوهو، ولا بالعنوان الثانوي، أي بيان حكم الشيء بما هو مشكوك، وإلا فلو كان هنالك بيان بالعنوان الأولي أو بالعنوان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كأوامر الاحتياط والوقوف عند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موضوع الآية الكريمة مرتفعاً؛ لأنَّ موضوعها عدم بعث الرسول وعدم </w:t>
      </w:r>
      <w:bookmarkStart w:id="222" w:name="pg15601_166736"/>
    </w:p>
    <w:p>
      <w:pPr>
        <w:pStyle w:val="BookText"/>
        <w:rPr/>
      </w:pPr>
      <w:bookmarkEnd w:id="222"/>
      <w:r>
        <w:rPr>
          <w:rFonts w:ascii="Amiri" w:hAnsi="Amiri" w:eastAsia="Amiri" w:cs="Amiri"/>
          <w:color w:val="111111"/>
          <w:sz w:val="28"/>
          <w:sz w:val="28"/>
          <w:szCs w:val="28"/>
          <w:rtl w:val="true"/>
          <w:lang w:bidi="ar-SA"/>
        </w:rPr>
        <w:t>نهوض الحجة، ومع البيان يرتفع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الحكم غاية، وهي بعث الرسول، وتتحقق الغاية مع بيان حكم الشيء سواء بالعنوان الأولي أم العنوان الثانوي، فلا مانع من العذاب</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0000193_2142443653"/>
      <w:bookmarkStart w:id="224" w:name="_Toc84"/>
      <w:bookmarkEnd w:id="223"/>
      <w:r>
        <w:rPr>
          <w:rtl w:val="true"/>
        </w:rPr>
        <w:t>إشكالات على الاستدلال بآية التعذيب على البراءة</w:t>
      </w:r>
      <w:bookmarkEnd w:id="224"/>
    </w:p>
    <w:p>
      <w:pPr>
        <w:pStyle w:val="BookText"/>
        <w:rPr/>
      </w:pPr>
      <w:r>
        <w:rPr>
          <w:rFonts w:ascii="Amiri" w:hAnsi="Amiri" w:eastAsia="Amiri" w:cs="Amiri"/>
          <w:color w:val="111111"/>
          <w:sz w:val="28"/>
          <w:sz w:val="28"/>
          <w:szCs w:val="28"/>
          <w:rtl w:val="true"/>
          <w:lang w:bidi="ar-SA"/>
        </w:rPr>
        <w:t>وأورد على الاستدلال بالآية الكريمة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p>
    <w:p>
      <w:pPr>
        <w:pStyle w:val="BookText"/>
        <w:rPr/>
      </w:pPr>
      <w:r>
        <w:rPr>
          <w:rFonts w:ascii="Amiri" w:hAnsi="Amiri" w:eastAsia="Amiri" w:cs="Amiri"/>
          <w:color w:val="111111"/>
          <w:sz w:val="28"/>
          <w:sz w:val="28"/>
          <w:szCs w:val="28"/>
          <w:rtl w:val="true"/>
          <w:lang w:bidi="ar-SA"/>
        </w:rPr>
        <w:t>ما ذكره صاحب الكفاية واقتصر عليه</w:t>
      </w:r>
      <w:r>
        <w:rPr>
          <w:rStyle w:val="FootnoteAnchor"/>
          <w:rtl w:val="true"/>
        </w:rPr>
        <w:footnoteReference w:id="552"/>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الكريمة نفي فعلية التعذيب لا نفي استحقاق التعذيب، ولا ملازمة بين انتفاء فعلية التعذيب وانتفاء استحقاقه، وما ينفعنا في المقام نفي الاستحقاق لا نفي الفعلية، فربما نفي وجوب العذاب لطفاً وامتناناً فلم يعذب ولا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 فرع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كذلك إلا أن نفي التعذيب لا يلازم نفي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المطلوب للأصولي تحصيل المؤمن من العذاب، سواء لم تكن عقوبة أو لم يكن استحقاق، والآية تتكفل ذلك؛ لأنها تنفي العقوبة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ظاهر 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مهمة المكلف عدمها، سواء كان استحقاق أم لا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يحتاج إلى مزيد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في تعريف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العلم بالقواعد الممهدة لاستنباط الأحكام الشرعية الفرعية، فغرض الأصولي تمهيد قواعد تنتهي إلى معرفة الحكم الشرعي، وغرضه يَؤول إلى بيان موقف المكلف تجاه الحكم الشرعي، والعقاب وعدمه لا يرتبط بغرض الأصولي والفقيه، بل هما يتكفلان بيان الحلية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أن يكون هنالك حكم واستحقاق، لكن لا يعاقب لعفوه سبحانه أو لوعده عز وجل، أو لشفاعة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الظهار المحرم، حيث لا عقوبة عليه لوعده عز وجل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لَيَقُولُونَ مُنكَرًا مِّنَ الْقَوْلِ وَزُورًا وَإِنَّ اللَّهَ لَعَفُوٌّ غَفُورٌ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فحينما يسأل الفقيه أو الأصولي عن حكم الظهار يجيبان بالحرمة مع عدم العقاب وإن استحقه، ولكن لا يهمهما إن كان عقاب أو لم يكن، بل المهم عندهما هل هنالك حكم واستحقاق أم لا؟</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 الأصولي أن لا يخالف المكلف الحكم الشرعي وأن لا يستحق العقاب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مهمة المكلف أن لا يعصي المولى، كمهمة الابن البار، وليست </w:t>
      </w:r>
    </w:p>
    <w:p>
      <w:pPr>
        <w:pStyle w:val="BookText"/>
        <w:rPr/>
      </w:pPr>
      <w:r>
        <w:rPr>
          <w:rFonts w:ascii="Amiri" w:hAnsi="Amiri" w:eastAsia="Amiri" w:cs="Amiri"/>
          <w:color w:val="111111"/>
          <w:sz w:val="28"/>
          <w:sz w:val="28"/>
          <w:szCs w:val="28"/>
          <w:rtl w:val="true"/>
          <w:lang w:bidi="ar-SA"/>
        </w:rPr>
        <w:t>مهمته أن لا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مهمة المكلف والفقيه والأصولي أن لا يقحم المكلف نفسه في مخالفة المولى، ولازمه العقلي الذي لا ينفك عنه استحقاق العقوبة، والآية لم تنف ذلك وإنما نفت فعلية العقوبة، فلا تنفع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 من الجواب على الإيراد الأول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في أربع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الشيخ الأعظم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الفعلية ملازم لنفي الاستحقاق، فإن الآية وإن تكفلت نفي الفعلية إلا أنه هنالك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الفعلية</w:t>
      </w:r>
      <w:r>
        <w:rPr>
          <w:rStyle w:val="FootnoteAnchor"/>
          <w:rtl w:val="true"/>
        </w:rPr>
        <w:footnoteReference w:id="556"/>
      </w:r>
      <w:r>
        <w:rPr>
          <w:rFonts w:ascii="Amiri" w:hAnsi="Amiri" w:eastAsia="Amiri" w:cs="Amiri"/>
          <w:color w:val="111111"/>
          <w:sz w:val="28"/>
          <w:sz w:val="28"/>
          <w:szCs w:val="28"/>
          <w:rtl w:val="true"/>
          <w:lang w:bidi="ar-SA"/>
        </w:rPr>
        <w:t>يكفي في هذا المقام؛ لأن الخصم</w:t>
      </w:r>
      <w:r>
        <w:rPr>
          <w:rStyle w:val="FootnoteAnchor"/>
          <w:rtl w:val="true"/>
        </w:rPr>
        <w:footnoteReference w:id="557"/>
      </w:r>
      <w:r>
        <w:rPr>
          <w:rFonts w:ascii="Amiri" w:hAnsi="Amiri" w:eastAsia="Amiri" w:cs="Amiri"/>
          <w:color w:val="111111"/>
          <w:sz w:val="28"/>
          <w:sz w:val="28"/>
          <w:szCs w:val="28"/>
          <w:rtl w:val="true"/>
          <w:lang w:bidi="ar-SA"/>
        </w:rPr>
        <w:t>يدعي أن في ارتكاب الشبهة الوقوع في العقاب والهلاك فعلاً، من حيث لا يعلم، كما هو مقتضى رواية التثليث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ويعترف بعدم المقتضي للاستحقاق على تقدير عدم الفعلية</w:t>
      </w:r>
      <w:r>
        <w:rPr>
          <w:rStyle w:val="FootnoteAnchor"/>
          <w:rtl w:val="true"/>
        </w:rPr>
        <w:footnoteReference w:id="558"/>
      </w:r>
      <w:r>
        <w:rPr>
          <w:rFonts w:ascii="Amiri" w:hAnsi="Amiri" w:eastAsia="Amiri" w:cs="Amiri"/>
          <w:color w:val="111111"/>
          <w:sz w:val="28"/>
          <w:sz w:val="28"/>
          <w:szCs w:val="28"/>
          <w:rtl w:val="true"/>
          <w:lang w:bidi="ar-SA"/>
        </w:rPr>
        <w:t>، فيكفي في عدم الاستحقاق نفي الفعلية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فيلازم ذلك نفي استحقاق العقاب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أوردهما صاحب الكفاية على جواب الشيخ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كلام الشيخ يكون الاستدلال بالآية الكريمة جدلياً، فإن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برهاني وهو منتج لليقين والإذعان، وإما جدلي وهو ينتج الإسكات والإفحام، والملازمة المدعاة في كلامه ملازمة عند الأخباري، فلا ينفع الاستدلال بالآية إلا لإفحامه، فلا يكون استدلالاً برهانياً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منعه</w:t>
      </w:r>
      <w:r>
        <w:rPr>
          <w:rStyle w:val="FootnoteAnchor"/>
          <w:rtl w:val="true"/>
        </w:rPr>
        <w:footnoteReference w:id="561"/>
      </w:r>
      <w:r>
        <w:rPr>
          <w:rFonts w:ascii="Amiri" w:hAnsi="Amiri" w:eastAsia="Amiri" w:cs="Amiri"/>
          <w:color w:val="111111"/>
          <w:sz w:val="28"/>
          <w:sz w:val="28"/>
          <w:szCs w:val="28"/>
          <w:rtl w:val="true"/>
          <w:lang w:bidi="ar-SA"/>
        </w:rPr>
        <w:t>، ضرورة أن ما شك في وجوبه وحرمته ليس عنده بأعظم مما علم بحكمه، وليس حال الوعيد بالعذاب فيه إلا كالوعيد به فيه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فمجهول الحكم ليس بأعظم من معلومه، فمن شرب الخمر عالماً عامداً فلا يمكن القول بالملازمة بين انتفاء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لعفو أو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الاستحقاق، فيمكن انتفاء فعلية العذاب في حقه بلا انتفاء الاستحقاق، فهل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معلوم الحكم، حتى يقال بالملازمة؟ بل حال الوعيد بارتكاب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كالوقوع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الوعيد بارتكاب المحرمات المعلومة، فكما أنه هناك لا ملازمة ففي المقام أيضاً لا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التعليقة</w:t>
      </w:r>
      <w:r>
        <w:rPr>
          <w:rStyle w:val="FootnoteAnchor"/>
          <w:rtl w:val="true"/>
        </w:rPr>
        <w:footnoteReference w:id="563"/>
      </w:r>
      <w:r>
        <w:rPr>
          <w:rFonts w:ascii="Amiri" w:hAnsi="Amiri" w:eastAsia="Amiri" w:cs="Amiri"/>
          <w:color w:val="111111"/>
          <w:sz w:val="28"/>
          <w:sz w:val="28"/>
          <w:szCs w:val="28"/>
          <w:rtl w:val="true"/>
          <w:lang w:bidi="ar-SA"/>
        </w:rPr>
        <w:t>في توجيه انتفاء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الوعيد بالعقوبات إنما هو من باب الإخبار بالشيء لقيام ما يقتضيه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فروايات العقوبات سواء في المحرمات المعلومة أم في المشتبهات </w:t>
      </w:r>
    </w:p>
    <w:p>
      <w:pPr>
        <w:pStyle w:val="BookText"/>
        <w:rPr/>
      </w:pPr>
      <w:r>
        <w:rPr>
          <w:rFonts w:ascii="Amiri" w:hAnsi="Amiri" w:eastAsia="Amiri" w:cs="Amiri"/>
          <w:color w:val="111111"/>
          <w:sz w:val="28"/>
          <w:sz w:val="28"/>
          <w:szCs w:val="28"/>
          <w:rtl w:val="true"/>
          <w:lang w:bidi="ar-SA"/>
        </w:rPr>
        <w:t>صرف بيان المقتضي، ومن الواضح إمكان وجود مانع يزاحم تأثير المقتضي، فالمانع لا يكون مزاحماً لأصل وجود المقتضي ولا لاقتضائه، بل مزاحم لتأثير المقتضي في المقتضى، كالرطوبة في الورقة ليست مزاحمة لوجود النار ولا لاقتضائها، بل لتأثيرها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المراد من الروايات والآيات التي مفادها ثبوت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الاقتضاء لا العلية التامة، فتنتفي العقوبة مع وجود المانع من دون انتفاء الاستحقاق، على خلاف ما ذكره الشيخ من ثبوت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السيد الروحاني</w:t>
      </w:r>
      <w:r>
        <w:rPr>
          <w:rStyle w:val="FootnoteAnchor"/>
          <w:rtl w:val="true"/>
        </w:rPr>
        <w:footnoteReference w:id="564"/>
      </w:r>
      <w:r>
        <w:rPr>
          <w:rFonts w:ascii="Amiri" w:hAnsi="Amiri" w:eastAsia="Amiri" w:cs="Amiri"/>
          <w:color w:val="111111"/>
          <w:sz w:val="28"/>
          <w:sz w:val="28"/>
          <w:szCs w:val="28"/>
          <w:rtl w:val="true"/>
          <w:lang w:bidi="ar-SA"/>
        </w:rPr>
        <w:t>على إشكالي الكفاية على إشكال الشيخ الأعظم على الإشكال الأول على الاستدلال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بعدم الملازمة بين انتفاء الفعلية وانتفاء الاستحقاق بنحو عام، لكن الملازمة ثابتة في خصوص المقام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وجوب الاحتياط صريحة أو ظاهرة في ثبوت احتمال الهلكة في الاقتحام في الشبهات،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اقتحم في الشبهات وقع في الهلكات</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وهلك من حيث لا يعلم</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حام حول الحمى أوشك أن يقع فيه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وهذا المفاد يتعارض مع مفاد آية نفي التعذيب؛ لأن مفادها انتفاء العذاب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أخص مطلقاً من روايات الاحتياط؛ لأنَّ روايات الاحتياط تشمل العلم الإجمالي، والآية لا تشمله، فتكون الآية مخصصة لأدلة وجوب الاحتياط، وأما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من وجه أو تباين كلي، فتطرح الروايات لمخالفتها الكتاب، فيتم الاستدلال بالآية، ومراد الشيخ من الملازمة بين انتفاء الفعلية وانتفاء الاستحقاق خصوص المقام بلحاظ عالم الإثبات لا الملازمة بنحوكلي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ما ذكره السيد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نحو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هنالك طوائف من الأخبار بألسنة متعددة، وكان بعضها منافياً للكتاب بأي نحو من أنحاء المنافاة، وتم طرحها بأي نحو من أنحاء الطرح، فلا يسري ذلك إلى الطوائف التي لا تنافيه، لكون ملاك طرح تلك الطائفة هو المنافاة، والمفروض في الطوائف الأخرى انتفاء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نحو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روايات الاحتياط تتنوع إلى طوائف، منها ما ذكره في المنتقى</w:t>
      </w:r>
      <w:r>
        <w:rPr>
          <w:rStyle w:val="FootnoteAnchor"/>
          <w:rtl w:val="true"/>
        </w:rPr>
        <w:footnoteReference w:id="568"/>
      </w:r>
      <w:r>
        <w:rPr>
          <w:rFonts w:ascii="Amiri" w:hAnsi="Amiri" w:eastAsia="Amiri" w:cs="Amiri"/>
          <w:color w:val="111111"/>
          <w:sz w:val="28"/>
          <w:sz w:val="28"/>
          <w:szCs w:val="28"/>
          <w:rtl w:val="true"/>
          <w:lang w:bidi="ar-SA"/>
        </w:rPr>
        <w:t>، والتي مفادها ينافي مفاد آية نفي التعذيب، ولكن هنالك طوائف أخرى لا تنافيه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القول والإفتاء بغير علم، كصحيحة هشام بن سالم</w:t>
      </w:r>
      <w:r>
        <w:rPr>
          <w:rStyle w:val="FootnoteAnchor"/>
          <w:rtl w:val="true"/>
        </w:rPr>
        <w:footnoteReference w:id="569"/>
      </w:r>
      <w:r>
        <w:rPr>
          <w:rFonts w:ascii="Amiri" w:hAnsi="Amiri" w:eastAsia="Amiri" w:cs="Amiri"/>
          <w:color w:val="111111"/>
          <w:sz w:val="28"/>
          <w:sz w:val="28"/>
          <w:szCs w:val="28"/>
          <w:rtl w:val="true"/>
          <w:lang w:bidi="ar-SA"/>
        </w:rPr>
        <w:t>، كما في الكافي عن علي بن إبراهيم، عن أبيه، عن ابن أبي عمير، عن هشام بن سالم،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ويكفوا عما لا يعلمون، فإذا فعلوا ذلك فقد أدوا إلى </w:t>
      </w:r>
    </w:p>
    <w:p>
      <w:pPr>
        <w:pStyle w:val="BookText"/>
        <w:rPr/>
      </w:pPr>
      <w:r>
        <w:rPr>
          <w:rFonts w:ascii="IRNazanin" w:hAnsi="IRNazanin" w:eastAsia="IRNazanin"/>
          <w:color w:val="111111"/>
          <w:sz w:val="28"/>
          <w:sz w:val="28"/>
          <w:szCs w:val="28"/>
          <w:rtl w:val="true"/>
          <w:lang w:bidi="fa-IR"/>
        </w:rPr>
        <w:t>اللّه تعالى حقه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المضمون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الاحتياط، كصحيحة عبد الرحمن بن الحجاج، كما عن الكليني عن علي بن إبراهيم، عن أبيه، عن ابن أبي عمير وصفوان بن يحيى، جميعاً عن عبد الرحمن بن الحجاج،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التوقف في الشبهة، كما كتبه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الحنيف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اشتبه عليك علمه فالفظه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في الشبهات</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المقام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الطوائف التي استدل بها على وجوب الاحتياط بناء على دلالتها لا تنافي مفاد آية نفي التعذيب، فإن مفاد الروايات وجوب التوقف والسؤال والاحتياط، ومفاد الآية نفي فعلية التعذيب في شرب التتن مثلاً، فلا تنفع في المقام؛ لأن المهم نفي استحقاق التعذيب لا نفي الفعلية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التعارض متحقق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مفاد الآية عدم </w:t>
      </w:r>
    </w:p>
    <w:p>
      <w:pPr>
        <w:pStyle w:val="BookText"/>
        <w:rPr/>
      </w:pPr>
      <w:r>
        <w:rPr>
          <w:rFonts w:ascii="Amiri" w:hAnsi="Amiri" w:eastAsia="Amiri" w:cs="Amiri"/>
          <w:color w:val="111111"/>
          <w:sz w:val="28"/>
          <w:sz w:val="28"/>
          <w:szCs w:val="28"/>
          <w:rtl w:val="true"/>
          <w:lang w:bidi="ar-SA"/>
        </w:rPr>
        <w:t>الوقوع في الهلكة، وعليه يكون كلام الكفاية</w:t>
      </w:r>
      <w:r>
        <w:rPr>
          <w:rStyle w:val="FootnoteAnchor"/>
          <w:rtl w:val="true"/>
        </w:rPr>
        <w:footnoteReference w:id="574"/>
      </w:r>
      <w:r>
        <w:rPr>
          <w:rFonts w:ascii="Amiri" w:hAnsi="Amiri" w:eastAsia="Amiri" w:cs="Amiri"/>
          <w:color w:val="111111"/>
          <w:sz w:val="28"/>
          <w:sz w:val="28"/>
          <w:szCs w:val="28"/>
          <w:rtl w:val="true"/>
          <w:lang w:bidi="ar-SA"/>
        </w:rPr>
        <w:t>تاماً، والإشكال الثاني الذي ذكره الشيخ الأعظم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متكفلة لبيان انتفاء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ولبيانه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Style w:val="FootnoteAnchor"/>
          <w:rtl w:val="true"/>
        </w:rPr>
        <w:footnoteReference w:id="575"/>
      </w:r>
      <w:r>
        <w:rPr>
          <w:rFonts w:ascii="Amiri" w:hAnsi="Amiri" w:eastAsia="Amiri" w:cs="Amiri"/>
          <w:color w:val="111111"/>
          <w:sz w:val="28"/>
          <w:sz w:val="28"/>
          <w:szCs w:val="28"/>
          <w:rtl w:val="true"/>
          <w:lang w:bidi="ar-SA"/>
        </w:rPr>
        <w:t>وهو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والروايات التي تتكفل بيان العقوبات أو المثوبات على الأفعال أو التروك ظاهرة في الاقتضاء لا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الأمر كذلك في جميع القضايا الواردة في بيان الخواص والآثار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قاتل، أو النار محرقة، فهو بيان مجرد اقتضاء السم للقتل والنار للإحراق لا بيان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التي تنفي الترتب المزبور أيضاً ظاهرة في الاقتضاء لا الفعلية، بقرينة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على الاقتضاء، بمعنى أن هذا الأمر يقتضي تعذيبنا، وفي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اقتضاء للتعذيب، فيدل على المطلوب، وهو انتفاء الاستحقاق قبل البيان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لم يرتضه؛ لوجود الفرق بين القضايا المثبتة للآثار والقضايا النافية، </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رفع اليد عن ظهور القضية في الفعلية في القضايا المثبتة للآثار، وذلك للقرينة الخارجية، وهي قلة ما يكون علة تامة لثبوت شيء خارجاً، حيث توجد الشروط والموانع، فحتى لو كان الفاعل تام الفاعلية يمكن أن لا يكون القابل تام القابلية، فيضطر لرفع اليد عن ظهور القضية في الفعل إلى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القضايا النافية للآثار يكون العدم فعلياً على كل حال، سواء لم يكن هنالك مقتضٍ أم لم يكن شرط، أم كان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لا يتحقق إلا بسد جميع أبواب العدم عليه</w:t>
      </w:r>
      <w:r>
        <w:rPr>
          <w:rStyle w:val="FootnoteAnchor"/>
          <w:rtl w:val="true"/>
        </w:rPr>
        <w:footnoteReference w:id="577"/>
      </w:r>
      <w:r>
        <w:rPr>
          <w:rFonts w:ascii="Amiri" w:hAnsi="Amiri" w:eastAsia="Amiri" w:cs="Amiri"/>
          <w:color w:val="111111"/>
          <w:sz w:val="28"/>
          <w:sz w:val="28"/>
          <w:szCs w:val="28"/>
          <w:rtl w:val="true"/>
          <w:lang w:bidi="ar-SA"/>
        </w:rPr>
        <w:t>، فلو كان هنالك ألف باب يأتي منها عدم المعلول فلا بد من سد جميعها لتحققه، أما في عدم المعلول فيكفي انفتاح باب واحد منها فينعدم المعلول، فالعدم فعلي سواء أكان المتحقق عدم المقتضي أم عدم الشرط أم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فظاهر القضية المنفية الفعلية لا الاقتضاء، عكس القضية المثبتة،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السنا مسهل</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فبالقرينة الخارجية يحمل على الاقتضاء، أما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ليس بمسهل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للحمل على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المقام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إثبات الاقتضاء،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لحمله على الاقتضاء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صاحب الكفاية من كون الآية تنفي الفعلية لا الاقتضاء، فلا </w:t>
      </w:r>
    </w:p>
    <w:p>
      <w:pPr>
        <w:pStyle w:val="BookText"/>
        <w:rPr/>
      </w:pPr>
      <w:r>
        <w:rPr>
          <w:rFonts w:ascii="Amiri" w:hAnsi="Amiri" w:eastAsia="Amiri" w:cs="Amiri"/>
          <w:color w:val="111111"/>
          <w:sz w:val="28"/>
          <w:sz w:val="28"/>
          <w:szCs w:val="28"/>
          <w:rtl w:val="true"/>
          <w:lang w:bidi="ar-SA"/>
        </w:rPr>
        <w:t>يمكن الاستدلال بها على البراءة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بالفرق بين طرف النفي والإثبات محل إشكال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السلب والإيجاب يتوجهان على التبادل على شيء واحد، فكون المتعلق في أحدهما غيره في الآخر انفراط</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مركبة من الموضوع والمحمول والنسبة الحكمية، والحكم والأخير هو مفاد الجملة، فإما أن يحكم بثبوت النسبة بين الموضوع والمحمول، أو بنفي النسبة بين الموضوع والمحمول، ومصب الإثبات هو مصب النفي، وبالعكس، فكيف يكون مصب الإثبات الاقتضاء ومصب النفي الفعلية؟ إلا أن يدعى الظهور فيما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الإشكال الصغروي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ذكر في النهاية من الفرق بين الإثبات والنفي، فإنما يتم إذا كان المتكلم في مقام بيان الخواص والآثار التي تترتب على الشيء، لكن لو كان المتكلم في مقام بيان سنة تاريخية جرت عادته عليها، فلا فرق بين النفي والإثبات في ظهورهما في الفعلية،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يستاك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معناه أنه جرت عادته ودأبه على ذلك، فتكون الجملة ظاهرة في الفعلية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ينام 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لم تجر عادته، فتدل على فعلية النفي، فهل الآية الكريمة في مقام بيان الاقتضاء أو في مقام </w:t>
      </w:r>
    </w:p>
    <w:p>
      <w:pPr>
        <w:pStyle w:val="BookText"/>
        <w:rPr/>
      </w:pPr>
      <w:r>
        <w:rPr>
          <w:rFonts w:ascii="Amiri" w:hAnsi="Amiri" w:eastAsia="Amiri" w:cs="Amiri"/>
          <w:color w:val="111111"/>
          <w:sz w:val="28"/>
          <w:sz w:val="28"/>
          <w:szCs w:val="28"/>
          <w:rtl w:val="true"/>
          <w:lang w:bidi="ar-SA"/>
        </w:rPr>
        <w:t>بيان السنة التاريخية الإلهية؟ فلو كان الثاني فلا فرق،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كانت سنتنا بالفعل على التعذيب،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كانت سنتنا بالفعل على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منسلخة عن الزمان وإفاد الربط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صاحب الكفاية في بحث المشتق</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 لسنا معذبين قبل البيان، بل بعده، وهو بيان واقع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منسلخة عن الزمان كان المعنى لم نعذب فيما مضى، أي لم تجر عادتنا في الأمم المتقدمة على ذلك، وكلاهما يدلان على الفعلية، ومثله ما لو قال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معذب أو لست بمعذب، فهو ظاهر في الفعلية، وكذا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منفق أو ليس بمنفق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السياق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إِنسَانٍ أَلْزَمْنَاهُ طَآئِرَهُ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بعض التفاسير</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العقاب الإلهي بقيام الحجة </w:t>
      </w:r>
    </w:p>
    <w:p>
      <w:pPr>
        <w:pStyle w:val="BookText"/>
        <w:rPr/>
      </w:pPr>
      <w:r>
        <w:rPr>
          <w:rFonts w:ascii="Amiri" w:hAnsi="Amiri" w:eastAsia="Amiri" w:cs="Amiri"/>
          <w:color w:val="111111"/>
          <w:sz w:val="28"/>
          <w:sz w:val="28"/>
          <w:szCs w:val="28"/>
          <w:rtl w:val="true"/>
          <w:lang w:bidi="ar-SA"/>
        </w:rPr>
        <w:t>العقلية فقط، فإن خالفوا فإنّ اللّه لا يعاقبهم، مع أمر العقل ونهيه، بل يتوقف على بعث النبي،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فَفَسَقُواْ فِيهَا فَحَقَّ عَلَيْهَا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المنتقى</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نفي التعذيب وإن كان أعم من نفي استحقاق التعذيب في حد ذاته، إلا أنه في خصوص المقام ظاهر عرفاً في كون منشأ نفي التعذيب هو انتفاء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أشكل في الظهور إلا أنّ سياق الآية ظاهر في انتفاء الاستحقاق، فإنه في مقام بيان الطريقة العادلة في العذاب، وأنه لا يكون إلا طبق الموازين العقلائية، والشارع لم يتخط طريقتهم في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مفاد الآية أنَّ العذاب منتفٍ؛ لأنه على خلاف الموازين العقلائية، وتقييد التعذيب بقيام الحجة بما تقتضيه الموازين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إشارة إلى الطريقة العقلائية المألوفة في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الآية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بلحاظ ذاتها،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بلحاظ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فتحتمل الآية في حد ذاتها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التعذيب لم يكن دأبنا، وهو يفيد السنة التاريخية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التعذيب ليس فعلنا، وهو يفيد أننا لسنا معذبين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التعذيب ليس شأننا، وهو يفيد أن المقام الربوبي أجل وأرفع </w:t>
      </w:r>
    </w:p>
    <w:p>
      <w:pPr>
        <w:pStyle w:val="BookText"/>
        <w:rPr/>
      </w:pPr>
      <w:r>
        <w:rPr>
          <w:rFonts w:ascii="Amiri" w:hAnsi="Amiri" w:eastAsia="Amiri" w:cs="Amiri"/>
          <w:color w:val="111111"/>
          <w:sz w:val="28"/>
          <w:sz w:val="28"/>
          <w:szCs w:val="28"/>
          <w:rtl w:val="true"/>
          <w:lang w:bidi="ar-SA"/>
        </w:rPr>
        <w:t>من أن يعذب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المعين للاحتمال الثالث؟</w:t>
      </w:r>
    </w:p>
    <w:p>
      <w:pPr>
        <w:pStyle w:val="BookText"/>
        <w:rPr/>
      </w:pPr>
      <w:r>
        <w:rPr>
          <w:rFonts w:ascii="Amiri" w:hAnsi="Amiri" w:eastAsia="Amiri" w:cs="Amiri"/>
          <w:color w:val="111111"/>
          <w:sz w:val="28"/>
          <w:sz w:val="28"/>
          <w:szCs w:val="28"/>
          <w:rtl w:val="true"/>
          <w:lang w:bidi="ar-SA"/>
        </w:rPr>
        <w:t>وأما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ينسجم السياق مع بيان ما يقتضيه العدل كذلك ينسجم مع بيان ما يقتضيه الفضل،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لكونه خلاف العدل أو خلاف الفضل؟</w:t>
      </w:r>
    </w:p>
    <w:p>
      <w:pPr>
        <w:pStyle w:val="BookText"/>
        <w:rPr/>
      </w:pPr>
      <w:r>
        <w:rPr>
          <w:rFonts w:ascii="Amiri" w:hAnsi="Amiri" w:eastAsia="Amiri" w:cs="Amiri"/>
          <w:color w:val="111111"/>
          <w:sz w:val="28"/>
          <w:sz w:val="28"/>
          <w:szCs w:val="28"/>
          <w:rtl w:val="true"/>
          <w:lang w:bidi="ar-SA"/>
        </w:rPr>
        <w:t>ولو شكك فيه فمنتهى الأمر تعارض ظهور السياق السابق مع ظهور السياق اللاحق، ولا وجه لملاحظة السياق السابق وإغفال السياق اللاحق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فقد قال البعض</w:t>
      </w:r>
      <w:r>
        <w:rPr>
          <w:rStyle w:val="FootnoteAnchor"/>
          <w:rtl w:val="true"/>
        </w:rPr>
        <w:footnoteReference w:id="585"/>
      </w:r>
      <w:r>
        <w:rPr>
          <w:rFonts w:ascii="Amiri" w:hAnsi="Amiri" w:eastAsia="Amiri" w:cs="Amiri"/>
          <w:color w:val="111111"/>
          <w:sz w:val="28"/>
          <w:sz w:val="28"/>
          <w:szCs w:val="28"/>
          <w:rtl w:val="true"/>
          <w:lang w:bidi="ar-SA"/>
        </w:rPr>
        <w:t>بأنه يفيد الفضل لا العدل، وإن اللّه لا يعاقب بمجرد قيام الحجة العقلية، ومع أن الأمم خالفت الحجة العقلية، إلا أن المولى لا يؤاخذهم ولا يعاقبهم؛ تفضلاً مع عدم كون المؤاخذة منافياً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التعذيب بعد الحجة الشرعية، وهو مقتضى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فالسياق السابق يبين مقتضى العدل، والسياق اللاحق يبين مقتضى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دعوى كون ظهور السياق اللاحق أقوى في المقام، وإلا فلا أقل من تعارض ظهوري السياقين، فتكون الآية مجملة، ويكفينا الاحتمال والإجمال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586"/>
      </w:r>
      <w:r>
        <w:rPr>
          <w:rFonts w:ascii="Amiri" w:hAnsi="Amiri" w:eastAsia="Amiri" w:cs="Amiri"/>
          <w:color w:val="111111"/>
          <w:sz w:val="28"/>
          <w:sz w:val="28"/>
          <w:szCs w:val="28"/>
          <w:rtl w:val="true"/>
          <w:lang w:bidi="ar-SA"/>
        </w:rPr>
        <w:t>وبعض المعاصرين</w:t>
      </w:r>
      <w:r>
        <w:rPr>
          <w:rStyle w:val="FootnoteAnchor"/>
          <w:rtl w:val="true"/>
        </w:rPr>
        <w:footnoteReference w:id="587"/>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ذكره في المصباح</w:t>
      </w:r>
      <w:r>
        <w:rPr>
          <w:rStyle w:val="FootnoteAnchor"/>
          <w:rtl w:val="true"/>
        </w:rPr>
        <w:footnoteReference w:id="588"/>
      </w:r>
      <w:r>
        <w:rPr>
          <w:rFonts w:ascii="Amiri" w:hAnsi="Amiri" w:eastAsia="Amiri" w:cs="Amiri"/>
          <w:color w:val="111111"/>
          <w:sz w:val="28"/>
          <w:sz w:val="28"/>
          <w:szCs w:val="28"/>
          <w:rtl w:val="true"/>
          <w:lang w:bidi="ar-SA"/>
        </w:rPr>
        <w:t>، وهو مركب من دعويين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التعذيب ليس من شأننا قبل البيان، وذلك لكونه مدلولاً مطابقياً للآية الكريمة، وهذا يظهر من استقراء موارد استعمال الكلمة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في القرآن الكريم في هذا المعنى،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فإن المقام الربوبي أجل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مَآ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فليس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 الالتزامي للآية الكريمة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التعذيب قبل البيان مناسباً للشأن الربوبي لكان ملازماً لعدم استحقاقهم للعذاب، وإلا لكان من شأنه أن يعذب أو يعفو</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التعذيب يجلُّ عنه الشأن الربوبي فهو ملازم لعدم استحقاقهم </w:t>
      </w:r>
    </w:p>
    <w:p>
      <w:pPr>
        <w:pStyle w:val="BookText"/>
        <w:rPr/>
      </w:pPr>
      <w:r>
        <w:rPr>
          <w:rFonts w:ascii="Amiri" w:hAnsi="Amiri" w:eastAsia="Amiri" w:cs="Amiri"/>
          <w:color w:val="111111"/>
          <w:sz w:val="28"/>
          <w:sz w:val="28"/>
          <w:szCs w:val="28"/>
          <w:rtl w:val="true"/>
          <w:lang w:bidi="ar-SA"/>
        </w:rPr>
        <w:t>التعذيب، فيثبت المطلوب، فتتكفل الآية نفي الاستحقاق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فالاستقراء ناقص، وكما استخدمت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الشأن كذلك استخدمت بمعنى نفي الفعلية وما أشبه،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كَانَ لَهُمْ أَن يَدْخُلُوهَا إِلاَّ خَآئِفِينَ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فالمعنى لا يحق لهم ذلك، لا أنه ليس من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فهو نفي الفعلية لا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فهل المعنى أن شأن النفس أجل من الموت إلا بإذن اللّه؟</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خَطَئًا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يُغْنِي عَنْهُم مِّنَ اللّهِ مِن شَيْءٍ</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 عَلَيْكُم مِّن سُلْطَانٍ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عَطَاء رَبِّكَ مَحْظُورًا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 عَلَيْهِم بِعِلْمٍ وَمَا كُنَّا غَآئِبِينَ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أَهْلَكْنَا مِن قَرْيَةٍ إِلَّا 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وَمَا كُنَّا ظَالِمِينَ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بمعنى نفي الشأنية، ونفي الفعلية وبمعنى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عدم كون الفعل من شأن اللّه وعدم استحقاقهم للعذاب، فإنّ لله شانين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بما أنه عادل، وشأنه بما أنه رحيم كريم ودود عطوف، فليس من شأنه أن يعذب قبل تمام الحجة، إمّا لأنهم لا يستحقون العقاب، وإمّا لأنه مناف لمقام الرحمة والعطوفة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شأني أن أرد الشتم بالشتم، فليس معناه عدم استحقاق الرد بالمثل،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بل لكونه غير مناسب لمقامه، فنفي المناسبة لا يعني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في المصباح</w:t>
      </w:r>
      <w:r>
        <w:rPr>
          <w:rStyle w:val="FootnoteAnchor"/>
          <w:rtl w:val="true"/>
        </w:rPr>
        <w:footnoteReference w:id="611"/>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بأن شأنه تعالى أجل من ذلك، فهل المعنى إنهم لا يستحقون العقاب أو إن الآية ظاهرة في استحقاقهم للعقاب، ولكن الشأن الربوبي أجل من تعذيبهم لوجود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فالمدلول المطابقي للمدعى غير واضح، والمدلول الالتزامي غير قابل للقبول، فالجواب الثالث بتقريباته الثلاثة محل تأمل، وما ذكرناه إنما هو على سبيل الاحتمال،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بعض المحققين من المتأخرين</w:t>
      </w:r>
      <w:r>
        <w:rPr>
          <w:rStyle w:val="FootnoteAnchor"/>
          <w:rtl w:val="true"/>
        </w:rPr>
        <w:footnoteReference w:id="613"/>
      </w:r>
      <w:r>
        <w:rPr>
          <w:rFonts w:ascii="Amiri" w:hAnsi="Amiri" w:eastAsia="Amiri" w:cs="Amiri"/>
          <w:color w:val="111111"/>
          <w:sz w:val="28"/>
          <w:sz w:val="28"/>
          <w:szCs w:val="28"/>
          <w:rtl w:val="true"/>
          <w:lang w:bidi="ar-SA"/>
        </w:rPr>
        <w:t xml:space="preserve">من كون مفاد الآية إناطة استحقاق التعذيب بصدور البيان من الشارع، لا بوصول البيان من الشارع، </w:t>
      </w:r>
    </w:p>
    <w:p>
      <w:pPr>
        <w:pStyle w:val="BookText"/>
        <w:rPr/>
      </w:pPr>
      <w:r>
        <w:rPr>
          <w:rFonts w:ascii="Amiri" w:hAnsi="Amiri" w:eastAsia="Amiri" w:cs="Amiri"/>
          <w:color w:val="111111"/>
          <w:sz w:val="28"/>
          <w:sz w:val="28"/>
          <w:szCs w:val="28"/>
          <w:rtl w:val="true"/>
          <w:lang w:bidi="ar-SA"/>
        </w:rPr>
        <w:t>فغاية ما يمكن أن يقال في المقام إن بعث الرسول كناية عن صدور البيان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المفاد لا يتكفل بإثبات ما نحن فيه؛ لأن الغرض في البراءة إثبات عدم العقاب في فرض عدم وصول البيان الشرعي، والآية تنفي العذاب في فرض عدم صدور البيان الشرعي، وبينهما بون بعيد،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أكل الطعام المحترق لم يصلنا من الشارع بيان، فتجري البراءة، ولا يمكن القول بعدم صدور البيان، فربما صدر واختفى علينا بفعل الظالمين، والآية تنفي استحقاق العذاب على فرض عدم صدور البيان الشرعي، لا فرض عدم وصول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التعبدي لعدم صدور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عدول عن الاستدلال بالآية الكريمة إلى الاستصحاب، وهو دليل مستقل، وسيأتي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العرف قاضٍ بعدم الموضوعية لبعث الرسول في حد ذاته، بل هو طريقي لإقامة الحجة ووصول البيان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بعث اللّه الرسول ولم يبلغ الأحكام لمانع، فمفاد الآية التعذيب لتحقق الغاية، أو بلغ الرسول لبعض الأقوام دون آخر فالجميع يستحقون العقاب لتحققها، أو بلغ بعض الأحكام دون البعض الآخر فيستحقون العذاب على مخالفة جميع الأحكام ما بلغ منها وما لم يبلغ، أو بلغ جميع الأحكام ثم بعد مرور قرون متمادية ضاعت الشريعة، فتستحق الأمة المتأخرة العقاب وإن لم تصلهم الشريعة، كل ذلك للموضوعية في بعث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والالتزام باللوازم الأربعة بعيدة جداً عن مفاد الآية الكريمة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وصول البيان لا صدور البيان، فينهض دليلاً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p>
    <w:p>
      <w:pPr>
        <w:pStyle w:val="BookText"/>
        <w:rPr/>
      </w:pPr>
      <w:r>
        <w:rPr>
          <w:rFonts w:ascii="Amiri" w:hAnsi="Amiri" w:eastAsia="Amiri" w:cs="Amiri"/>
          <w:color w:val="111111"/>
          <w:sz w:val="28"/>
          <w:sz w:val="28"/>
          <w:szCs w:val="28"/>
          <w:rtl w:val="true"/>
          <w:lang w:bidi="ar-SA"/>
        </w:rPr>
        <w:t>وهو إنَّ مفاد الآية نفي العذاب الدنيوي، وما يهمنا في البراءة نفي العذاب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التقييد، بل مقتضى الإطلاق كون المنفي أعم من العذاب الأخروي والدنيوي، وحذف المتعلق يفيد العموم،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السياق يؤيد كونها في صدد نفي العذاب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العذاب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منفياً قبل تحقق الغاية، فالعذاب الأخروي الذي لا تقوم له السماوات والأرض أولى بالانتفاء؛ لكونه أعظم وأدوم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الأقل لا ينافي ثبوت الأكثر، والدليل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فمن صاد وجبت عليه الكفارة، فلو كرر فلا كفارة، فلا ملازمة بين نفي الأقل وانتفاء الأكثر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ينفى العذاب القليل؛ لكونه منافياً لمقام العدل، وتارة ينفى لكونه منافياً لمقام الفضل، وتارة ينفى لأنّ المولى في مقام التنكيل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مفاد الآية أن التعذيب ينافي مقام العدل لكان الملاك مشتركاً بين العقوبة الدنيوية والأخروية، ولو كان مفادها أنه مناف لمقام الفضل، فنفي العذاب الأخروي الشديد أقرب إلى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المولى في مقام التنكيل فلا ملازمة بين نفي العذاب الدنيوي وانتفاء العذاب الأخروي، والمدعى ظهور الآية في أن المولى لا يعذب، إمّا لأنّ التعذيب مناف لمقام العدل، أو أنه مناف لمقام الفضل، فيصح ما ذكر من اشتراك الملاك على الأول، أو أولويته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ما ذكروه من أن ظاهر الآية نفي الشأنية، فالآية الكريمة تنهض بإثبات الانتفاءين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إنَّ الآية الكريمة تخبر عن عدم وقوع العذاب على الامم السابقة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تعالى منسلخ عن معنى الزمان غالباً، لكنه محل تأمل، فليست الغلبة دليلاً، ولا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يلحق الشيء بالأعم الأغلب على المشهور، بل قد استخدمت في معنى زماني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منسلخ عن معنى الزمان لكان له مجال، أما مجرد الغلبة فلا تجدي فيما نحن فيه، فإن من شرائط إنتاج الشكل الأول </w:t>
      </w:r>
      <w:bookmarkStart w:id="225" w:name="pg15601_166775"/>
    </w:p>
    <w:p>
      <w:pPr>
        <w:pStyle w:val="BookText"/>
        <w:rPr/>
      </w:pPr>
      <w:bookmarkEnd w:id="225"/>
      <w:r>
        <w:rPr>
          <w:rFonts w:ascii="Amiri" w:hAnsi="Amiri" w:eastAsia="Amiri" w:cs="Amiri"/>
          <w:color w:val="111111"/>
          <w:sz w:val="28"/>
          <w:sz w:val="28"/>
          <w:szCs w:val="28"/>
          <w:rtl w:val="true"/>
          <w:lang w:bidi="ar-SA"/>
        </w:rPr>
        <w:t>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اللطف في الأمم السابقة فالأمة المرحومة أولى باللطف، مضافاً إلى ورود بعض الأجوبة المتقدمة أيضاً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000195_2142443653"/>
      <w:bookmarkStart w:id="227" w:name="_Toc85"/>
      <w:bookmarkEnd w:id="226"/>
      <w:r>
        <w:rPr>
          <w:rtl w:val="true"/>
        </w:rPr>
        <w:t>الآية الثانية</w:t>
      </w:r>
      <w:r>
        <w:rPr>
          <w:rtl w:val="true"/>
        </w:rPr>
        <w:t xml:space="preserve">: </w:t>
      </w:r>
      <w:r>
        <w:rPr>
          <w:rtl w:val="true"/>
        </w:rPr>
        <w:t>آية الإيتاء</w:t>
      </w:r>
      <w:bookmarkEnd w:id="227"/>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الفصول</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البراءة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تقريباً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مورد الآية خصوص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المطلقة المرضعة، فمن طلق زوجته وكانت ترضع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وَمَن قُدِرَ عَلَيْهِ رِزْقُهُ فَلْيُنفِقْ مِمَّا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كان مقتدراً فلينفق من قدرته، وإن ضيق عليه فبمقدار الإمكان ينفق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 سَيَجْعَلُ اللَّهُ بَعْدَ عُسْرٍ يُسْرًا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الموصول فيها يشمل التكليف أيضاً؛ لأن مساقه مساق التعليل، والكبرى الكلية للحكم المتقدم، ولا يناسب ذلك تخصيصها بموردها، وعليه فإنَّ الموصول يشمل المال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إيتاء كل شيء بحسبه، فإيتاء المال بإعطائه، وإيتاء الحكم بالإعلام والإيصال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فمفاد الآية لا يكلف اللّه نفساً إلا حكماً أعلمها أو تكليفاً أبلغه، فيكون </w:t>
      </w:r>
    </w:p>
    <w:p>
      <w:pPr>
        <w:pStyle w:val="BookText"/>
        <w:rPr/>
      </w:pPr>
      <w:r>
        <w:rPr>
          <w:rFonts w:ascii="Amiri" w:hAnsi="Amiri" w:eastAsia="Amiri" w:cs="Amiri"/>
          <w:color w:val="111111"/>
          <w:sz w:val="28"/>
          <w:sz w:val="28"/>
          <w:szCs w:val="28"/>
          <w:rtl w:val="true"/>
          <w:lang w:bidi="ar-SA"/>
        </w:rPr>
        <w:t>دليلاً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الاحتمالات في الموصول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بالإيتاء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يكلف اللّه نفساً إلا مالاً أعطاها، ويؤيده سياق الآية المباركة أو موردها، وعليه يكون أجنبياً عما نحن فيه من الحكم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بالإيتاء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فعلاً أقدرها عليه، وهذه الكبرى الكلية تشمل إنفاق المال وغيره من سائر الأفعال، فتفيد اشتراط التكليف بالقدرة أو بالإقدار، وهو مما لا خلاف فيه بين العدلية، ويؤيده ما ذكروه</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تعلق التكليف بالأعيان وإنما بالأفعال،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فيلزم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 نكاح أمهاتكم لعدم تعلق التحريم بالعين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المراد من الموصول العين الخارجية، كما في المعنى الأول، 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مفاد الآية أجنبياً عما نحن فيه؛ لأن البحث في باب البراءة لا يرتبط بالقدرة، وإنما بالشبهة والمجهولية، فالفعل مقدور ولكنه مجهول، فيبحث في جريان البراءة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يكلف اللّه نفساً إلا حكماً آتاها، وهو منفي؛ لأنه منافٍ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بالموصول الأعم من المال والفعل والحكم، أو الأعم من الفعل والحكم، وإيتاء كل شيء بحسبه، فمفاد الآية لا يكلف اللّه نفساً إلا مالاً أعطاها، وإلا فعلاً أقدرها عليه، وإلا حكما آتاها، وحيث إن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اللّه تحريمه للمكلف، فلا تكليف بالاجتناب عنه، فيتم الاستدلال بالآية على الاحتمال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الشيخ الأعظم</w:t>
      </w:r>
      <w:r>
        <w:rPr>
          <w:rStyle w:val="FootnoteAnchor"/>
          <w:rtl w:val="true"/>
        </w:rPr>
        <w:footnoteReference w:id="623"/>
      </w:r>
      <w:r>
        <w:rPr>
          <w:rFonts w:ascii="Amiri" w:hAnsi="Amiri" w:eastAsia="Amiri" w:cs="Amiri"/>
          <w:color w:val="111111"/>
          <w:sz w:val="28"/>
          <w:sz w:val="28"/>
          <w:szCs w:val="28"/>
          <w:rtl w:val="true"/>
          <w:lang w:bidi="ar-SA"/>
        </w:rPr>
        <w:t>لا يمكن المصير إلى هذا الاحتمال؛ لأن نحو تعلق الفعل بالمفعول به مغاير لنحو تعلق الفعل بالمفعول المطلق، فإن الأول من نحو تعلق المباين إلى المباين، كضرب زيد عمراً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أمران متباينان مفهوماً وخارجاً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من نحو تعلق الفعل بنفسه أو بطور من أطواره، فتلعقه من تعلق الشيء بذاته، كضربته ضرباً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معنى واحد، أو ضربته ضرباً شديداً، فنحو التعلق هو تعلق الفعل بطور من أطواره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تعلق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لنحو تعلق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على التقدير الأول نسبة الفعل إلى المفعول المطلق، وعلى الثاني نسبة الفعل إلى المفعول به، ولا يمكن إرادة النسبتين في كلام واحد ولا جامع بينهما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الفعل في الآية الكريمة إلى التكليف نسبة الفعل إلى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 إلى المال أو </w:t>
      </w:r>
    </w:p>
    <w:p>
      <w:pPr>
        <w:pStyle w:val="BookText"/>
        <w:rPr/>
      </w:pPr>
      <w:r>
        <w:rPr>
          <w:rFonts w:ascii="Amiri" w:hAnsi="Amiri" w:eastAsia="Amiri" w:cs="Amiri"/>
          <w:color w:val="111111"/>
          <w:sz w:val="28"/>
          <w:sz w:val="28"/>
          <w:szCs w:val="28"/>
          <w:rtl w:val="true"/>
          <w:lang w:bidi="ar-SA"/>
        </w:rPr>
        <w:t xml:space="preserve">الفعل نسبة الفعل إلى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 الآية الأعم من الحكم والفعل والمال كان لازمه استعمال اللفظ في معنيين، وهو محال، ولأن إرادة المال قدرٌ متيقن لكونه مورد الآية، فتكون النسبة نسبة المفعول به، ولا يمكن أن تكون نسبة المفعول المطلق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بامتناع استعمال اللفظ في معنيين، بل هو ممكن، بل واقع وقد مثل لذلك بقول الشاعر في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المرتمي في دجى والمبتلى بعمى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والمشتكي ظمأ والمبتغي دينا</w:t>
      </w:r>
    </w:p>
    <w:p>
      <w:pPr>
        <w:pStyle w:val="BookText"/>
        <w:rPr/>
      </w:pPr>
      <w:r>
        <w:rPr>
          <w:rFonts w:ascii="Amiri" w:hAnsi="Amiri" w:eastAsia="Amiri" w:cs="Amiri"/>
          <w:color w:val="111111"/>
          <w:sz w:val="28"/>
          <w:sz w:val="28"/>
          <w:szCs w:val="28"/>
          <w:rtl w:val="true"/>
          <w:lang w:bidi="ar-SA"/>
        </w:rPr>
        <w:t>يأتون سدته من كل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ويستفيدون من نعمائه عينا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منتهى الأمر أن استعمال اللفظ في أكثر من معنى بحاجة إلى قرينة في مقام الإثبات، وليس الكلام فيه، بل في مقام الثبوت؛ لكون الإشكال المذكور امتناع إرادة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625"/>
      </w:r>
      <w:r>
        <w:rPr>
          <w:rFonts w:ascii="Amiri" w:hAnsi="Amiri" w:eastAsia="Amiri" w:cs="Amiri"/>
          <w:color w:val="111111"/>
          <w:sz w:val="28"/>
          <w:sz w:val="28"/>
          <w:szCs w:val="28"/>
          <w:rtl w:val="true"/>
          <w:lang w:bidi="ar-SA"/>
        </w:rPr>
        <w:t>وهو مبتنٍ على افتراض وجود الجامع بين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المزبور إنما يرد في فرض إرادة الخصوصيات المذكورة من شخص الموصول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تمامية الإشكال لو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المال والفعل </w:t>
      </w:r>
    </w:p>
    <w:p>
      <w:pPr>
        <w:pStyle w:val="BookText"/>
        <w:rPr/>
      </w:pPr>
      <w:r>
        <w:rPr>
          <w:rFonts w:ascii="Amiri" w:hAnsi="Amiri" w:eastAsia="Amiri" w:cs="Amiri"/>
          <w:color w:val="111111"/>
          <w:sz w:val="28"/>
          <w:sz w:val="28"/>
          <w:szCs w:val="28"/>
          <w:rtl w:val="true"/>
          <w:lang w:bidi="ar-SA"/>
        </w:rPr>
        <w:t>والحكم، لكن لو فرض أن الموصول مستعمل في المعنى العام الكلي، ولم يستعمل في الخصوصيات الخارجية المذكورة، فلا يرد الإشكال لا بلحاظ الموصول ولا بلحاظ لفظ الإيتاء، ولا بلحاظ نسبة الفعل إلى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شخص الموصول فالموصول لم يستعمل إلا في معناه الكلي العام، وهو الشيء، وأما بلحاظ لفظ الإيتاء فهو مستخدم في معناه اللغوي الذي هو بمعنى الإعطاء، منتهى الأمر أنّ إعطاء كل شيء بحسبه، فإيتاء المال بمعنى التمليك، وإيتاء الفعل بمعنى الإقدار، وإيتاء الحكم بمعنى التبليغ والإعلام، كما قالوا بالمعنى الكلي الجامع في باب القبض، وهو في كل شيء بحسبه، فقبض الدابة مثلاً غير قبض الدار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تعلق الفعل بالموصول فليس إلا نحوٌ واحد، وهو تعلقه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بالجامع الذي هو المعنى الكلي للموصول، ومجرد التعدد بالتحليل العقلي إلى نحو التعلق بالمفعول المطلق وإلى نحو التعلق بالمفعول به لا يقتضي تعدده بالنسبة إلى الجامع، منتهى الأمر التعدد في المصاديق، فاندفع محذور استخدام اللفظ في معنيين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وبيانه يتوقف على تقديم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الحكمية متقومة بوجود طرفيها، والطرفان لا يتحملان أكثر من نسبة حكمية واحدة، فإذا أريد دلالة الكلام على نسبتين حكميتين فلا بد من إضافة طرف ثالث،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فالكلام يدل على نسبة حكمية واحدة هي نسبة الفعل إلى فاعله، فإن أريد إضافة دلالة الكلام على نسبة حكمية ثانية فلا بد من إضافة طرف ثالث، كضرب زيد عمراً، فهنا نسبتان </w:t>
      </w:r>
    </w:p>
    <w:p>
      <w:pPr>
        <w:pStyle w:val="BookText"/>
        <w:rPr/>
      </w:pPr>
      <w:r>
        <w:rPr>
          <w:rFonts w:ascii="Amiri" w:hAnsi="Amiri" w:eastAsia="Amiri" w:cs="Amiri"/>
          <w:color w:val="111111"/>
          <w:sz w:val="28"/>
          <w:sz w:val="28"/>
          <w:szCs w:val="28"/>
          <w:rtl w:val="true"/>
          <w:lang w:bidi="ar-SA"/>
        </w:rPr>
        <w:t>نسبة الفعل إلى فاعله وإلى مفعوله، فإن أريد إضافة نسبة ثالثة فلا بد من إضافة طرف رابع في الكلام، كضرب زيد عمراً اليوم، وهي نسبة الفعل إلى ظرفه الذي وقع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الجامع بين النسبتين بدون إضافة الطرف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الجامع موقوف على إلغاء الخصوصيات الفردية، وإبقاء المشتركات فيما بين الفردين</w:t>
      </w:r>
      <w:r>
        <w:rPr>
          <w:rStyle w:val="FootnoteAnchor"/>
          <w:rtl w:val="true"/>
        </w:rPr>
        <w:footnoteReference w:id="627"/>
      </w:r>
      <w:r>
        <w:rPr>
          <w:rFonts w:ascii="Amiri" w:hAnsi="Amiri" w:eastAsia="Amiri" w:cs="Amiri"/>
          <w:color w:val="111111"/>
          <w:sz w:val="28"/>
          <w:sz w:val="28"/>
          <w:szCs w:val="28"/>
          <w:rtl w:val="true"/>
          <w:lang w:bidi="ar-SA"/>
        </w:rPr>
        <w:t>، وهو ممكن في المعاني الاسمية دون المعاني الحرفية؛ لأن حقيقتها الربط والارتباط بين الطرفين، وهذه الخصوصية مقومة لحرفية المعنى الحرفي، فلو ألغيت الخصوصية فقد تم إلغاء المعنى الحرفي، ولذا لا يمكن فرض جامع بين معنيين حرفيين، والنسبة الحكمية معنى حرفي</w:t>
      </w:r>
      <w:r>
        <w:rPr>
          <w:rStyle w:val="FootnoteAnchor"/>
          <w:rtl w:val="true"/>
        </w:rPr>
        <w:footnoteReference w:id="628"/>
      </w:r>
      <w:r>
        <w:rPr>
          <w:rFonts w:ascii="Amiri" w:hAnsi="Amiri" w:eastAsia="Amiri" w:cs="Amiri"/>
          <w:color w:val="111111"/>
          <w:sz w:val="28"/>
          <w:sz w:val="28"/>
          <w:szCs w:val="28"/>
          <w:rtl w:val="true"/>
          <w:lang w:bidi="ar-SA"/>
        </w:rPr>
        <w:t>، فلا يمكن أن يكون هنالك جامع بين نسبتين حكميتين، هذا على نحو الكبرى الكلية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إلى ما نحن فيه، ففي الآية الكريمة عدة نسب حكمية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الحكم إلى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الحكم إلى مفعوله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ليستا محل الكلام، وإنما الكلام في النسبة الثالثة،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الحكم إلى مفعوله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أريد كل واحدة من النسبتين، لزم محذور استخدام اللفظ في معنيين، وإن أريد الجامع بين النسبتين فلا جامع بينها؛ لأنها معانٍ 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نسبة الفعل إلى المفعول به أو نسبة الفعل إلى المفعول المطلق؟</w:t>
      </w:r>
    </w:p>
    <w:p>
      <w:pPr>
        <w:pStyle w:val="BookText"/>
        <w:rPr/>
      </w:pPr>
      <w:r>
        <w:rPr>
          <w:rFonts w:ascii="Amiri" w:hAnsi="Amiri" w:eastAsia="Amiri" w:cs="Amiri"/>
          <w:color w:val="111111"/>
          <w:sz w:val="28"/>
          <w:sz w:val="28"/>
          <w:szCs w:val="28"/>
          <w:rtl w:val="true"/>
          <w:lang w:bidi="ar-SA"/>
        </w:rPr>
        <w:t>فإن كان نسبة الفعل إلى المفعول به، فالمفعول به متقدم على الفعل وعلى النسبة الحكمية</w:t>
      </w:r>
      <w:r>
        <w:rPr>
          <w:rStyle w:val="FootnoteAnchor"/>
          <w:rtl w:val="true"/>
        </w:rPr>
        <w:footnoteReference w:id="630"/>
      </w:r>
      <w:r>
        <w:rPr>
          <w:rFonts w:ascii="Amiri" w:hAnsi="Amiri" w:eastAsia="Amiri" w:cs="Amiri"/>
          <w:color w:val="111111"/>
          <w:sz w:val="28"/>
          <w:sz w:val="28"/>
          <w:szCs w:val="28"/>
          <w:rtl w:val="true"/>
          <w:lang w:bidi="ar-SA"/>
        </w:rPr>
        <w:t>، وإن كان نسبة الفعل إلى المفعول المطلق، فالمفعول المطلق عين الفعل أو نحو من أنحائه، فيكون وجوده مقارناً لوجود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أم مقارن؟</w:t>
      </w:r>
    </w:p>
    <w:p>
      <w:pPr>
        <w:pStyle w:val="BookText"/>
        <w:rPr/>
      </w:pPr>
      <w:r>
        <w:rPr>
          <w:rFonts w:ascii="Amiri" w:hAnsi="Amiri" w:eastAsia="Amiri" w:cs="Amiri"/>
          <w:color w:val="111111"/>
          <w:sz w:val="28"/>
          <w:sz w:val="28"/>
          <w:szCs w:val="28"/>
          <w:rtl w:val="true"/>
          <w:lang w:bidi="ar-SA"/>
        </w:rPr>
        <w:t>فما ذكره المحقق العراقي غير واضح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أيضا</w:t>
      </w:r>
      <w:r>
        <w:rPr>
          <w:rStyle w:val="FootnoteAnchor"/>
          <w:rtl w:val="true"/>
        </w:rPr>
        <w:footnoteReference w:id="631"/>
      </w:r>
      <w:r>
        <w:rPr>
          <w:rFonts w:ascii="Amiri" w:hAnsi="Amiri" w:eastAsia="Amiri" w:cs="Amiri"/>
          <w:color w:val="111111"/>
          <w:sz w:val="28"/>
          <w:sz w:val="28"/>
          <w:szCs w:val="28"/>
          <w:rtl w:val="true"/>
          <w:lang w:bidi="ar-SA"/>
        </w:rPr>
        <w:t>من وجود معنيين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واصطلاحي، أما المعنى اللغوي فهو الإيقاع في الكلفة والمشقة، وأما المعنى الاصطلاحي فهو الحكم، فإن حملنا لفظ التكليف في الآية على المعنى الاصطلاحي يتعين كون الموصول مفعولاً مطلقاً نوعياً، فيرد الإشكال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لو حملنا لفظ التكليف على المعنى اللغوي فلا يتعين ذلك، بل يمكن أن يكون الموصول مفعولاً به أو مفعولاً منه، ويكون المعنى على التقدير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يوقع اللّه على عباده كلفة حكم أو فعل إلا كلفة حكم أو فعل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الكلام إلا نسبة واحدة، نسبة الفعل إلى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يكون الموصول بمعنى المفعول منه، وهو ما يعبر عنه بالمفعول النشوي</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يوقع اللّه عباده في كلفة ومشقة إلا من قبل حكم أو فعل آتاها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فرض الجامع بين النسبتين في الوجه السابق، بينما ألغى المفعول المطلق وأثبت النسبة للمفعول به أو المفعول منه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 اللّه على عباده إلا حكماً آتاها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 محذور اختصاص الأحكام بالعالمين بها، فتكون الأحكام الواقعية مقيدة بعلم المكلفين، وقد ثبت في محله استحالة التقييد، فلا بد من حمل التكليف على المعنى اللغوي،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المفعول به أو المفعول 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المنتقى</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ظاهر في معنى الحكم ولا ظهور له في معناه اللغوي، ولا يستلزم ذلك المحذور العقلي المذكور؛ لإمكان حمل الرفع على الرفع الظاهري كما في نظائره، كحديث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مناسبة بين مادة التكليف والحكم، فالتكليف مأخوذ من مادة الكلفة، وهي مباينة لمادة الحكم، فكيف يفسر التكليف به؟ وإطلاق التكليف على الأمر والنهي ليس باعتبار الحكم، بل باعتبار أنه من مصاديق الإلقاء في المشقة، ويؤيد ما ذكرناه من عدم المرادفة بين التكليف والحكم ما ورد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بما يشق عليك</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بما يشق عليه</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بعض المعاجم اللغوية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الأمر من ارتكاب 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بمعنى الحكم، والرفع رفع ظاهري، وهو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بمعنى الإيقاع في الكلفة، وهو خلاف الظاهر، حسب ما ادعاه في المنتقى</w:t>
      </w:r>
      <w:r>
        <w:rPr>
          <w:rStyle w:val="FootnoteAnchor"/>
          <w:rtl w:val="true"/>
        </w:rPr>
        <w:footnoteReference w:id="636"/>
      </w:r>
      <w:r>
        <w:rPr>
          <w:rFonts w:ascii="Amiri" w:hAnsi="Amiri" w:eastAsia="Amiri" w:cs="Amiri"/>
          <w:color w:val="111111"/>
          <w:sz w:val="28"/>
          <w:sz w:val="28"/>
          <w:szCs w:val="28"/>
          <w:rtl w:val="true"/>
          <w:lang w:bidi="ar-SA"/>
        </w:rPr>
        <w:t>، وإن الرفع رفع واقعي، أي أن المولى واقعاً لا يوقع عبادهُ في المشقة بالتكاليف المجهولة، على خلاف القوانين الوضعية التي توقع المكلف في الكلفة، سواء أكان عالماً أم جاهلاً، حتى وإن كان جهلاً قصورياً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إما أن نتصرف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خلاف ظاهرها، ويكون المراد منها الإيقاع في المشقة،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ظاهري، وهو خلاف الظاهر</w:t>
      </w:r>
      <w:r>
        <w:rPr>
          <w:rFonts w:eastAsia="Amiri" w:cs="Amiri" w:ascii="Amiri" w:hAnsi="Amiri"/>
          <w:color w:val="111111"/>
          <w:sz w:val="28"/>
          <w:szCs w:val="28"/>
          <w:rtl w:val="true"/>
          <w:lang w:bidi="ar-SA"/>
        </w:rPr>
        <w:t xml:space="preserve">. </w:t>
      </w:r>
      <w:bookmarkStart w:id="228" w:name="pg15601_166792"/>
    </w:p>
    <w:p>
      <w:pPr>
        <w:pStyle w:val="BookText"/>
        <w:rPr/>
      </w:pPr>
      <w:bookmarkEnd w:id="228"/>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المنتقى أن التكليف يحمل على ظاهره وهو الحكم، والرفع يحمل على غير ظاهره، وهو الرفع الظاهري، والسؤال ما هو المرجح لهذا على عكسه، بأن نحمل الرفع على الرفع الواقعي وهو ظاهر الكلمة، ونحمل التكليف على غير ظاهره، أي الإيقاع في الكلفة؟</w:t>
      </w:r>
    </w:p>
    <w:p>
      <w:pPr>
        <w:pStyle w:val="BookText"/>
        <w:rPr/>
      </w:pPr>
      <w:r>
        <w:rPr>
          <w:rFonts w:ascii="Amiri" w:hAnsi="Amiri" w:eastAsia="Amiri" w:cs="Amiri"/>
          <w:color w:val="111111"/>
          <w:sz w:val="28"/>
          <w:sz w:val="28"/>
          <w:szCs w:val="28"/>
          <w:rtl w:val="true"/>
          <w:lang w:bidi="ar-SA"/>
        </w:rPr>
        <w:t>والمتحصل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مقام الثبوت من شمول الموصول في الآية الكريمة للحكم، فالإشكال الثبوتي غير وارد، إما لإمكان استعمال اللفظ في معنيين، وإما لإرادة الجامع بين النسبتين، وإما لتوحيد النسبة</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0000197_2142443653"/>
      <w:bookmarkStart w:id="230" w:name="_Toc86"/>
      <w:bookmarkEnd w:id="229"/>
      <w:r>
        <w:rPr>
          <w:rtl w:val="true"/>
        </w:rPr>
        <w:t>إشكالات على الاستدلال بآية الإيتاء على البراءة</w:t>
      </w:r>
      <w:bookmarkEnd w:id="230"/>
    </w:p>
    <w:p>
      <w:pPr>
        <w:pStyle w:val="BookText"/>
        <w:rPr/>
      </w:pPr>
      <w:r>
        <w:rPr>
          <w:rFonts w:ascii="Amiri" w:hAnsi="Amiri" w:eastAsia="Amiri" w:cs="Amiri"/>
          <w:color w:val="111111"/>
          <w:sz w:val="28"/>
          <w:sz w:val="28"/>
          <w:szCs w:val="28"/>
          <w:rtl w:val="true"/>
          <w:lang w:bidi="ar-SA"/>
        </w:rPr>
        <w:t>أما بلحاظ الإثبات فهنالك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637"/>
      </w:r>
      <w:r>
        <w:rPr>
          <w:rFonts w:ascii="Amiri" w:hAnsi="Amiri" w:eastAsia="Amiri" w:cs="Amiri"/>
          <w:color w:val="111111"/>
          <w:sz w:val="28"/>
          <w:sz w:val="28"/>
          <w:szCs w:val="28"/>
          <w:rtl w:val="true"/>
          <w:lang w:bidi="ar-SA"/>
        </w:rPr>
        <w:t>من أن القدر المتيقن في مقام التخاطب مانع من التمسك بالإطلاق، وهو خصوص المال؛ لأن السياق سياق الحديث عن الماليات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من الناحية الكبروية؛ لما ثبت في محله</w:t>
      </w:r>
      <w:r>
        <w:rPr>
          <w:rStyle w:val="FootnoteAnchor"/>
          <w:rtl w:val="true"/>
        </w:rPr>
        <w:footnoteReference w:id="638"/>
      </w:r>
      <w:r>
        <w:rPr>
          <w:rFonts w:ascii="Amiri" w:hAnsi="Amiri" w:eastAsia="Amiri" w:cs="Amiri"/>
          <w:color w:val="111111"/>
          <w:sz w:val="28"/>
          <w:sz w:val="28"/>
          <w:szCs w:val="28"/>
          <w:rtl w:val="true"/>
          <w:lang w:bidi="ar-SA"/>
        </w:rPr>
        <w:t>من أن وجود القدر المتيقن في مقام التخاطب كوجود القدر الخارجي لا يمنع التمسك بالإطلاق، وهو إشكال مبنائي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أيضاً</w:t>
      </w:r>
      <w:r>
        <w:rPr>
          <w:rStyle w:val="FootnoteAnchor"/>
          <w:rtl w:val="true"/>
        </w:rPr>
        <w:footnoteReference w:id="639"/>
      </w:r>
      <w:r>
        <w:rPr>
          <w:rFonts w:ascii="Amiri" w:hAnsi="Amiri" w:eastAsia="Amiri" w:cs="Amiri"/>
          <w:color w:val="111111"/>
          <w:sz w:val="28"/>
          <w:sz w:val="28"/>
          <w:szCs w:val="28"/>
          <w:rtl w:val="true"/>
          <w:lang w:bidi="ar-SA"/>
        </w:rPr>
        <w:t xml:space="preserve">، من أنَّ غاية ما يستفاد </w:t>
      </w:r>
    </w:p>
    <w:p>
      <w:pPr>
        <w:pStyle w:val="BookText"/>
        <w:rPr/>
      </w:pPr>
      <w:r>
        <w:rPr>
          <w:rFonts w:ascii="Amiri" w:hAnsi="Amiri" w:eastAsia="Amiri" w:cs="Amiri"/>
          <w:color w:val="111111"/>
          <w:sz w:val="28"/>
          <w:sz w:val="28"/>
          <w:szCs w:val="28"/>
          <w:rtl w:val="true"/>
          <w:lang w:bidi="ar-SA"/>
        </w:rPr>
        <w:t>من الآية الكريمة نفي الكلفة والمشقة من قبل التكاليف المجهولة، التي لم تصل إلى المكلف، لا نفي الكلفة والمشقة مطلقاً ولو من قبل إيجاب الاحتياط، وهذا المقدار لا يضر بمدعى الأخباري؛ لأن مدعاه ثبوت وجوب الاحتياط لأدلة إيجاب الاحتياط لا التكليف الواقعي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لم يوقع المكلف في المشقة بإيجاب الاجتناب، وهو تكليف واقعي في شرب التتن؛ لأنه لم يصل إليه لكن أوقعه في الكلفة بواسطة دليل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مجهولاً إلا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الذي لم يؤتك المولى لا كلفة عليك منه، أما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آتاك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واردة في دليل الاحتياط لو تم دليله، فلا تنهض دليلاً للأصوليين في مقابل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المحققين</w:t>
      </w:r>
      <w:r>
        <w:rPr>
          <w:rStyle w:val="FootnoteAnchor"/>
          <w:rtl w:val="true"/>
        </w:rPr>
        <w:footnoteReference w:id="640"/>
      </w:r>
      <w:r>
        <w:rPr>
          <w:rFonts w:ascii="Amiri" w:hAnsi="Amiri" w:eastAsia="Amiri" w:cs="Amiri"/>
          <w:color w:val="111111"/>
          <w:sz w:val="28"/>
          <w:sz w:val="28"/>
          <w:szCs w:val="28"/>
          <w:rtl w:val="true"/>
          <w:lang w:bidi="ar-SA"/>
        </w:rPr>
        <w:t>بوجود احتمالين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السببية أو نفي الموردية، وعلى الأول يكون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التكليف المجهول لا يوقع اللّه العباد في الكلفة، فلا تنهض في مقابل أدلة الأخباريين؛ إذ ليس الإيقاع في الكلفة بسبب التكليف المجهول، بل بسبب التكليف المعلوم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 فيكون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التكليف المجهول لا إيقاع في الكلفة، فيكون منافيا لمفاد أدلة الاحتياط، فإن المكلف بالإضافة إلى شرب </w:t>
      </w:r>
    </w:p>
    <w:p>
      <w:pPr>
        <w:pStyle w:val="BookText"/>
        <w:rPr/>
      </w:pPr>
      <w:r>
        <w:rPr>
          <w:rFonts w:ascii="Amiri" w:hAnsi="Amiri" w:eastAsia="Amiri" w:cs="Amiri"/>
          <w:color w:val="111111"/>
          <w:sz w:val="28"/>
          <w:sz w:val="28"/>
          <w:szCs w:val="28"/>
          <w:rtl w:val="true"/>
          <w:lang w:bidi="ar-SA"/>
        </w:rPr>
        <w:t>التتن في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الموردية لا السببية، فتكون الآية مصادمة لدعوى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أفادت السببية أم الموردية، فبسبب الحكم المجهول أو في مورده لا إيقاع في الكلفة، ومدعى الأخباري معلومية حكم التتن، منتهى الأمر أن المعلومية تارة تكون للشيء بما له من العنوان الذاتي، وتارة بما له من العنوان العرضي،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حرام فهو من قبيل الأول،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النجاسة استصحب نجاسته فهو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جهل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كلفة فيه، سواء أكان بسببه أم في مورده، والموضوع حسب مدعى الأخباري لا ينطبق على شرب التتن؛ لأنه معلوم، فأدلة الاحتياط رافعة لموضوع الآية الكريمة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أيضاً</w:t>
      </w:r>
      <w:r>
        <w:rPr>
          <w:rStyle w:val="FootnoteAnchor"/>
          <w:rtl w:val="true"/>
        </w:rPr>
        <w:footnoteReference w:id="641"/>
      </w:r>
      <w:r>
        <w:rPr>
          <w:rFonts w:ascii="Amiri" w:hAnsi="Amiri" w:eastAsia="Amiri" w:cs="Amiri"/>
          <w:color w:val="111111"/>
          <w:sz w:val="28"/>
          <w:sz w:val="28"/>
          <w:szCs w:val="28"/>
          <w:rtl w:val="true"/>
          <w:lang w:bidi="ar-SA"/>
        </w:rPr>
        <w:t>من أن الإيتاء منسوب إلى اللّه تعالى، فيكون عبارة عن إعلامه سبحانه بالتكليف بالأسباب المتعارفة بين الموالي والعبيد والحكام والرعية، فإن لإعلام الحكم طرقاً متعارفة،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تعلم الناس عبر وسائل الإعلام لا عبر المناشير، والطريقة المتعارفة الإلهية هو الوحي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وأمرهم بإبلاغه إلى العباد فيمتثلون، أما عدم الإعلام فهو عبارة عن عدم إيحاء اللّه إلى أنبيائه، أو عدم أمرهم بتبليغه إلى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فمفاد الآية مفاد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سكت عن أشياء لم يسكت عنها نسياناً</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وهو أجنبي عما نحن بصدده، فإنها ممحضة في نفي الكلفة عن حكم لم يوصل إلى العباد، لمكان سكوت اللّه، لا نفي الكلفة عن الحكم الذي لم يصل إلى العباد لإخفاء الظالمين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المستفادة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بالآية الكريمة تمسك بالعام في الشبهة المصداقية؛ لأن مفادها ما لم يعلمه اللّه للعباد فلا كلفة من قبله، وفي حرمة الطعام المحترق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حكم أعلمه اللّه، ولكنه اختفى لإخفاء الظالمين، كإحراق المصاحف وشروحها في عهد الثالث، فلا يمكن التمسك بالآية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فإن هنالك ثلاثة 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الإصدار ومفهوم الإيتاء في الجملة ومفهوم الإيتاء لكل فرد فرد، أما الإصدار فلا يحتاج إلى المفعول الثاني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الحاكم الحكم، وأما الإيتاء فمتقوم بمفعولين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زيد عمراً المال، فإن كان في الجملة فيكفي إبلاغه لبعض المكلفين، وإن لم يبلغ البعض الآخر، لكن ظاهر الآية الإيتاء بالنسبة إلى كل فرد فرد،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وهي تفيد العموم، فلو أبلغ النبي الحكم وورد ذلك في مدينة العلم للصدوق مثلاً، لكنه لم يصل إلينا بفعل الظالمين فهو مما لم يؤته اللّه لنا، حيث يمكن للمكلف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يكلفني أنا بهذا الحكم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الإيتاء الإعطاء غير ظاهر في معنى إبلاغ </w:t>
      </w:r>
    </w:p>
    <w:p>
      <w:pPr>
        <w:pStyle w:val="BookText"/>
        <w:rPr/>
      </w:pPr>
      <w:r>
        <w:rPr>
          <w:rFonts w:ascii="Amiri" w:hAnsi="Amiri" w:eastAsia="Amiri" w:cs="Amiri"/>
          <w:color w:val="111111"/>
          <w:sz w:val="28"/>
          <w:sz w:val="28"/>
          <w:szCs w:val="28"/>
          <w:rtl w:val="true"/>
          <w:lang w:bidi="ar-SA"/>
        </w:rPr>
        <w:t>الحكم، فالآية غير ظاهرة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المراد بالموصول في الآية نفس المراد بالموصول فيما تقدمها، فظاهر الموصولين أنهما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 فَلْيُنفِقْ مِمَّا آتَاهُ اللَّهُ 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المراد من الأول المال، فهو المراد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عمت الآية للحكم والمال أو للحكم والفعل كان لازمه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 الواقعي والظاهري معاً؛ لأنّ الرفع لعدم القدرة رفع واقعي، ورفع الحكم في صورة الجهل رفع ظاهري؛ لما ثبت في محله من اشتراك الأحكام للعالم والجاهل، ولا ظهور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غير ظاهرة في الشمول للحكم؛ لمكان كلمة الإيتاء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بعدم ظهورها في عموم الموصول في حد ذاتها، بثبوت التعميم بقرينة بعض الروايات، فقد وردت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جعل في الناس أداة ينالون بها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اللّه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استدل الإمام بالآية على عدم التكليف قبل البيان وهو المطلوب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الإشكال السندي لوجود مجهول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بوجود احتمالين في عدم تكليف العباد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البيان، وهو مبنى الاستدلال بالرواية،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فحيث إنّ المعرفة غير مقدورة لم يكلفوا، لا لكونها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والسياق ربّما يؤيد الثاني، فسؤال الراوي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للناس أداة ينالون بها المعرفة؟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أنه لا طريق، فهل كلفوا المعرفة؟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ليس بمقدور، بل على اللّه البيان، والبيان يجعل المعرفة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إما ظاهرة في توقف التكليف على القدرة، أو لا أقل من الاحتمال، فيبطل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وجود روايات أخرى تفيد عدم مقدورية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 قال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يتطول عليهم بالمعرفة</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فإعطاء المعرفة والثواب على المعرفة غير الاختيارية تفضل منه تعالى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المحاسن بسند صحيح عن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الناس استطاعة يتعاطون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أفلهم على المعرفة ثواب إذا كان ليس لهم فيها ما يتعاطونه بمنزلة الركوع والسجود الذي أمروا به ففعلوه؟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 عليهم وتطول بالثواب</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فالمعرفة غير اختيارية، فلم يكلف بها العباد لأنها غير مقدورة لا لأنها مجهولة، فلا يستحقون الثواب عليها إلا تطولاً، فيحتمل كون مساق الرواية المذكورة مساق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نحتاج إلى القول بأن الإيتاء يشمل الإعلام، بل يمكن القول بأن الإيتاء بمعنى الإقدار، لا يكلف اللّه نفساً إلاّ فعلاً أقدرها عليه، وليس البحث فيه، فإن البحث بين الأخباريين والأصوليين في أن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المقدور هل كلفنا به أم لكونه مجهولا لم نكلف به؟</w:t>
      </w:r>
    </w:p>
    <w:p>
      <w:pPr>
        <w:pStyle w:val="BookText"/>
        <w:rPr/>
      </w:pPr>
      <w:r>
        <w:rPr>
          <w:rFonts w:ascii="Amiri" w:hAnsi="Amiri" w:eastAsia="Amiri" w:cs="Amiri"/>
          <w:color w:val="111111"/>
          <w:sz w:val="28"/>
          <w:sz w:val="28"/>
          <w:szCs w:val="28"/>
          <w:rtl w:val="true"/>
          <w:lang w:bidi="ar-SA"/>
        </w:rPr>
        <w:t>ولا بد من كون المراد من هذه الروايات المعرفة التفصيلية، وأما المعرفة الإجمالية فالظاهر أنها لا تتوقف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شخص في الفراغ ولم يكن معه أي شي فيحصل له علمان ضروريان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موجود والعلم بأن له موجداً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المقدار لا يتوقف على البيان، وإن توقف على ما ذكر في الروايات من 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ذلك لم يعرف أحد ربه</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المعرفة التفصيلية فموقوفة على البيان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الآية بالشبهات الحكمية ولا تشمل الشبهات الموضوعية، فإن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حكماً آتاها، وإيتاء اللّه خاص بالشبهات الحكمية، أما الشبهات الموضوعية فلا يؤتى الحكم فيها من قبل الشارع؛ لأن وظيفة الشارع إيتاء الأحكام الكلية، وليس من شأن الشارع إيتاء الحكم في الجزئيات</w:t>
      </w:r>
      <w:r>
        <w:rPr>
          <w:rFonts w:eastAsia="Amiri" w:cs="Amiri" w:ascii="Amiri" w:hAnsi="Amiri"/>
          <w:color w:val="111111"/>
          <w:sz w:val="28"/>
          <w:szCs w:val="28"/>
          <w:rtl w:val="true"/>
          <w:lang w:bidi="ar-SA"/>
        </w:rPr>
        <w:t xml:space="preserve">. </w:t>
      </w:r>
      <w:bookmarkStart w:id="231" w:name="pg15601_166806"/>
    </w:p>
    <w:p>
      <w:pPr>
        <w:pStyle w:val="BookText"/>
        <w:rPr/>
      </w:pPr>
      <w:bookmarkEnd w:id="231"/>
      <w:r>
        <w:rPr>
          <w:rFonts w:ascii="Amiri" w:hAnsi="Amiri" w:eastAsia="Amiri" w:cs="Amiri"/>
          <w:color w:val="111111"/>
          <w:sz w:val="28"/>
          <w:sz w:val="28"/>
          <w:szCs w:val="28"/>
          <w:rtl w:val="true"/>
          <w:lang w:bidi="ar-SA"/>
        </w:rPr>
        <w:t>لكنه غير وارد، فإن للشارع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شارع،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خالق ومكون ورازق، والإيتاء في الآية ليس بمعنى الإيتاء التشريعي؛ لأنه ينافي مورد الآية، فموردها المال أو مطلق الفعل، وإيتاء المال أو الإقدار على مطلق الفعل تكويني، فالمراد من الآية إما خصوص الإيتاء التكويني أو أعم منه ومن التشريعي، فيعم الشبهات الموضوعية أيضاً؛ لأن تشخيص الحكم في الشبهات الموضوعية متوقف على الإيتاء التكويني للشارع، ولا يمكن تشخيص الحكم الجزئي إذا لم يعطِ الشارع القدرة التكوينية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الإشكالات الواردة على الاستدلال بالآية الثانية، وقد تحصل من جميع ذلك أن العمدة فيها هو الإشكال الرابع</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0000199_2142443653"/>
      <w:bookmarkStart w:id="233" w:name="_Toc87"/>
      <w:bookmarkEnd w:id="232"/>
      <w:r>
        <w:rPr>
          <w:rtl w:val="true"/>
        </w:rPr>
        <w:t>الآية الثالثة</w:t>
      </w:r>
      <w:r>
        <w:rPr>
          <w:rtl w:val="true"/>
        </w:rPr>
        <w:t xml:space="preserve">: </w:t>
      </w:r>
      <w:r>
        <w:rPr>
          <w:rtl w:val="true"/>
        </w:rPr>
        <w:t>آية الوجدان</w:t>
      </w:r>
      <w:bookmarkEnd w:id="233"/>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علق في الآية إطلاق العنان على عدم الوجدان، فحيث لم أجد يكون الاقتحام مباحاً، وفيما نحن فيه لم نجد حرمة شرب التتن فنكون مطلقي العنان</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10000201_2142443653"/>
      <w:bookmarkStart w:id="235" w:name="_Toc88"/>
      <w:bookmarkEnd w:id="234"/>
      <w:r>
        <w:rPr>
          <w:rtl w:val="true"/>
        </w:rPr>
        <w:t>إشكالات على الاستدلال بآية الوجدان على البراءة</w:t>
      </w:r>
      <w:bookmarkEnd w:id="2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بإيرادات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بتردد وتأمل وارتضاه ظاهرا</w:t>
      </w:r>
      <w:r>
        <w:rPr>
          <w:rStyle w:val="FootnoteAnchor"/>
          <w:rtl w:val="true"/>
        </w:rPr>
        <w:footnoteReference w:id="650"/>
      </w:r>
      <w:r>
        <w:rPr>
          <w:rFonts w:ascii="IRNazanin" w:hAnsi="IRNazanin" w:eastAsia="IRNazanin"/>
          <w:color w:val="111111"/>
          <w:sz w:val="28"/>
          <w:sz w:val="28"/>
          <w:szCs w:val="28"/>
          <w:rtl w:val="true"/>
          <w:lang w:bidi="fa-IR"/>
        </w:rPr>
        <w:t xml:space="preserve">من اختلاف عدم وجدان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عدم وجدان غيره، فالأول دليل قطعي على عدم الوجود، فحيث كان المشركون يدعون تحريم أشياء في الأنعام أجابهم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فيما أوحي إلي تحريم ما ذكرتموه وإنما تحريم الميتة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 فلا يدل على عدم الوجود، فلا يمكن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المخاصمة والاحتجاج، وفي مثله يتم الاستدلال بالأصول العقلائية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عدم الوجدان المطلق دليل عدم الوجود، وإما أن يكون عدم الوجدان المضاف إلى خصوص المتكلم</w:t>
      </w:r>
      <w:r>
        <w:rPr>
          <w:rStyle w:val="FootnoteAnchor"/>
          <w:rtl w:val="true"/>
        </w:rPr>
        <w:footnoteReference w:id="651"/>
      </w:r>
      <w:r>
        <w:rPr>
          <w:rFonts w:ascii="Amiri" w:hAnsi="Amiri" w:eastAsia="Amiri" w:cs="Amiri"/>
          <w:color w:val="111111"/>
          <w:sz w:val="28"/>
          <w:sz w:val="28"/>
          <w:szCs w:val="28"/>
          <w:rtl w:val="true"/>
          <w:lang w:bidi="ar-SA"/>
        </w:rPr>
        <w:t>دليل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 الاحتجاج يقتضي أن يكون تمام الموضوع عدم الوجدان؛ لأنه المناسب مع الأصل العقلائي، لا عدم وجدان خصوص المتكلم ؛ لأنه يؤول إلى الاحتجاج بأمر تعبدي،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دليلٌ على عدم الوجود في مقام الاحتجاج تام، أما القول بعدم وجدان المتكلم بلحاظ خصوصيته الشخصية فهو خلاف ما يقتضيه مقام الاحتجاج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الآية الكريمة مساوق لمفاد القاعدة العقلائية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يدل على عدم الوجود</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أيضاً</w:t>
      </w:r>
      <w:r>
        <w:rPr>
          <w:rStyle w:val="FootnoteAnchor"/>
          <w:rtl w:val="true"/>
        </w:rPr>
        <w:footnoteReference w:id="653"/>
      </w:r>
      <w:r>
        <w:rPr>
          <w:rFonts w:ascii="Amiri" w:hAnsi="Amiri" w:eastAsia="Amiri" w:cs="Amiri"/>
          <w:color w:val="111111"/>
          <w:sz w:val="28"/>
          <w:sz w:val="28"/>
          <w:szCs w:val="28"/>
          <w:rtl w:val="true"/>
          <w:lang w:bidi="ar-SA"/>
        </w:rPr>
        <w:t>، من أنّ غاية مدلولها أنّ عدم الوجدان فيما صدر عن اللّه تعالى يوجب الحكم بعدم التحريم، وهذا لا يدل على عدم الحكم بالتحريم، لعدم الوجدان فيما تبقى مما صدر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 بين المقامين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يجد حكماً بالتحريم في دائرة الوحي، وهو دليل العدم، أما غيره فلم يجد حكماً بالتحريم في دائرة المتبقي من الوحي، حيث يحتمل صدور حرمة الطعام المحترق واقعاً، ولكن لم يصلنا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المتأخرين وبنى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العنان كما قد يكون بلحاظ أصل عملي قد يكون بلحاظ عمومات الحل، التي لا يرفع اليد عنها إلا بمخصص واصل</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فمفاد الآية إطلاق العنان للمكلف والحكم بإباحة ما لم يوجد، فربما يكون إطلاق العنان بلحاظ عمومات الأدلة الاجتهادية التي أثبتت حلية كل مطعوم، فيكون العام باقياً على عمومه إلى أن يثبت المخصص أو المقيد، فالآية تثبت الإباحة ويعود الأمر إلى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كونه مباحاً لا يلازم أصالة الإباحة، والغرض في المقام إثبات أصالة الإباحة التي هي أصل من الأصول العملية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يتأمل فيه؛ إذ لو كان كذلك لكان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إطلاق العنان </w:t>
      </w:r>
      <w:r>
        <w:rPr>
          <w:rFonts w:eastAsia="Amiri" w:cs="Amiri" w:ascii="Amiri" w:hAnsi="Amiri"/>
          <w:color w:val="111111"/>
          <w:sz w:val="28"/>
          <w:szCs w:val="28"/>
          <w:rtl w:val="true"/>
          <w:lang w:bidi="ar-SA"/>
        </w:rPr>
        <w:t xml:space="preserve">- </w:t>
      </w:r>
      <w:bookmarkStart w:id="236" w:name="pg15601_166813"/>
    </w:p>
    <w:p>
      <w:pPr>
        <w:pStyle w:val="BookText"/>
        <w:rPr/>
      </w:pPr>
      <w:bookmarkEnd w:id="236"/>
      <w:r>
        <w:rPr>
          <w:rFonts w:ascii="Amiri" w:hAnsi="Amiri" w:eastAsia="Amiri" w:cs="Amiri"/>
          <w:color w:val="111111"/>
          <w:sz w:val="28"/>
          <w:sz w:val="28"/>
          <w:szCs w:val="28"/>
          <w:rtl w:val="true"/>
          <w:lang w:bidi="ar-SA"/>
        </w:rPr>
        <w:t>مركباً من وجود العموم وعدم وجدان المخصص، أي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فيما أوحي إليّ محرماً مع وجود العمومات الاجتهادية، وهو خلاف ظاهر الآية، فإن ظاهرها كون الموضوع بسيطاً، وهو صرف عدم الوجدان</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0000203_2142443653"/>
      <w:bookmarkStart w:id="238" w:name="_Toc89"/>
      <w:bookmarkEnd w:id="237"/>
      <w:r>
        <w:rPr>
          <w:rtl w:val="true"/>
        </w:rPr>
        <w:t>الآية الرابعة</w:t>
      </w:r>
      <w:r>
        <w:rPr>
          <w:rtl w:val="true"/>
        </w:rPr>
        <w:t xml:space="preserve">: </w:t>
      </w:r>
      <w:r>
        <w:rPr>
          <w:rtl w:val="true"/>
        </w:rPr>
        <w:t>آية التفصيل</w:t>
      </w:r>
      <w:bookmarkEnd w:id="238"/>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 وَقَدْ فَصَّلَ لَكُم مَّا حَرَّمَ عَلَيْكُمْ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بينها وبين الآية المتقدمة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الآية المتقدمة حرمة ما لم يوجد تحريمه فيما أوحاه اللّه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ومفاد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الالتزام بترك ما لم يوجد تحريمه فيما فصّل، فنفس الالتزام بالترك حرام أو مورد للتوبيخ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لا يؤثر فيما نحن بصدده من البراءة؛ لأنها تدل على حرمة الالتزام بترك ما لم يوجد تحريمه فيما فصّل، وشرب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مصاديقه، والمراد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الالتزام بترك شيء ناشئاً من منشأ شخصي، وهذا مما لا إشكال فيه، وتارة يكون ناشئاً من منشأ شرعي، بمعنى تحرج المكلف من ارتكابه شرعاً، فهو حرام أو مورد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الآية لا تدل على المدّعى؛ لأنّ المكلف تارة يلتزم بالترك مع عدم وجود المتروك فيما فصّل، وتارة يلتزم بالترك مع عدم وجود المتروك فيما تبقّى مما فصّل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التوبيخ القسم الأول،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239" w:name="pg15601_166814"/>
    </w:p>
    <w:p>
      <w:pPr>
        <w:pStyle w:val="BookText"/>
        <w:rPr/>
      </w:pPr>
      <w:bookmarkEnd w:id="239"/>
      <w:r>
        <w:rPr>
          <w:rFonts w:ascii="Amiri" w:hAnsi="Amiri" w:eastAsia="Amiri" w:cs="Amiri"/>
          <w:color w:val="111111"/>
          <w:sz w:val="28"/>
          <w:sz w:val="28"/>
          <w:szCs w:val="28"/>
          <w:rtl w:val="true"/>
          <w:lang w:bidi="ar-SA"/>
        </w:rPr>
        <w:t xml:space="preserve">في أول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فيما فصل تحريم شيء، كأكل الذبيحة التي ذكر اسم اللّه عليها، فعدم الوجدان مساوق للعلم بعدم الحرمة والإباحة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وجداننا حرمة شيء فليس كذلك، فالموجود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تبقى مما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فالتزامنا بتركه لا يكون مورداً للتوبيخ</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0000205_2142443653"/>
      <w:bookmarkStart w:id="241" w:name="_Toc90"/>
      <w:bookmarkEnd w:id="240"/>
      <w:r>
        <w:rPr>
          <w:rtl w:val="true"/>
        </w:rPr>
        <w:t>الآية الخامسة</w:t>
      </w:r>
      <w:r>
        <w:rPr>
          <w:rtl w:val="true"/>
        </w:rPr>
        <w:t xml:space="preserve">: </w:t>
      </w:r>
      <w:r>
        <w:rPr>
          <w:rtl w:val="true"/>
        </w:rPr>
        <w:t>آية التبيين</w:t>
      </w:r>
      <w:bookmarkEnd w:id="241"/>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في الإضلال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الحكم بالضلالة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العقاب أو نوع من أنواعه، كالطرد من الرحمة الإلهية أو الخذلان أو العقوبة الدنيوية أو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فتدل الآية على البراءة قبل البيان على كل تقدير، فإن البيان في الآية ليس مطلقاً حتى يساوق الصدور، وإنما البيان الواصل، ومعناه إيصال الحكم إليهم وذلك لمكان التعدية باللام إلى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وصول البيان لا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على المدعى مناقشات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الإخبار بعدم الإضلال سابقاً </w:t>
      </w:r>
    </w:p>
    <w:p>
      <w:pPr>
        <w:pStyle w:val="BookText"/>
        <w:rPr/>
      </w:pPr>
      <w:r>
        <w:rPr>
          <w:rFonts w:ascii="Amiri" w:hAnsi="Amiri" w:eastAsia="Amiri" w:cs="Amiri"/>
          <w:color w:val="111111"/>
          <w:sz w:val="28"/>
          <w:sz w:val="28"/>
          <w:szCs w:val="28"/>
          <w:rtl w:val="true"/>
          <w:lang w:bidi="ar-SA"/>
        </w:rPr>
        <w:t xml:space="preserve">إلاّ بعد البيان، فيختص بالعذاب الدنيوي على الأمم السابقة،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لمعنى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تقدم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 لو كان مفادها ما ذكر لكان عدم الإضلال سنة إلهية في الأمم المتقدمة، فيضم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هذه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 للشيخ الأعظم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توقف الخذلان على البيان غير ظاهر الاستلزام للمطلب إلا بالفحوى</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فالآية تثبت توقف الخذلان على البيان، وما نحن فيه توقف العذاب على البيان، ولا ملازمة بين المطلبين إلا بالفحوى، فإنه لو كان الخذلان متوقفاً على البيان فبطريق أولى يكون العقاب متوقفاً عليه، فيستفاد ما نحن فيه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الأولوية محل تأمل؛ لأنّ الخذلان بمعنى ترك اللّه المكلف وشأنه، ربما يكون مفهوماً أشد من مفهوم العذاب والعقاب،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قد يعاقب ابنه بالضرب مثلاً، وقد يتركه ويخذله، والثاني لا يكون إلا بعد انقطاع الرجاء من العبد وانسداد جميع أبوب الأمل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توقف الخذلان على البيان لا يلازم توقف العقاب عليه، فما ذكر من الفحوى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المتأخرين،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أريد بما يتقون، ما يتقونه بالعنوان الأولي فهو مختص ببيان الحكم الواقعي</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وعليه فلا يشمل شرب التتن؛ لأنه لم يبين حكمه بما هو هو، والذي هو بيان لحكمه الأولي، فيكون مفاد الآية معارضاً لأدلة الاحتياط، ولو أريد ما يتقونه ولو بالعنوان الثانوي شمل الحكم الظاهري بإيجاب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الثاني تكون أدلة الاحتياط واردة على الآية؛ لارتفاع موضوعها، للزوم الاجتناب عن المشكوك حكمه الواقعي، فإن البيان أعم من بيان حكم الشيء بما هو هو، أو بيان حكم الشيء بما أنه مشكوك الحكم، فالبيان حاصل، فالمغيى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يكون ظاهر ما يتقون هو الأول لا الثاني، بقرينة أن الإضلال والعقاب إنما يكون بلحاظ مخالفة الواقع دائماً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فمخالفة الحكم الواقعي يترتب عليها الإضلال والعقاب، أما مخالفة الحكم الطريقي الظاهري فلا يترتب عليها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لأن مخالفة الحكم الظاهري أو الطريقي نوع من أنواع التجري، فلو قلنا بحرمته فهو مخالفة للواقع حتماً، ولو قلنا بعدم الحرمة، لكن فيه احتمال المخالفة للواقع، فيكون العبد مستحقاً للإضلال والعقاب فيما لو صادف الواقع، والجمل المغياة لا تدل على الموجبة الكلية فيما لو تحققت الغاية، بل تكفي الموجبة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فما ذكره من القرينة لا يكون قرينة على تعين المعنى الأول،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التجري حراماً فهو مخالفة للواقع بنفسه، ولم لم يكن بذاته حراماً، بل محتمل المخالفة للواقع، فلو تحقق البيان لا يلزم تحقق العقوبة على نحو الموجبة الكلية، بل يكفي تحقق العقوبة على نحو الموجبة الجزئية، وهي محققة في بعض أنواع التجري، وهي كون المخالفة واقعية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أعاقب ولدي حتى يعصي، فمع تحقق الغاية لا يكون مفهوم السالبة الكلية العقاب دائماً، بل يصدق المفهوم حتى لوقال أعاقبه في بعض الأحيان، وعلى كلا التقديرين فالمغيى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فرض بعض المحققين لزوم كون المفهوم موجبة كلية في ظرف تحقق الغاية، و لذلك بنى على أن مفاد الآية الكريمة بيان للحكم بما للشيء من العنوان الأولي، مع أنه لا يلزم في مفهوم الغاية أن يكون موجبة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الآية البيان،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الواقعي وبيان الحكم الظاهري، فتكون أدلة الاحتياط بياناً، فيستحق العبد الإضلال إمّا مطلقاً أو في صورة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معلق على البيان، ومحل البحث تعليق استحقاق العبد للإضلال على البيان، فلا تدل على المدّعى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نظير الإشكال المذكور في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42" w:name="pg15601_166822"/>
    </w:p>
    <w:p>
      <w:pPr>
        <w:pStyle w:val="Heading6"/>
        <w:numPr>
          <w:ilvl w:val="5"/>
          <w:numId w:val="1"/>
        </w:numPr>
        <w:rPr/>
      </w:pPr>
      <w:bookmarkStart w:id="243" w:name="__RefHeading___Toc10000207_2142443653"/>
      <w:bookmarkStart w:id="244" w:name="_Toc91"/>
      <w:bookmarkEnd w:id="242"/>
      <w:bookmarkEnd w:id="243"/>
      <w:r>
        <w:rPr>
          <w:rtl w:val="true"/>
        </w:rPr>
        <w:t>الآية السادسة</w:t>
      </w:r>
      <w:r>
        <w:rPr>
          <w:rtl w:val="true"/>
        </w:rPr>
        <w:t xml:space="preserve">: </w:t>
      </w:r>
      <w:r>
        <w:rPr>
          <w:rtl w:val="true"/>
        </w:rPr>
        <w:t>آية الهلاك</w:t>
      </w:r>
      <w:bookmarkEnd w:id="244"/>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بالهلاكة الهلاكة الأخروية، وقد وردت بهذا المعنى في الروايات أيضاً، حيث جاء رجل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هلكت، جامعت على غير ماء</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التهلكة الأخروية متوقفة على البينة، أي إقامة الحجة، وحيث لم تقم بينة على حرمة التتن، فلا يتعقب شربه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دلالتها تأمل ظاهر</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كون الهلاكة بالمعنى المذكور، ويحتمل أن يكون بمعنى القتل وهو الظاهر منها، فقد نزلت الآية في معركة بدر،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أنها بمعنى الهلكة الأخروية، إلا أنها لا تفيد توقفها على إتمام الحجة في جميع الموارد، بل في موردها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أظهر اللّه آياته في بدر لإظهار الحق للجميع ليعيش من </w:t>
      </w:r>
      <w:bookmarkStart w:id="245" w:name="pg15601_166824"/>
    </w:p>
    <w:p>
      <w:pPr>
        <w:pStyle w:val="BookText"/>
        <w:rPr/>
      </w:pPr>
      <w:bookmarkEnd w:id="245"/>
      <w:r>
        <w:rPr>
          <w:rFonts w:ascii="Amiri" w:hAnsi="Amiri" w:eastAsia="Amiri" w:cs="Amiri"/>
          <w:color w:val="111111"/>
          <w:sz w:val="28"/>
          <w:sz w:val="28"/>
          <w:szCs w:val="28"/>
          <w:rtl w:val="true"/>
          <w:lang w:bidi="ar-SA"/>
        </w:rPr>
        <w:t>عاش، ويقتل من قتل منهم بعد تمام الحجة عليه على حقانية الإسلام، فتكون الآية مرتبطة بقضية خاصة،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بعموم التعليل لا بخصوص المورد</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0000209_2142443653"/>
      <w:bookmarkStart w:id="247" w:name="_Toc92"/>
      <w:bookmarkEnd w:id="246"/>
      <w:r>
        <w:rPr>
          <w:rtl w:val="true"/>
        </w:rPr>
        <w:t>الآية السابعة</w:t>
      </w:r>
      <w:r>
        <w:rPr>
          <w:rtl w:val="true"/>
        </w:rPr>
        <w:t xml:space="preserve">: </w:t>
      </w:r>
      <w:r>
        <w:rPr>
          <w:rtl w:val="true"/>
        </w:rPr>
        <w:t>آية الحجة البالغة</w:t>
      </w:r>
      <w:bookmarkEnd w:id="247"/>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تكون للعبد حجة على اللّه، أما لو اقتحم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فعاقبه اللّه تكون له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w:t>
      </w:r>
      <w:r>
        <w:rPr>
          <w:rStyle w:val="FootnoteAnchor"/>
          <w:rtl w:val="true"/>
        </w:rPr>
        <w:footnoteReference w:id="6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w:t>
      </w:r>
      <w:r>
        <w:rPr>
          <w:rStyle w:val="FootnoteAnchor"/>
          <w:rtl w:val="true"/>
        </w:rPr>
        <w:footnoteReference w:id="6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هارون بن مسلم، عن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يتم الاحتجاج إلا مع إمكان التعلم، فلو بحث العبد في مظانه ولم يجد دليلاً على 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مدينة العلم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bookmarkStart w:id="248" w:name="pg15601_166826"/>
    </w:p>
    <w:p>
      <w:pPr>
        <w:pStyle w:val="BookText"/>
        <w:rPr/>
      </w:pPr>
      <w:bookmarkEnd w:id="248"/>
      <w:r>
        <w:rPr>
          <w:rFonts w:ascii="Amiri" w:hAnsi="Amiri" w:eastAsia="Amiri" w:cs="Amiri"/>
          <w:color w:val="111111"/>
          <w:sz w:val="28"/>
          <w:sz w:val="28"/>
          <w:szCs w:val="28"/>
          <w:rtl w:val="true"/>
          <w:lang w:bidi="ar-SA"/>
        </w:rPr>
        <w:t xml:space="preserve">يمكن الاحتجاج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فالتوبيخ إنما يكون على أمر مقدور، ولا قدرة على الوصول إلى حرمة شيء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مولاي جعفر بن محمد الصادق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 التي تبلغ الجاهل من أهل الكتاب فيعلمها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أكرم وأعدل من أن يعذب أحداً إلا بحجّة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فمقوم تمامية الحجة البالغة الإعلام والإيصال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الأول</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0000211_2142443653"/>
      <w:bookmarkStart w:id="250" w:name="_Toc93"/>
      <w:bookmarkEnd w:id="249"/>
      <w:r>
        <w:rPr>
          <w:rtl w:val="true"/>
        </w:rPr>
        <w:t>الدليل الثاني</w:t>
      </w:r>
      <w:r>
        <w:rPr>
          <w:rtl w:val="true"/>
        </w:rPr>
        <w:t xml:space="preserve">: </w:t>
      </w:r>
      <w:r>
        <w:rPr>
          <w:rtl w:val="true"/>
        </w:rPr>
        <w:t>السنة الشريفة</w:t>
      </w:r>
      <w:bookmarkEnd w:id="250"/>
    </w:p>
    <w:p>
      <w:pPr>
        <w:pStyle w:val="BookText"/>
        <w:rPr/>
      </w:pPr>
      <w:r>
        <w:rPr>
          <w:rFonts w:ascii="Amiri" w:hAnsi="Amiri" w:eastAsia="Amiri" w:cs="Amiri"/>
          <w:color w:val="111111"/>
          <w:sz w:val="28"/>
          <w:sz w:val="28"/>
          <w:szCs w:val="28"/>
          <w:rtl w:val="true"/>
          <w:lang w:bidi="ar-SA"/>
        </w:rPr>
        <w:t>وفيها أحاديث</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000213_2142443653"/>
      <w:bookmarkStart w:id="252" w:name="_Toc94"/>
      <w:bookmarkEnd w:id="251"/>
      <w:r>
        <w:rPr>
          <w:rtl w:val="true"/>
        </w:rPr>
        <w:t>الحديث الأول</w:t>
      </w:r>
      <w:r>
        <w:rPr>
          <w:rtl w:val="true"/>
        </w:rPr>
        <w:t xml:space="preserve">: </w:t>
      </w:r>
      <w:r>
        <w:rPr>
          <w:rtl w:val="true"/>
        </w:rPr>
        <w:t>حديث الرفع</w:t>
      </w:r>
      <w:bookmarkEnd w:id="252"/>
    </w:p>
    <w:p>
      <w:pPr>
        <w:pStyle w:val="Heading6"/>
        <w:numPr>
          <w:ilvl w:val="5"/>
          <w:numId w:val="1"/>
        </w:numPr>
        <w:rPr/>
      </w:pPr>
      <w:bookmarkStart w:id="253" w:name="__RefHeading___Toc10000215_2142443653"/>
      <w:bookmarkStart w:id="254" w:name="_Toc95"/>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عن أمتي</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الصدوق في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r>
        <w:rPr>
          <w:rStyle w:val="FootnoteAnchor"/>
          <w:rtl w:val="true"/>
        </w:rPr>
        <w:footnoteReference w:id="674"/>
      </w:r>
      <w:r>
        <w:rPr>
          <w:rFonts w:ascii="Amiri" w:hAnsi="Amiri" w:eastAsia="Amiri" w:cs="Amiri"/>
          <w:color w:val="111111"/>
          <w:sz w:val="28"/>
          <w:sz w:val="28"/>
          <w:szCs w:val="28"/>
          <w:rtl w:val="true"/>
          <w:lang w:bidi="ar-SA"/>
        </w:rPr>
        <w:t>، عن يعقوب بن يزيد</w:t>
      </w:r>
      <w:r>
        <w:rPr>
          <w:rStyle w:val="FootnoteAnchor"/>
          <w:rtl w:val="true"/>
        </w:rPr>
        <w:footnoteReference w:id="675"/>
      </w:r>
      <w:r>
        <w:rPr>
          <w:rFonts w:ascii="Amiri" w:hAnsi="Amiri" w:eastAsia="Amiri" w:cs="Amiri"/>
          <w:color w:val="111111"/>
          <w:sz w:val="28"/>
          <w:sz w:val="28"/>
          <w:szCs w:val="28"/>
          <w:rtl w:val="true"/>
          <w:lang w:bidi="ar-SA"/>
        </w:rPr>
        <w:t>، عن حماد بن عيسى</w:t>
      </w:r>
      <w:r>
        <w:rPr>
          <w:rStyle w:val="FootnoteAnchor"/>
          <w:rtl w:val="true"/>
        </w:rPr>
        <w:footnoteReference w:id="676"/>
      </w:r>
      <w:r>
        <w:rPr>
          <w:rFonts w:ascii="Amiri" w:hAnsi="Amiri" w:eastAsia="Amiri" w:cs="Amiri"/>
          <w:color w:val="111111"/>
          <w:sz w:val="28"/>
          <w:sz w:val="28"/>
          <w:szCs w:val="28"/>
          <w:rtl w:val="true"/>
          <w:lang w:bidi="ar-SA"/>
        </w:rPr>
        <w:t>، عن حريز بن عبد اللّه</w:t>
      </w:r>
      <w:r>
        <w:rPr>
          <w:rStyle w:val="FootnoteAnchor"/>
          <w:rtl w:val="true"/>
        </w:rPr>
        <w:footnoteReference w:id="677"/>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w:t>
      </w:r>
      <w:bookmarkStart w:id="255" w:name="pg15601_166828"/>
    </w:p>
    <w:p>
      <w:pPr>
        <w:pStyle w:val="BookText"/>
        <w:rPr/>
      </w:pPr>
      <w:bookmarkEnd w:id="255"/>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والنسيان وما أكرهوا عليه، وما لا يعلمون ومالا يطيقون، وما اضطروا إليه والحسد والطيرة والتفكر في الوسوسة في الخلق ما لم ينطق بشفة</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السند كل من الشيخ الأعظم</w:t>
      </w:r>
      <w:r>
        <w:rPr>
          <w:rStyle w:val="FootnoteAnchor"/>
          <w:rtl w:val="true"/>
        </w:rPr>
        <w:footnoteReference w:id="679"/>
      </w:r>
      <w:r>
        <w:rPr>
          <w:rFonts w:ascii="Amiri" w:hAnsi="Amiri" w:eastAsia="Amiri" w:cs="Amiri"/>
          <w:color w:val="111111"/>
          <w:sz w:val="28"/>
          <w:sz w:val="28"/>
          <w:szCs w:val="28"/>
          <w:rtl w:val="true"/>
          <w:lang w:bidi="ar-SA"/>
        </w:rPr>
        <w:t>والمحقق النائيني</w:t>
      </w:r>
      <w:r>
        <w:rPr>
          <w:rStyle w:val="FootnoteAnchor"/>
          <w:rtl w:val="true"/>
        </w:rPr>
        <w:footnoteReference w:id="680"/>
      </w:r>
      <w:r>
        <w:rPr>
          <w:rFonts w:ascii="Amiri" w:hAnsi="Amiri" w:eastAsia="Amiri" w:cs="Amiri"/>
          <w:color w:val="111111"/>
          <w:sz w:val="28"/>
          <w:sz w:val="28"/>
          <w:szCs w:val="28"/>
          <w:rtl w:val="true"/>
          <w:lang w:bidi="ar-SA"/>
        </w:rPr>
        <w:t>والمحقق العراقي</w:t>
      </w:r>
      <w:r>
        <w:rPr>
          <w:rStyle w:val="FootnoteAnchor"/>
          <w:rtl w:val="true"/>
        </w:rPr>
        <w:footnoteReference w:id="681"/>
      </w:r>
      <w:r>
        <w:rPr>
          <w:rFonts w:ascii="Amiri" w:hAnsi="Amiri" w:eastAsia="Amiri" w:cs="Amiri"/>
          <w:color w:val="111111"/>
          <w:sz w:val="28"/>
          <w:sz w:val="28"/>
          <w:szCs w:val="28"/>
          <w:rtl w:val="true"/>
          <w:lang w:bidi="ar-SA"/>
        </w:rPr>
        <w:t>والمحقق الحائري</w:t>
      </w:r>
      <w:r>
        <w:rPr>
          <w:rStyle w:val="FootnoteAnchor"/>
          <w:rtl w:val="true"/>
        </w:rPr>
        <w:footnoteReference w:id="682"/>
      </w:r>
      <w:r>
        <w:rPr>
          <w:rFonts w:ascii="Amiri" w:hAnsi="Amiri" w:eastAsia="Amiri" w:cs="Amiri"/>
          <w:color w:val="111111"/>
          <w:sz w:val="28"/>
          <w:sz w:val="28"/>
          <w:szCs w:val="28"/>
          <w:rtl w:val="true"/>
          <w:lang w:bidi="ar-SA"/>
        </w:rPr>
        <w:t>و غيرهم</w:t>
      </w:r>
      <w:r>
        <w:rPr>
          <w:rStyle w:val="FootnoteAnchor"/>
          <w:rtl w:val="true"/>
        </w:rPr>
        <w:footnoteReference w:id="683"/>
      </w:r>
      <w:r>
        <w:rPr>
          <w:rFonts w:ascii="Amiri" w:hAnsi="Amiri" w:eastAsia="Amiri" w:cs="Amiri"/>
          <w:color w:val="111111"/>
          <w:sz w:val="28"/>
          <w:sz w:val="28"/>
          <w:szCs w:val="28"/>
          <w:rtl w:val="true"/>
          <w:lang w:bidi="ar-SA"/>
        </w:rPr>
        <w:t>، ولم يبحثوا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لمكان أحمد بن محمد بن يحيى العطار، وهو شيخ الشيخ الصدوق، حيث لم يرد في حقه توثيق، وقد ضعفّه في معجم رجال الحديث</w:t>
      </w:r>
      <w:r>
        <w:rPr>
          <w:rStyle w:val="FootnoteAnchor"/>
          <w:rtl w:val="true"/>
        </w:rPr>
        <w:footnoteReference w:id="684"/>
      </w:r>
      <w:r>
        <w:rPr>
          <w:rFonts w:ascii="Amiri" w:hAnsi="Amiri" w:eastAsia="Amiri" w:cs="Amiri"/>
          <w:color w:val="111111"/>
          <w:sz w:val="28"/>
          <w:sz w:val="28"/>
          <w:szCs w:val="28"/>
          <w:rtl w:val="true"/>
          <w:lang w:bidi="ar-SA"/>
        </w:rPr>
        <w:t>مع حكمه بصحة الرواية في المصباح</w:t>
      </w:r>
      <w:r>
        <w:rPr>
          <w:rStyle w:val="FootnoteAnchor"/>
          <w:rtl w:val="true"/>
        </w:rPr>
        <w:footnoteReference w:id="685"/>
      </w:r>
      <w:r>
        <w:rPr>
          <w:rFonts w:ascii="Amiri" w:hAnsi="Amiri" w:eastAsia="Amiri" w:cs="Amiri"/>
          <w:color w:val="111111"/>
          <w:sz w:val="28"/>
          <w:sz w:val="28"/>
          <w:szCs w:val="28"/>
          <w:rtl w:val="true"/>
          <w:lang w:bidi="ar-SA"/>
        </w:rPr>
        <w:t>، ولا إشكال في بقية السند</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0000217_2142443653"/>
      <w:bookmarkStart w:id="257" w:name="_Toc96"/>
      <w:bookmarkEnd w:id="256"/>
      <w:r>
        <w:rPr>
          <w:rtl w:val="true"/>
        </w:rPr>
        <w:t>طرق توثيق أحمد بن محمد بن يحيى العطار</w:t>
      </w:r>
      <w:bookmarkEnd w:id="257"/>
    </w:p>
    <w:p>
      <w:pPr>
        <w:pStyle w:val="BookText"/>
        <w:rPr/>
      </w:pPr>
      <w:r>
        <w:rPr>
          <w:rFonts w:ascii="Amiri" w:hAnsi="Amiri" w:eastAsia="Amiri" w:cs="Amiri"/>
          <w:color w:val="111111"/>
          <w:sz w:val="28"/>
          <w:sz w:val="28"/>
          <w:szCs w:val="28"/>
          <w:rtl w:val="true"/>
          <w:lang w:bidi="ar-SA"/>
        </w:rPr>
        <w:t>ولتصحيح الحديث طرق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العطار وإن لم يوثق في كلمات المتقدمين، إلا أنه من مشايخ الإجازة كابن الوليد، وهم في غنى عن التوثيق، وممن اختار هذا </w:t>
      </w:r>
    </w:p>
    <w:p>
      <w:pPr>
        <w:pStyle w:val="BookText"/>
        <w:rPr/>
      </w:pPr>
      <w:r>
        <w:rPr>
          <w:rFonts w:ascii="Amiri" w:hAnsi="Amiri" w:eastAsia="Amiri" w:cs="Amiri"/>
          <w:color w:val="111111"/>
          <w:sz w:val="28"/>
          <w:sz w:val="28"/>
          <w:szCs w:val="28"/>
          <w:rtl w:val="true"/>
          <w:lang w:bidi="ar-SA"/>
        </w:rPr>
        <w:t>المبنى المحدث البحراني</w:t>
      </w:r>
      <w:r>
        <w:rPr>
          <w:rStyle w:val="FootnoteAnchor"/>
          <w:rtl w:val="true"/>
        </w:rPr>
        <w:footnoteReference w:id="686"/>
      </w:r>
      <w:r>
        <w:rPr>
          <w:rFonts w:ascii="Amiri" w:hAnsi="Amiri" w:eastAsia="Amiri" w:cs="Amiri"/>
          <w:color w:val="111111"/>
          <w:sz w:val="28"/>
          <w:sz w:val="28"/>
          <w:szCs w:val="28"/>
          <w:rtl w:val="true"/>
          <w:lang w:bidi="ar-SA"/>
        </w:rPr>
        <w:t>والفقيه الهمداني</w:t>
      </w:r>
      <w:r>
        <w:rPr>
          <w:rStyle w:val="FootnoteAnchor"/>
          <w:rtl w:val="true"/>
        </w:rPr>
        <w:footnoteReference w:id="687"/>
      </w:r>
      <w:r>
        <w:rPr>
          <w:rFonts w:ascii="IRNazanin" w:hAnsi="IRNazanin" w:eastAsia="IRNazanin"/>
          <w:color w:val="111111"/>
          <w:sz w:val="28"/>
          <w:sz w:val="28"/>
          <w:szCs w:val="28"/>
          <w:rtl w:val="true"/>
          <w:lang w:bidi="fa-IR"/>
        </w:rPr>
        <w:t>، بل هو المبنى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محل تأمل، لما قيل من أن وزان الإجازة وزان النقل عن الثقة، فكما أن النقل عن الثقة لا يدل على التوثيق، وإلا لزم توثيق كل الروايات أو معظمها، كذلك النقل عن شيخ الإجازة والإجازة لا يدلان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في المقام مع الاحتياج إلى مزيد من التأمل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الرواية عن المجيز في غير الأحكام، وتارة في الأحكام ونحوها، كأصول العقائد،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بلا اعتماد عليها وأخرى مع الاعتماد،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يُقلّ المجاز وقد يُكثِر في النقل عن المجيز، وعلى الثاني قد يكون بنقل واحد وقد يكون بنقول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الرواية في غير الأحكام ونحوها فهذا النقلُ لا يدل على الوثاقة، كنقل الروايات الأخلاقية والتاريخية التي لا يترتب عليها حكم شرعي، ولا يترتب عليها أثر اقتضائي؛ للتسامح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النقل في الأحكام ونحوها، لكن لم يعتمد المجاز على رواية المجيز، أو لم يظهر منه الاعتماد، فصرف الحكاية لا يدل على التوثيق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اعتمد عليها المجاز، لكن كان المنقول قليلاً، كعشر روايات، فهذا النقل أيضاً لا يدل على التوثيق؛ لاحتمال عدم وثاقة المجيز عند المجاز، لكن دلت القرائن الخارجية على صدق الرواية المنقولة، </w:t>
      </w:r>
    </w:p>
    <w:p>
      <w:pPr>
        <w:pStyle w:val="BookText"/>
        <w:rPr/>
      </w:pPr>
      <w:r>
        <w:rPr>
          <w:rFonts w:ascii="Amiri" w:hAnsi="Amiri" w:eastAsia="Amiri" w:cs="Amiri"/>
          <w:color w:val="111111"/>
          <w:sz w:val="28"/>
          <w:sz w:val="28"/>
          <w:szCs w:val="28"/>
          <w:rtl w:val="true"/>
          <w:lang w:bidi="ar-SA"/>
        </w:rPr>
        <w:t>فيكون دالاً على التوثيق الخبري لا المخبري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اعتمد في الأحكام وأكثر، لكن كان إكثاره بنقل واحد، كأن نقل عنه ألف رواية من كتابه واعتمد عليها، فهذا أيضاً لا يدل على التوثيق المخبري، فلعله وجد قرائن على صدق الكتاب ونسبته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أكثر من نقل الأحكام ولم يكن بنقل واحد، فالظاهر دلالتها على الوثوق المخبري، حيث يبعد أن تتحقق القرائن الخارجية على الصدق في جميعها، فالنقل والاعتماد يدلان على توثيق المجاز للمجيز، كما لو شاهدنا مرجعاً يعتمد على شخص في إخباراته الاقتضائية في وقائع كثيرة بنقول متعددة، حيث يبعد وجود قرائن خارجية على صدق الخبر، فهو يكشف عن الاعتماد على الناقل، فيدل على الوثوق المخبري عند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يخطر بالبال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يوثقه المتقدمون مع التفصيل المذكور، أو مع كشف الإجازة عن الوثاقة مطلقاً؟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فوق مستوى التوثيق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يوثق مثل زرارة عندهم؟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لحيلولة الفاصل الزمني على عكس توثيق المعاصر أو شبه المعاصر، حيث قد يعتبر إهانة له، كعدم توثيق الشيخ الصدوق في كلمات الرجاليين من المتقدمين، ولذا توقف فيه بعض مشايخ المحدث البحراني حتى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التوقف في مثل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كتب 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p>
    <w:p>
      <w:pPr>
        <w:pStyle w:val="BookText"/>
        <w:rPr/>
      </w:pPr>
      <w:r>
        <w:rPr>
          <w:rFonts w:ascii="Amiri" w:hAnsi="Amiri" w:eastAsia="Amiri" w:cs="Amiri"/>
          <w:color w:val="111111"/>
          <w:sz w:val="28"/>
          <w:sz w:val="28"/>
          <w:szCs w:val="28"/>
          <w:rtl w:val="true"/>
          <w:lang w:bidi="ar-SA"/>
        </w:rPr>
        <w:t>والكشي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رجال النجاشي فقد كتب لترجمة من له كتاب، وقد صرح بذلك في المقدمة، فلعل ابن الوليد والعطار لم يكن لهما كتبٌ حتى يذكرا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رجال الكشي فقد كتبه لذكر من ذكرت في حقه رواية، وهما وأمثالهما لم ترد في حقهما رواية، حيث لم يكونوا في عهد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الشيخ فالظاهر أنه كان بمثابة المسودة، وقد كتبه حتى يرجع إليه ويكمله، ويؤيده أنه قد يذكر اسم الراوي واسم أبيه دون التطرق إلى شيء من حالاته، وقد ذكر فيه بعض الرجال مكرراً، فيدل على أنه كان ناقصاً يريد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التوثيق لا يدل على عدم ثبوت الوثاقة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انطباق هذا التفصيل الخماسي على ما نحن فيه غموض؛ لعدم العلم باعتماد الصدوق مثلاً على روايات العطار بالشروط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إثبات وثاقة العطار باعتبار كونه من مشايخ الإجازة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الرفع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عن أمتي</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 xml:space="preserve">، والفرق بينه وبين ما روي في الخصال في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ضمن صحة جميع ما أودعه في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أقصد فيه قصد المصنفين في إيراد جميع ما رووه، بل قصدت إلى إيراد ما أفتي به </w:t>
      </w:r>
    </w:p>
    <w:p>
      <w:pPr>
        <w:pStyle w:val="BookText"/>
        <w:rPr/>
      </w:pPr>
      <w:r>
        <w:rPr>
          <w:rFonts w:ascii="Amiri" w:hAnsi="Amiri" w:eastAsia="Amiri" w:cs="Amiri"/>
          <w:color w:val="111111"/>
          <w:sz w:val="28"/>
          <w:sz w:val="28"/>
          <w:szCs w:val="28"/>
          <w:rtl w:val="true"/>
          <w:lang w:bidi="ar-SA"/>
        </w:rPr>
        <w:t>وأحكم بصحته، وأعتقد فيه أنه حجة فيما بيني وبين ربي تقدس ذكره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يرى كثير من الفقهاء صحة جميع روايات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علم الدراية</w:t>
      </w:r>
      <w:r>
        <w:rPr>
          <w:rStyle w:val="FootnoteAnchor"/>
          <w:rtl w:val="true"/>
        </w:rPr>
        <w:footnoteReference w:id="690"/>
      </w:r>
      <w:r>
        <w:rPr>
          <w:rFonts w:ascii="Amiri" w:hAnsi="Amiri" w:eastAsia="Amiri" w:cs="Amiri"/>
          <w:color w:val="111111"/>
          <w:sz w:val="28"/>
          <w:sz w:val="28"/>
          <w:szCs w:val="28"/>
          <w:rtl w:val="true"/>
          <w:lang w:bidi="ar-SA"/>
        </w:rPr>
        <w:t xml:space="preserve">من الفرق في مصطلح الصحة بين المتقدمين والمتأخرين، فالصحيح عند المتأخرين ما رواه العدل الإمامي الضابط عن مثله في جميع الطبقات، والمعروف أن التقسيم الرباعي للأخبار نشأ من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الصحيح عند المتقدمين فهو عبارة عن كل خبر يجب العمل به، ولو لاحتفافه ببعض القرائن المفيدة للقطع أو الاطمئنان بالصدور، فالصحة في اصطلاح القدماء أعم مطلقاً مما هو عند المتأخرين، أو 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الصدوق اطمأنّ بصحة الخبر وأفتى به في الفقيه اعتماداً على قرائن اجتهادية، لا لوثاقة الرواة حتى يقال بحجية توثيقه، واطمئنان فقيه لا يكون حجة على فقيه آخر،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اجتهاد مجتهد حجة على مجتهد آخر إن لم يؤدِّ اجتهاده إلى الخلاف، لكنه خلاف مبنى المشهور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في الفقيه، وقد صرح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الشهادة مطلقة تشمل الروايات المبدوءة بصاحب الكتاب، والروايات التي تنقل مباشرة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حديث الرفع أو الوضع معتبراً؛ لأن الشيخ الصدوق وجدها في كتاب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أيضاً، ويكفي في التأمل أنَّ العبارة تنسجم مع الاعتماد الكلي كما تنسجم مع الاعتماد في الجملة، في مقابل الكتب التي لا يعتمد عليها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له في الاعتماد على كل أخباره،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الهفت الشريف</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لا يعوّل عليه،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ويرجع إليه، بمعنى أن الفقهاء يرجعون إلى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مناقشات أخرى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ثلاث مقدمات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وحدة الرواية المروية في الفقيه والخصال، حيث يبعد تعدد رواية الرفع المروية في الخصال، ورواية الوضع المروية في الفقيه مع </w:t>
      </w:r>
    </w:p>
    <w:p>
      <w:pPr>
        <w:pStyle w:val="BookText"/>
        <w:rPr/>
      </w:pPr>
      <w:r>
        <w:rPr>
          <w:rFonts w:ascii="Amiri" w:hAnsi="Amiri" w:eastAsia="Amiri" w:cs="Amiri"/>
          <w:color w:val="111111"/>
          <w:sz w:val="28"/>
          <w:sz w:val="28"/>
          <w:szCs w:val="28"/>
          <w:rtl w:val="true"/>
          <w:lang w:bidi="ar-SA"/>
        </w:rPr>
        <w:t>اتحاد المفاد والعدد والألفاظ غالباً، غاية الأمر أن الصدوق لم يؤلف الفقيه لكي يكون مرجعاً روائياً، بل مرجعاً عملياً، كالرسائل العملية اليوم، ولذلك حذف الأسناد، فرواية الفقيه هي نفس رواية الخصال بحذف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 الفقيه مستخرج من كتب مشهورة عليها المعول وإليها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للعطار كتاب، لكن لسائر الرواة المذكورين في حديث الرفع في الخصال كتاب بل كتب، وللصدوق طرق معتبرة إلى جميعها، كما هي مذكورة في مشيخة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هذه المقدمات يمكن تطبيق نظرية التعويض، وهي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الفقيه وجد رواية الوضع في كتاب معتبر ليس للعطار؛ لأنه لا كتاب له، فهي إما في كتاب سعد بن عبد اللّه أو بقية من وقعوا في السند، وحيث إن له طريقاً معتبراً إلى كتبهم حذف العطار من سند رواية الفقيه، ويعوض بالسند الصحيح المذكور في كتاب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الخصال، وفيه إشكال عدم توثيق العطار،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الفقيه، وقد وجده إما في كتاب سعد بن عبد اللّه أو من تقدمه، وله طريق صحيح إليهم، فيكون الطريق إلى رواية الوضع في الفقيه صحيحاً، وإن لم يكن طريقه إلى رواية الرفع في الخصال صحيحاً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تعويض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استخدمت في موارد متعددة لتصحيح الروايات الضعيفة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الطريقة وإن كانت صحيحة في الجملة ولها بركات كثيرة، لكن انطباقها على المقام لا يخلو من خفاء، وإن اعتمد عليها البعض، ويكفي في التأمل عدم ثبوت المقدمة الأولى، حيث لم يثبت اتحاد طريق رواية الخصال المسندة مع رواية الفقيه المرسلة، منتهى الأمر حصول الظن بذلك، وهو ليس بحجة، فربما يكون الشيخ الصدوق قد نقل حديث الوضع في الفقيه من كتاب آخر ليس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واشتهار الحديث المبارك بين الأصحاب واعتمادهم عليه يغني عن التكلم في سنده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ينسجم مع مبانيه؛ لأنّ الشهرة التي ذكرها في المقام إما شهرة روائية أو عملية، ولا يريد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الشهرة الروائية فقد قال في تعريفها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اشتهار الرواية بين الرواة وأرباب الحديث بكثرة نقلها، وتكررها في الأصول والكتب قبل الجوامع الأربع</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تنطبق الضابطة التي ذكرها على المقام، ففي تكرر حديث الرفع في الأصول الأربعمائة خفاء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فهي عبارة عن اشتهار العمل بالرواية والاستناد إليها في مقام الفتوى، وهذه الشهرة هي التي تكون جابرة لضعف الرواية وكاسرة لصحتها إذا كانت الشهرة من قدماء </w:t>
      </w:r>
    </w:p>
    <w:p>
      <w:pPr>
        <w:pStyle w:val="BookText"/>
        <w:rPr/>
      </w:pPr>
      <w:r>
        <w:rPr>
          <w:rFonts w:ascii="Amiri" w:hAnsi="Amiri" w:eastAsia="Amiri" w:cs="Amiri"/>
          <w:color w:val="111111"/>
          <w:sz w:val="28"/>
          <w:sz w:val="28"/>
          <w:szCs w:val="28"/>
          <w:rtl w:val="true"/>
          <w:lang w:bidi="ar-SA"/>
        </w:rPr>
        <w:t>الأصحاب القريبين من عهد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بالشهرة العملية إذا كانت بين المتأخرين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حسب الاستقراء الناقص اشتهار العمل بها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مبانيه لم تتحقق الشهرة الروائية ولا الشهرة العلمية؛ لافتقاد شرط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أحد بحجية الشهرة مطلقاً وإنها جابرة وإن كانت بين المتأخرين، فالظاهر تحققها بينهم استناداً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السبزواري</w:t>
      </w:r>
      <w:r>
        <w:rPr>
          <w:rStyle w:val="FootnoteAnchor"/>
          <w:rtl w:val="true"/>
        </w:rPr>
        <w:footnoteReference w:id="696"/>
      </w:r>
      <w:r>
        <w:rPr>
          <w:rFonts w:ascii="Amiri" w:hAnsi="Amiri" w:eastAsia="Amiri" w:cs="Amiri"/>
          <w:color w:val="111111"/>
          <w:sz w:val="28"/>
          <w:sz w:val="28"/>
          <w:szCs w:val="28"/>
          <w:rtl w:val="true"/>
          <w:lang w:bidi="ar-SA"/>
        </w:rPr>
        <w:t>من أنَّ متنه يشهد بصحته، فلا حاجة إلى البحث في سنده، وهو طريق جيد جداً لمن يحصل له القطع أو الاطمئنان، وربما لا يبعد حصول الاطمئنان بصدوره من ملاحظة متنه، فمن البعيد جداً أن يكون حديث الرفع موضوعاً بوضع 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حديث الرفع مرفوعاً عن الحسين بن محمد عن النهدي،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ضمن جميع أحاديث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أن يكون عندك كتاب كاف، يجمع فيه من جميع فنون علم الدين، ما يكتفي به المتعلم، ويرجع إليه المسترشد، ويأخذ منه من يريد علم الدين، والعمل بالآثار الصحيحة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 سألت</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 ما ورد على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خصال الصدوق بنفس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الإشكال الوارد على رواية الصدوق من جهة عدم توثيق أحمد بن محمد بن يحيى العطار، وذلك باستخدام طريقة التعويض حيث إن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طريقاً صحيحاً إلى جميع كتب وروايات سعد بن عبد اللّه الأشعري القمي، فنعوض عن وجود العطار في رواية الخصال بطريق الشيخ الطوسي إلى سعد بن عبد اللّه الأشعري، وهو شيخ العطار، فمع صحة طريق الشيخ الطوسي إلى كتب وروايات سعد نستغني عن العطار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فإن الحكم بصحة طريق الشيخ في الفهرست إلى روايات سعد موقوف على إحراز كونها رواياته، ولم يثبت كون رواية الخصال روايته، فإن ثبوت المحمول فرع ثبوت الموضوع، فلو فرضنا أن الرواية موضوعة ثبوتاً؛ لعدم وثاقة أحمد بن محمد بن يحيى العطار، فلا تكون رواية سعد، والطريق الصحيح للشيخ إنما هو لما ثبت أنه رواية سعد، لا أقل من إجمال عبارة الشيخ الطوسي، حيث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طريقاً صحيحاً إلى كل رواية جاء فيها سعد بن عبد اللّه؛ لاحتمال الجعل فيمن تقدم على سعد، والمفروض أن وثاقة العطار غير ثابتة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السبزواري</w:t>
      </w:r>
      <w:r>
        <w:rPr>
          <w:rStyle w:val="FootnoteAnchor"/>
          <w:rtl w:val="true"/>
        </w:rPr>
        <w:footnoteReference w:id="698"/>
      </w:r>
      <w:r>
        <w:rPr>
          <w:rFonts w:ascii="Amiri" w:hAnsi="Amiri" w:eastAsia="Amiri" w:cs="Amiri"/>
          <w:color w:val="111111"/>
          <w:sz w:val="28"/>
          <w:sz w:val="28"/>
          <w:szCs w:val="28"/>
          <w:rtl w:val="true"/>
          <w:lang w:bidi="ar-SA"/>
        </w:rPr>
        <w:t xml:space="preserve">، من أنّ الحديث مستفيض، </w:t>
      </w:r>
    </w:p>
    <w:p>
      <w:pPr>
        <w:pStyle w:val="BookText"/>
        <w:rPr/>
      </w:pPr>
      <w:r>
        <w:rPr>
          <w:rFonts w:ascii="Amiri" w:hAnsi="Amiri" w:eastAsia="Amiri" w:cs="Amiri"/>
          <w:color w:val="111111"/>
          <w:sz w:val="28"/>
          <w:sz w:val="28"/>
          <w:szCs w:val="28"/>
          <w:rtl w:val="true"/>
          <w:lang w:bidi="ar-SA"/>
        </w:rPr>
        <w:t>واستفاضة نقله تغني عن البحث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كل رواية مستفيضة معتبرة، فإن المستفيض بمعنى ما رواه أكثر من ثلاثة على قول، أو أكثر من اثنين على قول آخر</w:t>
      </w:r>
      <w:r>
        <w:rPr>
          <w:rStyle w:val="FootnoteAnchor"/>
          <w:rtl w:val="true"/>
        </w:rPr>
        <w:footnoteReference w:id="699"/>
      </w:r>
      <w:r>
        <w:rPr>
          <w:rFonts w:ascii="Amiri" w:hAnsi="Amiri" w:eastAsia="Amiri" w:cs="Amiri"/>
          <w:color w:val="111111"/>
          <w:sz w:val="28"/>
          <w:sz w:val="28"/>
          <w:szCs w:val="28"/>
          <w:rtl w:val="true"/>
          <w:lang w:bidi="ar-SA"/>
        </w:rPr>
        <w:t>، ولا ملازمة بين صرف الاستفاضة في حد ذاتها بغض النظر عن القرائن الخارجية والداخلية وبين تصحيحها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كل مستفيض حجة، إلاّ أنّ شرط الاستفاضة تحقق الوصف في كل المراتب، وفي انطباق هذا الضابط على حديث الرفع غموض</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رويت بسند آخر غير سند الصدوق في الخصال، ومرسلة الفقيه ومرفوعة الكافي،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الحر العاملي في الوسائل</w:t>
      </w:r>
      <w:r>
        <w:rPr>
          <w:rStyle w:val="FootnoteAnchor"/>
          <w:rtl w:val="true"/>
        </w:rPr>
        <w:footnoteReference w:id="7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عيسى</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في نوادره، عن إسماعيل الجعفي،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إشكالات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الجعفي مشترك بين إسماعيل بن جابر الجعفي، </w:t>
      </w:r>
    </w:p>
    <w:p>
      <w:pPr>
        <w:pStyle w:val="BookText"/>
        <w:rPr/>
      </w:pPr>
      <w:r>
        <w:rPr>
          <w:rFonts w:ascii="Amiri" w:hAnsi="Amiri" w:eastAsia="Amiri" w:cs="Amiri"/>
          <w:color w:val="111111"/>
          <w:sz w:val="28"/>
          <w:sz w:val="28"/>
          <w:szCs w:val="28"/>
          <w:rtl w:val="true"/>
          <w:lang w:bidi="ar-SA"/>
        </w:rPr>
        <w:t>وإسماعيل بن عبد الرحمن الجعفي، والثاني لم يوثق، فالاشتراك يسقط الرواية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الإشكال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المعجم</w:t>
      </w:r>
      <w:r>
        <w:rPr>
          <w:rStyle w:val="FootnoteAnchor"/>
          <w:rtl w:val="true"/>
        </w:rPr>
        <w:footnoteReference w:id="703"/>
      </w:r>
      <w:r>
        <w:rPr>
          <w:rFonts w:ascii="Amiri" w:hAnsi="Amiri" w:eastAsia="Amiri" w:cs="Amiri"/>
          <w:color w:val="111111"/>
          <w:sz w:val="28"/>
          <w:sz w:val="28"/>
          <w:szCs w:val="28"/>
          <w:rtl w:val="true"/>
          <w:lang w:bidi="ar-SA"/>
        </w:rPr>
        <w:t>من أن إسماعيل الجعفي منصرف إلى ابن جابر، فيكون ثقة، وربما يكون وجه الانصراف كثرة روايات ابن جابر وندرة روايات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ترجمة إسماعيل بن عبد الرحمن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وجهاً في أصحابنا</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الوثاقة، فلا يضر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يحتاج إلى تأمل أكثر، فهل الوجاهة في الأصحاب تلازم الوثاقة؟ ألا يمكن أن يكون شخص وجيهاً لكنه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الوجاهة ترتبط بالموقعية والمقام الاجتماعي، والوثاقة ترتبط بصدق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يدل على وثاقته، فلا أقل من دلالته على حسنه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يحتاج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دل على الحسن مورثاً لاعتبار الرواية، فملاك الحسن أن يكون الراوي ممدوحاً، وللمدح ألفاظ متعددة ومختلفة لا يلازم جميعها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الصدوق في مشيخته طريقاً إلى إسماعيل بن عبد الرحمن يمر بصفوان، ويتم التوثيق بناء على وثاقة مشايخ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 بأن ّطريق الصدوق إلى صفوان يمر بمحمد بن سنان، وفيه بحث؛ لتعارض التوثيق والتضعيف فيه، فقد قال فضل بن شاذان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الكذابين المشهورين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خاصة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وثقه الطوسي وضعفه، فمن اختار وثاقته فطريق الصدوق إلى صفوان بابن عبد الرحمن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لو تمت وثاقة محمد بن سنان، وكبرى وثاقة مشايخ الثلاثة، فهذا طريق جيد لتوثيق 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النجاشي في رواية الأذان بأن إسماعيل الجعفي هو إسماعيل بن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الوجه الذي تمسك به النجاشي هناك جارٍ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المراد إسماعيل بن جابر الجعفي أو إنه مشترك مع ثبوت وثاقة إسماعيل بن عبد الرحمن الجعفي، إلاّ أنّ إسماعيل بن جابر الجعفي لم يوثق، فقد ترجم في الرجال تحت عناوين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 تحت عنوان إسماعيل بن جابر الجعفي، ولم يوثقه، إلا أنه قال إن له كتاباً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 في الفهرست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w:t>
      </w:r>
    </w:p>
    <w:p>
      <w:pPr>
        <w:pStyle w:val="BookText"/>
        <w:rPr/>
      </w:pPr>
      <w:r>
        <w:rPr>
          <w:rFonts w:ascii="Amiri" w:hAnsi="Amiri" w:eastAsia="Amiri" w:cs="Amiri"/>
          <w:color w:val="111111"/>
          <w:sz w:val="28"/>
          <w:sz w:val="28"/>
          <w:szCs w:val="28"/>
          <w:rtl w:val="true"/>
          <w:lang w:bidi="ar-SA"/>
        </w:rPr>
        <w:t>جابر من دون ذكر لقب له، و ذكر أن له كتاباً ولم يوثقه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 في رجاله</w:t>
      </w:r>
      <w:r>
        <w:rPr>
          <w:rStyle w:val="FootnoteAnchor"/>
          <w:rtl w:val="true"/>
        </w:rPr>
        <w:footnoteReference w:id="709"/>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الخثعمي الكوفي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والوارد في سند رواية النوادر مردد بين هؤلاء الثلاثة، ولم يوثق الأولان وإنما وثق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الإشكال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باتحادهم، وقد أقام بعض المحققين قرائن على أن العناوين الثلاثة تتمثل في شخص واحد، فيكون الراوي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طريق لإثبات وثاقة الأولين، فقد ذكر النجاشي في عنوان إسماعيل بن جابر الجعفي أنّ له كتاباً، وله طريق صحيح يمر بصفوان بن يحيى، وهو أحد الثلاثة الذين يختار في حقهم أن جميع مشايخهم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الشيخ الطوسي في الفهرست ذكر في عنوان إسماعيل بن جابر أن له كتاباً، وله طريق صحيح يمر عبر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التعدد يكونان من مشايخ صفوان بن يحيى، فهما ثقتان على المختار، وأما الخثعمي فقد وثقه الشيخ الطوسي</w:t>
      </w:r>
      <w:r>
        <w:rPr>
          <w:rStyle w:val="FootnoteAnchor"/>
          <w:rtl w:val="true"/>
        </w:rPr>
        <w:footnoteReference w:id="710"/>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71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رد رواية النوادر واعتمد </w:t>
      </w:r>
    </w:p>
    <w:p>
      <w:pPr>
        <w:pStyle w:val="BookText"/>
        <w:rPr/>
      </w:pPr>
      <w:r>
        <w:rPr>
          <w:rFonts w:ascii="Amiri" w:hAnsi="Amiri" w:eastAsia="Amiri" w:cs="Amiri"/>
          <w:color w:val="111111"/>
          <w:sz w:val="28"/>
          <w:sz w:val="28"/>
          <w:szCs w:val="28"/>
          <w:rtl w:val="true"/>
          <w:lang w:bidi="ar-SA"/>
        </w:rPr>
        <w:t>عليه من أن إسماعيل بن جابر عد من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والفاصلة بينه وبين صاحب النوادر أكثر من مائة سنة فكيف ينقلها عنه</w:t>
      </w:r>
      <w:r>
        <w:rPr>
          <w:rStyle w:val="FootnoteAnchor"/>
          <w:rtl w:val="true"/>
        </w:rPr>
        <w:footnoteReference w:id="712"/>
      </w:r>
      <w:r>
        <w:rPr>
          <w:rFonts w:ascii="Amiri" w:hAnsi="Amiri" w:eastAsia="Amiri" w:cs="Amiri"/>
          <w:color w:val="111111"/>
          <w:sz w:val="28"/>
          <w:sz w:val="28"/>
          <w:szCs w:val="28"/>
          <w:rtl w:val="true"/>
          <w:lang w:bidi="ar-SA"/>
        </w:rPr>
        <w:t>؟ فيدل على وجود واسطة محذوفة في المقام، أو إن إسماعيل الجعفي غير إسماعيل بن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 ما نقله عن صاحب النوادر عن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وقد توفي الحلبي في زمن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يروي عنه أحمد بن محمد بن عيسى؟</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غير حاصر؛ لوجود شق ثالث، وهو إن إسماعيل بن جابر الجعفي كان له كتاب، كما ذكره النجاشي والشيخ، وقد نقل صاحب النوادر الرواية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بجهالة الواسطة بين صاحب النوادر وكتاب إسماعيل بن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الكتاب مشهوراً، ومعه لا حاجة إلى الطريق بين صاحب النوادر والكتاب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صرف احتمال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 احتمال عدم وجود طريق صحيح بينهما بالحكم بقطع صاحب النوادر بكونه كتاب إسماعيل بن جابر، ويدور أمر قطعه بين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قطعاً حسياً أو حدسياً، أمّا الحدس فليس بحجة </w:t>
      </w:r>
    </w:p>
    <w:p>
      <w:pPr>
        <w:pStyle w:val="BookText"/>
        <w:rPr/>
      </w:pPr>
      <w:r>
        <w:rPr>
          <w:rFonts w:ascii="Amiri" w:hAnsi="Amiri" w:eastAsia="Amiri" w:cs="Amiri"/>
          <w:color w:val="111111"/>
          <w:sz w:val="28"/>
          <w:sz w:val="28"/>
          <w:szCs w:val="28"/>
          <w:rtl w:val="true"/>
          <w:lang w:bidi="ar-SA"/>
        </w:rPr>
        <w:t>علينا، وأما الحس فهو حجة، وكلما دار الأمر بين الحس والحدس تحكم أصالة الحس العقلائية، كما قالوا بذلك في توثيقات الرجاليين المتقدمين، حيث إنها إما حسية كتوثيقنا للشيخ الأنصاري، وإما اجتهادية، وأصالة الحس محكمة، ولو لم يسلم بهذا الأصل العقلائي لسقطت توثيقاتهم لغير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النوادر ينقل عن كتاب إسماعيل بن جابر، وثبوت أنه كتابه حجة؛ لمكان أصالة الحس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7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طريق إلى كون النوادر الموجود هو نوادر أحمد بن محمد بن عيسى، وما ذكر في آخر الوسائل من الطرق إلى الكتب فهي ليست طرقاً إليها بمعنى وصول الكتب إليه يداً بيد بهذه الطرق، بل إنها طرق إلى كتب مؤلفيها، وصاحب الوسائل تيقن أنّ هذه الكتب الموجودة هي كتب أولئك المؤلفين، وهذا لا ينفع لمن لا يتقين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صاحب الوسائل عن النوادر مركب من طريقين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الحر العاملي إلى الشيخ الطوسي،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الطوسي إلى صاحب النوادر؛ لأن طريق الحر العاملي في رواياته عن الكتب المتقدمة هو طريق الشيخ الطوسي إلى أرباب تلك الكتب، وقد ذكر صاحب الوسائل في آخر الوسائل طريقه إلى الشيخ الطوسي، كما ذكر الشيخ طريقه إلى صاحب النوادر، وهما طريقان صحيحان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فيتلخص من هذا أنَّ للحر العاملي طريقاً صحيحاً إلى النوادر عبر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هو أن الحر العاملي له طريق إلى الكلي، وهو كتاب النوادر، ولا دليل على أن النسخة التي وصلت بيده هي النسخة الأصلية، حيث لم يصل إليه الكتاب يداً بيد وعبر المشايخ، وإنما تيقن أنه هو، و ليس يقينه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لما ذكر في الإشكال المتقدم من دوران الأمر بين الحس والحدس، وترجيح الأول لأصالة الحس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بعض المعاصرين،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كلام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المبوّبة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متفرعاً على سابقه، وهو رواية أحمد بن محمد بن الحسن بن الوليد عن أبيه، ولم يرد فيه توثيق ولا مدح</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فقد قال في أحوال صاحب النوادر</w:t>
      </w:r>
      <w:r>
        <w:rPr>
          <w:rStyle w:val="FootnoteAnchor"/>
          <w:rtl w:val="true"/>
        </w:rPr>
        <w:footnoteReference w:id="7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عيسى بن عبد اللّه بن سعد بن مالك الأشعري شيخ قم ووجهها وفقيهها غير مدافع، وكان الرئيس الذي يلقى السلطان وصنف كتباً، منها كتاب التوحيد، كتاب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المتعة، كتاب النوادر وكان غير مبوب فبوبه داود بن كورة، كتاب الناسخ والمنسوخ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النوادر من جملة كتب أحمد بن محمد بن عيسى الأشعري، وللشيخ إليه طرقٌ منها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w:t>
      </w:r>
    </w:p>
    <w:p>
      <w:pPr>
        <w:pStyle w:val="BookText"/>
        <w:rPr/>
      </w:pPr>
      <w:r>
        <w:rPr>
          <w:rFonts w:ascii="Amiri" w:hAnsi="Amiri" w:eastAsia="Amiri" w:cs="Amiri"/>
          <w:color w:val="111111"/>
          <w:sz w:val="28"/>
          <w:sz w:val="28"/>
          <w:szCs w:val="28"/>
          <w:rtl w:val="true"/>
          <w:lang w:bidi="ar-SA"/>
        </w:rPr>
        <w:t>أصحابنا، منهم الحسين بن عبيد اللّه وابن أبي جيد، عن أحمد بن محمد بن يحيى العطار، عن أبيه وسعد بن عبد اللّه عنه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أحمد بن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عدة من أصحابنا عن أحمد بن محمد بن الحسن بن الوليد، عن أبيه، عن محمد بن الحسن الصفار وسعد جميعاً،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أيضاً؛ لعدم ورود توثيق لأحمد بن محمد بن الحسن بن الوليد، بناءً على جهالة من لم يرد في حقه توثيق، إلا أن يقال بوثاقة شيوخ الإجازة كلهم، فإنه شيخ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ومحل إشكال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المراد به ابن الوليد الأب فهو ثقة، وإن كان المراد الابن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هذا الطريق الثالث مذكور بعد الطريق الثاني، والراوي في الطريق الثاني هو ابن الوليد الابن فيحتمل أن يكون الابن هو المقصود في الطريق الثالث، فيسقط الطريق الثالث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إطلاق ابن الوليد ينصرف إلى محمد بن الحسن بن الوليد؛ لكثرة إطلاقه عليه، وكذا في كلمات الشيخ الطوسي المألوف إطلاقه على الأب لا الابن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قالوا بمثل ذلك في زرارة المشترك بين كونه ابن أعين أو ابن لطيفة، </w:t>
      </w:r>
    </w:p>
    <w:p>
      <w:pPr>
        <w:pStyle w:val="BookText"/>
        <w:rPr/>
      </w:pPr>
      <w:r>
        <w:rPr>
          <w:rFonts w:ascii="Amiri" w:hAnsi="Amiri" w:eastAsia="Amiri" w:cs="Amiri"/>
          <w:color w:val="111111"/>
          <w:sz w:val="28"/>
          <w:sz w:val="28"/>
          <w:szCs w:val="28"/>
          <w:rtl w:val="true"/>
          <w:lang w:bidi="ar-SA"/>
        </w:rPr>
        <w:t>لكن إطلاقه ينصرف إلى الأول وهو الأشهر، وكما في أبي بصير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أن ابن الوليد هذا يروي عن محمد بن يحيى فاعتبر بعضهم ذلك قرينة على أنه محمد لا أحمد، ومع التشكيك في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عدم البعد عن وثاقة الابن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الحادي عشر لإثبات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مما استفاض نقلها بين الفريقين، وربما يكون هو مراد السيد السبزواري، فإنه لو كان مراده الاستفاضة في طرق الشيعة فقد مضى أنها لم تثبت بالمعنى المذكور، لكن لو ضم إليه طرق الآخرين فيمكن دعوى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نفس الإشكال الكبروي الذي ورد على طريق الاستفاضة من طرق الشيعة، وإن لم يرد عليه الإشكال الصغروي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 بعض المتأخرين أحمد بن محمد بن يحيى العطار، فتكون رواية الخصال صحيحة، فمن الذين وثقوه العلامة الحلي</w:t>
      </w:r>
      <w:r>
        <w:rPr>
          <w:rStyle w:val="FootnoteAnchor"/>
          <w:rtl w:val="true"/>
        </w:rPr>
        <w:footnoteReference w:id="718"/>
      </w:r>
      <w:r>
        <w:rPr>
          <w:rFonts w:ascii="Amiri" w:hAnsi="Amiri" w:eastAsia="Amiri" w:cs="Amiri"/>
          <w:color w:val="111111"/>
          <w:sz w:val="28"/>
          <w:sz w:val="28"/>
          <w:szCs w:val="28"/>
          <w:rtl w:val="true"/>
          <w:lang w:bidi="ar-SA"/>
        </w:rPr>
        <w:t xml:space="preserve">، فإنه وإن لم يصرح بذلك لكنه حكم بصحة روايات متعددة في طريقها العطار، وتصحيح العلامة للرواية بمعنى كون الراوي عدلاً إمامياً ضابطاً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مصطلح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لتوثيق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العطار ثقة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وهو متثبت في الرجال والفقه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w:t>
      </w:r>
      <w:r>
        <w:rPr>
          <w:rStyle w:val="FootnoteAnchor"/>
          <w:rtl w:val="true"/>
        </w:rPr>
        <w:footnoteReference w:id="720"/>
      </w:r>
      <w:r>
        <w:rPr>
          <w:rFonts w:ascii="Amiri" w:hAnsi="Amiri" w:eastAsia="Amiri" w:cs="Amiri"/>
          <w:color w:val="111111"/>
          <w:sz w:val="28"/>
          <w:sz w:val="28"/>
          <w:szCs w:val="28"/>
          <w:rtl w:val="true"/>
          <w:lang w:bidi="ar-SA"/>
        </w:rPr>
        <w:t>اعتمادا على تصحيح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في مشرق الشمسين،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عددت حديثهم في الحبل المتين وفي هذا الكتاب في الصحيح جرياً على منوال مشايخنا المتأخرين، ونرجوا من اللّه سبحانه أن يكون اعتقادنا فيه مطابقاً للواقع</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يفيد الإجماع أو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السماهيجي</w:t>
      </w:r>
      <w:r>
        <w:rPr>
          <w:rStyle w:val="FootnoteAnchor"/>
          <w:rtl w:val="true"/>
        </w:rPr>
        <w:footnoteReference w:id="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المحقق الداماد</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من جهتهم صحيح معتمد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جماعة منهم العطار، واستبعد الجهالة والضعف فيه صاحب المعالم على دقته</w:t>
      </w:r>
      <w:r>
        <w:rPr>
          <w:rStyle w:val="FootnoteAnchor"/>
          <w:rtl w:val="true"/>
        </w:rPr>
        <w:footnoteReference w:id="724"/>
      </w:r>
      <w:r>
        <w:rPr>
          <w:rFonts w:ascii="Amiri" w:hAnsi="Amiri" w:eastAsia="Amiri" w:cs="Amiri"/>
          <w:color w:val="111111"/>
          <w:sz w:val="28"/>
          <w:sz w:val="28"/>
          <w:szCs w:val="28"/>
          <w:rtl w:val="true"/>
          <w:lang w:bidi="ar-SA"/>
        </w:rPr>
        <w:t>، وقال المجلسي</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الأصحاب بصحة حديثه، وهو يفيد الشهرة أو الإجماع بين المتأخرين، ووثقه المامقاني أيضاً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على توثيقات المتأخرين، كما هو رأي البعض في الرجال، لكن المبنى محل إشكال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اثني عشر طريقاً لتصحيح حديث الرفع، ولو شكك في كل واحد واحد منها إلاّ أنّ الظاهر كفاية المجموع لذلك، كما قال بمثل ذلك الشيخ الأعظم في روايات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ظهور الصحيح </w:t>
      </w:r>
      <w:bookmarkStart w:id="258" w:name="pg15601_166868"/>
    </w:p>
    <w:p>
      <w:pPr>
        <w:pStyle w:val="BookText"/>
        <w:rPr/>
      </w:pPr>
      <w:bookmarkEnd w:id="258"/>
      <w:r>
        <w:rPr>
          <w:rFonts w:ascii="Amiri" w:hAnsi="Amiri" w:eastAsia="Amiri" w:cs="Amiri"/>
          <w:color w:val="111111"/>
          <w:sz w:val="28"/>
          <w:sz w:val="28"/>
          <w:szCs w:val="28"/>
          <w:rtl w:val="true"/>
          <w:lang w:bidi="ar-SA"/>
        </w:rPr>
        <w:t>منها، وعدم صحة الظاهر منها، فلعل الاستدلال بالمجموع باعتبار التجابر والتعاضد</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البحث السندي</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0000219_2142443653"/>
      <w:bookmarkStart w:id="260" w:name="_Toc97"/>
      <w:bookmarkEnd w:id="259"/>
      <w:r>
        <w:rPr>
          <w:rtl w:val="true"/>
        </w:rPr>
        <w:t>فقه حديث الرفع وفيه بحوث</w:t>
      </w:r>
      <w:bookmarkEnd w:id="260"/>
    </w:p>
    <w:p>
      <w:pPr>
        <w:pStyle w:val="Heading6"/>
        <w:numPr>
          <w:ilvl w:val="5"/>
          <w:numId w:val="1"/>
        </w:numPr>
        <w:rPr/>
      </w:pPr>
      <w:bookmarkStart w:id="261" w:name="__RefHeading___Toc10000221_2142443653"/>
      <w:bookmarkStart w:id="262" w:name="_Toc98"/>
      <w:bookmarkEnd w:id="261"/>
      <w:r>
        <w:rPr/>
        <w:t>1</w:t>
      </w:r>
      <w:r>
        <w:rPr>
          <w:rtl w:val="true"/>
        </w:rPr>
        <w:t xml:space="preserve">) </w:t>
      </w:r>
      <w:r>
        <w:rPr>
          <w:rtl w:val="true"/>
        </w:rPr>
        <w:t>الفرق بين الرفع والدفع</w:t>
      </w:r>
      <w:bookmarkEnd w:id="262"/>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المذكور في الحديث الشريف لفظة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فرق بين مفهوم الرفع ومفهوم الدفع، فإن الرفع عبارة عن إزالة الشيء الثابت، والدفع عبارة عن الحيلولة دون وجود الشيء،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المرض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وجود المرض ثم زواله عنه، 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عنه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حال المانع من وجود المرض، وفي حديث الرفع المتحقق هو الدفع لا الرفع، وذلك لعدم وجود الحكم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يزال بحديث الرفع، وعليه الثابت في المورد هو الدفع، فكيف استعملت لفظة الرفع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الرفع والدفع في الحقيقة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والكلمات المنقولة عنه لا تخلو من الاضطراب، فهل مراده مساوقة </w:t>
      </w:r>
    </w:p>
    <w:p>
      <w:pPr>
        <w:pStyle w:val="BookText"/>
        <w:rPr/>
      </w:pPr>
      <w:r>
        <w:rPr>
          <w:rFonts w:ascii="Amiri" w:hAnsi="Amiri" w:eastAsia="Amiri" w:cs="Amiri"/>
          <w:color w:val="111111"/>
          <w:sz w:val="28"/>
          <w:sz w:val="28"/>
          <w:szCs w:val="28"/>
          <w:rtl w:val="true"/>
          <w:lang w:bidi="ar-SA"/>
        </w:rPr>
        <w:t>مفهوم الرفع لمفهوم الدفع، فتكون النسبة بينهما التساوي؟ أو مراده أن النسبة بينهما العموم المطلق، بمعنى أن كل رفع دفع وليس كل دفع رفعاً؟</w:t>
      </w:r>
    </w:p>
    <w:p>
      <w:pPr>
        <w:pStyle w:val="BookText"/>
        <w:rPr/>
      </w:pPr>
      <w:r>
        <w:rPr>
          <w:rFonts w:ascii="Amiri" w:hAnsi="Amiri" w:eastAsia="Amiri" w:cs="Amiri"/>
          <w:color w:val="111111"/>
          <w:sz w:val="28"/>
          <w:sz w:val="28"/>
          <w:szCs w:val="28"/>
          <w:rtl w:val="true"/>
          <w:lang w:bidi="ar-SA"/>
        </w:rPr>
        <w:t>والذي يهمنا في المقام إثبات أن كل رفع دفع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وبناه المحقق النائيني على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الممكن إلى العلة في البقاء كاحتياجه إليها في الحدوث</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لأن ملاك الاحتياج إلى العلة هو الإمكان، والإمكان الذاتي ثابت للممكن حتى بعد الوجود، فإنه لا ينقلب إلى الواجب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يفرق الحدوث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للممكن اقتضاء</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الليسية الذاتية ثابتة للممكن قبل الوجود وبعد الوجود، فيحتاج الممكن إلى العلة في حدوثه كما يحتاج إليها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المقدمة الثابتة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وحدة حقيقة الرفع والدفع، وأن الرفع في حقيقته دفع؛ لأن عمل الرافع منع تأثير المقتضي في الزمان اللاحق؛ لأن الشيء يحتاج إلى وجود العلة آناً فآنا</w:t>
      </w:r>
      <w:r>
        <w:rPr>
          <w:rStyle w:val="FootnoteAnchor"/>
          <w:rtl w:val="true"/>
        </w:rPr>
        <w:footnoteReference w:id="731"/>
      </w:r>
      <w:r>
        <w:rPr>
          <w:rFonts w:ascii="Amiri" w:hAnsi="Amiri" w:eastAsia="Amiri" w:cs="Amiri"/>
          <w:color w:val="111111"/>
          <w:sz w:val="28"/>
          <w:sz w:val="28"/>
          <w:szCs w:val="28"/>
          <w:rtl w:val="true"/>
          <w:lang w:bidi="ar-SA"/>
        </w:rPr>
        <w:t>، فإذا جاء الرافع فإنه يمنع تأثير العلة في البقاء فهو دافع،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تقتضي الحرارة، لكن الرافع يدفع تأثيرها في مرحلة البقاء، ففي الحقيقة الرافع دافع، والدافع دافع أيضاً، إلا أنه في مرحلة الحدوث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فماهية الرافع والدافع واحدة، وهي منع تأثير المقتضي في المقتضى، فأما </w:t>
      </w:r>
    </w:p>
    <w:p>
      <w:pPr>
        <w:pStyle w:val="BookText"/>
        <w:rPr/>
      </w:pPr>
      <w:r>
        <w:rPr>
          <w:rFonts w:ascii="Amiri" w:hAnsi="Amiri" w:eastAsia="Amiri" w:cs="Amiri"/>
          <w:color w:val="111111"/>
          <w:sz w:val="28"/>
          <w:sz w:val="28"/>
          <w:szCs w:val="28"/>
          <w:rtl w:val="true"/>
          <w:lang w:bidi="ar-SA"/>
        </w:rPr>
        <w:t>الدافع فيمنع تأثير المقتضي في مرحلة الحدوث، وأما الرافع فيمنع تأثير المقتضي في مرحلة البقاء، ولذلك يصح استعمال كل منهما في مكان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نظر، ولذا لم يرتضه معاصروه ومن لحقه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اتحاد ماهية الرافع والدافع، إلا أن هذا الاتحاد أنما هو بالنظرة العقلية الفلسفية، أما باللحاظ العرفي واللغوي فما يمنع المقتضي عن التأثير في مرحلة الحدوث يعبر عنه بالدفع والدافع، وما يمنع المقتضي عن التأثير في مرحلة البقاء يعبر عنه بالرفع والرافع، فكون حقيقتهما واحدة أنما هو بالنظر العقلي، والكلام بالوضع اللغوي والظهور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المذكورة تثبت أنَّ كل رفع دفع، وأنه لو كان رفع أمكن إطلاق الدفع عليه، ولا تثبت أن كل دفع رفع، فمحصلها أن الرافع يمنع تأثير المقتضي في الأكوان المتجددة، فيكون كل رفع دفعاً، بمعنى دفع تأثير العلة في الزمان الثاني، ومحل البحث أنّ المتحقق في مورد الحديث الشريف الدفع بمعنى الحيلولة دون وجود الشيء، فكيف أطلق عليه الرفع؟ فالمقدمة تنفع في عكس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النائيني لا يخلو من 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مفهوم الرفع بإزالة الموجود، بل يصدق على صورة تحقق المقتضي لوجود الشيء مع تحقق مانع من تأثيره في مقتضاه، حيث يصدق الرفع على نحو الحقيقة،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ولي الدم عن القاتل وهو </w:t>
      </w:r>
    </w:p>
    <w:p>
      <w:pPr>
        <w:pStyle w:val="BookText"/>
        <w:rPr/>
      </w:pPr>
      <w:r>
        <w:rPr>
          <w:rFonts w:ascii="Amiri" w:hAnsi="Amiri" w:eastAsia="Amiri" w:cs="Amiri"/>
          <w:color w:val="111111"/>
          <w:sz w:val="28"/>
          <w:sz w:val="28"/>
          <w:szCs w:val="28"/>
          <w:rtl w:val="true"/>
          <w:lang w:bidi="ar-SA"/>
        </w:rPr>
        <w:t>تحت حد السيف للقصاص، ففي هذه الحالة يصح أن نقول رفع أو ارتفع عنه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شخص في لحظات الاحتضار وكان موته قطعياً، ثم دفع عن الموت إثر كرامة، فيصح أن يقال ارتفع عنه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برفع التكليف عدم توجيهه إلى المكلف مع قيام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قبح عقلاً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الترك لم يكن في حقه رفع أصلاً؛ إذ ليس من شأنه أن يوجه إليه التكليف</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وذلك كتكليف العاجز، فحيث لا شأنية ولا مقتضي فلا يمكن القول بارتفاع التكليف عنه، أما مع وجود المقتضي فلا مانع من استخدام كلمة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الدليل على وجود المقتضي للتكليف في هذه الموارد، لكن يمكن الاستدلال له بأن ظاهر الحديث ذلك، فإنه ظاهر في الامتنان ولا يصح إلا مع وجوده، ولو لم يكن مقتض فلا معنى للمنة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إطلاق الرفع في مورد وجود المقتضي مع وجود المزاحم له إطلاق حقيقي أم مجازي؟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له المقتضي صح عناية</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فهو مجاز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إطلاق حقيقي،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صدق الرفع وصحة استعماله حقيقة وجود المرفوع حقيقة، بل يكفي في العناية المصححة لذلك وجوده عناية وادعاء، ولو باعتبار وجود مقتضيه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الحقيقي للفظ متوقف على الوجود الادعائي للمقتضي، فالادعاء إنما هو في جانب وجود المقتضي لا في جانب إطلاق اللفظ، فلو تحقق المقتضي فإنّ العقلاء يعتبرون المقتضي موجوداً ويرتبون على وجوده الادعائي أحكاماً كثيرة،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الخيارات يحكم العقلاء بسقوط الخيار مع اشتراط سقوطه في متن العقد، إلاّ أنّه حين العقد لم يكن هنالك خيار للحيوان حتى يشترط سقوطه في متن العقد، لكن وجود المقتضي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وجوداً ادعائياً للخيار عند العقلاء فيسقط مع شرط السقوط، وما نحن فيه كذلك، فمع وجود المقتضي يعتبر العقلاء وجوداً ادعائياً للمقتضي، وباعتباره تصدق كلمة الرفع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هذا التخريج صحيحاً عند العرف واللغة أم كان من صنع الخيال، إلاّ أنّ الظاهر أنّ الإطلاق في موارد وجود المقتضي إطلاق حقيقي، كما هو واضح في مثال رفع القتل، لصحة الحمل وعدم صحة السلب، وهما علامتا الحقيقة في الإطلاق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كلمة الرفع في الحديث الشريف بلحاظ عالم الإثبات لا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عمومات ومطلقات،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وهي تشمل العالم والجاهل والمتذكر والناسي والمضطر وغيره، لكنه بلحاظ الإرادة الاستعمالية لا بلحاظ الإرادة الجدية، والملاك في صدق عنوان الرفع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شامل للعالم والجاهل بلحاظ عالم الإثبات والإرادة الاستعمالية، فيكون الحكم ثابتاً في ذمة الجاهل والناسي والمخطئ، ويرتفع بحديث الرفع، فيصدق عليه عنوان الرفع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الرفع بلحاظ ثبوت الحكم في الشرائع الإلهية المتقدمة ولو في الجملة،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بل حديث الرفع ظاهر في ثبوت الأحكام، ولو في الجملة، فبهذا اللحاظ يطلق الرفع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كانت ثابتة للأمم المتقدمة في حالة الخطأ والنسيان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ثابتة لهذه الأمة حتى يكون دفعها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توقت عند صدورها في الشرائع المتقدمة لوقت خاص، وظاهرها الإطلاق الأزماني، فيعم الحكم جميع الازمنة والأفراد، فيشمل الأمة المرحومة بلحاظ الإرادة الاستعمالية، ويرفع عنها بحديث الرفع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الرفع إنما هو بلحاظ ثبوت الأحكام في هذه </w:t>
      </w:r>
    </w:p>
    <w:p>
      <w:pPr>
        <w:pStyle w:val="BookText"/>
        <w:rPr/>
      </w:pPr>
      <w:r>
        <w:rPr>
          <w:rFonts w:ascii="Amiri" w:hAnsi="Amiri" w:eastAsia="Amiri" w:cs="Amiri"/>
          <w:color w:val="111111"/>
          <w:sz w:val="28"/>
          <w:sz w:val="28"/>
          <w:szCs w:val="28"/>
          <w:rtl w:val="true"/>
          <w:lang w:bidi="ar-SA"/>
        </w:rPr>
        <w:t>الموارد التسعة في بداية الشريعة، فالأحكام في أول الشريعة كانت شاملة للعالم والجاهل، فيصدق الرفع حقيقة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السيد السبزواري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والمنساق من الرفع عرفاً ولغة خلاف الوضع</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فعندنا 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والرفع، والرفع يعني عدم الوضع، أي أنّ اللّه وضع الحكم على المتذكر ولم يضع الحكم على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تام في نظر العرف، فوضع يعني كتب، ورفع يعني لم يضع ولم يكتب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القلم عن الصبي حتى يحتلم</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فقد سجل التكليف على البالغ، وأما الصبي فلم يجر عليه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عن الناس يداً واحدة رفعت عنه أيدٍ كثيرة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تمثل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الموت رفع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بآخرينا</w:t>
      </w:r>
      <w:r>
        <w:rPr>
          <w:rStyle w:val="FootnoteAnchor"/>
          <w:rtl w:val="true"/>
        </w:rPr>
        <w:footnoteReference w:id="7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فانَّ الرفع يعني عدم الوضع، 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القلم على هذه الطوائف التسع</w:t>
      </w:r>
      <w:r>
        <w:rPr>
          <w:rFonts w:eastAsia="Amiri" w:cs="Amiri" w:ascii="Amiri" w:hAnsi="Amiri"/>
          <w:color w:val="111111"/>
          <w:sz w:val="28"/>
          <w:szCs w:val="28"/>
          <w:rtl w:val="true"/>
          <w:lang w:bidi="ar-SA"/>
        </w:rPr>
        <w:t xml:space="preserve">. </w:t>
      </w:r>
      <w:bookmarkStart w:id="263" w:name="pg15601_166882"/>
    </w:p>
    <w:p>
      <w:pPr>
        <w:pStyle w:val="BookText"/>
        <w:rPr/>
      </w:pPr>
      <w:bookmarkEnd w:id="263"/>
      <w:r>
        <w:rPr>
          <w:rFonts w:ascii="Amiri" w:hAnsi="Amiri" w:eastAsia="Amiri" w:cs="Amiri"/>
          <w:color w:val="111111"/>
          <w:sz w:val="28"/>
          <w:sz w:val="28"/>
          <w:szCs w:val="28"/>
          <w:rtl w:val="true"/>
          <w:lang w:bidi="ar-SA"/>
        </w:rPr>
        <w:t>ومع تمامية هذا الجواب نستغني عن الأجوبة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الرفع في الحديث على العناية والمجاز</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0000223_2142443653"/>
      <w:bookmarkStart w:id="265" w:name="_Toc99"/>
      <w:bookmarkEnd w:id="264"/>
      <w:r>
        <w:rPr/>
        <w:t>2</w:t>
      </w:r>
      <w:r>
        <w:rPr>
          <w:rtl w:val="true"/>
        </w:rPr>
        <w:t xml:space="preserve">) </w:t>
      </w:r>
      <w:r>
        <w:rPr>
          <w:rtl w:val="true"/>
        </w:rPr>
        <w:t>في حقيقة المرفوع</w:t>
      </w:r>
      <w:bookmarkEnd w:id="265"/>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متعلق الرفع في حديث الرفع نفس العناوين التسعة، كالخطأ والنسيان فهو إسناد حقيقي، وإن كان متعلقه مقدراً محذوفاً فهو إسناد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تعلق الرفع حقيقة بالعناوين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المقدر المحذوف مع فرض عدم إمكان تعلق الرفع بالعناوين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البعض</w:t>
      </w:r>
      <w:r>
        <w:rPr>
          <w:rStyle w:val="FootnoteAnchor"/>
          <w:rtl w:val="true"/>
        </w:rPr>
        <w:footnoteReference w:id="743"/>
      </w:r>
      <w:r>
        <w:rPr>
          <w:rFonts w:ascii="Amiri" w:hAnsi="Amiri" w:eastAsia="Amiri" w:cs="Amiri"/>
          <w:color w:val="111111"/>
          <w:sz w:val="28"/>
          <w:sz w:val="28"/>
          <w:szCs w:val="28"/>
          <w:rtl w:val="true"/>
          <w:lang w:bidi="ar-SA"/>
        </w:rPr>
        <w:t xml:space="preserve">إلى عدم إمكان تعلق الرفع بالعناوين المذكورة ؛ لوجود هذه الأمور في الخارج بالعيان، فلا يمكن أن يتعلق الرفع بها حقيقة، فلا بد من تقدير محذوف مقدر، وهو ما يسمى بمجاز الحذف،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بعض الأعلام</w:t>
      </w:r>
      <w:r>
        <w:rPr>
          <w:rStyle w:val="FootnoteAnchor"/>
          <w:rtl w:val="true"/>
        </w:rPr>
        <w:footnoteReference w:id="745"/>
      </w:r>
      <w:r>
        <w:rPr>
          <w:rFonts w:ascii="Amiri" w:hAnsi="Amiri" w:eastAsia="Amiri" w:cs="Amiri"/>
          <w:color w:val="111111"/>
          <w:sz w:val="28"/>
          <w:sz w:val="28"/>
          <w:szCs w:val="28"/>
          <w:rtl w:val="true"/>
          <w:lang w:bidi="ar-SA"/>
        </w:rPr>
        <w:t xml:space="preserve">في المقام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تعلق الرفع به حقيقة؛ وذلك لإمكان رفع الحكم واقعاً، وبين سائر العناوين المأخوذة في الحديث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التفصيل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الحكم والموضوع، فإنه وإن كان الحكم قابلاً للرفع إلاّ أنّ الموضوع الخارجي المجهول غير قابل للرفع، كالخمر المجهول بعنوان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بالشبهات الحكمية، كشرب التتن، إلاّ أنّ الحكم الواقعي المجهول غير قابل للرفع؛ لما ثبت في بداية مباحث القطع من اشتراك الأحكام بين العالم والجاهل، فلو كان التتن واقعاً حراماً فهو غير قابل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الأمر أنّ عدم قابلية سائر العناوين للرفع إنما هو بالعيان، حيث نشاهد رأي العين وجود الإكراه والخطأ في الخارج، وأما عدم قابلية الحكم الواقعي المجهول للرفع فإنما يكون بالبرهان، سواء أكان برهاناً شرعياً أم برهاناً عقلياً كالدور أو الخلف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العناوين التسعة غير قابلة لورود الرفع عليها، فلا بد من تقدير محذوف،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المؤاخذة على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النائيني</w:t>
      </w:r>
      <w:r>
        <w:rPr>
          <w:rStyle w:val="FootnoteAnchor"/>
          <w:rtl w:val="true"/>
        </w:rPr>
        <w:footnoteReference w:id="746"/>
      </w:r>
      <w:r>
        <w:rPr>
          <w:rFonts w:ascii="Amiri" w:hAnsi="Amiri" w:eastAsia="Amiri" w:cs="Amiri"/>
          <w:color w:val="111111"/>
          <w:sz w:val="28"/>
          <w:sz w:val="28"/>
          <w:szCs w:val="28"/>
          <w:rtl w:val="true"/>
          <w:lang w:bidi="ar-SA"/>
        </w:rPr>
        <w:t>ذهب إلى معقولية تعلق الرفع حقيقة بالعناوين التسعة، فالمرفوع واقعاً هو الخطأ والنسيان والإكراه والحكم والموضوع الذي لا يعلمون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والعبارات الواردة في تقرير كلامه لا تخلو من اضطراب، مما سبب بعض الإشكالات عليه، وهي وإن وردت على العبارات المذكورة، إلاّ أنّ </w:t>
      </w:r>
    </w:p>
    <w:p>
      <w:pPr>
        <w:pStyle w:val="BookText"/>
        <w:rPr/>
      </w:pPr>
      <w:r>
        <w:rPr>
          <w:rFonts w:ascii="Amiri" w:hAnsi="Amiri" w:eastAsia="Amiri" w:cs="Amiri"/>
          <w:color w:val="111111"/>
          <w:sz w:val="28"/>
          <w:sz w:val="28"/>
          <w:szCs w:val="28"/>
          <w:rtl w:val="true"/>
          <w:lang w:bidi="ar-SA"/>
        </w:rPr>
        <w:t>مراده سيتضح بما نذكره مع بعض التغيير تلافياً لورود تلك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تكويني ورفع تشريعي، وإنما يلزم تقدير محذوف فيما لو كان الرفع تكوينياً دون ما لو كان تشريعياً، وما ورد في الخبر أنما يكون في مقام التشريع لا في مقام التكوين، ولذلك يتعلق به الرفع التشريعي حقيقة، وهو مطلب مهم تترتب عليه آثار كثيرة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لحاظان في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نلاحظها بما هي موضوعات خارجية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نلاحظها بما هي موضوعات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باللحاظ الأول فهي موضوعات حقيقية تكوينة خارجية لا تنالها يد التشريع لا وضعاً ولا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الشارع لا يلاحظ الموضوع بما له من الوجود التكويني الخارجي، وإنما يلاحظه بما هو موضوع للحكم الشرعي، فمعنى وجود الخطأ في عالم التشريع أنه قد رُتّب عليه أثر شرعي، ومعنى عدم وجود موضوع الخطأ في إطار عالم التشريع أنه لم يُرتَّب عليه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للخطأ في إطار عالم التشريع حكم ولا أثر، فلا وجود له في عالم التشريع؛ لأنه لم يقع موضوعاً لحكم شرعي، فالشارع لا يلحظ الأشياء بما هي هي في مقام التشريع، وإنما يلاحظها بما هي موضوعات لأحكامه، ولو كان للخطأ حكم لكان الموضوع ثابتاً بثبوت محموله، لذا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الخطأ، لكن لو لم يكن محمول فالموضوع قهراً مرتفع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وجود دفتر للتشريع فيه موضوعات رتب </w:t>
      </w:r>
    </w:p>
    <w:p>
      <w:pPr>
        <w:pStyle w:val="BookText"/>
        <w:rPr/>
      </w:pPr>
      <w:r>
        <w:rPr>
          <w:rFonts w:ascii="Amiri" w:hAnsi="Amiri" w:eastAsia="Amiri" w:cs="Amiri"/>
          <w:color w:val="111111"/>
          <w:sz w:val="28"/>
          <w:sz w:val="28"/>
          <w:szCs w:val="28"/>
          <w:rtl w:val="true"/>
          <w:lang w:bidi="ar-SA"/>
        </w:rPr>
        <w:t>عليها محمولات، فلو محيت أحكام موضوع فهو يساوي محو الموضوع في دفتر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للخطأ في الشريعة حكم فلا يكون له وجود في سجل التشريع، ومع انتفاء المحمولات ينتفي الموضوع من دائرة التشريع، وعليه يتم رفع الخطأ حقيقة، لكنه رفع في إطار التشريع لا في إطار عالم التكوين،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الربا والشك منتفيان تشريعاً لا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استعرنا عبارة الكفاية في قاعدة لا ضرر لقلنا إنه نفي الحكم بلسان نفي الموضوع، فلا ضرر إنما هو نفي الحكم لباً، وأما لفظاً فلسانه لسان نفي الموضوع، لكنه في عالم التشريع لا التكوين، فلا أثر شرعي للحكم المجهول، ومع ارتفاع المحمولات في إطار عالم التشريع لا يعقل وجود موضوع بلا محمول، فيكون الموضوع مرتفعاً في إطار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مفاد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وزان الرفع وزان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هناك يقال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محذور فيما ذكره المحقق النائيني بلحاظ عالم الثبوت، فالتصوير المذكور يثبت إمكان التعلق في عالم الثبوت، إنما الكلام في عالم الإثبات، وهل أنَّ حديث الرفع ظاهر في الرفع التشريعي؟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الحديث يتضمن الرفع مجرداً لأمكن القول به في سجل التشريع، لكنه قد 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ظهوره في الرفع التشريعي مجال للتأمل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الإجابة عن ذلك بإمكان تصوير التقريب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التشريع مرفوع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عالم التكوين مرفوع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الإثباتي وارد على التصوير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التصويرين فرق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التصوير الأول فإنّ له فيه نحواً من أنحاء الثبوت، حيث يقع موضوعاً للحكم والأثر الشرعي، ويتحقق الرفع التكويني للخطأ في عالم التشريع بسلب 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المولى بمحو الخطأ الذي هو موضوع الأثر الشرعي من سجل التشريع، فهو مرفوع حقيقة وتكويناً في عالم التشريع لسقوطه عن الموضوعية، وهذا المعنى لا يساعد عليه الظهور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التصوير الثاني من أنّ الخطأ في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الخطأ الخارجي أي قتل زيد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تشريعاً أي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يقتضيه نفس ظهور حال الشارع، فقول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يعتبر ما هو مصداق تكويني مصداقاً تشريعاً، فبما أنه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أنه مكون للكائنات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هذه العناوين من حيثية الشارعية، فيكون الرفع رفعاً تشريعياً ادعائياً اعتبارياً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كثرة الأشباه والنظائر،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نفي الشك التكويني نفياً اعتبارياً،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فوزان الرفع الإدعائي وزان النفي الإدعائي، وكما أنّ النفي الإدعائي ظاهر عرفاً فكذلك الرفع الادعائي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تمامية هذا التصوير يتم الاستغناء عن ضرورة تقدير المحذوف، ويكون ظاهراً في نفي جميع الآثار، ومع عدمه لابد من التقدير صوناً لكلام الحكيم، وهو ما يعبر عنه بدلالة الاقتضاء، وقد يلزم الأخذ بالقدر المتيقن منه، كما هو الشأن فيما لو دار الأمر في تقدير المحذوف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المقدر المحذوف وتعيين ماهية المرفوع، بناء على عدم إمكان تعلق الرفع على الوجه الحقيقي بالعناوين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أي رفع عن أمتي المؤاخذة عن هذه العناوين، ولم ترفع الآثار التكليفية والوضعية والموضوعات التي رتبت على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عدة إشكالات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تمسك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الرفع لنفي الآثار الوضعية، كما في الصحيحة</w:t>
      </w:r>
      <w:r>
        <w:rPr>
          <w:rStyle w:val="FootnoteAnchor"/>
          <w:rtl w:val="true"/>
        </w:rPr>
        <w:footnoteReference w:id="747"/>
      </w:r>
      <w:r>
        <w:rPr>
          <w:rFonts w:ascii="Amiri" w:hAnsi="Amiri" w:eastAsia="Amiri" w:cs="Amiri"/>
          <w:color w:val="111111"/>
          <w:sz w:val="28"/>
          <w:sz w:val="28"/>
          <w:szCs w:val="28"/>
          <w:rtl w:val="true"/>
          <w:lang w:bidi="ar-SA"/>
        </w:rPr>
        <w:t>الواردة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أبي عبد اللّه</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في المحاسن عن أبيه</w:t>
      </w:r>
      <w:r>
        <w:rPr>
          <w:rStyle w:val="FootnoteAnchor"/>
          <w:rtl w:val="true"/>
        </w:rPr>
        <w:footnoteReference w:id="749"/>
      </w:r>
      <w:r>
        <w:rPr>
          <w:rFonts w:ascii="Amiri" w:hAnsi="Amiri" w:eastAsia="Amiri" w:cs="Amiri"/>
          <w:color w:val="111111"/>
          <w:sz w:val="28"/>
          <w:sz w:val="28"/>
          <w:szCs w:val="28"/>
          <w:rtl w:val="true"/>
          <w:lang w:bidi="ar-SA"/>
        </w:rPr>
        <w:t>، عن صفوان بن يحيى</w:t>
      </w:r>
      <w:r>
        <w:rPr>
          <w:rStyle w:val="FootnoteAnchor"/>
          <w:rtl w:val="true"/>
        </w:rPr>
        <w:footnoteReference w:id="750"/>
      </w:r>
      <w:r>
        <w:rPr>
          <w:rFonts w:ascii="Amiri" w:hAnsi="Amiri" w:eastAsia="Amiri" w:cs="Amiri"/>
          <w:color w:val="111111"/>
          <w:sz w:val="28"/>
          <w:sz w:val="28"/>
          <w:szCs w:val="28"/>
          <w:rtl w:val="true"/>
          <w:lang w:bidi="ar-SA"/>
        </w:rPr>
        <w:t>وأحمد بن محمد بن أبي نصر</w:t>
      </w:r>
      <w:r>
        <w:rPr>
          <w:rStyle w:val="FootnoteAnchor"/>
          <w:rtl w:val="true"/>
        </w:rPr>
        <w:footnoteReference w:id="751"/>
      </w:r>
      <w:r>
        <w:rPr>
          <w:rFonts w:ascii="IRNazanin" w:hAnsi="IRNazanin" w:eastAsia="IRNazanin"/>
          <w:color w:val="111111"/>
          <w:sz w:val="28"/>
          <w:sz w:val="28"/>
          <w:szCs w:val="28"/>
          <w:rtl w:val="true"/>
          <w:lang w:bidi="fa-IR"/>
        </w:rPr>
        <w:t>جميعاً،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يستكره على اليمين فيحلف بالطلاق والعتاق وصدقة ما يملك، أيلزمه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عن أمتي ما أكرهوا عليه وما لم يطيقوا وما أخطأوا</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أنّ الإمام نفى ترتب الحكم الوضعي، وهو نفوذ الطلاق وصحته بسبب الإكراه، فليس المرفوع صرف المؤاخذة، بل الحكم الوضعي أيضاً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واليمين باطل حتى في حال الاختيار، فلو حلف بالطلاق والعتاق وصدقة ما يملك اختياراً فهو باطل، لعدم صحة التعليق فيه، بل هو طلاق العامة، وعليه يكون الاستدلال إقناعياً لا برهانياً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أجاب به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الإشكال الوارد على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المذكورة في كتاب الصوم في مبحث نفوذ حكم </w:t>
      </w:r>
    </w:p>
    <w:p>
      <w:pPr>
        <w:pStyle w:val="BookText"/>
        <w:rPr/>
      </w:pPr>
      <w:r>
        <w:rPr>
          <w:rFonts w:ascii="Amiri" w:hAnsi="Amiri" w:eastAsia="Amiri" w:cs="Amiri"/>
          <w:color w:val="111111"/>
          <w:sz w:val="28"/>
          <w:sz w:val="28"/>
          <w:szCs w:val="28"/>
          <w:rtl w:val="true"/>
          <w:lang w:bidi="ar-SA"/>
        </w:rPr>
        <w:t>الحاكم في باب الهلال، حيث أشكل بأن الحكم صدر للتقية، فلا يصلح لإثبات نفوذ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التقية في الصغرى لا في الكبرى، فإنّ الكبرى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أمر الهلال بيد الإمام، والصغرى هي أنّ الأمر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بعدم الدليل، فإنّ الضرورات تقدر بقدرها، وفي المقام الضرورة والتقية واختلال الجهة في التطبيق، وهو القدر المتيقن، ولا ضرورة لحمل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الجهة قاضية بأنّ ما صدر عن الإمام إنما هو لبيان الحكم الواقعي صغرى وكبرى، يخرج عنها الصغرى، فتبقى الكبرى محكومة بأصالة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تطبيق ذلك على المقام أيضاً، فإن حديث الرفع يحتوي على كبرى، هي رفع الأحكام الوضعية، وقد طبق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على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بالطلاق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يعلم من الخارج أن التطبيق إقناعي تبقى الكبرى، والأصل فيها أن تكون برهانية لا جدلية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حديث الوضع الثلاثي لا في حديث الرفع للعناوين التسعة، ثم قال فتأمل</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إشارة إلى أنّ مساق حديث الرفع والوضع متحد، فلو كان حديث الوضع ظاهراً في رفع الأحكام الوضعية، فحديث الرفع أيضاً ظاهر في رفع الأحكام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وقد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الحقيقي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مكوناً،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مشرعاً في عالم التشريع، وظاهر الوضع والرفع في كلمات الشارع الوضع والرفع بلحاظ الحيثية الثانية لا الأولى، ومع تمامية هذه الكبرى الكلية يتم الإشكال؛ لكون المؤاخذة فعل المولى بما هو مكون لا بما هو 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المولى في حديث الرفع في مقام التشريع لا التكوين، والمؤاخذة من الأمور التكوينية لا من الآثار الشرعية للفعل، واستحقاق المؤاخذة على الفعل أو الترك من الآثار العقلية، وأحكامه التي لا تقبل الوضع ولا الرفع لا تكويناً ولا تشريعاً، فمن خالف المولى استحق العقاب عقلاً، ولا يمكن رفع الاستحقاق لا تكويناً ولا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المؤاخذة تقبل الوضع والرفع تكويناً لا تشريعاً، واستحقاق المؤاخذة لا يقبل الرفع ولا الوضع لا تكويناً ولا تشريعاً،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المؤاخذة أو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بورود نظيره في القرآن الكريم،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وَلَكِن يُؤَاخِذُكُم بِمَا كَسَبَتْ قُلُوبُكُمْ</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في رفع المؤاخذة ووضعها، فوزانه وزانها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حيث نسلم أنّ المؤاخذة من الأمور التكوينية، لكنه مترتب على التكليف، وهو أمر اعتباري قابل للوضع والرفع شرعاً، فيكون ذلك الأمر التكويني المترتب عليه قابلاً للوضع والرفع شرعاً أيضاً، غاية الأمر أنّ الوضع والرفع في الأمر الاعتباري يتم بلا واسطة، في الأمر التكويني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رفع المؤاخذة أجنبياً عن الشارع بما هو شارع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لا يناسب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ما يفيد هذا المعنى،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المؤاخذة ليس بعنوان التعبد برفعها حتى لا يعقل التعبد بها نفياً أو إثباتاً، بل بعنوان تحقيق موضوعها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فمآل رفع المؤاخذة إلى رفع موضوعها وهو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جار في استحقاق العقوبة، فإنّ استحقاقها لا يقبل الرفع والوضع لا تكويناً ولا تشريعاً، كزوجية الأربعة، إلاّ أنّها قابلة للرفع والوضع عبر منشئها وهو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المؤاخذة من توابع التكليف، لكنها ليست من توابع مطلق التكليف، بل من توابع التكليف الواصل إلى مرحلة التنجّز، والواقع المجهول لم يبلغ مرحلة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فليست المؤاخذة من آثار الواقع المجهول حتى ترفع برفعه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المؤاخذة التي هي أثر التكليف الواقعي المجهول برفع التكليف أجنبي عن المقام، فإن التكليف الواقعي المجهول ليس له هذا الأثر حتى يرفع برفع موضوعه ومنشئه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الواقعي المجهول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الواقعي المجهول الذي لم يصل إلى المكلف لا بنفسه ولا بطريقه، وهو مما لا أثر له ولا تترتب عليه المؤاخذة حتى ترفع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الواقعي المجهول الذي وصل بطريقه وإن لم يصل بنفسه، كما في الثلاثة الخطيرة الدماء والأعراض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رأى المكلف شبحاً من بعيد شك أنه إنسان محقون الدم أو حيوان مهدور الدم، فالحرمة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تصل بنفسها، ولكن وصلت بطريقها، وهو إيجاب الاحتياط في النفوس، لذلك لو خالف حَقَّ للمولى أن يعاقبه؛ لأن المؤاخذة من آثار التكليف الواقعي المجهول الواصل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الممكن أن يأمر المولى بالاحتياط في جميع التكاليف المجهولة في الشبهات الموضوعية والحكمية، فعدم إيجاب الاحتياط رفع لهذا الأثر، وهو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 برفع المؤاخذة على التكليف المجهول برفع الحكم الواقعي ظاهراً، أو برفع وجوب الاحتياط واقعاً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أثر وجوب الاحتياط، فإذا رفع الشارع وجوب الاحتياط، أو رفع التكليف الواقعي في مرحلة الظاهر فأثر هذا الرفع الاعتباري رفع الأمر التكويني وهو المؤاخذة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 خصوص المؤاخذة خلاف إطلاق حديث الرفع، حيث إنّ مقتضى إطلاقه رفع جميع آثار العناوين التسعة لا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أنه لو كان المقدر خصوص المؤاخذة يشكل الأمر في مجموعة من العناوين المذكورة، وذلك لاستقلال العقل بقبح المؤاخذة عليها، فإن المستقلات العقلية في التحسين والتقبيح وحكم العقل بالمؤاخذة عليها لا تختص بأمة ولا بظرف، وهو ينافي ظاهر حديث الرفع من اختصاصه بهذه الأمة، فلا بد من القول بكون المقدر جميع الآثار، ولا قبح في اختصاص رفع تمام الآثار بهذه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Style w:val="FootnoteAnchor"/>
          <w:rtl w:val="true"/>
        </w:rPr>
        <w:footnoteReference w:id="758"/>
      </w:r>
      <w:r>
        <w:rPr>
          <w:rFonts w:ascii="Amiri" w:hAnsi="Amiri" w:eastAsia="Amiri" w:cs="Amiri"/>
          <w:color w:val="111111"/>
          <w:sz w:val="28"/>
          <w:sz w:val="28"/>
          <w:szCs w:val="28"/>
          <w:rtl w:val="true"/>
          <w:lang w:bidi="ar-SA"/>
        </w:rPr>
        <w:t>وجهاً آخر للإشكال،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بالقبح كما ينافي الاختصاص بهذه الأمة ينافي الامتنان أيضاً، فظاهر الحديث أنه مسوق للامتنان، ولا معنى للامتنان برفع ما يستقل العقل بقبحه،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 عليك بعدم إيجاب جمع النقيضين، بل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w:t>
      </w:r>
      <w:r>
        <w:rPr>
          <w:rStyle w:val="FootnoteAnchor"/>
          <w:rtl w:val="true"/>
        </w:rPr>
        <w:footnoteReference w:id="759"/>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المذكور يرد في الكتاب العزيز أيضاً، وقد صرح فيه برفع المؤاخذة،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إِن نَّسِينَا أَوْ أَخْطَأْنَا </w:t>
      </w:r>
    </w:p>
    <w:p>
      <w:pPr>
        <w:pStyle w:val="BookText"/>
        <w:rPr/>
      </w:pP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المحال والقبيح العقلي لا معنى لاستيهابه من اللّه تعالى، ولا معنى لهبته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حلاً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يحسم مادة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قبح المؤاخذة على هذه الأمور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ما لا يعلم التزامه 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الفقهاء</w:t>
      </w:r>
      <w:r>
        <w:rPr>
          <w:rStyle w:val="FootnoteAnchor"/>
          <w:rtl w:val="true"/>
        </w:rPr>
        <w:footnoteReference w:id="761"/>
      </w:r>
      <w:r>
        <w:rPr>
          <w:rFonts w:ascii="Amiri" w:hAnsi="Amiri" w:eastAsia="Amiri" w:cs="Amiri"/>
          <w:color w:val="111111"/>
          <w:sz w:val="28"/>
          <w:sz w:val="28"/>
          <w:szCs w:val="28"/>
          <w:rtl w:val="true"/>
          <w:lang w:bidi="ar-SA"/>
        </w:rPr>
        <w:t xml:space="preserve">في مباحث الوضوء ومكان ولباس المصلي بحثاً في حكم صلاة من نسي، أو جهل الغصبية وتوضأ به أو صلّى فيه، فقد أفتى البعض بالصحة بقول مطلق، بينما فصّل آخرون بين كون الجهل والنسيان عذرياً فتصح، وبين عدمه كمن نسي أو جهل بتقصير منه في المقدمات كالغاصب الذي لا يبالي، فنسي بمرور الزمن وصلّى فيه، فقد أشكل البعض في صحة صلاته، كالسيد الحكيم والسيد عبد الهادي الشيرازي والسيد البروجردي والسيد الوالد رحمهم اللّه، وذكر في شرح العروة </w:t>
      </w:r>
      <w:r>
        <w:rPr>
          <w:rStyle w:val="FootnoteAnchor"/>
          <w:rtl w:val="true"/>
        </w:rPr>
        <w:footnoteReference w:id="762"/>
      </w:r>
      <w:r>
        <w:rPr>
          <w:rFonts w:ascii="Amiri" w:hAnsi="Amiri" w:eastAsia="Amiri" w:cs="Amiri"/>
          <w:color w:val="111111"/>
          <w:sz w:val="28"/>
          <w:sz w:val="28"/>
          <w:szCs w:val="28"/>
          <w:rtl w:val="true"/>
          <w:lang w:bidi="ar-SA"/>
        </w:rPr>
        <w:t>أنّ حديث الرفع لا يشمل الخطأ والنسيان مع التقصير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نتساءل من الشيخ الأعظم، هل المرفوع الخطأ والجهل والنسيان العذري أو مطلقاً؟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العذري،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 بهذه الأمة؛ لأنّ الخطأ </w:t>
      </w:r>
    </w:p>
    <w:p>
      <w:pPr>
        <w:pStyle w:val="BookText"/>
        <w:rPr/>
      </w:pPr>
      <w:r>
        <w:rPr>
          <w:rFonts w:ascii="Amiri" w:hAnsi="Amiri" w:eastAsia="Amiri" w:cs="Amiri"/>
          <w:color w:val="111111"/>
          <w:sz w:val="28"/>
          <w:sz w:val="28"/>
          <w:szCs w:val="28"/>
          <w:rtl w:val="true"/>
          <w:lang w:bidi="ar-SA"/>
        </w:rPr>
        <w:t>العذري تقبح المؤاخذة عليه عقلاً، فلا اختصاص للرفع بهذه الأمة، ولا منةّ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رفع المؤاخذة على الخطأ مطلقاً، إن كان عن تقصير، وإن كان الناسي هو الغاصب غير المبالي، فهو خلاف المبنى الفقهي عند جمع من الفقهاء، فهل الشيخ يلتزم بهذا اللازم،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قبح المؤاخذة على الخطأ بقول مطلق ونسلم الاختصاص</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المتعلق المقدر المحذوف هو الأثر الظاهر،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الظاهر للوسوسة في الخلق هو الحكم بالكفر، لكنه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الظاهر للطيرة هو الحكم بعدم المضي</w:t>
      </w:r>
      <w:r>
        <w:rPr>
          <w:rStyle w:val="FootnoteAnchor"/>
          <w:rtl w:val="true"/>
        </w:rPr>
        <w:footnoteReference w:id="764"/>
      </w:r>
      <w:r>
        <w:rPr>
          <w:rFonts w:ascii="Amiri" w:hAnsi="Amiri" w:eastAsia="Amiri" w:cs="Amiri"/>
          <w:color w:val="111111"/>
          <w:sz w:val="28"/>
          <w:sz w:val="28"/>
          <w:szCs w:val="28"/>
          <w:rtl w:val="true"/>
          <w:lang w:bidi="ar-SA"/>
        </w:rPr>
        <w:t>وهو مرفوع، فلا حكم شرعي تأسيسي أو إمضائي بعدم المضي، والأثر الظاهر للطلاق تحقق البينونة، فهو مرفوع مع كونه إكراهياً، والأثر الظاهر لشرب الخمر وجوب الحد، فيرتفع مع الاضطرار، والأثر الظاهر لارتكاب المحرم الحرمة، ومع الجهل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فنلاحظ في كل واحد من العناوين التسعة أثره الظاهر، وهو يرتفع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عدة إشكالات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765"/>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في حديث </w:t>
      </w:r>
    </w:p>
    <w:p>
      <w:pPr>
        <w:pStyle w:val="BookText"/>
        <w:rPr/>
      </w:pPr>
      <w:r>
        <w:rPr>
          <w:rFonts w:ascii="Amiri" w:hAnsi="Amiri" w:eastAsia="Amiri" w:cs="Amiri"/>
          <w:color w:val="111111"/>
          <w:sz w:val="28"/>
          <w:sz w:val="28"/>
          <w:szCs w:val="28"/>
          <w:rtl w:val="true"/>
          <w:lang w:bidi="ar-SA"/>
        </w:rPr>
        <w:t>الرفع متعلق بذات العناوين التسعة، سواء أكان التعلق على وجه الحقيقة أم المجاز، فلو رتب أثر على هذه العناوين دون أثر آخر لم يصح القول بعدم وجود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الذات سواء أكان نفياً حقيقياً أم نفياً ادعائياً أنما يتم لو كانت جميع الآثار مرفوعة، لكن لو كان بعض الآثار مرفوعاً دون البعض الآخر لم يصح نسبة الرفع إلى الذات، فمآله في الواقع إلى التناقض ؛ لعدم ثبوت الذات لرفع الأثر الأول، وثبوت الذات لثبوت الأثر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فالمناسب لنفي الذات نفي تمام الآثار، وإلاّ لزم التناقض في نفي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الملاك في تعيين المعنى المجازي مع تعذر المعنى الحقيقي الأقربية الاعتبارية، وإنما الملاك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استعرنا كلمة الأسد للرجل الشجاع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أسد شاك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نفس الإشكال،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عنوان الأسد على الرجل الشجاع أنما هو بلاحظ جميع الآثار؛ لأنّ ثبوت الذات يلازم ثبوت جميعها، والقول بكونه بلحاظ الشجاعة يؤول إلى التناقض، حيث إنه إثبات للذات بلحاظ بعض آثار الأسد، ونفي للذات بلحاظ بعض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 جميع الآثار أقرب إلى ثبوت العنوان، لكنها أقربية اعتبارية، وفي باب الظهورات لا عبرة بالأقربية الاعتبارية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باب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كالبحر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يحمل على الأثر الظاهر، وهو الشجاعة والسعة، فما يقال في باب الإثبات في التشبيه </w:t>
      </w:r>
      <w:bookmarkStart w:id="266" w:name="pg15601_166911"/>
    </w:p>
    <w:p>
      <w:pPr>
        <w:pStyle w:val="BookText"/>
        <w:rPr/>
      </w:pPr>
      <w:bookmarkEnd w:id="266"/>
      <w:r>
        <w:rPr>
          <w:rFonts w:ascii="Amiri" w:hAnsi="Amiri" w:eastAsia="Amiri" w:cs="Amiri"/>
          <w:color w:val="111111"/>
          <w:sz w:val="28"/>
          <w:sz w:val="28"/>
          <w:szCs w:val="28"/>
          <w:rtl w:val="true"/>
          <w:lang w:bidi="ar-SA"/>
        </w:rPr>
        <w:t>والاستعارة نقوله في باب النفي والرفع، فإنه وإن كان رفع جميع الآثار أقرب إلى رفع الذات ادعاءً، لكنه لا يعيّن أنّ المقصود رفع تمام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من أنه خلاف الامتنان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غير واضح، فإنه وإن كان رفع جميع الآثار أقرب إلى الامتنان، لكن في تحقق الامتنان يكفي أن يكون في الجملة، ولا يلزم أن يكون بالجملة، فللمولى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أرفع الأثر الظاهر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صحيحة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أيضاً، لأنّ الرفع فيها رفع للأثر الظاهر، وهو البينونة في الحلف بالطلاق، ولم يرفع فيها تمام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الرفع بالأثر الظاهر خلاف الظاهر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تمام الآثار الوضعية والتكليفية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البحث الثاني</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0000225_2142443653"/>
      <w:bookmarkStart w:id="268" w:name="_Toc100"/>
      <w:bookmarkEnd w:id="267"/>
      <w:r>
        <w:rPr/>
        <w:t>3</w:t>
      </w:r>
      <w:r>
        <w:rPr>
          <w:rtl w:val="true"/>
        </w:rPr>
        <w:t xml:space="preserve">) </w:t>
      </w:r>
      <w:r>
        <w:rPr>
          <w:rtl w:val="true"/>
        </w:rPr>
        <w:t>الأحكام المترتبة على حديث الرفع</w:t>
      </w:r>
      <w:bookmarkEnd w:id="268"/>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والآثار المترتبة على الموضوعات بلحاظ العناوين التسعة الواردة في حديث الرفع على ثلاثة أنوع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هذه العناوين بما هي هي،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خطأً فعليه الدية، فوجوب الدية مترتب على نفس عنوان الخطأ، أي ما لوحظت فيه بشرط شيء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التشهد فعليه سجدتا السهو، فوجوب السجدتين </w:t>
      </w:r>
    </w:p>
    <w:p>
      <w:pPr>
        <w:pStyle w:val="BookText"/>
        <w:rPr/>
      </w:pPr>
      <w:r>
        <w:rPr>
          <w:rFonts w:ascii="Amiri" w:hAnsi="Amiri" w:eastAsia="Amiri" w:cs="Amiri"/>
          <w:color w:val="111111"/>
          <w:sz w:val="28"/>
          <w:sz w:val="28"/>
          <w:szCs w:val="28"/>
          <w:rtl w:val="true"/>
          <w:lang w:bidi="ar-SA"/>
        </w:rPr>
        <w:t>مترتب على نفس عنوان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عدم العناوين التسعة،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الإفطار فعليه الكفارة، فوجوب الكفارة مترتب على نقيض الخطأ وضده، أي ما لوحظت فيه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الأشياء لا بشرط الخطأ ولا بشرط العمد، كمن شرب الخمر يجلد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حديث الرفع لا يشمل النوع الثاني؛ لأن الأثر مرفوع بذاته،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تعمد الإفطار فعليه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أفطر خطأ، فالأثر مرتفع بارتفاع موضوعه، ولا حاجة إلى رفع حديث الرفع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النوع الثالث، فلو رتب أثر على ذات شيء بما هوهو بعنوان اللابشرط، فإنّ ظاهر الترتب الترتبُ على نحو الإطلاق، فحديث الرفع يرفع الأثر في حالة الجهل والخطأ، فمن شرب الخمر يجلد، فلو كان مضطراً رفع حديث الرفع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وقع البحث والنقض والإبرام بين الأعلام في بيان السبب في عدم رفع حديث الرفع للآثار المرتبة على العناوين التسعة في النوع الأول،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خطأ محضاً فالدية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التشهد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يمكن أن تذكر تقريرات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Style w:val="FootnoteAnchor"/>
          <w:rtl w:val="true"/>
        </w:rPr>
        <w:footnoteReference w:id="767"/>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رفع الآثار </w:t>
      </w:r>
    </w:p>
    <w:p>
      <w:pPr>
        <w:pStyle w:val="BookText"/>
        <w:rPr/>
      </w:pPr>
      <w:r>
        <w:rPr>
          <w:rFonts w:ascii="Amiri" w:hAnsi="Amiri" w:eastAsia="Amiri" w:cs="Amiri"/>
          <w:color w:val="111111"/>
          <w:sz w:val="28"/>
          <w:sz w:val="28"/>
          <w:szCs w:val="28"/>
          <w:rtl w:val="true"/>
          <w:lang w:bidi="ar-SA"/>
        </w:rPr>
        <w:t>المترتبة على هذه العنوانات من حيث هي؛ إذ لا يعقل رفع الآثار الشرعية المترتبة على الخطأ والسهو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عدم المعقولية، لكنه لم يذكر وجهاً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على ما ذكره بأنّ هنالك فرقاً بين عدم المعقولية في نفس الأمر وعدم الوقوع في الخارج، فإنّ مرجع عدم المعقولية وجود المحذور الثبوتي في نفس الأمر، ولم يظهر لنا ذلك في رفع آثار الخطأ والنسيان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بالرفع إزالة الأمر الثابت أو الحيلولة دون تأثير المقتضي في مقتضاه؟</w:t>
      </w:r>
    </w:p>
    <w:p>
      <w:pPr>
        <w:pStyle w:val="BookText"/>
        <w:rPr/>
      </w:pPr>
      <w:r>
        <w:rPr>
          <w:rFonts w:ascii="Amiri" w:hAnsi="Amiri" w:eastAsia="Amiri" w:cs="Amiri"/>
          <w:color w:val="111111"/>
          <w:sz w:val="28"/>
          <w:sz w:val="28"/>
          <w:szCs w:val="28"/>
          <w:rtl w:val="true"/>
          <w:lang w:bidi="ar-SA"/>
        </w:rPr>
        <w:t>فإن كان المراد الأول فما هو المانع من رفع المولى الأثر الثابت لموضوع للامتنان على الأمة، كما في آية النجوى</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كان المراد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ومآله إلى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تحقق المقتضي لا يدع المولى مجالاً لتأثيره في مقتضاه لاقتضاء مانع أقوى،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فإنّ المقتضي للوجوب موجود، لكن دفع الحكم لوجود مانع أقوى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الثاني ما ذكره في الكفاية</w:t>
      </w:r>
      <w:r>
        <w:rPr>
          <w:rStyle w:val="FootnoteAnchor"/>
          <w:rtl w:val="true"/>
        </w:rPr>
        <w:footnoteReference w:id="770"/>
      </w:r>
      <w:r>
        <w:rPr>
          <w:rFonts w:ascii="Amiri" w:hAnsi="Amiri" w:eastAsia="Amiri" w:cs="Amiri"/>
          <w:color w:val="111111"/>
          <w:sz w:val="28"/>
          <w:sz w:val="28"/>
          <w:szCs w:val="28"/>
          <w:rtl w:val="true"/>
          <w:lang w:bidi="ar-SA"/>
        </w:rPr>
        <w:t xml:space="preserve">، من أنَّ المرفوع فيما اضطر إليه وغيره مما أخذ بعنوانه الثانوي إنما هو الآثار المترتبة عليه بعنوانه الأولي، </w:t>
      </w:r>
    </w:p>
    <w:p>
      <w:pPr>
        <w:pStyle w:val="BookText"/>
        <w:rPr/>
      </w:pPr>
      <w:r>
        <w:rPr>
          <w:rFonts w:ascii="Amiri" w:hAnsi="Amiri" w:eastAsia="Amiri" w:cs="Amiri"/>
          <w:color w:val="111111"/>
          <w:sz w:val="28"/>
          <w:sz w:val="28"/>
          <w:szCs w:val="28"/>
          <w:rtl w:val="true"/>
          <w:lang w:bidi="ar-SA"/>
        </w:rPr>
        <w:t>ضرورة أنّ الظاهر أنّ هذه العناوين صارت موجبة للرفع، والموضوع للأثر مستدع لوضعه، فكيف يكون موجباً لرفعه؟</w:t>
      </w:r>
    </w:p>
    <w:p>
      <w:pPr>
        <w:pStyle w:val="BookText"/>
        <w:rPr/>
      </w:pPr>
      <w:r>
        <w:rPr>
          <w:rFonts w:ascii="Amiri" w:hAnsi="Amiri" w:eastAsia="Amiri" w:cs="Amiri"/>
          <w:color w:val="111111"/>
          <w:sz w:val="28"/>
          <w:sz w:val="28"/>
          <w:szCs w:val="28"/>
          <w:rtl w:val="true"/>
          <w:lang w:bidi="ar-SA"/>
        </w:rPr>
        <w:t>وورد في التهذيب</w:t>
      </w:r>
      <w:r>
        <w:rPr>
          <w:rStyle w:val="FootnoteAnchor"/>
          <w:rtl w:val="true"/>
        </w:rPr>
        <w:footnoteReference w:id="771"/>
      </w:r>
      <w:r>
        <w:rPr>
          <w:rFonts w:ascii="IRNazanin" w:hAnsi="IRNazanin" w:eastAsia="IRNazanin"/>
          <w:color w:val="111111"/>
          <w:sz w:val="28"/>
          <w:sz w:val="28"/>
          <w:szCs w:val="28"/>
          <w:rtl w:val="true"/>
          <w:lang w:bidi="fa-IR"/>
        </w:rPr>
        <w:t>والمصباح</w:t>
      </w:r>
      <w:r>
        <w:rPr>
          <w:rStyle w:val="FootnoteAnchor"/>
          <w:rtl w:val="true"/>
        </w:rPr>
        <w:footnoteReference w:id="772"/>
      </w:r>
      <w:r>
        <w:rPr>
          <w:rFonts w:ascii="Amiri" w:hAnsi="Amiri" w:eastAsia="Amiri" w:cs="Amiri"/>
          <w:color w:val="111111"/>
          <w:sz w:val="28"/>
          <w:sz w:val="28"/>
          <w:szCs w:val="28"/>
          <w:rtl w:val="true"/>
          <w:lang w:bidi="ar-SA"/>
        </w:rPr>
        <w:t>بنفس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المرفوعة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 حديث الرفع بعنوانه الأولي،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الوسوسة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 حديث الرفع بما له من العنوان الثانوي،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فالعنوان الأولي الذاتي لفعل شرب التتن خارجاً هو شرب التتن، والعنوان الثانوي الطارئ له أنه شرب لما لم يعلم أو شرب لما اضطر إليه، والفرق بينهما عند صاحب الكفاية هو أنّ المرفوع في النوع الأول هو آثار نفس الفعل، أي ارتفاع الآثار الثابتة للحسد في الشريعة بحديث الرفع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أخذ في حديث الرفع بعنوانه الثانوي لا يمكن أن يرفع ما ترتب على الشيء بما له من العنوان الثانوي، بل يرفع الآثار المترتبة على الشيء بما له من العنوان الأولي، فللإفطار في شهر رمضان أثر، لكن لو وقع خطأً رفع الأثر بحديث الرفع، أما الأثر المرتب على العنوان الثانوي الطارئ، كتحمل العاقلة للخطأ في القتل فحديث الرفع لا يمكنه أن يرفع هذه الآثار؛ لأن العناوين الطارئة مقتضية لثبوت هذه الآثار، فكيف تكون مقتضية لرفع </w:t>
      </w:r>
    </w:p>
    <w:p>
      <w:pPr>
        <w:pStyle w:val="BookText"/>
        <w:rPr/>
      </w:pPr>
      <w:r>
        <w:rPr>
          <w:rFonts w:ascii="IRNazanin" w:hAnsi="IRNazanin" w:eastAsia="IRNazanin"/>
          <w:color w:val="111111"/>
          <w:sz w:val="28"/>
          <w:sz w:val="28"/>
          <w:szCs w:val="28"/>
          <w:rtl w:val="true"/>
          <w:lang w:bidi="fa-IR"/>
        </w:rPr>
        <w:t>هذه الآثار؟</w:t>
      </w:r>
    </w:p>
    <w:p>
      <w:pPr>
        <w:pStyle w:val="BookText"/>
        <w:rPr/>
      </w:pPr>
      <w:r>
        <w:rPr>
          <w:rFonts w:ascii="Amiri" w:hAnsi="Amiri" w:eastAsia="Amiri" w:cs="Amiri"/>
          <w:color w:val="111111"/>
          <w:sz w:val="28"/>
          <w:sz w:val="28"/>
          <w:szCs w:val="28"/>
          <w:rtl w:val="true"/>
          <w:lang w:bidi="ar-SA"/>
        </w:rPr>
        <w:t>ويرد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يكون الموضوع مقتضياً للأثر، ولكن يرفع الأثر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يقتضي أثراً لا يعقل أن يقتضي رفعه؟ فمن الممكن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رفع أثر كيف يكون مقتضياً لوضعه؟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كونه خطأ يقتضي رفعه، فكيف يكون الخطأ مقتضياً لوضعه؟</w:t>
      </w:r>
    </w:p>
    <w:p>
      <w:pPr>
        <w:pStyle w:val="BookText"/>
        <w:rPr/>
      </w:pPr>
      <w:r>
        <w:rPr>
          <w:rFonts w:ascii="Amiri" w:hAnsi="Amiri" w:eastAsia="Amiri" w:cs="Amiri"/>
          <w:color w:val="111111"/>
          <w:sz w:val="28"/>
          <w:sz w:val="28"/>
          <w:szCs w:val="28"/>
          <w:rtl w:val="true"/>
          <w:lang w:bidi="ar-SA"/>
        </w:rPr>
        <w:t>ويتعارض الدليلان، فإنّ أحد الدليلين يقتضي إثبات الوضع، والدليل الآخر يقتضي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بالتخصيص، فإنّ النسبة فيما بين الدليلين نسبة العموم والخصوص المطلق، فحديث الرفع يشمل الإفطار الخطئي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يؤخذ الخطأ في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الخطئي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الخطأ في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يشمل ما كان الموضوع فيه لا بشرط، وما كان الموضوع فيه مأخوذاً بشرط شيء، ودليل الخطأ أخص من حديث الرفع، فيكون مقيداً لإطلاقه أو مخصصاً لعمومه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مرجحات تقديم أحد المتعارضين على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قدم أحدهما بقي للآخر مورد، ولو قدم الآخر لم يبق مورد للأول، كما في تعارض الاستصحاب مع قاعدة الفراغ</w:t>
      </w:r>
      <w:r>
        <w:rPr>
          <w:rStyle w:val="FootnoteAnchor"/>
          <w:rtl w:val="true"/>
        </w:rPr>
        <w:footnoteReference w:id="773"/>
      </w:r>
      <w:r>
        <w:rPr>
          <w:rFonts w:ascii="Amiri" w:hAnsi="Amiri" w:eastAsia="Amiri" w:cs="Amiri"/>
          <w:color w:val="111111"/>
          <w:sz w:val="28"/>
          <w:sz w:val="28"/>
          <w:szCs w:val="28"/>
          <w:rtl w:val="true"/>
          <w:lang w:bidi="ar-SA"/>
        </w:rPr>
        <w:t>، فتتقدم الثانية على الأول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أصل عملي وكان الأول أمارة، فإنّ الأصل مقدم على الأمارة؛ </w:t>
      </w:r>
    </w:p>
    <w:p>
      <w:pPr>
        <w:pStyle w:val="BookText"/>
        <w:rPr/>
      </w:pPr>
      <w:r>
        <w:rPr>
          <w:rFonts w:ascii="Amiri" w:hAnsi="Amiri" w:eastAsia="Amiri" w:cs="Amiri"/>
          <w:color w:val="111111"/>
          <w:sz w:val="28"/>
          <w:sz w:val="28"/>
          <w:szCs w:val="28"/>
          <w:rtl w:val="true"/>
          <w:lang w:bidi="ar-SA"/>
        </w:rPr>
        <w:t>لأننا لو قدمنا دليل الاستصحاب لم يبق مورد لقاعدة التجاوز أو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كذلك في المقام، فلو ألغينا آثار الخطأ والنسيان بحديث الرفع لكانت جميع الأدلة المتكلفة لهذه الآثار لغواً، وأما العكس فلا يكون حديث الرفع لغواً؛ لبقاء موارد له، وهي الآثار التي رتبت على الفعل لا بشرط، كمن أفطر في شهر رمضان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التقريرين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في النهاية كلاماً يمكن أن يكون إشكالاً على التقريرين الأخيرين من دون التعرض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أخذ عنوان في الموضوع كونه عنواناً ومقتضياً له حقيقة، فمعنى رفع حكم الخطأ رفع حكمه بما هو خطأ، لا رفع حكم ذات ما أخطأ عنه، فيكون معارضاً للدليل المتكفل لحكم الخطأ بما هو</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 الخطأ موضوع، ومفاد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حكم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أخذ عنوان في موضوع دليل هو أنّ هذا العنوان بما أنه عنوان دخيل في الموضوع، وأنّه بما هو هو مقتض لذلك الأثر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الخطأ حكمه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المترتب على نفس عنوان الخطأ، وليس معناه رفع أثر الفعل الذي أخطأ فيه، وبناء عليه يكون حديث الرفع مبايناً للأدلة المتضمنة لأحكام الخطأ، فحديث الرفع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الخطأ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القتل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الخطأ في القتل وجوب تكفل العاقلة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فالدليلان متعارضان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تم كلامه لكان الجواب الثالث والرابع محل إشكال ؛ لأنّ النسبة هي التباين الكلي لا العموم والخصوص المطلق، ولأن إعمال كل واحد من الدليلين موجب لإلغاء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تام بالدقة العقلية، لكن النظرة العرفية قاضية بشمول رفع الخطأ للآثار المترتبة على ذات الخطأ، والآثار المترتبة على الفعل الذي أخطأ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باللحاظ الموضوعي، فيكون المنظور إليه ذات النسيان، كالحكم المترتب على نسيان التشهد، وقد يلاحظ الخطأ عنواناً للفعل الخارجي، كما لو أشرت إلى فعل الإفطار الموضوع للأثر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أخطأت، فهذا الخطأ ليس موضوعاً للأثر، بل هو عنوان منتزع عن موضوع الأثر، فقول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رفع عن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الخطأ كالعدم، وهذا المعنى شامل للخطأ الذي لوحظ موضوعاً، والخطأ الذي لوحظ عنواناً للفعل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فحديث رفع الخطأ عام للفردين، والأدلة التي رتبت آثاراً على عنوان الخطأ تشمل أحد الفردين، فتكون مخصصة 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المنتقى،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نقطع بصدور الأحكام الثابتة لهذه العناوين بما هي، كما نقطع بثبوت ما هو مفاد حديث الرفع من رفع الاضطرار ونحوه، ومقتضى ذلك هو حمل الحديث على كون نظره إلى الأحكام الثابتة للأشياء بعناوينها الأولية؛ لأنّ حمله على رفع الأحكام </w:t>
      </w:r>
    </w:p>
    <w:p>
      <w:pPr>
        <w:pStyle w:val="BookText"/>
        <w:rPr/>
      </w:pPr>
      <w:r>
        <w:rPr>
          <w:rFonts w:ascii="Amiri" w:hAnsi="Amiri" w:eastAsia="Amiri" w:cs="Amiri"/>
          <w:color w:val="111111"/>
          <w:sz w:val="28"/>
          <w:sz w:val="28"/>
          <w:szCs w:val="28"/>
          <w:rtl w:val="true"/>
          <w:lang w:bidi="ar-SA"/>
        </w:rPr>
        <w:t>الثابتة للأشياء بهذه العناوين يستلزم إما رفع اليد عنه</w:t>
      </w:r>
      <w:r>
        <w:rPr>
          <w:rStyle w:val="FootnoteAnchor"/>
          <w:rtl w:val="true"/>
        </w:rPr>
        <w:footnoteReference w:id="775"/>
      </w:r>
      <w:r>
        <w:rPr>
          <w:rFonts w:ascii="Amiri" w:hAnsi="Amiri" w:eastAsia="Amiri" w:cs="Amiri"/>
          <w:color w:val="111111"/>
          <w:sz w:val="28"/>
          <w:sz w:val="28"/>
          <w:szCs w:val="28"/>
          <w:rtl w:val="true"/>
          <w:lang w:bidi="ar-SA"/>
        </w:rPr>
        <w:t>أو عن أدلة تلك الأحكام، للتنافي بينهما، وهو مما لا يمكن الالتزام به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مرجعه إلى ما ذكر في التقرير الثالث أو الرابع فنعم الوفاق، فإن التخصيص معقول عرفاً، حيث يرى العرف أنّ الخاص قرينة على العام، ولا يحتاج الأمر إلى ما ذكره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غيره، فهو أشبه بالجمع التبرعي، ويسري في كل المتعارضات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بأس ببيع العذرة</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مع فرض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نقطع باعتبار الحديثين، فلو أبقينا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ظاهرها أوجب رفع اليد إما عن هذا وإما عن هذا، فنضطر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الأول عذرة الإنسان، والمراد من الثاني عذرة الحيوان، وذلك لعدم إسقاط أحد الحديثين، وهو الجمع التبرعي الذي ذكره في المقام</w:t>
      </w:r>
      <w:r>
        <w:rPr>
          <w:rStyle w:val="FootnoteAnchor"/>
          <w:rtl w:val="true"/>
        </w:rPr>
        <w:footnoteReference w:id="779"/>
      </w:r>
      <w:r>
        <w:rPr>
          <w:rFonts w:ascii="Amiri" w:hAnsi="Amiri" w:eastAsia="Amiri" w:cs="Amiri"/>
          <w:color w:val="111111"/>
          <w:sz w:val="28"/>
          <w:sz w:val="28"/>
          <w:szCs w:val="28"/>
          <w:rtl w:val="true"/>
          <w:lang w:bidi="ar-SA"/>
        </w:rPr>
        <w:t>، ومع فتح هذا الباب يتم توجيه كل جمع تبرعي من أول الفقه إلى آخره، وهذا مما لم يرتضه الفقهاء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ونحوهما من العناوين قد يؤخذ مشيراً إلى العنوان الأولي للفعل، فحينما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p>
    <w:p>
      <w:pPr>
        <w:pStyle w:val="BookText"/>
        <w:rPr/>
      </w:pPr>
      <w:r>
        <w:rPr>
          <w:rFonts w:ascii="Amiri" w:hAnsi="Amiri" w:eastAsia="Amiri" w:cs="Amiri"/>
          <w:color w:val="111111"/>
          <w:sz w:val="28"/>
          <w:sz w:val="28"/>
          <w:szCs w:val="28"/>
          <w:rtl w:val="true"/>
          <w:lang w:bidi="ar-SA"/>
        </w:rPr>
        <w:t>الخطأ تشير إلى الفعل الخارجي، وقد يؤخذ بما له من الموضوعية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الخطأ حكمه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الرفع وإن أخذ الخطأ موضوعاً، لكنه لم يؤخذ بعنوان الموضوعية، وإنما أُخذ بعنوان المشير إلى الفعل الخارجي الصادر في حال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فمفاد حديث الرفع مختص بالقسم الأول، أي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 في حال الخطأ رفع حكمه، أي رفع حكم الإفطار، وهكذا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يعني القتل بالقتل، فحينما نقول الخطأ فهو عنوان مشير إلى قتل له آثار منها القصاص، فإن كان هذا القتل صادراً في حالة الخطأ فحكمه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تعارض بين دليل رفع الخطأ، والدليل الذي يثبت أثراً للخطأ؛ لأنّ الدليل الذي أثبت الأثر للخطأ أثبته بعنوان أنه منظور فيه، وحديث الرفع رفع حكم الخطأ بعنوان أنه منظور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 حديث الرفع حيثية تعليلية لا حيثية تقييدية، فالموضوع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والمحمول رفع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خطأ، فالخطأ منظور إليه بالعنوان الآلي، لكن الدليل الذي يحكم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القتل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بالعنوان الاستقلالي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جواب جميل جداً لو ساعد عليه العرف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يرى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المنظور فيه </w:t>
      </w:r>
      <w:bookmarkStart w:id="269" w:name="pg15601_166929"/>
    </w:p>
    <w:p>
      <w:pPr>
        <w:pStyle w:val="BookText"/>
        <w:rPr/>
      </w:pPr>
      <w:bookmarkEnd w:id="269"/>
      <w:r>
        <w:rPr>
          <w:rFonts w:ascii="Amiri" w:hAnsi="Amiri" w:eastAsia="Amiri" w:cs="Amiri"/>
          <w:color w:val="111111"/>
          <w:sz w:val="28"/>
          <w:sz w:val="28"/>
          <w:szCs w:val="28"/>
          <w:rtl w:val="true"/>
          <w:lang w:bidi="ar-SA"/>
        </w:rPr>
        <w:t>والمنظور به،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اللحاظين ممكن فهو غير تام للإطلاق، فالمولى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وجوده كالعدم، سواء أكان الخطأ حيثية تعليلية أم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الجمع، والحديث منصرف إلى رفع آثار المعنون لا العنوان</w:t>
      </w:r>
      <w:r>
        <w:rPr>
          <w:rStyle w:val="FootnoteAnchor"/>
          <w:rtl w:val="true"/>
        </w:rPr>
        <w:footnoteReference w:id="781"/>
      </w:r>
      <w:r>
        <w:rPr>
          <w:rFonts w:ascii="Amiri" w:hAnsi="Amiri" w:eastAsia="Amiri" w:cs="Amiri"/>
          <w:color w:val="111111"/>
          <w:sz w:val="28"/>
          <w:sz w:val="28"/>
          <w:szCs w:val="28"/>
          <w:rtl w:val="true"/>
          <w:lang w:bidi="ar-SA"/>
        </w:rPr>
        <w:t>، لكان رفع الخطأ ظاهراً في رفع آثار المعنون لا آثار العنوان، فهو جمع لطيف يرفع المنافاة بين حديث الرفع وتلك الأدلة</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0000227_2142443653"/>
      <w:bookmarkStart w:id="271" w:name="_Toc101"/>
      <w:bookmarkEnd w:id="270"/>
      <w:r>
        <w:rPr/>
        <w:t>4</w:t>
      </w:r>
      <w:r>
        <w:rPr>
          <w:rtl w:val="true"/>
        </w:rPr>
        <w:t xml:space="preserve">) </w:t>
      </w:r>
      <w:r>
        <w:rPr>
          <w:rtl w:val="true"/>
        </w:rPr>
        <w:t>اشتراط الامتنان في الرفع</w:t>
      </w:r>
      <w:bookmarkEnd w:id="271"/>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شمول حديث الرفع للمورد أن يكون رفع الحكم فيه امتناناً على الأمة، والدليل على ذلك الجار أولاً، والمجرور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وجود الثقل، وكأنه كان على عاتق الأمة ثقل فرفع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التلطف والتحبب، كما قاله بعض المفسرين</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لَا تَأْخُذْ بِلِحْيَتِي</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لِمَ تُؤْذُونَنِي</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 وكما يقول الأخ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الامتنان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لو كان رفع حكم خلاف الامتنان لم يرفع بحديث الرفع</w:t>
      </w:r>
      <w:r>
        <w:rPr>
          <w:rFonts w:eastAsia="Amiri" w:cs="Amiri" w:ascii="Amiri" w:hAnsi="Amiri"/>
          <w:color w:val="111111"/>
          <w:sz w:val="28"/>
          <w:szCs w:val="28"/>
          <w:rtl w:val="true"/>
          <w:lang w:bidi="ar-SA"/>
        </w:rPr>
        <w:t xml:space="preserve">. </w:t>
      </w:r>
      <w:bookmarkStart w:id="272" w:name="pg15601_166931"/>
    </w:p>
    <w:p>
      <w:pPr>
        <w:pStyle w:val="Heading6"/>
        <w:numPr>
          <w:ilvl w:val="5"/>
          <w:numId w:val="1"/>
        </w:numPr>
        <w:rPr/>
      </w:pPr>
      <w:bookmarkStart w:id="273" w:name="__RefHeading___Toc10000229_2142443653"/>
      <w:bookmarkStart w:id="274" w:name="_Toc102"/>
      <w:bookmarkEnd w:id="272"/>
      <w:bookmarkEnd w:id="273"/>
      <w:r>
        <w:rPr>
          <w:rtl w:val="true"/>
        </w:rPr>
        <w:t>ثمرات الامتنان</w:t>
      </w:r>
      <w:bookmarkEnd w:id="274"/>
    </w:p>
    <w:p>
      <w:pPr>
        <w:pStyle w:val="BookText"/>
        <w:rPr/>
      </w:pPr>
      <w:r>
        <w:rPr>
          <w:rFonts w:ascii="Amiri" w:hAnsi="Amiri" w:eastAsia="Amiri" w:cs="Amiri"/>
          <w:color w:val="111111"/>
          <w:sz w:val="28"/>
          <w:sz w:val="28"/>
          <w:szCs w:val="28"/>
          <w:rtl w:val="true"/>
          <w:lang w:bidi="ar-SA"/>
        </w:rPr>
        <w:t>ويترتب عليه ثمرات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المضطر وبطلان بيع المكره، فإن الثاني ليس خلاف الامتنان، ولكن إذا حكم ببطلان بيع المضطر لمعالجة ابنه مثلاً لكان خلاف الامتنان، حيث لا يشتري أحد من المضطر شيئاً إلاّ الجاهل المغرور، فرفع الاضطرار في بيع المضطر خلاف الامتنان، فبيعه صحيح، وكذا في كل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مال الغير اضطراراً أو نسياناً أو جهلاً أو إكراهاً، فلا يمكن القول برفع أثر الإتلاف وهو الضمان، لأنّ رفع الضمان وإن كان امتناناً على المتلف، لكنه خلاف الامتنان على المالك، ومقتضى الامتنان على الأمة أن لا يكون الامتنان على فرد خلاف الامتنان على فرد آخر، كما لو قال 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المقتول هدر امتناناً على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امتناناً عليهم، بل امتنان على القاتلين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الامتنان على القاتلين بإسقاط الدية عنهم، لكنه ليس امتناناً على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قتل شخصاً مضطراً، فرفع الدية خلاف الامتنان على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القاضي المديون المماطل على بيع ملك من أملاكه، فلا ترفع صحة البيع بحديث الإكراه؛ لأنه خلاف الامتنان على الأمة في هذا المورد، ونظيره فيما لو أكره الحاكم المحتكر في عام المجاعة على بيع الطعام، فالقول ببطلان البيع لكونه مرفوعاً بالإكراه خلاف الامتنان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ضرب شخص، وإلا ضربه أو قتله، فالقول </w:t>
      </w:r>
    </w:p>
    <w:p>
      <w:pPr>
        <w:pStyle w:val="BookText"/>
        <w:rPr/>
      </w:pPr>
      <w:r>
        <w:rPr>
          <w:rFonts w:ascii="Amiri" w:hAnsi="Amiri" w:eastAsia="Amiri" w:cs="Amiri"/>
          <w:color w:val="111111"/>
          <w:sz w:val="28"/>
          <w:sz w:val="28"/>
          <w:szCs w:val="28"/>
          <w:rtl w:val="true"/>
          <w:lang w:bidi="ar-SA"/>
        </w:rPr>
        <w:t>برفع الحرمة للإكراه خلاف الامتنان فلا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785"/>
      </w:r>
      <w:r>
        <w:rPr>
          <w:rFonts w:ascii="Amiri" w:hAnsi="Amiri" w:eastAsia="Amiri" w:cs="Amiri"/>
          <w:color w:val="111111"/>
          <w:sz w:val="28"/>
          <w:sz w:val="28"/>
          <w:szCs w:val="28"/>
          <w:rtl w:val="true"/>
          <w:lang w:bidi="ar-SA"/>
        </w:rPr>
        <w:t>من أنَّ الحديث الشريف لا يشمل موارد الاضطرار والإكراه والجهل بسوء الاختيار،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إن ذهب إلى بيت عمرو لأكرهه على الإفطار، فالإكراه الناشئ عن سوء الاختيار لا يرفع وجوب القضاء والكفارة، وكذا في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بأنه يضطر إلى شرب الماء لو ذهب إلى الصحراء، فلو فعل لم يسقط عنه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مقام بيان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رفع الحكم في حق من يلقي بنفسه في الاضطرار ليس على خلاف الامتنان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التعليل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قضيتان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رفع الحكم ليس على خلاف الامتنان، لكنها ليست ملاك الرفع في حديث الرفع، فلا يصح التعليل بها، بل الملاك حسب ظاهر حديث الرفع القضية الثانية،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رفع الحكم امتناناً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رفع وجوب الكفارة عمّن ألقى بنفسه في الاضطرار 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رفع العقوبة عن العاصي امتنان وإن استحق العقاب، بل تبدل سيئاته إلى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الرفع ليس على خلاف الامتنان، فلو لم يرفع المولى الكفارة عنه لكان مستحقاً، </w:t>
      </w:r>
    </w:p>
    <w:p>
      <w:pPr>
        <w:pStyle w:val="BookText"/>
        <w:rPr/>
      </w:pPr>
      <w:r>
        <w:rPr>
          <w:rFonts w:ascii="Amiri" w:hAnsi="Amiri" w:eastAsia="Amiri" w:cs="Amiri"/>
          <w:color w:val="111111"/>
          <w:sz w:val="28"/>
          <w:sz w:val="28"/>
          <w:szCs w:val="28"/>
          <w:rtl w:val="true"/>
          <w:lang w:bidi="ar-SA"/>
        </w:rPr>
        <w:t>ولم يكن ذلك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فالتعليل المذكور لا يخلو من تأمل، فإنه وإن لم يكن خلاف الامتنان لكن رفع الحكم في حقه امتنان، والثاني هو ملاك حديث الرفع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ثلاثة طرق لعدم شمول حديث الرفع لمن ألقى بنفسه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بعض المتأخرين واعتمد عليه قال</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بحسب الحقيقة على الإيقاع في الاضطرار؛ إذ التكليف يسقط من حينه، والحديث يرفع المؤاخذة على ما ينطبق عنوان الاضطرار عليه، فالإفطار اضطراري، لكن الإلقاء في الاضطرار اختياري، فيكون الأخذ والمؤاخذة على الثاني لا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لما ثبت في محله من عدم حرمة مقدمة الحرام، سواء كانت علة تامة للوقوع فيه،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بنفسه من شاهق فمات، ففي المؤاخذة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المقام مؤاخذتان على الإلقاء والقتل،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على الإلقاء لا القتل،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على القتل لا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الدليل أن الحرام قتل النفس لا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غير اختياري ولا عقاب إلاّ مع الاختيار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بالاختيار لا ينافي الاختيار كما أنّ الامتناع بالاختيار لا </w:t>
      </w:r>
    </w:p>
    <w:p>
      <w:pPr>
        <w:pStyle w:val="BookText"/>
        <w:rPr/>
      </w:pPr>
      <w:r>
        <w:rPr>
          <w:rFonts w:ascii="Amiri" w:hAnsi="Amiri" w:eastAsia="Amiri" w:cs="Amiri"/>
          <w:color w:val="111111"/>
          <w:sz w:val="28"/>
          <w:sz w:val="28"/>
          <w:szCs w:val="28"/>
          <w:rtl w:val="true"/>
          <w:lang w:bidi="ar-SA"/>
        </w:rPr>
        <w:t>ينافي الاختيار، وجامعهما ما بالاختيار لا ينافيه، فقتل النفس وإن لم يكن بالاختيار مباشرة، لكن في اختيارية الفعل يكفي اختيارية مقدماته،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بالنظر فهل يمكن القول بعدم مطلوبيته؛ لأنه غير اختياري؟ كلا فإنه مطلوب؛ لأن مقدمته وهي فتح العين اختيارية، فيكون النظر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أضئ الغرفة فهو غير اختياري، لكن مقدمته اختيارية فيكون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فالإحراق غير اختياري ؛ لأنه فعل النار، ولكن حيث إنّ المقدمة اختيارية يكون نفس الإحراق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فقتل النفس اختياري، فتصح المؤاخذة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ساقط عند الإلقاء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هوكذلك، فحينما ألقى بنفسه من شاهق سقط الخطاب، لكونه لغواً ولا باعثية فيه، لكن يكفي الخطاب المتقدم على الإقدام،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عصيت ذلك الخطاب، فقبل الإلقاء نهى المولى عن قتل النفس، وحين الإلقاء يسكت المولى و يعاقبه على مخالفة الخطاب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سلكه</w:t>
      </w:r>
      <w:r>
        <w:rPr>
          <w:rStyle w:val="FootnoteAnchor"/>
          <w:rtl w:val="true"/>
        </w:rPr>
        <w:footnoteReference w:id="789"/>
      </w:r>
      <w:r>
        <w:rPr>
          <w:rFonts w:ascii="Amiri" w:hAnsi="Amiri" w:eastAsia="Amiri" w:cs="Amiri"/>
          <w:color w:val="111111"/>
          <w:sz w:val="28"/>
          <w:sz w:val="28"/>
          <w:szCs w:val="28"/>
          <w:rtl w:val="true"/>
          <w:lang w:bidi="ar-SA"/>
        </w:rPr>
        <w:t>من العقاب على الإلقاء الاختياري لا القتل الاضطراري غير تام، فإن الإلقاء الاختياري ليس محرماً حتى يعاقب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بخروج مورد الاضطرار بسوء الاختيار عن مفاد حديث الرفع تخصصاً؛ لأنّ الاضطرار المرفوع هو الاضطرار إلى المحظور في تمام أزمنة التكليف، لا الاضطرار في زمان الأداء والإتيان، وهو ليس </w:t>
      </w:r>
    </w:p>
    <w:p>
      <w:pPr>
        <w:pStyle w:val="BookText"/>
        <w:rPr/>
      </w:pPr>
      <w:r>
        <w:rPr>
          <w:rFonts w:ascii="Amiri" w:hAnsi="Amiri" w:eastAsia="Amiri" w:cs="Amiri"/>
          <w:color w:val="111111"/>
          <w:sz w:val="28"/>
          <w:sz w:val="28"/>
          <w:szCs w:val="28"/>
          <w:rtl w:val="true"/>
          <w:lang w:bidi="ar-SA"/>
        </w:rPr>
        <w:t>بصادق في موارد الاضطرار بسوء الاختيار، فقبل أن يذهب إلى الصحراء لم يكن مضطراً للإفطار، وملاك رفع الاضطرار هو الاضطرار المستوعب لكل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حديث الرفع رفع الاضطرار المستوعب لتمام زمان التكليف، وهو لا ينطبق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منصرف عرفاً عن موارد الاضطرار بسوء الاختيار، وكأن الارتكاز عند العرف أن مثله لا يستحق الامتنان، فهو مقيد لبي متصل لإطلاق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نشك في شمول إطلاق حديث الرفع، أو نقول بالانصراف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لا يشمل موارد الاضطرار بسوء الاختيار؛ لأحد البيانات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قد لا يكون منة على الفاعل، كما لو أخطأ المريض وصام، فإن جعل صومه الخطئي كلا صوم في عدم ترتب الأثر عليه خلاف الامتنان، ولذا أفتى الفقهاء بترتب الأثر على مثل هذا الصوم، وكذا بالنسبة إلى الوضوء والغسل الضررين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تامة،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أرفع الأثر عن الصوم امتناناً عليك، فهذا خلاف الامتنان، فمن صام شهراً كاملاً ثم انكشف أنه كان ضررياً </w:t>
      </w:r>
      <w:bookmarkStart w:id="275" w:name="pg15601_166941"/>
    </w:p>
    <w:p>
      <w:pPr>
        <w:pStyle w:val="BookText"/>
        <w:rPr/>
      </w:pPr>
      <w:bookmarkEnd w:id="275"/>
      <w:r>
        <w:rPr>
          <w:rFonts w:ascii="Amiri" w:hAnsi="Amiri" w:eastAsia="Amiri" w:cs="Amiri"/>
          <w:color w:val="111111"/>
          <w:sz w:val="28"/>
          <w:sz w:val="28"/>
          <w:szCs w:val="28"/>
          <w:rtl w:val="true"/>
          <w:lang w:bidi="ar-SA"/>
        </w:rPr>
        <w:t>فيمتن عليه المولى بالبطلان ووجوب القضاء، فهو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النتيجة المرتبة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تأمل، فلو فرض أنّ الضرر كان مبغوضاً للمولى، كما لو أصيب بالعمى، فهل يعقل أن يكون عبادة مقربة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برفع الوجوب لحديث الرفع، بل لفقدان الشرط، فالصوم الضرري المبغوض لا يعقل أن يكون مقرباً ومحبوباً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بحاجة إلى 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الثمرة تكملة تطلب من مباحث الجمع بين الحكم الواقعي والظاهري، ومباحث الصلاة في الدار المغصوبة جهلاً بالموضوع</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0000231_2142443653"/>
      <w:bookmarkStart w:id="277" w:name="_Toc103"/>
      <w:bookmarkEnd w:id="276"/>
      <w:r>
        <w:rPr/>
        <w:t>5</w:t>
      </w:r>
      <w:r>
        <w:rPr>
          <w:rtl w:val="true"/>
        </w:rPr>
        <w:t xml:space="preserve">) </w:t>
      </w:r>
      <w:r>
        <w:rPr>
          <w:rtl w:val="true"/>
        </w:rPr>
        <w:t>اشتراط ترتب الأثر على فعل المكلف</w:t>
      </w:r>
      <w:bookmarkEnd w:id="277"/>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شمول حديث الرفع ترتب الأثر على فعل المكلف بما هو فعل المكلف، ففي الفقه موارد لا يشملها حديث الرفع مع انطباق أحد العناوين عليها، فما هو وجه خروجها عن هذا العموم؟</w:t>
      </w:r>
    </w:p>
    <w:p>
      <w:pPr>
        <w:pStyle w:val="BookText"/>
        <w:rPr/>
      </w:pPr>
      <w:r>
        <w:rPr>
          <w:rFonts w:ascii="Amiri" w:hAnsi="Amiri" w:eastAsia="Amiri" w:cs="Amiri"/>
          <w:color w:val="111111"/>
          <w:sz w:val="28"/>
          <w:sz w:val="28"/>
          <w:szCs w:val="28"/>
          <w:rtl w:val="true"/>
          <w:lang w:bidi="ar-SA"/>
        </w:rPr>
        <w:t>كما لو تحققت ملاقاة النجاسة إكراهاً أو نسياناً أو اضطراراً، فلا ترفع نجاسة الملاقي بحديث الرفع، وهكذا لو حصل الإدخال بالإكراه حيث لا ترفع الجنابة التي هي أثره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0000233_2142443653"/>
      <w:bookmarkStart w:id="279" w:name="_Toc104"/>
      <w:bookmarkEnd w:id="278"/>
      <w:r>
        <w:rPr>
          <w:rtl w:val="true"/>
        </w:rPr>
        <w:t>الخروج التخصصي</w:t>
      </w:r>
      <w:bookmarkEnd w:id="2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بعض الفقهاء</w:t>
      </w:r>
      <w:r>
        <w:rPr>
          <w:rStyle w:val="FootnoteAnchor"/>
          <w:rtl w:val="true"/>
        </w:rPr>
        <w:footnoteReference w:id="791"/>
      </w:r>
      <w:r>
        <w:rPr>
          <w:rFonts w:ascii="Amiri" w:hAnsi="Amiri" w:eastAsia="Amiri" w:cs="Amiri"/>
          <w:color w:val="111111"/>
          <w:sz w:val="28"/>
          <w:sz w:val="28"/>
          <w:szCs w:val="28"/>
          <w:rtl w:val="true"/>
          <w:lang w:bidi="ar-SA"/>
        </w:rPr>
        <w:t>إثبات الخروج التخصصي لهذه الموارد من مفاد الحديث</w:t>
      </w:r>
      <w:r>
        <w:rPr>
          <w:rFonts w:eastAsia="Amiri" w:cs="Amiri" w:ascii="Amiri" w:hAnsi="Amiri"/>
          <w:color w:val="111111"/>
          <w:sz w:val="28"/>
          <w:szCs w:val="28"/>
          <w:rtl w:val="true"/>
          <w:lang w:bidi="ar-SA"/>
        </w:rPr>
        <w:t xml:space="preserve">. </w:t>
      </w:r>
      <w:bookmarkStart w:id="280" w:name="pg15601_166943"/>
    </w:p>
    <w:p>
      <w:pPr>
        <w:pStyle w:val="BookText"/>
        <w:rPr/>
      </w:pPr>
      <w:bookmarkEnd w:id="280"/>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الشريف ناظر إلى الآثار المترتبة على فعل المكلف بما هو فعل للمكلف، فيرتفع ذلك الأثر المترتب على فعل المكلف مع طرو أحد العناوين التسعة، ولكن لو لم يكن الأثر مترتباً على فعل المكلف، بل كان مترتباً على تحقق الشيء في الخارج كيفما اتفق، فلا يشمله حديث الرفع، كنجاسة الملاقي، فهي ليست مترتبة على فعل المكلف، بل على تحقق الملاقاة في الخارج بأي وجه تحققت ولو بإطارة الريح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الخمر أثران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والنجاسة، فمن شرب الخمر إكراها ترتفع عنه الحرمة المترتبة على شرب الخمر الذي هو فعل المكلف، بما أنه فعل المكلف، لكن نجاسة ظاهر الفم، والتي لم تترتب على فعل المكلف، بل على تحقق الملاقاة في الخارج غير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التخريج</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0000235_2142443653"/>
      <w:bookmarkStart w:id="282" w:name="_Toc105"/>
      <w:bookmarkEnd w:id="281"/>
      <w:r>
        <w:rPr>
          <w:rtl w:val="true"/>
        </w:rPr>
        <w:t>النقض على الخروج التخصصي</w:t>
      </w:r>
      <w:bookmarkEnd w:id="282"/>
    </w:p>
    <w:p>
      <w:pPr>
        <w:pStyle w:val="BookText"/>
        <w:rPr/>
      </w:pPr>
      <w:r>
        <w:rPr>
          <w:rFonts w:ascii="Amiri" w:hAnsi="Amiri" w:eastAsia="Amiri" w:cs="Amiri"/>
          <w:color w:val="111111"/>
          <w:sz w:val="28"/>
          <w:sz w:val="28"/>
          <w:szCs w:val="28"/>
          <w:rtl w:val="true"/>
          <w:lang w:bidi="ar-SA"/>
        </w:rPr>
        <w:t>لكن هذا التخريج لا يقطع مادة الإشكال؛ لوجود موارد في الفقه رتب الأثر على فعل المكلف، بما هو فعل المكلف، ومع ذلك لا يرفع حديث الرفع آثارها، مثل حكم مس الميت، ففي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مسسته بعد ما برد فعليك الغسل</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فوجوب الغسل مرتب على فعل المكلف، ومع ذلك لو حصل المس بلا اختيار وجب على الماس غسل الميت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يقال في المقام ويقع به الصلح بين الطرفين، أنَّ عندنا </w:t>
      </w:r>
      <w:bookmarkStart w:id="283" w:name="pg15601_166945"/>
    </w:p>
    <w:p>
      <w:pPr>
        <w:pStyle w:val="BookText"/>
        <w:rPr/>
      </w:pPr>
      <w:bookmarkEnd w:id="283"/>
      <w:r>
        <w:rPr>
          <w:rFonts w:ascii="Amiri" w:hAnsi="Amiri" w:eastAsia="Amiri" w:cs="Amiri"/>
          <w:color w:val="111111"/>
          <w:sz w:val="28"/>
          <w:sz w:val="28"/>
          <w:szCs w:val="28"/>
          <w:rtl w:val="true"/>
          <w:lang w:bidi="ar-SA"/>
        </w:rPr>
        <w:t>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والواقع، والملاك كما ذكر، فلو كان الأثر مرتباً ثبوتاً على فعل المكلف ارتفع بحديث الرفع، لكن لو كان مرتباً على وقوع الشيء في الخارج كيفما اتفق لم يرتفع، وأما في مقام الإثبات فيمكن ترتب الحكم على فعل المكلف في ظاهر اللفظ، لكن لا موضوعية له بالنسبة إلى الأثر، وإنما جعل موضوعاً في الدليل؛ لأنه طريق إلى تحقق الموضوع الواقعي، فلو كان كذلك لم يرتفع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عدم كونه موضوعاً في الواقع وإنما هو طريق إلى الموضوع؟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ارتكاز المتشرعة أو العرف أو الأدلة الخارجية، ففي بحث الدخول علقت الأدلة وجوب الغسل على الإيلاج، لكن ارتكاز المتشرعة على أنه ليس موضوعاً للحكم، وإنما أخذ موضوعاً باعتباره طريقاً إلى الموضوع الواقعي وهو الولوج،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المصدر موضوعاً، وإنما اسم المصدر، فلو تحقق بلا اختيار 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أدلة 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 بالاسم المصدري هو الموضوع لا المصدري، فلم يرتب الحكم واقعاً على فعل المكلف، بل على تحقق الشيء في الخارج</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0000237_2142443653"/>
      <w:bookmarkStart w:id="285" w:name="_Toc106"/>
      <w:bookmarkEnd w:id="284"/>
      <w:r>
        <w:rPr>
          <w:rtl w:val="true"/>
        </w:rPr>
        <w:t>التأمل في كلمات القوم</w:t>
      </w:r>
      <w:bookmarkEnd w:id="285"/>
    </w:p>
    <w:p>
      <w:pPr>
        <w:pStyle w:val="BookText"/>
        <w:rPr/>
      </w:pPr>
      <w:r>
        <w:rPr>
          <w:rFonts w:ascii="Amiri" w:hAnsi="Amiri" w:eastAsia="Amiri" w:cs="Amiri"/>
          <w:color w:val="111111"/>
          <w:sz w:val="28"/>
          <w:sz w:val="28"/>
          <w:szCs w:val="28"/>
          <w:rtl w:val="true"/>
          <w:lang w:bidi="ar-SA"/>
        </w:rPr>
        <w:t>ومما ذكرنا يظهر التأمل في بعض الكلمات في المقام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العروة</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مما يتحقق به الجنابة الدخول ولا فرق في ذلك </w:t>
      </w:r>
    </w:p>
    <w:p>
      <w:pPr>
        <w:pStyle w:val="BookText"/>
        <w:rPr/>
      </w:pPr>
      <w:r>
        <w:rPr>
          <w:rFonts w:ascii="Amiri" w:hAnsi="Amiri" w:eastAsia="Amiri" w:cs="Amiri"/>
          <w:color w:val="111111"/>
          <w:sz w:val="28"/>
          <w:sz w:val="28"/>
          <w:szCs w:val="28"/>
          <w:rtl w:val="true"/>
          <w:lang w:bidi="ar-SA"/>
        </w:rPr>
        <w:t>بين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شرح العروة</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لارتفاع الإطلاق بالاضطرار، فجميع الأدلة الأولية المطلقة ترفع بالاضطرار، فلماذا لا يرفع في هذا المورد؟</w:t>
      </w:r>
    </w:p>
    <w:p>
      <w:pPr>
        <w:pStyle w:val="BookText"/>
        <w:rPr/>
      </w:pPr>
      <w:r>
        <w:rPr>
          <w:rFonts w:ascii="Amiri" w:hAnsi="Amiri" w:eastAsia="Amiri" w:cs="Amiri"/>
          <w:color w:val="111111"/>
          <w:sz w:val="28"/>
          <w:sz w:val="28"/>
          <w:szCs w:val="28"/>
          <w:rtl w:val="true"/>
          <w:lang w:bidi="ar-SA"/>
        </w:rPr>
        <w:t>وقال في المستمسك</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إطلاق الأدلة، وحديث رفع الاضطرار لا يقيده ؛ لظهوره في رفع قلم المؤاخذة، فلا يقتضي رفع عامة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لما سبق من أنّ متعلق حديث الرفع عامة الأحكام، كما يرفع الإكراه الصحة في البيع الإكراهي لحديث الرفع وغيره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الأدلة، واحتمال عدم الوجوب على المضطر لأدلة نفي الاضطرار مردود بأنَّ المنفي بالاضطرار التكليف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مرفوع بحديث الرفع كسائر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عام يشمل المؤاخذة والأحكام التكليفية والوضعية، ويدل عليه ما ذكرناه من حديث البزنطي، حيث رفع أثر الطلاق للإكراه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توجيه المطلب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رتب الأثر في لسان الدليل على فعل المكلف؛ لأن اللفظ في الأدلة الإيلاج، لكن يستفاد من ارتكاز </w:t>
      </w:r>
      <w:bookmarkStart w:id="286" w:name="pg15601_166949"/>
    </w:p>
    <w:p>
      <w:pPr>
        <w:pStyle w:val="BookText"/>
        <w:rPr/>
      </w:pPr>
      <w:bookmarkEnd w:id="286"/>
      <w:r>
        <w:rPr>
          <w:rFonts w:ascii="Amiri" w:hAnsi="Amiri" w:eastAsia="Amiri" w:cs="Amiri"/>
          <w:color w:val="111111"/>
          <w:sz w:val="28"/>
          <w:sz w:val="28"/>
          <w:szCs w:val="28"/>
          <w:rtl w:val="true"/>
          <w:lang w:bidi="ar-SA"/>
        </w:rPr>
        <w:t>المتشرعة أنّه لا موضوعية له، وإنما هو طريق غالبي لتحقق الموضوع الواقعي وهو الولوج، فإذا تحقق الموضوع الواقعي يتحقق الأثر، وعهدة تشخيص كون الموضوع اللفظي طريقاً إلى الموضوع الواقعي على الفقه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000239_2142443653"/>
      <w:bookmarkStart w:id="288" w:name="_Toc107"/>
      <w:bookmarkEnd w:id="287"/>
      <w:r>
        <w:rPr>
          <w:rtl w:val="true"/>
        </w:rPr>
        <w:t>الشك في الموضوع الواقعي</w:t>
      </w:r>
      <w:bookmarkEnd w:id="288"/>
    </w:p>
    <w:p>
      <w:pPr>
        <w:pStyle w:val="BookText"/>
        <w:rPr/>
      </w:pPr>
      <w:r>
        <w:rPr>
          <w:rFonts w:ascii="Amiri" w:hAnsi="Amiri" w:eastAsia="Amiri" w:cs="Amiri"/>
          <w:color w:val="111111"/>
          <w:sz w:val="28"/>
          <w:sz w:val="28"/>
          <w:szCs w:val="28"/>
          <w:rtl w:val="true"/>
          <w:lang w:bidi="ar-SA"/>
        </w:rPr>
        <w:t>قد يقع الشك في بعض الموارد لاختلاف الاستظهار في أنّ ما أخذ في الدليل اللفظي هل هو الموضوع الواقعي أو أنه طريق إليه؟ كما في مسألة حرمة أم المفعول وبنته وأخته على الفاعل، حيث 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لاط بغلام فأوقب ولو بعض الحشفة حرمت عليه أمه أبداً وإن علت، وبنته وإن نزلت، 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 أن يكون عن علم وعمد واختيار أو مع الاشتباه، كما إذا تخيله امرأته أوكان مكرهاً</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 المعتضد بإطلاق الفتاوى</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منصرف إلى العلم والعمد، كما في كل فعل ينسب إلى الفاعل بدون قرينة على إرادة العموم،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هذا بالإضافة إلى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w:t>
      </w:r>
      <w:bookmarkStart w:id="289" w:name="pg15601_166951"/>
    </w:p>
    <w:p>
      <w:pPr>
        <w:pStyle w:val="BookText"/>
        <w:rPr/>
      </w:pPr>
      <w:bookmarkEnd w:id="289"/>
      <w:r>
        <w:rPr>
          <w:rFonts w:ascii="Amiri" w:hAnsi="Amiri" w:eastAsia="Amiri" w:cs="Amiri"/>
          <w:color w:val="111111"/>
          <w:sz w:val="28"/>
          <w:sz w:val="28"/>
          <w:szCs w:val="28"/>
          <w:rtl w:val="true"/>
          <w:lang w:bidi="ar-SA"/>
        </w:rPr>
        <w:t>شك أنّ الاحتياط الاجتناب</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خلينا وأنفسنا فظاهر أخذ عنوان في موضوع أنه هو الموضوع، لا أنه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كونه طريقاً إلى الموضوع، بل هو الموضوع واقعاً، وعليه يرتفع الأثر بالخطأ والنسيان، بخلاف الجنابة، فالثابت أنّه لا فرق فيها بين الاختيار والاضطرار، فمن أجنب في النوم تترتب عليه الجنابة قطعاً، ووردت به النصوص، فيكون قرينة على أنّ الأثر أثر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لم نقبل بهذا التخريج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مطلق يرفع تمام الآثار، سواء أكانت آثار فعل المكلف أم آثار وقوع الشيء في الخارج للزم القول بخروج هذه الموارد تخصيصاً في حديث الرفع لا تخصصاً، فحديث الرفع يرفع تمام الآثار لكن خرجت منه النجاسة عند الملاقاة الإكراهية بالإجماع، كما هو رأي المحقق النائيني وتبعه السيد الوالد، ولولا الدليل الخارجي لقلنا بعدم النجاسة في الملاقاة، وعدم الجنابة في الإدخال، وعدم وجوب الغسل بمس الميت، كل ذلك إذا كان إكراهاً، فالأمر يدور بين التخصيص والتخصص</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0000241_2142443653"/>
      <w:bookmarkStart w:id="291" w:name="_Toc108"/>
      <w:bookmarkEnd w:id="290"/>
      <w:r>
        <w:rPr/>
        <w:t>6</w:t>
      </w:r>
      <w:r>
        <w:rPr>
          <w:rtl w:val="true"/>
        </w:rPr>
        <w:t xml:space="preserve">) </w:t>
      </w:r>
      <w:r>
        <w:rPr>
          <w:rtl w:val="true"/>
        </w:rPr>
        <w:t>شمول حديث الرفع للأمور العدمية وعدمه</w:t>
      </w:r>
      <w:bookmarkEnd w:id="291"/>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حديث الرفع للأمور العدمية وعدمه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عناوين الإكراه والاضطرار والنسيان تارة تتعلق </w:t>
      </w:r>
      <w:bookmarkStart w:id="292" w:name="pg15601_166953"/>
    </w:p>
    <w:p>
      <w:pPr>
        <w:pStyle w:val="BookText"/>
        <w:rPr/>
      </w:pPr>
      <w:bookmarkEnd w:id="292"/>
      <w:r>
        <w:rPr>
          <w:rFonts w:ascii="Amiri" w:hAnsi="Amiri" w:eastAsia="Amiri" w:cs="Amiri"/>
          <w:color w:val="111111"/>
          <w:sz w:val="28"/>
          <w:sz w:val="28"/>
          <w:szCs w:val="28"/>
          <w:rtl w:val="true"/>
          <w:lang w:bidi="ar-SA"/>
        </w:rPr>
        <w:t>بالأمور الوجودية، كتعلق الإكراه بالطلاق، والاضطرار بالإفطار في شهر رمضان، ولا شك أنّ حديث الرفع يشمل هذه الموارد ويرفع الأثر، وتارة تتعلق بالأمور العدمية، فهل أنّ حديث الرفع يتكفل رفع آثارها أم لا؟</w:t>
      </w:r>
    </w:p>
    <w:p>
      <w:pPr>
        <w:pStyle w:val="Heading6"/>
        <w:numPr>
          <w:ilvl w:val="5"/>
          <w:numId w:val="1"/>
        </w:numPr>
        <w:rPr/>
      </w:pPr>
      <w:bookmarkStart w:id="293" w:name="__RefHeading___Toc10000243_2142443653"/>
      <w:bookmarkStart w:id="294" w:name="_Toc109"/>
      <w:bookmarkEnd w:id="293"/>
      <w:r>
        <w:rPr>
          <w:rtl w:val="true"/>
        </w:rPr>
        <w:t>ثمرة البحث</w:t>
      </w:r>
      <w:bookmarkEnd w:id="294"/>
    </w:p>
    <w:p>
      <w:pPr>
        <w:pStyle w:val="BookText"/>
        <w:rPr/>
      </w:pPr>
      <w:r>
        <w:rPr>
          <w:rFonts w:ascii="Amiri" w:hAnsi="Amiri" w:eastAsia="Amiri" w:cs="Amiri"/>
          <w:color w:val="111111"/>
          <w:sz w:val="28"/>
          <w:sz w:val="28"/>
          <w:szCs w:val="28"/>
          <w:rtl w:val="true"/>
          <w:lang w:bidi="ar-SA"/>
        </w:rPr>
        <w:t>وتظهر الثمرة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الحنث في اليمين والنذر والعهد، فلو نذر أن يصلّي صلاة الليل فنسي، أو أن يشرب ماء الفرات فأكره على تركه، فأثر الترك في حد ذاته وجوب الكفارة، فهل يشمله حديث الرفع للنسيان فيرتفع عنه الأثر؟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ثمرة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ترك جزءاً أو شرطاً مما يشترط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شمل الحديث الأمور العدمية فالأثر مرفوع والصلاة صحيحة، وإلا فلا بلحاظ حديث الرفع، ولا بد من البحث عن طرق أخرى لتصحيح العبادة الفاقدة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0000245_2142443653"/>
      <w:bookmarkStart w:id="296" w:name="_Toc110"/>
      <w:bookmarkEnd w:id="295"/>
      <w:r>
        <w:rPr>
          <w:rtl w:val="true"/>
        </w:rPr>
        <w:t xml:space="preserve">نظرية المحقق النائيني </w:t>
      </w:r>
      <w:r>
        <w:rPr>
          <w:rtl w:val="true"/>
        </w:rPr>
        <w:t>(</w:t>
      </w:r>
      <w:r>
        <w:rPr>
          <w:rtl w:val="true"/>
        </w:rPr>
        <w:t>رحمه اللّه</w:t>
      </w:r>
      <w:r>
        <w:rPr>
          <w:rtl w:val="true"/>
        </w:rPr>
        <w:t>)</w:t>
      </w:r>
      <w:bookmarkEnd w:id="296"/>
    </w:p>
    <w:p>
      <w:pPr>
        <w:pStyle w:val="BookText"/>
        <w:rPr/>
      </w:pPr>
      <w:r>
        <w:rPr>
          <w:rFonts w:ascii="Amiri" w:hAnsi="Amiri" w:eastAsia="Amiri" w:cs="Amiri"/>
          <w:color w:val="111111"/>
          <w:sz w:val="28"/>
          <w:sz w:val="28"/>
          <w:szCs w:val="28"/>
          <w:rtl w:val="true"/>
          <w:lang w:bidi="ar-SA"/>
        </w:rPr>
        <w:t xml:space="preserve">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إلى أنّ حديث الرفع لا يشمل الأمور العدمية، فتجب الكفارة وتبطل العبادة بلحاظ حديث الرفع بغض النظر عن الأدلة الأخرى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الرفع تنزيل الموجود منزلة المعدوم، لا تنزيل المعدوم منزلة الموجود، فالطلاق الإكراهي الواقع نزل منزلة المعدوم، لا أن عدم شرب الماء الفرات نزل منزلة الموجود،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bookmarkStart w:id="297" w:name="pg15601_166955"/>
    </w:p>
    <w:p>
      <w:pPr>
        <w:pStyle w:val="BookText"/>
        <w:rPr/>
      </w:pPr>
      <w:bookmarkEnd w:id="297"/>
      <w:r>
        <w:rPr>
          <w:rFonts w:ascii="Amiri" w:hAnsi="Amiri" w:eastAsia="Amiri" w:cs="Amiri"/>
          <w:color w:val="111111"/>
          <w:sz w:val="28"/>
          <w:sz w:val="28"/>
          <w:szCs w:val="28"/>
          <w:rtl w:val="true"/>
          <w:lang w:bidi="ar-SA"/>
        </w:rPr>
        <w:t>متكفل للرفع لا للوضع</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0000247_2142443653"/>
      <w:bookmarkStart w:id="299" w:name="_Toc111"/>
      <w:bookmarkEnd w:id="298"/>
      <w:r>
        <w:rPr>
          <w:rtl w:val="true"/>
        </w:rPr>
        <w:t xml:space="preserve">إشكالات على نظرية المحقق النائيني </w:t>
      </w:r>
      <w:r>
        <w:rPr>
          <w:rtl w:val="true"/>
        </w:rPr>
        <w:t>(</w:t>
      </w:r>
      <w:r>
        <w:rPr>
          <w:rtl w:val="true"/>
        </w:rPr>
        <w:t>رحمه اللّه</w:t>
      </w:r>
      <w:r>
        <w:rPr>
          <w:rtl w:val="true"/>
        </w:rPr>
        <w:t>)</w:t>
      </w:r>
      <w:bookmarkEnd w:id="299"/>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المضاف له حظ من الوجود في عالم التكوين</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نوعان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المطلق والعدم المضاف، أما العدم المطلق فهو محض البطلان والهلاك واللاشيئية المحضة، وأما العدم المضاف، أي العدم الذي أضيف إلى الوجود، فله حظ من الوجود، والدليل عليه أنَّ الأعدام المضافة تتميز بعضها عن بعض، فعدم زيد يتميز عن عدم عمرو، والإنسان يفرح لعدم المرض ويحزن لعدم المال، فعدم المال يختلف عن عدم المرض، هذا على نحو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لإكراه المكره على العدم المحض، بل الإكراه على العدم المضاف، كعدم شرب ماء الفرات، فالمكره عليه أو المنسي له حظ من الوجود، ويكون المرفوع بحديث الرفع أمراً وجودياً لا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بالمبنى وأنَّ الرفع لا يتعلق بالأمور العدمية، لكن هذه الأعدام المضافة موجودة، فتعلق الرفع بأمر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العدم المطلق والعدم المضاف</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يخلو من تأمل؛ لما ثبت في محله من مباحث الوجود والعدم من عدم الفرق بين العدم المحض والعدم المضاف في أنه لا حظ لهما من الوجود، فالعدم عدم ولا شيئية وبطلان، وإنما الذي له حظ من الوجود هو </w:t>
      </w:r>
    </w:p>
    <w:p>
      <w:pPr>
        <w:pStyle w:val="BookText"/>
        <w:rPr/>
      </w:pPr>
      <w:r>
        <w:rPr>
          <w:rFonts w:ascii="Amiri" w:hAnsi="Amiri" w:eastAsia="Amiri" w:cs="Amiri"/>
          <w:color w:val="111111"/>
          <w:sz w:val="28"/>
          <w:sz w:val="28"/>
          <w:szCs w:val="28"/>
          <w:rtl w:val="true"/>
          <w:lang w:bidi="ar-SA"/>
        </w:rPr>
        <w:t>المضاف إليه، فالعين لها حظ من الوجود، أما عدم العين فلا حظ له؛ لأنه عدم، وإلا فلا بد من القول بوجود مليارات من الوجود في كل مكان؛ لوجود عدم زيد وعدم عمرو، وعدم مليارات الأشياء الأخرى، بل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ووجداناً العدم عدم، وهو لا شيء فكيف يكون شيئاً، فاعلاً أو منفعلاً أو مؤثراً أو متأثراً أو علة أو معلولاً؟</w:t>
      </w:r>
    </w:p>
    <w:p>
      <w:pPr>
        <w:pStyle w:val="BookText"/>
        <w:rPr/>
      </w:pPr>
      <w:r>
        <w:rPr>
          <w:rFonts w:ascii="Amiri" w:hAnsi="Amiri" w:eastAsia="Amiri" w:cs="Amiri"/>
          <w:color w:val="111111"/>
          <w:sz w:val="28"/>
          <w:sz w:val="28"/>
          <w:szCs w:val="28"/>
          <w:rtl w:val="true"/>
          <w:lang w:bidi="ar-SA"/>
        </w:rPr>
        <w:t>ما ليس موجوداً يكون ليسا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ساوق الشيء لدينا الأيسا</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لا ميز في الأعدام من حيث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لها إذاً بوهم ترتسم</w:t>
      </w:r>
    </w:p>
    <w:p>
      <w:pPr>
        <w:pStyle w:val="BookText"/>
        <w:rPr/>
      </w:pPr>
      <w:r>
        <w:rPr>
          <w:rFonts w:ascii="Amiri" w:hAnsi="Amiri" w:eastAsia="Amiri" w:cs="Amiri"/>
          <w:color w:val="111111"/>
          <w:sz w:val="28"/>
          <w:sz w:val="28"/>
          <w:szCs w:val="28"/>
          <w:rtl w:val="true"/>
          <w:lang w:bidi="ar-SA"/>
        </w:rPr>
        <w:t>كذاك في الأعدام لا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بها فاهوا فتقريبية</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فلا يعقل أن يولد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 شيء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ولا يعقل أن يولد البطلان بطلاناً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المضاف له حظ من الوجود في عالم التشريع</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العدم المضاف لا وجود له، لكن ذلك في عالم التكوين، وأما في عالم التشريع فله وجود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يكون موضوعاً للآثار في حالة العمد، كوجوب الكفارة فيمن ترك شرب ماء الفرات عمداً، وقد نذر أن يشربه، فهذا الأثر أثر العدم، وله وجود في عالم التشريع، وكيفية وجوده أنه موضوع لأحكام شرعية، وكذلك الأمر </w:t>
      </w:r>
    </w:p>
    <w:p>
      <w:pPr>
        <w:pStyle w:val="BookText"/>
        <w:rPr/>
      </w:pPr>
      <w:r>
        <w:rPr>
          <w:rFonts w:ascii="Amiri" w:hAnsi="Amiri" w:eastAsia="Amiri" w:cs="Amiri"/>
          <w:color w:val="111111"/>
          <w:sz w:val="28"/>
          <w:sz w:val="28"/>
          <w:szCs w:val="28"/>
          <w:rtl w:val="true"/>
          <w:lang w:bidi="ar-SA"/>
        </w:rPr>
        <w:t>في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الجواب يطابق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وإن كان في عباراته شيء من الاضطراب صدراً وذيلاً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واضح بين قلب الوجود بعدم ذاته وتنزيله منزلته وبالعكس، وبين قلب أخذه موضوعاً للحكم بعدم أخذه في مرحلة تشريع الحكم وخلو خطاباته عنه، والإشكال المزبور إنما يرد على الأول دون الثاني، وما يقتضيه بحديث الرفع إنما هو الرفع الثاني دون الأول</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فليس مفاد حديث الرفع قلب الوجود إلى العدم أو قلب العدم إلى الوجود، أو تنزيل الوجود منزلة العدم، بل مفاده أنّ ما أخذ موضوعاً في الحكم لا يؤخذ موضوعا له بحديث الرفع، أي يسلب موضوعية الموضوع، وهذا لا يفرق فيه بين كون الموضوع أمراً وجودياً أو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ضمن بعض عباراته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مرجع رفعه إلى رفع الأثر المترتب على هذا العدم، الراجع إلى عدم أخذه موضوعاً للحكم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دعوى كون متعلق الرفع في الحديث ذات هذه الموضوعات لا موضوعية هذه الموضوعات، فذات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الموضوع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موضوعية الموضوع، أي الموضوع بما هو موضوع</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والرفع للفعل الخارجي والترك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إكراهاً وترك شرب ماء الفرات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رفع الذات، أي الطلاق، لا أنه محو لموضوعيته من سجل عالم التشريع، كما هو الحال في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الرفع يكون حقيقياً فيما لو رفع موضوعية الموضوع، وأما لو رفع ذات الموضوع لا بما هو موضوع فهو رفع ادعائي،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ومفاده اعتبار الربا الخارجي كلا ربا، وأنه غير واقع، فهو رفع ونفي 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مفاد حديث الرفع الرفع الحقيقي المتقوم برفع موضوعية الموضوع عن سجل التشريع؛ لأنه لم يجعله موضوعاً لأثر، ومع رفع المحمول يرفع الموضوع تكويناً من سجل التشريع، بل الرفع ادعائي، فالطلاق الواقع خارجاً مرفوع ادعاء، وهو كالعدم، كما استظهرناه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فالجوب الثاني غير تام؛ لأنَّ مآله إلى الرفع الحقيقي، ومحو موضوع الحكم من سجل التشريع، وهو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إدعائي لا تنزيلي</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حديث الرفع التنزيل، بل مفاده الرفع الادعائي لما هو متقرر في الخارج</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فوزانه وزان النفي،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يرفع ادعاء ما هو ثابت في الخارج، ولا فرق في المرفوع بالرفع الادعائي بين أن يكون أمراً وجودياً أو عدمياً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يصح تعلق الرفع بأمر وجودي،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الإكراهي الواقع خارجاً اعتبره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أن الأثر المترتب على الطلاق لا يترتب على الطلاق الإكراهي، كذلك الأمر لو كان المكره عليه أمراً عدمياً، كترك شرب ماء الفرات، وقد تحقق العدم في الخارج، ولهذا العدم آثار، كوجوب الكفارة، فالشارع يعتبر العدم كأنه لم يتحقق في الخارج، وأثر هذا الرفع الادعائي رفع أثر الترك وهو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مانع من تعلق الرفع بالأمر العدمي، ولا يكون وضعاً، بل رفع الترك بلحاظ رفع أثر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الرفع بالعناوين الوجودية</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متعلق بالعناوين التسعة لا بالمعنون بها، ولكن تعلق الرفع بها لا بلحاظ ذاتها، وإنما باعتبار أن هذه العناوين مرآة للمعنونات الخارجية وطريق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العناوين التسعة أمور 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المرئي بها أمراً وجودياً، كالطلاق الإكراهي، أو أمراً عدمياً، كترك شرب ماء الفرات فيمن نذر، وعليه، ما تعلق به الرفع حقيقة نفس العنوان الوجودي، فالخطأ مرفوع وله مصداقان،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والآخر عدمي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البحث السادس</w:t>
      </w:r>
      <w:r>
        <w:rPr>
          <w:rFonts w:eastAsia="Amiri" w:cs="Amiri" w:ascii="Amiri" w:hAnsi="Amiri"/>
          <w:color w:val="111111"/>
          <w:sz w:val="28"/>
          <w:szCs w:val="28"/>
          <w:rtl w:val="true"/>
          <w:lang w:bidi="ar-SA"/>
        </w:rPr>
        <w:t xml:space="preserve">. </w:t>
      </w:r>
      <w:bookmarkStart w:id="300" w:name="pg15601_166964"/>
    </w:p>
    <w:p>
      <w:pPr>
        <w:pStyle w:val="Heading6"/>
        <w:numPr>
          <w:ilvl w:val="5"/>
          <w:numId w:val="1"/>
        </w:numPr>
        <w:rPr/>
      </w:pPr>
      <w:bookmarkStart w:id="301" w:name="__RefHeading___Toc10000249_2142443653"/>
      <w:bookmarkStart w:id="302" w:name="_Toc112"/>
      <w:bookmarkEnd w:id="300"/>
      <w:bookmarkEnd w:id="301"/>
      <w:r>
        <w:rPr/>
        <w:t>7</w:t>
      </w:r>
      <w:r>
        <w:rPr>
          <w:rtl w:val="true"/>
        </w:rPr>
        <w:t xml:space="preserve">) </w:t>
      </w:r>
      <w:r>
        <w:rPr>
          <w:rtl w:val="true"/>
        </w:rPr>
        <w:t>شمول حديث الرفع للتكاليف الضمنية</w:t>
      </w:r>
      <w:bookmarkEnd w:id="302"/>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يمكن أن يكون استقلالياً كوجوب الصلاة وحرمة شرب الخمر، ولا إشكال في تعلق حديث الرفع بالتكاليف الاستقلالية، ولكن هل أنَّ حديث الرفع يشمل التكاليف الضمنية أم لا؟</w:t>
      </w:r>
    </w:p>
    <w:p>
      <w:pPr>
        <w:pStyle w:val="BookText"/>
        <w:rPr/>
      </w:pPr>
      <w:r>
        <w:rPr>
          <w:rFonts w:ascii="IRNazanin" w:hAnsi="IRNazanin" w:eastAsia="IRNazanin"/>
          <w:color w:val="111111"/>
          <w:sz w:val="28"/>
          <w:sz w:val="28"/>
          <w:szCs w:val="28"/>
          <w:rtl w:val="true"/>
          <w:lang w:bidi="fa-IR"/>
        </w:rPr>
        <w:t>الظاهر الشمول، للإطلاق أو العموم</w:t>
      </w:r>
      <w:r>
        <w:rPr>
          <w:rFonts w:eastAsia="IRNazanin" w:cs="IRNazanin"/>
          <w:color w:val="111111"/>
          <w:sz w:val="28"/>
          <w:szCs w:val="28"/>
          <w:rtl w:val="true"/>
          <w:lang w:bidi="fa-IR"/>
        </w:rPr>
        <w:t>.</w:t>
      </w:r>
    </w:p>
    <w:p>
      <w:pPr>
        <w:pStyle w:val="Heading6"/>
        <w:numPr>
          <w:ilvl w:val="5"/>
          <w:numId w:val="1"/>
        </w:numPr>
        <w:rPr/>
      </w:pPr>
      <w:bookmarkStart w:id="303" w:name="__RefHeading___Toc10000251_2142443653"/>
      <w:bookmarkStart w:id="304" w:name="_Toc113"/>
      <w:bookmarkEnd w:id="303"/>
      <w:r>
        <w:rPr>
          <w:rtl w:val="true"/>
        </w:rPr>
        <w:t>الأمر بالمركب بعد رفع التكليف الضمني</w:t>
      </w:r>
      <w:bookmarkEnd w:id="304"/>
    </w:p>
    <w:p>
      <w:pPr>
        <w:pStyle w:val="BookText"/>
        <w:rPr/>
      </w:pPr>
      <w:r>
        <w:rPr>
          <w:rFonts w:ascii="Amiri" w:hAnsi="Amiri" w:eastAsia="Amiri" w:cs="Amiri"/>
          <w:color w:val="111111"/>
          <w:sz w:val="28"/>
          <w:sz w:val="28"/>
          <w:szCs w:val="28"/>
          <w:rtl w:val="true"/>
          <w:lang w:bidi="ar-SA"/>
        </w:rPr>
        <w:t xml:space="preserve">فلو أكره المكلف على ترك السورة في الصلاة،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يرفع الوجوب الضمني، ولكن هل يبقى الأمر بالباقي من المركب، مع قطع النظر عن الدليل الخارجي، كما في عدم تبعض الصيام وعدم ترك الصلاة، حيث لا تترك بحال كما هو المستفاد من أحاديث متفرقة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0000253_2142443653"/>
      <w:bookmarkStart w:id="306" w:name="_Toc114"/>
      <w:bookmarkEnd w:id="305"/>
      <w:r>
        <w:rPr>
          <w:rtl w:val="true"/>
        </w:rPr>
        <w:t>نظرية عدم بقاء الأمر بالمركب</w:t>
      </w:r>
      <w:bookmarkEnd w:id="306"/>
    </w:p>
    <w:p>
      <w:pPr>
        <w:pStyle w:val="BookText"/>
        <w:rPr/>
      </w:pPr>
      <w:r>
        <w:rPr>
          <w:rFonts w:ascii="Amiri" w:hAnsi="Amiri" w:eastAsia="Amiri" w:cs="Amiri"/>
          <w:color w:val="111111"/>
          <w:sz w:val="28"/>
          <w:sz w:val="28"/>
          <w:szCs w:val="28"/>
          <w:rtl w:val="true"/>
          <w:lang w:bidi="ar-SA"/>
        </w:rPr>
        <w:t>يرى السيد الخوئي عدم بقاء الأمر بالمركب، فلا يجب عليه الإتيان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التحقيق عدم الوجوب إلا بدليل خارج؛ لأنَّ الأمر الضمني تابع حدوثاً وبقاء لأصل التكليف المتعلق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التكليف بالمجموع للاضطرار كان التكليف ببقية الأجزاء محتاجاً إلى دليل آخر</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في المقام أمران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بالمركب الواجد،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بالمركب الفاقد</w:t>
      </w:r>
      <w:r>
        <w:rPr>
          <w:rFonts w:eastAsia="Amiri" w:cs="Amiri" w:ascii="Amiri" w:hAnsi="Amiri"/>
          <w:color w:val="111111"/>
          <w:sz w:val="28"/>
          <w:szCs w:val="28"/>
          <w:rtl w:val="true"/>
          <w:lang w:bidi="ar-SA"/>
        </w:rPr>
        <w:t xml:space="preserve">. </w:t>
      </w:r>
      <w:bookmarkStart w:id="307" w:name="pg15601_166966"/>
    </w:p>
    <w:p>
      <w:pPr>
        <w:pStyle w:val="BookText"/>
        <w:rPr/>
      </w:pPr>
      <w:bookmarkEnd w:id="307"/>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بالصلاة مع القراءة مرفوع قطعاً بحديث الرفع؛ لأنّ المفروض أنه مكره على ترك القراءة، فيكون الأمر بالمركب الواجد للجزء المضطر إليه غير موجود، لرفع الاضطرار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الأمر بالمركب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الأمر بالمركب ساقط لطرو الاضطرار أو النسيان على بعض الأجزاء أو الشرائط</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0000255_2142443653"/>
      <w:bookmarkStart w:id="309" w:name="_Toc115"/>
      <w:bookmarkEnd w:id="308"/>
      <w:r>
        <w:rPr>
          <w:rtl w:val="true"/>
        </w:rPr>
        <w:t>مناقشة النظرية المذكورة</w:t>
      </w:r>
      <w:bookmarkEnd w:id="309"/>
    </w:p>
    <w:p>
      <w:pPr>
        <w:pStyle w:val="BookText"/>
        <w:rPr/>
      </w:pPr>
      <w:r>
        <w:rPr>
          <w:rFonts w:ascii="Amiri" w:hAnsi="Amiri" w:eastAsia="Amiri" w:cs="Amiri"/>
          <w:color w:val="111111"/>
          <w:sz w:val="28"/>
          <w:sz w:val="28"/>
          <w:szCs w:val="28"/>
          <w:rtl w:val="true"/>
          <w:lang w:bidi="ar-SA"/>
        </w:rPr>
        <w:t>ولكنه يحتاج إلى تأمل، ففي المقام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المتضمن لوجوب المركب،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المتكفل بجزئية الجزء وشرطية الشرط،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وهو مطلق يشمل حالة الجهل والعلم والنسيان والتذكر والإكراه وعدمه، وحديث الرفع ينظر إلى الدليل الثاني ويخصصه أو يقيده؛ لأن المضطر إليه جزء، فتكون فاتحة الكتاب مرفوعة بحديث الرفع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ووزانه وزان التخصيص المتصل لدليل الجزئية،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مفاد الدليل </w:t>
      </w:r>
      <w:bookmarkStart w:id="310" w:name="pg15601_166968"/>
    </w:p>
    <w:p>
      <w:pPr>
        <w:pStyle w:val="BookText"/>
        <w:rPr/>
      </w:pPr>
      <w:bookmarkEnd w:id="310"/>
      <w:r>
        <w:rPr>
          <w:rFonts w:ascii="Amiri" w:hAnsi="Amiri" w:eastAsia="Amiri" w:cs="Amiri"/>
          <w:color w:val="111111"/>
          <w:sz w:val="28"/>
          <w:sz w:val="28"/>
          <w:szCs w:val="28"/>
          <w:rtl w:val="true"/>
          <w:lang w:bidi="ar-SA"/>
        </w:rPr>
        <w:t>الثاني الجزئية في حالة الاختيار، فلا جزئية في الاضطرار، فوزان الرفع المنفصل وزان الاستثناء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الاستثناء المتصل يخصص الجزئية بحالة الاختيار، كذلك حديث الرفع، غاية الأمر أنَّ هذا استثناء متصل وذاك استثناء منفصل، فلم يجعل حكم جزئية السورة في حالة الاضطرار، ويتكفل الدليل الأول المتضمن للأمر بالمركب وافياً بالباقي، فلا نحتاج إلى الاستدلال لإثبات المدعى بالتمسك بالميسور،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أو بأنّ الصلاة لا تترك بحال،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بحاجة إلى تأمل أكثر</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0000257_2142443653"/>
      <w:bookmarkStart w:id="312" w:name="_Toc116"/>
      <w:bookmarkEnd w:id="311"/>
      <w:r>
        <w:rPr>
          <w:rtl w:val="true"/>
        </w:rPr>
        <w:t xml:space="preserve">مباحث في </w:t>
      </w:r>
      <w:r>
        <w:rPr>
          <w:rtl w:val="true"/>
        </w:rPr>
        <w:t>(</w:t>
      </w:r>
      <w:r>
        <w:rPr>
          <w:rtl w:val="true"/>
        </w:rPr>
        <w:t>ما لا يعلمون</w:t>
      </w:r>
      <w:r>
        <w:rPr>
          <w:rtl w:val="true"/>
        </w:rPr>
        <w:t>)</w:t>
      </w:r>
      <w:bookmarkEnd w:id="312"/>
    </w:p>
    <w:p>
      <w:pPr>
        <w:pStyle w:val="Heading6"/>
        <w:numPr>
          <w:ilvl w:val="5"/>
          <w:numId w:val="1"/>
        </w:numPr>
        <w:rPr/>
      </w:pPr>
      <w:bookmarkStart w:id="313" w:name="__RefHeading___Toc10000259_2142443653"/>
      <w:bookmarkStart w:id="314" w:name="_Toc11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وهنالك مباحث متعددة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الرفع</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0000261_2142443653"/>
      <w:bookmarkStart w:id="316" w:name="_Toc118"/>
      <w:bookmarkEnd w:id="315"/>
      <w:r>
        <w:rPr>
          <w:rtl w:val="true"/>
        </w:rPr>
        <w:t>المبحث الأول</w:t>
      </w:r>
      <w:r>
        <w:rPr>
          <w:rtl w:val="true"/>
        </w:rPr>
        <w:t xml:space="preserve">: </w:t>
      </w:r>
      <w:r>
        <w:rPr>
          <w:rtl w:val="true"/>
        </w:rPr>
        <w:t>عموم الرفع للشبهات الحكمية والموضوعية</w:t>
      </w:r>
      <w:bookmarkEnd w:id="316"/>
    </w:p>
    <w:p>
      <w:pPr>
        <w:pStyle w:val="BookText"/>
        <w:rPr/>
      </w:pPr>
      <w:r>
        <w:rPr>
          <w:rFonts w:ascii="Amiri" w:hAnsi="Amiri" w:eastAsia="Amiri" w:cs="Amiri"/>
          <w:color w:val="111111"/>
          <w:sz w:val="28"/>
          <w:sz w:val="28"/>
          <w:szCs w:val="28"/>
          <w:rtl w:val="true"/>
          <w:lang w:bidi="ar-SA"/>
        </w:rPr>
        <w:t>في عموم الرفع للشبهات الحكمية والموضوعية، وفي المقام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خاص بالفعل الخارجي، بمعنى رفع فعل أو موضوع لا يعلمونه،كما لو لم يعلم أن المائع الخارجي خمر أو خل، فالرفع متعلق بالموضوع الخارجي المجهول، فيكون الحديث خاصاً بالشبهات الموضوعية، التي يكون المنشأ فيها اختلاط الأمور، وإبهام الواقع الخارجي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بالموصول خصوص الحكم،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لا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المجهولة لشرب التتن مرفوعة، فيكون الحديث خاصاً بالشبهات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الموصول عاماً للشبهات الحكمية والموضوعية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اختصاص حديث الرفع بالشبهات الموضوعية</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w:t>
      </w:r>
    </w:p>
    <w:p>
      <w:pPr>
        <w:pStyle w:val="BookText"/>
        <w:rPr/>
      </w:pPr>
      <w:r>
        <w:rPr>
          <w:rFonts w:ascii="Amiri" w:hAnsi="Amiri" w:eastAsia="Amiri" w:cs="Amiri"/>
          <w:color w:val="111111"/>
          <w:sz w:val="28"/>
          <w:sz w:val="28"/>
          <w:szCs w:val="28"/>
          <w:rtl w:val="true"/>
          <w:lang w:bidi="ar-SA"/>
        </w:rPr>
        <w:t>فقد تكرر الموصول في الحديث الشريف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الخارجي، يعني شرب الخمر، ولا معنى للاضطرار إلى الحكم،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مضطر إلى الوجوب أو التحريم،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الإكراه الفعل الخارجي، ولا معنى للإكراه على الحكم،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لا يطيقونه، فالسياق يدل على أن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لا يعلمونه، أي الفعل المبهم والمجهول الحال لا الحكم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 أنه خل أو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بلحاظ رفع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في المراد من اللفظة الواحدة المتكرّرة ضار بوحدة السياق إذا كان في مرحلة الإرادة الاستعمالية، والتفكيك في المقام في مرحلة الإرادة الجدية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إرادتان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الاستعمالية والإرادة الجدية، والتفكيك بين فقرات الكلام الواحد مخل بالظهور السياقي إذا كان في مرحلة الإرادة الاستعمالية، </w:t>
      </w:r>
    </w:p>
    <w:p>
      <w:pPr>
        <w:pStyle w:val="BookText"/>
        <w:rPr/>
      </w:pPr>
      <w:r>
        <w:rPr>
          <w:rFonts w:ascii="Amiri" w:hAnsi="Amiri" w:eastAsia="Amiri" w:cs="Amiri"/>
          <w:color w:val="111111"/>
          <w:sz w:val="28"/>
          <w:sz w:val="28"/>
          <w:szCs w:val="28"/>
          <w:rtl w:val="true"/>
          <w:lang w:bidi="ar-SA"/>
        </w:rPr>
        <w:t>فإن أُريد بأحد الدالين شيء بالإرادة الاستعمالية، وأريد بالدال الآخر شيء آخر فهو خلاف الظاهر، ولكن لو كان التفكيك بلحاظ الإرادة الجدية للمتكلم فهو ليس خلاف الظهور السياقي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قبيل الثاني؛ لأن الإرادة الاستعمالية متحدة في جميع الفقرات، فالموصول وضع لمعنى مبهم يرادف الشيء،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رفع شيء أكرهوا عليه أو اضطروا إليه أو 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بلحاظ مرحلة الإرادة الجدية فإنّ مراد المولى من بقية الفقرات هو الموضوع، ومن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تفكيك في مرحلة الإرادة الاستعمالية، وإنما استعمل اللفظ فيما وضع له لغة، والاختلاف والتفكيك في مرحة الارادة الجدية، وهو لا يضر بالظهور السياقي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التفكيك في مرحلة الإرادة الاستعمالية فهو مخل بالظهور السياقي، أما لو كان في مرحلة الإرادة الجدية فلا،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المنتقى</w:t>
      </w:r>
      <w:r>
        <w:rPr>
          <w:rStyle w:val="FootnoteAnchor"/>
          <w:rtl w:val="true"/>
        </w:rPr>
        <w:footnoteReference w:id="817"/>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المدعى، فإن التفكيك بين التفكيكين غير واضح، ولم يقم عليه برهان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التفكيك بين التفكيكين، لكن التفكيك في حديث الرفع أنما هو في الإرادة الإستعمالية لا الجدية، فإنّ القرينة المنفصلة لا تؤثر في مرحلة الإرادة الاستعمالية بخلاف القرينة المتصلة، وفيما لا يطيقون وما </w:t>
      </w:r>
    </w:p>
    <w:p>
      <w:pPr>
        <w:pStyle w:val="BookText"/>
        <w:rPr/>
      </w:pPr>
      <w:r>
        <w:rPr>
          <w:rFonts w:ascii="Amiri" w:hAnsi="Amiri" w:eastAsia="Amiri" w:cs="Amiri"/>
          <w:color w:val="111111"/>
          <w:sz w:val="28"/>
          <w:sz w:val="28"/>
          <w:szCs w:val="28"/>
          <w:rtl w:val="true"/>
          <w:lang w:bidi="ar-SA"/>
        </w:rPr>
        <w:t>اضطروا إليه وما أكرهوا عليه وإن كان الموصول من ألفاظ العموم، ويرادف الشيء</w:t>
      </w:r>
      <w:r>
        <w:rPr>
          <w:rStyle w:val="FootnoteAnchor"/>
          <w:rtl w:val="true"/>
        </w:rPr>
        <w:footnoteReference w:id="818"/>
      </w:r>
      <w:r>
        <w:rPr>
          <w:rFonts w:ascii="Amiri" w:hAnsi="Amiri" w:eastAsia="Amiri" w:cs="Amiri"/>
          <w:color w:val="111111"/>
          <w:sz w:val="28"/>
          <w:sz w:val="28"/>
          <w:szCs w:val="28"/>
          <w:rtl w:val="true"/>
          <w:lang w:bidi="ar-SA"/>
        </w:rPr>
        <w:t xml:space="preserve">، إلا أن الصلة لو كانت خاصة لأخلت بالعموم، فلا يمكن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بل متعلقه الموضوع الخارجي، فهذه الصلة تتصرف في عموم الموصول، وتفيد أن المراد في مرحلة الإرادة الاستعمالية من الموصول خصوص الموضوع 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القرينة متصلة فهي تتصرف في الإرادة الاستعمالية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المراد بالإرادة الاستعمالية في الثلاثة الموضوع،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يستلزم التفكيك والإخلال بالظهور السياقي، فلا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بالموضوع حفاظاً على الظهور السياقي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في المراد من الموصول في المقام ليس في مرحلة الإرادة الجدية أو الاستعمالية، بل التفكيك في المصاديق الخارجية، وهذا المقدار لا يخل بوحدة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كما يرد على أصل الإشكال يتضمن التأمل في جوابي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في السياق واختلاف الدالين يمكن أن يفترض على ثلاثة أنواع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 أن يفترض اختلاف الدالين في المدلول الاستعمالي، كما في باب الالتفات والذي يعتبر من المحسنات البلاغية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وللغزالة</w:t>
      </w:r>
      <w:r>
        <w:rPr>
          <w:rStyle w:val="FootnoteAnchor"/>
          <w:rtl w:val="true"/>
        </w:rPr>
        <w:footnoteReference w:id="819"/>
      </w:r>
      <w:r>
        <w:rPr>
          <w:rFonts w:ascii="Amiri" w:hAnsi="Amiri" w:eastAsia="Amiri" w:cs="Amiri"/>
          <w:color w:val="111111"/>
          <w:sz w:val="28"/>
          <w:sz w:val="28"/>
          <w:szCs w:val="28"/>
          <w:rtl w:val="true"/>
          <w:lang w:bidi="ar-SA"/>
        </w:rPr>
        <w:t>شيء من تلفته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ونورها من ضيا خديه مكتسب</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فقد اختل الظهور السياقي؛ لأنَّ الغزالة استخدمت في المصرع الأول بمعنى الحيوان المعروف، وفي الثاني بمعنى الشمس، فهذا التفكيك يرتبط بمرحلة الإرادة الاستعمالية؛ لأنَّ المتكلم استعمل اللفظ بمعنيين، وهو خلاف الظهور السياقي؟</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في مرحلة المدلول الجدي،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فاختلف السياق؛ لأنَّ المراد الجدي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والمراد الجدي ببعولتهن خصوص المطلقات الرجعيات، فحصل التفكيك في المراد من المطلقات في السياق الواحد، فإنّ إرادة الخاص من العام لا يرتبط بمرحلة الإرادة الاستعمالية، كما هو ثابت في محله، بل المراد الاستعمالي هو هو، ولذا لا يستلزم المجازية من التخصيص، لكن يعرف من القرائن الخارجية أنَّ الإرادة الجدية للمولى مختلفة عن الإرادة الاستعمالية، فالإرادة الجدية الخصوص، والإرادة الاستعمالية العموم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الاختلاف في مرحلة الإرادة الاستعمالية والجدية، بل الاختلاف والتفكيك في المصاديق، ولا شبهة في عدم </w:t>
      </w:r>
    </w:p>
    <w:p>
      <w:pPr>
        <w:pStyle w:val="BookText"/>
        <w:rPr/>
      </w:pPr>
      <w:r>
        <w:rPr>
          <w:rFonts w:ascii="Amiri" w:hAnsi="Amiri" w:eastAsia="Amiri" w:cs="Amiri"/>
          <w:color w:val="111111"/>
          <w:sz w:val="28"/>
          <w:sz w:val="28"/>
          <w:szCs w:val="28"/>
          <w:rtl w:val="true"/>
          <w:lang w:bidi="ar-SA"/>
        </w:rPr>
        <w:t>الإخلال بالظهور أصلاً، ومعه ينتفي أصل الإشكال وجوابا المنتقى، حيث إنّه فرض التفكيك في مرحلة الإرادة الجدية أو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فيما تأكل وفيما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أربع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والإرادة الاستعمالية والإرادة الجدية والمصداق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فالواضع 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وقد استخدمت في الموضوع له في مرحلة الإرادة الاستعمالية،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الشيء الذي تأكله، فالإرادة الاستعمالية مطابقة للوضع اللغوي، والمراد في مرحلة الإرادة الجدية نفس المراد بالإرادة الاستعمالية</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تفكيك في هذه المراحل، بل التفكيك يتحقق في مرحلة المصداق، فمصداق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فيما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فالاختلاف في المصداق لا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زيد فهو لوارثه، وما ترك عمرو فهو لوارثه، وما ترك خالد فهو لوارثه</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والمصداق الخارجي في الأول المال، وفي الثاني الأرض، وفي الثالث الشجر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يختل السياق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الاختلاف في المنطبق عليه والمصداق الخارجي، ولا يلزم الوحدة فيه، وهو لا يرتبط بالوضع والإرادتين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كل شيء اضطروا إليه لغة، وإرادة استعمالية وإرادة جدية، وكذا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الأمر أنّ مصداقها الأفعال لا الأحكام،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فمصداقه الحكم والموضوع، والجامع بينها المجهولية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يرتفع إشكال اختلال السياق؛ لكون التفكيك في مرحلة المصداق لا في مرحلة المدلول الاستعمالي أو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824"/>
      </w:r>
      <w:r>
        <w:rPr>
          <w:rFonts w:ascii="Amiri" w:hAnsi="Amiri" w:eastAsia="Amiri" w:cs="Amiri"/>
          <w:color w:val="111111"/>
          <w:sz w:val="28"/>
          <w:sz w:val="28"/>
          <w:szCs w:val="28"/>
          <w:rtl w:val="true"/>
          <w:lang w:bidi="ar-SA"/>
        </w:rPr>
        <w:t>تبعاً للمحقق العراقي</w:t>
      </w:r>
      <w:r>
        <w:rPr>
          <w:rStyle w:val="FootnoteAnchor"/>
          <w:rtl w:val="true"/>
        </w:rPr>
        <w:footnoteReference w:id="825"/>
      </w:r>
      <w:r>
        <w:rPr>
          <w:rFonts w:ascii="Amiri" w:hAnsi="Amiri" w:eastAsia="Amiri" w:cs="Amiri"/>
          <w:color w:val="111111"/>
          <w:sz w:val="28"/>
          <w:sz w:val="28"/>
          <w:szCs w:val="28"/>
          <w:rtl w:val="true"/>
          <w:lang w:bidi="ar-SA"/>
        </w:rPr>
        <w:t>من أنه لا صلاحية لبعض أفراد التسعة أن يكون المرفوع فيها الحكم، كما في رفع الطيرة والتفكر في الوسوسة في الخلق والحسد، فإنّ المرفوع فيها الحكم لا الموضوع، وأما في الخطأ والنسيان فيمكن أن يكون المرفوع الحكم، كما يمكن أن يكون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سياق واحد لحديث الرفع، فمتعلق الرفع في بعضها الموضوع كالاضطرار، وفي بعضها الحكم كالطيرة، وفي بعضها يحتمل الأمران كالخطأ والنسيان، فلا اضطرار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الموضوع المجهول للسياق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مانع من تعلق الرفع في الطيرة والحسد والتفكر في الوسوسة في الخلق بالموضوع الخارجي؛ لما سبق من أنّ الرفع عنائي وتشريعي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الرفع تكوينياً لم يعقل تعلقه بالموضوع الخارجي، أما في المقام حيث الرفع عنائي ادعائي تشريعي فلا مانع منه،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826"/>
      </w:r>
      <w:r>
        <w:rPr>
          <w:rFonts w:ascii="Amiri" w:hAnsi="Amiri" w:eastAsia="Amiri" w:cs="Amiri"/>
          <w:color w:val="111111"/>
          <w:sz w:val="28"/>
          <w:sz w:val="28"/>
          <w:szCs w:val="28"/>
          <w:rtl w:val="true"/>
          <w:lang w:bidi="ar-SA"/>
        </w:rPr>
        <w:t xml:space="preserve">من أنّ حمل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الشبهات الموضوعية لوحدة السياق موجب لمخالفة السياق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التعارض بين السياقين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يقتضيه نفس الموصول، ومقتضاه اختصاص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بالشبهات الموضوعية، وسياق يقتضيه الوصف العارض، ومقتضاه اختصاص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بالشبهات الحكمية؛ لأنّ المراد من الموصول في بقية الفقرات ما كان بنفسه معروض الوصف المأخوذ في الصلة، فالاضطرار والإكراه طارئ على نفس الفعل، أي شرب الخمر والطلاق، فالوصف المنتزع من الصلة وصف للفعل الخارجي بحاله لا بحال متعلقه، فنفس الطلاق موصوف بأنّه طلاق إكراهي، وشرب الخمر موصوف بأنه شرب مضطر إليه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حمل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الخارجي لكان مخالفاً للظهور السياقي؛ لأنه يكون وصفاً بحال المتعلق لا بحال نفسه، فالجهل لم يعرض على الفعل الخارجي، وهو شرب المائع المردد، وإنما عرض على عنوانه، أي شرب المائع الخارجي المجهول عنوانه، حيث لا يعلم أنَّ عنوانه شرب الخل أو الخمر، فليس الفعل مجهولاً، بل عنوانه </w:t>
      </w:r>
    </w:p>
    <w:p>
      <w:pPr>
        <w:pStyle w:val="BookText"/>
        <w:rPr/>
      </w:pPr>
      <w:r>
        <w:rPr>
          <w:rFonts w:ascii="Amiri" w:hAnsi="Amiri" w:eastAsia="Amiri" w:cs="Amiri"/>
          <w:color w:val="111111"/>
          <w:sz w:val="28"/>
          <w:sz w:val="28"/>
          <w:szCs w:val="28"/>
          <w:rtl w:val="true"/>
          <w:lang w:bidi="ar-SA"/>
        </w:rPr>
        <w:t xml:space="preserve">مجهول، أي رفع فعل لا يعلمون عنوانه، فاختل السياق؛ لأنَّ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رفع فعل أكرهوا على ذاته،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فعل لا يعلمون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حمل الموصول على الحكم يكون الوصف وصفاً بحال نفسه لا بحال متعلقه، حيث ترفع حرمة شرب التتن المجهولة بنفسها، أي رفع حكم لا يعلمونه، فالسياق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والرفع يتواردان على شيء واحد، وهو الطلاق، وكذا الاضطرار والرفع في شرب الخمر، فلو كان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لكان السياق محفوظاً، فمتعلق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والمرفوع هو الحكم أيضاً، لكن مع اختصاصه بالشبهات الموضوعية لا يتوارد الرفع والجهل على شيء واحد، ويختل السياق؛ لكون الجهل متعلقاً بعنوان شرب الخمر في شرب المائع المردد كونه خمراً أو خلاً، والمرفوع نفس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اختلال السياق من إحدى الجهتين، حيث يتعارضان، والترجيح عرفاً مع ما ذكرناه من كون الوصف المنتزع من الصلة وصفاً بحال نفسه لا بحال متعلقه، لا أقل من الإجمال على أثر تعارض السياقين، فيكون المراد من الموصول مجملاً لا يعلم أنه الموضوع أو الحكم، ومعه لا يمكن الاستدلال بوحدة السياق لاختصاص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بالشبهات الموضوعية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الجواب عنه من مطاوي كلمات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المراد من الموصول هو الفعل فلا محالة ليس إلا موضوع الحكم، فإنه الذي يكون يرفع الحكم برفعه دون الفعل الذي ليس موضوعاً للحكم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المائع وشرب الخمر،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موضوعاً للحكم حتى يرفع حكمه برفع الموضوع،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الحكم فيرفع الحكم برفع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المائع المجهول عنوانه مرفوع، وإنما شرب الخمر المجهول كونه شرب خمر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العراقي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المائع المجهول عنوانه مرفوع، لكان الرفع متعلقاً بالشرب والجهل بالعنوان، فلم يتوارد الرفع والجهل على شيء واحد، وهو خلاف سياق الحديث؛ لأنَّ ظاهره كون المرفوع عين ما طرأ عليه الوصف، لكن لو كان مفاد الحديث شرب الخمر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المجهول كونه شرب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توارد الرفع والجهل على شيء واحد، ولم يختل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فعندنا ثلاثة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المائع المجهول عنوانه، وشرب الخمر، وشرب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المائع المردد إما أن ينطبق عليه شرب الخل فهو حلال، وإما أن ينطبق عليه شرب الخمر فشرب الخمر المجهول حلال أيضاً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المنفصلة الحقيقة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المائع إما خل أو خمر، وعلى </w:t>
      </w:r>
    </w:p>
    <w:p>
      <w:pPr>
        <w:pStyle w:val="BookText"/>
        <w:rPr/>
      </w:pPr>
      <w:r>
        <w:rPr>
          <w:rFonts w:ascii="Amiri" w:hAnsi="Amiri" w:eastAsia="Amiri" w:cs="Amiri"/>
          <w:color w:val="111111"/>
          <w:sz w:val="28"/>
          <w:sz w:val="28"/>
          <w:szCs w:val="28"/>
          <w:rtl w:val="true"/>
          <w:lang w:bidi="ar-SA"/>
        </w:rPr>
        <w:t>كل تقدير شرب هذا المائع المجهول الحال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قبول نتيجة ما ذكره المحقق الإصفهاني، لكن يرد على بيانه أنه لو كان مراده من الحكم، الحكم المحقق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المائع ليس موضوعاً للحكم، 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أعمّ من الحكم المحقق والمقدر، فشرب المائع الخارجي المجهول العنوان محل الحكم المقدر، والشارع بحديث الرفع يرفع الحكم المقدر، ولا يلزم في الرفع أن يكون المرفوع محققاً بالفعل، بل للشارع أن يرفع الحكم الاقتضائي، كما في رفع القلم عن الصبي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فيمكن للمولى أن يرفع شرب المائع الخارجي المجهول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ذهب إليه في النهاية من عدم الإمكان؛ لعدم كونه موضوعاً لحكم حتى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من أنَّ إطلاق الرفع أنما هو باعتبار وجود المقتضي للحكم، كما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حكم محقق للفعل الذي لا يطيقونه حتى يرفعه الشارع، بل أمكن للشارع أن يحكم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يحكم، فعبر عنه بما لا يطيقون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نقرر البيان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الشارع شرب الخمر المجهول مرفوع، ونطبقه بنحو المنفصلة الحقيقية على شرب المائع الخارجي المجهول العنوان، فلا يلزم اختلال السياق، ويمكن مع انحفاظ وحدة السياق بلحاظ الوصف العارض أن نطبق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الشبهات الموضوعية، </w:t>
      </w:r>
    </w:p>
    <w:p>
      <w:pPr>
        <w:pStyle w:val="BookText"/>
        <w:rPr/>
      </w:pPr>
      <w:r>
        <w:rPr>
          <w:rFonts w:ascii="Amiri" w:hAnsi="Amiri" w:eastAsia="Amiri" w:cs="Amiri"/>
          <w:color w:val="111111"/>
          <w:sz w:val="28"/>
          <w:sz w:val="28"/>
          <w:szCs w:val="28"/>
          <w:rtl w:val="true"/>
          <w:lang w:bidi="ar-SA"/>
        </w:rPr>
        <w:t>فما ذكره المحقق العراقي</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تطبيق حديث الرفع على الشبهات الموضوعية مع لحاظ انحفاظ وحدة السياق بلحاظ الوصف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مع التخريج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السياق وعدمها</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المنهاج</w:t>
      </w:r>
      <w:r>
        <w:rPr>
          <w:rStyle w:val="FootnoteAnchor"/>
          <w:rtl w:val="true"/>
        </w:rPr>
        <w:footnoteReference w:id="830"/>
      </w:r>
      <w:r>
        <w:rPr>
          <w:rFonts w:ascii="Amiri" w:hAnsi="Amiri" w:eastAsia="Amiri" w:cs="Amiri"/>
          <w:color w:val="111111"/>
          <w:sz w:val="28"/>
          <w:sz w:val="28"/>
          <w:szCs w:val="28"/>
          <w:rtl w:val="true"/>
          <w:lang w:bidi="ar-SA"/>
        </w:rPr>
        <w:t>من عدم حجية السياق، بل يلاحظ إطلاق كل 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 لوجود ثلاث حالات في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للسياق مدخلية في تكوين الظهور السياقي، ولا إشكال في حجيته ولا فرق في المنشأ، فلو كان السياق منشأ للظهور فهو حجة باعتبار حجية منشئه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ورد في حاشية المعالم</w:t>
      </w:r>
      <w:r>
        <w:rPr>
          <w:rStyle w:val="FootnoteAnchor"/>
          <w:rtl w:val="true"/>
        </w:rPr>
        <w:footnoteReference w:id="831"/>
      </w:r>
      <w:r>
        <w:rPr>
          <w:rFonts w:ascii="Amiri" w:hAnsi="Amiri" w:eastAsia="Amiri" w:cs="Amiri"/>
          <w:color w:val="111111"/>
          <w:sz w:val="28"/>
          <w:sz w:val="28"/>
          <w:szCs w:val="28"/>
          <w:rtl w:val="true"/>
          <w:lang w:bidi="ar-SA"/>
        </w:rPr>
        <w:t>، حيث ذكر للأمر خمسة عشر معنى، ويستظهر كل مورد من السياق، فمع لحاظه تكون صيغة الأمر ظاهرة في الإباحة،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أو في التهديد،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أو في التعجيز،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أو التمني،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أيها الليل الطويل ألا انجلي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بصبح وما الإصباح منك بأمثل</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وقد نقل عن السيد البروجردي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ملاحظة السياق، فلو كان السياق حول الدعاء، كما في قضية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الإمام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معنى، ولو كان السياق حول شراء الدار، لكان له معنى متفاوت، فالكلمة واحدة لكن السياق يسبب تعدد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للسياق مدخلية في الإجمال السياقي، فيسقط الظهور ويصبح الكلام مجملاً، حيث للكلام ظهور في حد ذاته،لكن مع الاحتفاف بالسياق ينقلب الظهور إلى الإجمال،كما في الاستثناء المتعقب للجمل المتعددة،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وأضف الخطباء واحترم التجار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 الاستثناء إلى الجملة الأخيرة متيقن، وإلى ما قبلها مشكوك، ولذا قال جمع</w:t>
      </w:r>
      <w:r>
        <w:rPr>
          <w:rStyle w:val="FootnoteAnchor"/>
          <w:rtl w:val="true"/>
        </w:rPr>
        <w:footnoteReference w:id="836"/>
      </w:r>
      <w:r>
        <w:rPr>
          <w:rFonts w:ascii="Amiri" w:hAnsi="Amiri" w:eastAsia="Amiri" w:cs="Amiri"/>
          <w:color w:val="111111"/>
          <w:sz w:val="28"/>
          <w:sz w:val="28"/>
          <w:szCs w:val="28"/>
          <w:rtl w:val="true"/>
          <w:lang w:bidi="ar-SA"/>
        </w:rPr>
        <w:t>بالعموم في ما قبل الأخير، بينما قال آخرون بالإجمال للاستثناء المتصل الصالح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ولا أثر للسياق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السياق حجة مطلقاً أو غير حجة مطلقاً، وإنما السياق قد يكون مؤثراً في الظهور، وقد يكون مؤثراً في الإجمال، وقد لا يكون مؤثراً مطلقاً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مراده ما ذكرناه فنعم الوفاق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الرفع أمراً ثقيلاً</w:t>
      </w:r>
    </w:p>
    <w:p>
      <w:pPr>
        <w:pStyle w:val="BookText"/>
        <w:rPr/>
      </w:pPr>
      <w:r>
        <w:rPr>
          <w:rFonts w:ascii="Amiri" w:hAnsi="Amiri" w:eastAsia="Amiri" w:cs="Amiri"/>
          <w:color w:val="111111"/>
          <w:sz w:val="28"/>
          <w:sz w:val="28"/>
          <w:szCs w:val="28"/>
          <w:rtl w:val="true"/>
          <w:lang w:bidi="ar-SA"/>
        </w:rPr>
        <w:t>يقتضي مفهوم الرفع أن يكون متعلقه أمراً ثقيلاً، هذا بعنوان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التكليف هنالك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المولى وفعل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الصادر عن المولى لا ثقل فيه على المكلف، بل الثقل في فعل المكلف، فيكون المرفوع هو الشيء الثقيل ، فيختص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بالشبهات الموضوعية دون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الحكم سبب الثقل صح الإسناد إلى السبب، فالذي أوقع المكلف في الفعل الثقيل هو حكم المولى،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المولى ثقيل باعتبار أنه سبب للثقل، وبهذا الاعتبار يصح إسناد الفعل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تمامية الجواب مبتنية على القول بكون الإسناد إلى السبب إسناد حقيقي، ولا يمكن التسليم به على نحو الكبرى الكلية، فهل كل فعل نسب إلى فاعل حقيقة ينسب إلى سببه كذلك أم يكون الإسناد مجازياً؟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المباشر للقتل، لكن لا يصح ذلك فيما لو كان سبباً إلاّ على نحو المجاز والمسامحة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نقضي ذكره بعض المعاصرين</w:t>
      </w:r>
      <w:r>
        <w:rPr>
          <w:rStyle w:val="FootnoteAnchor"/>
          <w:rtl w:val="true"/>
        </w:rPr>
        <w:footnoteReference w:id="838"/>
      </w:r>
      <w:r>
        <w:rPr>
          <w:rFonts w:ascii="Amiri" w:hAnsi="Amiri" w:eastAsia="Amiri" w:cs="Amiri"/>
          <w:color w:val="111111"/>
          <w:sz w:val="28"/>
          <w:sz w:val="28"/>
          <w:szCs w:val="28"/>
          <w:rtl w:val="true"/>
          <w:lang w:bidi="ar-SA"/>
        </w:rPr>
        <w:t>،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ذكر تاماً لم يصح إسناد الثقل إلى الحكم مطلقاً، مع ورود ذلك في </w:t>
      </w:r>
    </w:p>
    <w:p>
      <w:pPr>
        <w:pStyle w:val="BookText"/>
        <w:rPr/>
      </w:pPr>
      <w:r>
        <w:rPr>
          <w:rFonts w:ascii="Amiri" w:hAnsi="Amiri" w:eastAsia="Amiri" w:cs="Amiri"/>
          <w:color w:val="111111"/>
          <w:sz w:val="28"/>
          <w:sz w:val="28"/>
          <w:szCs w:val="28"/>
          <w:rtl w:val="true"/>
          <w:lang w:bidi="ar-SA"/>
        </w:rPr>
        <w:t>الذكر الحكيم،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فأسند الحرج إلى نفس الحكم مع كون الإطلاق حقيقياً، هذا في الرفع، وأما في الوضع،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فليس القول ثقيلاً، وإنما الثقل في متعلقه، ولا مجاز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الكبرى الكلية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فعل يسند إلى الشيء، أو يوصف به الشيء على نحو الحقيقة يسند إلى سببه، أو يوصف به سببه على نحو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الالتزام بالنقض والقول بالمجازية؛ لعدم ثقل في القول والحكم الحرجي، بل الحرج في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بأنّ الموصوف بالثقل المرفوع في الحديث هو الفعل لا الحكم، إلا أنه لا يلازم اختصاص الرفع بالشبهات الموضوعية؛ لوجود فعلين أو تركين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فعل اشتبه حكمه الجزئي، كترك شرب مائع لا يعلم أنه خمر أو خل، وترك فعل اشتبه حكمه الكلي، كشرب التتن، فالمولى بحديث الرفع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رفعت الفعل أو الترك الثقيل، سواء أكان حكمه الجزئي مشتبهاً أم الكلي، فالحديث يعم الشبهات الموضوعية والحكمية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ما ذكر في الكبرى الكلية من لزوم تعلق الرفع بالشيء الثقيل، فالإباحة ليست حكماً، ولو كانت حكماً فليست حكماً ثقيلاً، وللمولى أن يقول على نحو الحقيقة إنني رفعتها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لكنها مناقشة لا تخل بالنتيجة، فالإشكال وارد على الكبرى الكلية، لكن يمكن أن يقال في خصوص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يلزم أن يكون أمراً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مقابل الرفع</w:t>
      </w:r>
    </w:p>
    <w:p>
      <w:pPr>
        <w:pStyle w:val="BookText"/>
        <w:rPr/>
      </w:pPr>
      <w:r>
        <w:rPr>
          <w:rFonts w:ascii="Amiri" w:hAnsi="Amiri" w:eastAsia="Amiri" w:cs="Amiri"/>
          <w:color w:val="111111"/>
          <w:sz w:val="28"/>
          <w:sz w:val="28"/>
          <w:szCs w:val="28"/>
          <w:rtl w:val="true"/>
          <w:lang w:bidi="ar-SA"/>
        </w:rPr>
        <w:t xml:space="preserve">الوضع مقابل الرفع، وكما أنَّ متعلق الوضع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أن يوضع الفعل على عهدة المكلف، ويمكن أن لا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إن يكون متعلق الرفع أيضاً كذلك، فيكون المرفوع الفعل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بعض المعاصرين</w:t>
      </w:r>
      <w:r>
        <w:rPr>
          <w:rStyle w:val="FootnoteAnchor"/>
          <w:rtl w:val="true"/>
        </w:rPr>
        <w:footnoteReference w:id="841"/>
      </w:r>
      <w:r>
        <w:rPr>
          <w:rFonts w:ascii="Amiri" w:hAnsi="Amiri" w:eastAsia="Amiri" w:cs="Amiri"/>
          <w:color w:val="111111"/>
          <w:sz w:val="28"/>
          <w:sz w:val="28"/>
          <w:szCs w:val="28"/>
          <w:rtl w:val="true"/>
          <w:lang w:bidi="ar-SA"/>
        </w:rPr>
        <w:t xml:space="preserve">من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الكريمات فيما كان متعلقه فعلاً لا حكماً،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فالموضوع وهو الرزق بالمعنى المصدري فعل الأب،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مع أنَّ الصيام فعل المكلف،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والحج فعله،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الروايات الشريفة،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القضاء</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الحج من قابل</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الأمر في جميع موارد الوضع وما يرادفه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الاستقراء غير تام، فقد استخدمت كلمة الرفع والوضع في فعل المولى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 فعل المولى، وهو رفع الحكم والكتابة والعبارة حقيقية، 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المجازي يعين الاختصاص</w:t>
      </w:r>
    </w:p>
    <w:p>
      <w:pPr>
        <w:pStyle w:val="BookText"/>
        <w:rPr/>
      </w:pPr>
      <w:r>
        <w:rPr>
          <w:rFonts w:ascii="Amiri" w:hAnsi="Amiri" w:eastAsia="Amiri" w:cs="Amiri"/>
          <w:color w:val="111111"/>
          <w:sz w:val="28"/>
          <w:sz w:val="28"/>
          <w:szCs w:val="28"/>
          <w:rtl w:val="true"/>
          <w:lang w:bidi="ar-SA"/>
        </w:rPr>
        <w:t>إسناد الرفع إلى الحكم إسناد إلى ما وضع له، فيكون إسناداً حقيقياً؛ لأنَّ الحكم مما تتطرق إليه يد الجعل وضعاً ورفعاً، لكن إسناد الرفع إلى الموضوع إسناد لغير ما وضع له؛ لأنَّ الرفع والوضع للفعل الخارجي ليس بيد الشارع 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 الفقرات المرفوع الفعل، فيكون إسناد الرفع إليها إسناداً مجازياً، ولو كان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صار الإسناد حقيقياً، فيجتمع في الكلام الواحد الإسناد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إمكان اجتماع الإسناد الحقيقي والمجازي في الكلام الواحد حالتان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هنالك إضافتان لشيء واحد، ولا مانع من اجتماع الإسناد الحقيقي والمجازي،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الماء والميزاب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فللفعل </w:t>
      </w:r>
    </w:p>
    <w:p>
      <w:pPr>
        <w:pStyle w:val="BookText"/>
        <w:rPr/>
      </w:pPr>
      <w:r>
        <w:rPr>
          <w:rFonts w:ascii="Amiri" w:hAnsi="Amiri" w:eastAsia="Amiri" w:cs="Amiri"/>
          <w:color w:val="111111"/>
          <w:sz w:val="28"/>
          <w:sz w:val="28"/>
          <w:szCs w:val="28"/>
          <w:rtl w:val="true"/>
          <w:lang w:bidi="ar-SA"/>
        </w:rPr>
        <w:t>الماضي إسنادان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إلى الماء وهو حقيقي، وإسناد آخر يدل عليه حرف العطف وهو مجازي، وكما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 والجنابة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صيغة الأمر في الندب مجاز كان إسناد اغتسل للجمعة إسناداً مجازياً، وإسناده إلى الجنابة إسناداً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هنالك إضافة واحدة، ولا يمكن أن يكون الإسناد حقيقياً ومجازياً، لأنَّ الإسناد الحقيقي إسناد لما وضع له، والإسناد المجازي إسناد لغير ما وضع له، واجتماعهما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قبيل الثاني لا الأول؛ لأنَّ الرفع أسند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مبين لإجماله ومفصل له، فنفس كلمة الرفع أُسند بإسناد كلامي واحد إلى عنوان التسعة، ولا يمكن أن يكون الإسناد الواحد إلى الشيء الواحد حقيقياً ومجازياً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الموصول هو الفعل حتى يكون الإسناد مجازياً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تارة بأنّ الإسناد مجازي فقط، واخرى بانّ الإسناد حقيقي فقط، وثالثة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حقيقي ومجازي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مجازي فقط</w:t>
      </w:r>
    </w:p>
    <w:p>
      <w:pPr>
        <w:pStyle w:val="BookText"/>
        <w:rPr/>
      </w:pPr>
      <w:r>
        <w:rPr>
          <w:rFonts w:ascii="Amiri" w:hAnsi="Amiri" w:eastAsia="Amiri" w:cs="Amiri"/>
          <w:color w:val="111111"/>
          <w:sz w:val="28"/>
          <w:sz w:val="28"/>
          <w:szCs w:val="28"/>
          <w:rtl w:val="true"/>
          <w:lang w:bidi="ar-SA"/>
        </w:rPr>
        <w:t>أما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يقرب بوجوه ثلاثة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رفع مجازي، فإنَّ الرفع الحقيقي هو رفع الشيء حقيقة، أما رفع الشيء ظاهراً مع وجوده حقيقة فهو رفع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شرب التتن حراماً واقعاً فرفعه الشارع فليس ذلك رفعاً حقيقياً، بل فرض الرفع، أي أن يفرضه الشارع غير موجود، وهو ما يعبر عنه بالرفع الظاهري، </w:t>
      </w:r>
    </w:p>
    <w:p>
      <w:pPr>
        <w:pStyle w:val="BookText"/>
        <w:rPr/>
      </w:pPr>
      <w:r>
        <w:rPr>
          <w:rFonts w:ascii="Amiri" w:hAnsi="Amiri" w:eastAsia="Amiri" w:cs="Amiri"/>
          <w:color w:val="111111"/>
          <w:sz w:val="28"/>
          <w:sz w:val="28"/>
          <w:szCs w:val="28"/>
          <w:rtl w:val="true"/>
          <w:lang w:bidi="ar-SA"/>
        </w:rPr>
        <w:t>فيكون الرفع مجازياً وإسناد الرفع إلى الحكم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فإسناد الرفع إلى التسعة في الحديث متمحض في الإسناد المجازي على كل تقدير، سواء أكان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أم الحكم، فلم تجتمع الحقيقة والمجاز في إسناد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إلى ما وضع له حقيقي، ولغير ما وضع له مجازي، وإلى المجموع المركب مما وضع له ومما لم يوضع له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الإسناد</w:t>
      </w:r>
      <w:r>
        <w:rPr>
          <w:rStyle w:val="FootnoteAnchor"/>
          <w:rtl w:val="true"/>
        </w:rPr>
        <w:footnoteReference w:id="8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اللّه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حقيقي، فلو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 المجموع المركب من اللّه 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البقل فهو إسناد مجازي؛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للمجموع المركب، وإنما وضعت للإسناد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العبارات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اللّه والطبيب لمات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المعالم في بحث عموم المجاز،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أضع قدمي في دار فلان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فله معنى حقيقي ومجازي، فلو استخدم في المعنى الجامع بين المعنيين فهو عموم المجاز، أي لا أدخل الدار وإن لم يكن بوضع القدم، كما لو كان راكباً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مصداقان، فإسناد الرفع إلى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مجازي، وأما إسناد الرفع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الحكم إسناد حقيقي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أسند الرفع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جامع لمصداقين، الإسناد إلى </w:t>
      </w:r>
    </w:p>
    <w:p>
      <w:pPr>
        <w:pStyle w:val="BookText"/>
        <w:rPr/>
      </w:pPr>
      <w:r>
        <w:rPr>
          <w:rFonts w:ascii="Amiri" w:hAnsi="Amiri" w:eastAsia="Amiri" w:cs="Amiri"/>
          <w:color w:val="111111"/>
          <w:sz w:val="28"/>
          <w:sz w:val="28"/>
          <w:szCs w:val="28"/>
          <w:rtl w:val="true"/>
          <w:lang w:bidi="ar-SA"/>
        </w:rPr>
        <w:t>أحدهما حقيقي، وإلى الآخر مجازي، فيكون الإسناد مجازياً؛ لأنَّ الإسناد إلى جامع من هو له ومن ليس له إسناد إلى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لكنه أعم من شرب الماء المردد عنوانه، وشرب التتن المجهول حكمه، فالمولى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الشبهات الموضوعية والحكمية معاً، فالإسناد إلى الجميع إسناد إلى الفعل لا إلى الحكم، فيكون متمحضاً في الإسناد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حقيقي فقط</w:t>
      </w:r>
    </w:p>
    <w:p>
      <w:pPr>
        <w:pStyle w:val="BookText"/>
        <w:rPr/>
      </w:pPr>
      <w:r>
        <w:rPr>
          <w:rFonts w:ascii="Amiri" w:hAnsi="Amiri" w:eastAsia="Amiri" w:cs="Amiri"/>
          <w:color w:val="111111"/>
          <w:sz w:val="28"/>
          <w:sz w:val="28"/>
          <w:szCs w:val="28"/>
          <w:rtl w:val="true"/>
          <w:lang w:bidi="ar-SA"/>
        </w:rPr>
        <w:t>الجواب الثاني ما ذكره في المصباح</w:t>
      </w:r>
      <w:r>
        <w:rPr>
          <w:rStyle w:val="FootnoteAnchor"/>
          <w:rtl w:val="true"/>
        </w:rPr>
        <w:footnoteReference w:id="852"/>
      </w:r>
      <w:r>
        <w:rPr>
          <w:rFonts w:ascii="Amiri" w:hAnsi="Amiri" w:eastAsia="Amiri" w:cs="Amiri"/>
          <w:color w:val="111111"/>
          <w:sz w:val="28"/>
          <w:sz w:val="28"/>
          <w:szCs w:val="28"/>
          <w:rtl w:val="true"/>
          <w:lang w:bidi="ar-SA"/>
        </w:rPr>
        <w:t>من أنَّ الإسناد حقيقي فقط، حتى وإن أريد مما لا يعلمون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الإسناد إلى الحكم فهو واضح، وأما الإسناد إلى الفعل فلأنه لو كان المراد الرفع التكويني لكان مجازاً، لكن لو كان المراد الرفع التشريعي فهو حقيقة، ومآل الرفع التشريعي إلى عدم كون المصداق التكويني مصداقاً اعتبارياً،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الرفع التشريعي رفع ادعائي، فيكون مجازاً لا حقيقة،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التكويني، كما أنَّ ظاهر النفي، النفي التكويني،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واقعاً، لكان مجازاً، وخلاف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حقيقي ومجازي معاً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Style w:val="FootnoteAnchor"/>
          <w:rtl w:val="true"/>
        </w:rPr>
        <w:footnoteReference w:id="853"/>
      </w:r>
      <w:r>
        <w:rPr>
          <w:rFonts w:ascii="Amiri" w:hAnsi="Amiri" w:eastAsia="Amiri" w:cs="Amiri"/>
          <w:color w:val="111111"/>
          <w:sz w:val="28"/>
          <w:sz w:val="28"/>
          <w:szCs w:val="28"/>
          <w:rtl w:val="true"/>
          <w:lang w:bidi="ar-SA"/>
        </w:rPr>
        <w:t xml:space="preserve">من أنَّ الرفع حقيقي </w:t>
      </w:r>
    </w:p>
    <w:p>
      <w:pPr>
        <w:pStyle w:val="BookText"/>
        <w:rPr/>
      </w:pPr>
      <w:r>
        <w:rPr>
          <w:rFonts w:ascii="Amiri" w:hAnsi="Amiri" w:eastAsia="Amiri" w:cs="Amiri"/>
          <w:color w:val="111111"/>
          <w:sz w:val="28"/>
          <w:sz w:val="28"/>
          <w:szCs w:val="28"/>
          <w:rtl w:val="true"/>
          <w:lang w:bidi="ar-SA"/>
        </w:rPr>
        <w:t>ومجازي معاً، حيث لا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وإنما المعنون وقد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وعنواناً مشيراً، فهنالك إسنادات متعددة، ومع تعدد الإسنادات والإضافات لا مانع من كون أحدها حقيقة والآخر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 لأنَّ الملاك في وحدة الإسناد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الكلامي اللفظي لا التحليلي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واحد مع أنَّ القوم مئة ألف، فالتعدد تحليلي أو انحلالي، وفي الحديث أسند الرفع إلى التسعة، وهو إسناد واحد وإن كان عنواناً مشيراً،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المشير إلى زيد وبكر خالد، وكذا جاء الرجلان فهنا إسناد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 هو الجواب الأول، وإنَّ الإسناد مجازي بأحد تقريراته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بالشبهات الحكمية</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بالشبهات الحكمية، ولا تشمل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الحال في هذا الاحتمال من كلمات المحقق العراقي</w:t>
      </w:r>
      <w:r>
        <w:rPr>
          <w:rStyle w:val="FootnoteAnchor"/>
          <w:rtl w:val="true"/>
        </w:rPr>
        <w:footnoteReference w:id="854"/>
      </w:r>
      <w:r>
        <w:rPr>
          <w:rFonts w:ascii="Amiri" w:hAnsi="Amiri" w:eastAsia="Amiri" w:cs="Amiri"/>
          <w:color w:val="111111"/>
          <w:sz w:val="28"/>
          <w:sz w:val="28"/>
          <w:szCs w:val="28"/>
          <w:rtl w:val="true"/>
          <w:lang w:bidi="ar-SA"/>
        </w:rPr>
        <w:t>في تعارض السياقين، وسيتضح أيضاً في بيان الاحتمال الثالث، وهو عموم الرفع للشبهتين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الرفع للشبهات الموضوعية والحكمية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عام للشبهات الموضوعية والحكمية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ولتقريبه تقريرات</w:t>
      </w:r>
    </w:p>
    <w:p>
      <w:pPr>
        <w:pStyle w:val="BookText"/>
        <w:rPr/>
      </w:pPr>
      <w:r>
        <w:rPr>
          <w:rFonts w:ascii="Amiri" w:hAnsi="Amiri" w:eastAsia="Amiri" w:cs="Amiri"/>
          <w:color w:val="111111"/>
          <w:sz w:val="28"/>
          <w:sz w:val="28"/>
          <w:szCs w:val="28"/>
          <w:rtl w:val="true"/>
          <w:lang w:bidi="ar-SA"/>
        </w:rPr>
        <w:t>التقرير الأول</w:t>
      </w:r>
    </w:p>
    <w:p>
      <w:pPr>
        <w:pStyle w:val="BookText"/>
        <w:rPr/>
      </w:pPr>
      <w:r>
        <w:rPr>
          <w:rFonts w:ascii="Amiri" w:hAnsi="Amiri" w:eastAsia="Amiri" w:cs="Amiri"/>
          <w:color w:val="111111"/>
          <w:sz w:val="28"/>
          <w:sz w:val="28"/>
          <w:szCs w:val="28"/>
          <w:rtl w:val="true"/>
          <w:lang w:bidi="ar-SA"/>
        </w:rPr>
        <w:t xml:space="preserve">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خصوص التكليف المجهول مطلقاً،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الحكم، لا الأعم من الحكم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الجهل بالحكم فقدان النص، أو إجماله أو تعارض النصين، أو اختلاط الأمور الخارجية، وغموض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حكم لا يعلمونه، سواء أكان في الشبهة الموضوعية أم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تثبت للماهيات الكلية، فلا معنى للقول برفع الحكم عن الموضوعات الخارجية الجزئية؛ لأنَّ الحكم لم يثبت لها حتى يرفع بحديث الرفع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واضح الاندفاع؛ لأنَّ للحكم ثبوتين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في الشريعة، ويصطلح عليه بالجعل، وهو متقوم بإنشاء الحكم على الماهيات الكلية،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في ذمة المكلف، ويصطلح عليه بالمجعول، وهو متقوم بفعلية الموضوع، ومع فعلية الموضوع تتحقق فعلية الحكم 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وجوب الحج ثابت في الشريعة المطهرة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وإن لم يكن الحكم المنشأ فعلياً في الخارج؛ لعدم وجود المستطيع فرضاً، فلو وجد المستطيع ثبت الحكم الكلي في ذمة المكلف، </w:t>
      </w:r>
    </w:p>
    <w:p>
      <w:pPr>
        <w:pStyle w:val="BookText"/>
        <w:rPr/>
      </w:pPr>
      <w:r>
        <w:rPr>
          <w:rFonts w:ascii="Amiri" w:hAnsi="Amiri" w:eastAsia="Amiri" w:cs="Amiri"/>
          <w:color w:val="111111"/>
          <w:sz w:val="28"/>
          <w:sz w:val="28"/>
          <w:szCs w:val="28"/>
          <w:rtl w:val="true"/>
          <w:lang w:bidi="ar-SA"/>
        </w:rPr>
        <w:t>وهو الثبوت الثاني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وبحديث الرفع يرفع الحكم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بالمعنى الأول أم الثاني، فيشمل الشبهات الحكمية والموضوعية، فلو لم يعلم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شك في الثبوت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أنَّ المائع الخارجي خمر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شك في الثبوت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الحكم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حكم لا يعلمونه، سواء أكان حكماً كلياً أم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الإشكال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p>
    <w:p>
      <w:pPr>
        <w:pStyle w:val="BookText"/>
        <w:rPr/>
      </w:pP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الفعل لا الحكم، لكن الفعل بما أنه واجب أو حرام لا الفعل بما هو هو، أي أنَّ الفعل المعروض للوجوب أو الحرمة بهذا اللحاظ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عدم الثقل في الفعل بما هو هو، وإنما الثقل بلحاظ تعلق الوجوب أو التحريم، أو بلحاظ ترتب المؤاخذة على الفعل بما أنه واجب أو حرام، فيكون ثقيلاً بلحاظ الأثر أو بلحاظ تعلق الحكم، فيرفع المولى الفعل لثقله بما أنه واجب أو حرام، وهذا المعنى يتلاءم مع الشبهة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الحرام المجهول مرفوع، وهو يشمل الشبهتين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النهاية بما ينحل إلى مقاطع ثلاثة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المشتقات غير موجودة بالذات، ولذا لا تدخل تحت </w:t>
      </w:r>
    </w:p>
    <w:p>
      <w:pPr>
        <w:pStyle w:val="BookText"/>
        <w:rPr/>
      </w:pPr>
      <w:r>
        <w:rPr>
          <w:rFonts w:ascii="IRNazanin" w:hAnsi="IRNazanin" w:eastAsia="IRNazanin"/>
          <w:color w:val="111111"/>
          <w:sz w:val="28"/>
          <w:sz w:val="28"/>
          <w:szCs w:val="28"/>
          <w:rtl w:val="true"/>
          <w:lang w:bidi="fa-IR"/>
        </w:rPr>
        <w:t>المقولات، بل الموجود بالذات نفس ذات الموضوع ومبدأ المحمول</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فوجود المشتقات وجود بالعرض، وهو وجود كاذب، والوجود الحقيقي هو الوجود بالذات،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جريان بالعرض، أي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ومبدأ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موجودان، ولا وجود ثالث وراء هذين الوجودين، وعليه لا وجود للأبيض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موجودان، لكن لا وجود للحرام وراءهما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يكن العنوان الاشتقاقي موجوداً بالذات، بل كان موجوداً بالعرض لم يتعلق الجهل به بالذات، وأما الجهل بالفعل المعنون بعنوان الحرام فليس أمراً ما وراء أحد النحوين من الجهل بالذات</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فمتعلق الجهل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يعلم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الحقيقي بالذات، فيكون المجهول بالذات أحد اثنين، إما نفس ذات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يجهل المكلف أنَّ المائع خمر، وإما مبدأ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 أنَّ الغراب حلال أو حرام، ولا وجود للجهل الثالث، وهو الجهل بالفعل المعنون بعنوان الحرام، أي الجهل بالحرام،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نجهل الحرام كان الجهل بالموضوع أو الجهل بمبدأ المحمول واسطة في </w:t>
      </w:r>
    </w:p>
    <w:p>
      <w:pPr>
        <w:pStyle w:val="BookText"/>
        <w:rPr/>
      </w:pPr>
      <w:r>
        <w:rPr>
          <w:rFonts w:ascii="Amiri" w:hAnsi="Amiri" w:eastAsia="Amiri" w:cs="Amiri"/>
          <w:color w:val="111111"/>
          <w:sz w:val="28"/>
          <w:sz w:val="28"/>
          <w:szCs w:val="28"/>
          <w:rtl w:val="true"/>
          <w:lang w:bidi="ar-SA"/>
        </w:rPr>
        <w:t>عروض الجهل لهذا العنوان، كما أنَّ وجود الموضوع ووجود مبدأ المحمول واسطة لعروض الوجود لعنوان المشتق لا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حقيقة لا عرضاً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فالتقريب الثاني غير تام؛ لعدم وجود الحرام خارجاً، فلا يطرأ عليه الجهل، وقد رفع المولى الفعل الذي طرأ عليه الجهل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وجود بالذات للمشتقات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هوكذلك لا يصبح متعلقاً للمجهولية بالذات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المجهول بالذات 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عدة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عدم وجود المشتقات بالذات</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ثلاثة وجودات لا وجودان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اللون، ومع التفكيك بينهما لا تصح النسبة،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وجود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التسامح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من وجود الجدار، وهو الجدار المنتسب إليه البياض، وبهذا الوجود الثالث يوجد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فقبل الوجود الانتسابي لم يكن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متحققاً خارجاً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زيداً والعلم موجودان، مع ذلك لا يمكن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w:t>
      </w:r>
    </w:p>
    <w:p>
      <w:pPr>
        <w:pStyle w:val="BookText"/>
        <w:rPr/>
      </w:pPr>
      <w:r>
        <w:rPr>
          <w:rFonts w:ascii="Amiri" w:hAnsi="Amiri" w:eastAsia="Amiri" w:cs="Amiri"/>
          <w:color w:val="111111"/>
          <w:sz w:val="28"/>
          <w:sz w:val="28"/>
          <w:szCs w:val="28"/>
          <w:rtl w:val="true"/>
          <w:lang w:bidi="ar-SA"/>
        </w:rPr>
        <w:t>يكن انتساب بين الذات والمبدأ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وجود الحيوان وجود بالذات، وهو وجود جوهري، فلو انتسب الحيوان إلى الناطق تحقق الإنسان، وهو حصة من الطبيعي ووجوده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والجدار الخارجي وإن لم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طبيعي؛ لعدم كونه كلياً، لكنه بلحاظ حالاته المختلفة له نحو من أنحاء الكلية، حيث لا تعين له بلحاظ الأبيض والأحمر، وعند التعين يحصل له وجود خاص، وهو الوجود المنتسب إليه البياض، فيتحقق الأبيض في الخارج،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أبيض، وهذا عالم حقيقة، خلافاً لما يراه في النهاية من عدم وجود الأبيض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وجود العالم خارجاً خلاف الوجدان، كأن يقال بعدم وجود الإنسان في الخارج؛ لوجود الحيوان والناطق، فلا وجود ثالث اسمه الإنسان، لكنه غير تام؛ لوجود الإنسان بعد انتساب الحيوان إلى الناطق، فما يقال في الذاتيات يقال في العرضيات، والفارق بينهما أنَّ أحدهما وصف ذاتي والآخر عرضي، لكنه لا يخلّ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ذهب إليه من أنَّ المشتقات غير موجودة بالذات غير تام، بل هي موجودة وداخلة تحت المقولات،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تحت مقولة الجوهر، كما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منتسباً إلى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تحت مقولة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فالمشتق وجود ثالث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w:t>
      </w:r>
      <w:r>
        <w:rPr>
          <w:rStyle w:val="FootnoteAnchor"/>
          <w:rtl w:val="true"/>
        </w:rPr>
        <w:footnoteReference w:id="8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كون العنوان الاشتقاقي مما لا </w:t>
      </w:r>
    </w:p>
    <w:p>
      <w:pPr>
        <w:pStyle w:val="BookText"/>
        <w:rPr/>
      </w:pPr>
      <w:r>
        <w:rPr>
          <w:rFonts w:ascii="Amiri" w:hAnsi="Amiri" w:eastAsia="Amiri" w:cs="Amiri"/>
          <w:color w:val="111111"/>
          <w:sz w:val="28"/>
          <w:sz w:val="28"/>
          <w:szCs w:val="28"/>
          <w:rtl w:val="true"/>
          <w:lang w:bidi="ar-SA"/>
        </w:rPr>
        <w:t>يوجد إلا بالعرض، ولا يوجد بالذات ولا يكون من المقولات لا ينافي تعلق الجهل به بالذات وحقيقة، بل الجهل حقيقة يتعلق به بما له من الوجود ولو بواسطة الجهل بما هو الموجود بالذات</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تسليم المقدمة الأولى، وأنَّ المشتقات موجودة بالعرض لا بالذات، لكن لا مانع من أن يصبح الشيء الذي لا وجود له بالذات متعلق الجهل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أنه لا مجال لإنكار المقدمة الثانية بعد تسليم المقدمة الأولى؛ لأنَّ ثبوت المحمول فرع ثبوت الموضوع،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متفرع على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فلو كان الشيء موجوداً بالعرض فكيف يمكن أن يقع متعلق الجهل بالذات؟ فإنَّ الموجود بالعرض غير موجود، ولم يتحقق فيه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فكيف يمكن أن يكون الوجود الكاذب متعلقاً للعلم أو الجهل حتى يقال هذا الشيء معلوم أو مجهول</w:t>
      </w:r>
      <w:r>
        <w:rPr>
          <w:rStyle w:val="FootnoteAnchor"/>
          <w:rtl w:val="true"/>
        </w:rPr>
        <w:footnoteReference w:id="8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العنوان الاشتقاقي مما لا يوجد إلاَّ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تعلق الجهل به بالذات وحقيقة</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أنه هل يعقل أن يكون غير الموجود مجهولاً بالذات؟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الجهل يتعلق به بما له من الوجود</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أنّه لاوجود له حتى يتعلق به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بواسطة الجهل بما هو الموجود بالذات</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أنَّ الجهل بالموجود بالذات واسطة في العروض لا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الأمور الانتزاعية قابلة لتعلق الجهل والعلم بها حقيقة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أنَّ الأمور الانتزاعية غير الموجود بالعرض، وكأنه فرض أنَّ الموجود بالعرض نفس الموجود الانتزاعي، مع أنَّ الموجود الانتزاعي له وجود حقيقي لكنه 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وهي تقبل النفي والإثبات حقيقة</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أنَّ المفروض أنَّ العنوان الاشتقاقي موجود بالعرض، فكيف يقبل النفي والإثبات حقيقة؟ فلا يعقل تعلق النفي والإثبات لجريان الميزاب حقيقة؛ لعدم وجود جريان أصلاً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يحاول إقامة البرهان على ثبوتها أو نفيها، كإثبات إمكان العالم، فإنَّ الإمكان من الأمور الانتزاعية، مع أنه يتعلق للنفي والإثبات ويبرهن عليه في محله وإذا أمكن تعلق النفي والإثبات وتواردهما على الأمر الانتزاعي أمكن تعلق العلم والجهل به</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أنَّ إمكان الممكن قابل للنفي والإثبات، وإقامة البرهان على وجوده وعدمه؛ لأنَّ الإمكان أمر انتزاعي، فمن تساوي نسبة الممكن إلى الوجود والعدم ننتزع مفهوم الإمكان، ونقيم البرهان على وجود الإمكان بالوجود التبعي الانتزاعي، أما الوجود بالعرض فليس قابلاً لأي محمول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وواقع الأمر أنَّ لنا وجودات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بالذات، والوجود بالتبع، والوجود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الشيء موجوداً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الشيء موجوداً بوجود 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والمشتقات إما موجودة بالذات كما تقدم، أو موجودة بالتبع، أي بتبع منشأ انتزاعها، أما الوجود بالعرض فلا وجود له، فالكتب الأربعة موجودة بالذات، وزوجيتها موجودة بالتبع، كالفوقية الموجودة بالتبع بوجود السقف، وأما جريان الميزاب فهو موجود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اشتقاقي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موجود بالذات، لأنه يمثل الحصة من الطبيعي، وإما موجود بالتبع، ومنشأ انتزاعه الموضوع، ومبدأ المحمول والانتساب بينهما، فمن المجموع ينتزع مفهوم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العنوان الاشتقاقي لا موجود بالذات ولا بالتبع، إلا أنَّ ملاك الأدلة الشرعية ليس الدقة العقلية وإنما النظر العرفي، فإنَّ العرف يرى أنَّ العنوان الاشتقاقي له نحو من أنحاء الوجود، فيرفعه المولى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مما تقدم عدم الإشكال الثبوتي في التقريب الثاني،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المحرم حيث طرأ عليه الجهل فهو مرفوع، وهو عام للشبهات الموضوعية والحكمية، وإنما الإشكال في مقام الإثبات، فإن المراد من الموصول في سائر فقرات الحديث الفعل بما هوهو،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 أكرهوا عليه، أي ذات الفعل الذي أكرهوا عليه، لا الإكراه على الفعل بما هو محرم،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في شمول </w:t>
      </w:r>
    </w:p>
    <w:p>
      <w:pPr>
        <w:pStyle w:val="BookText"/>
        <w:rPr/>
      </w:pPr>
      <w:r>
        <w:rPr>
          <w:rFonts w:ascii="Amiri" w:hAnsi="Amiri" w:eastAsia="Amiri" w:cs="Amiri"/>
          <w:color w:val="111111"/>
          <w:sz w:val="28"/>
          <w:sz w:val="28"/>
          <w:szCs w:val="28"/>
          <w:rtl w:val="true"/>
          <w:lang w:bidi="ar-SA"/>
        </w:rPr>
        <w:t xml:space="preserve">حديث الرفع طروء الإكراه على الفعل بما هو محرم، بل يكفي طروء الإكراه على الفعل بما هو هو، فمع كون المراد من الموصول ذات الفعل في سائر الفقرات، فهل يمكن أن يكون المراد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بما طرأ عليه الحرام، فيكون مرفوعاً لكونه مجهولاً؟ الإشكال في الظهور، وإلا فلا إشكال في تصويره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مضى عدم الإشكال في التقريب الأول، بأن يرفع الحكم الكلي أو الجزئي الذي لا يعلم، وعدم الإشكال الثبوتي في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الفعل بما هو محرم لا بما 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يتأمل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والوصف</w:t>
      </w:r>
    </w:p>
    <w:p>
      <w:pPr>
        <w:pStyle w:val="BookText"/>
        <w:rPr/>
      </w:pPr>
      <w:r>
        <w:rPr>
          <w:rFonts w:ascii="Amiri" w:hAnsi="Amiri" w:eastAsia="Amiri" w:cs="Amiri"/>
          <w:color w:val="111111"/>
          <w:sz w:val="28"/>
          <w:sz w:val="28"/>
          <w:szCs w:val="28"/>
          <w:rtl w:val="true"/>
          <w:lang w:bidi="ar-SA"/>
        </w:rPr>
        <w:t>أن يراد بالموصول الفعل بما هوهو، فالفعل المجهول مرفوع مع تعميم الجهل إلى الجهل بالنفس والجهل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الجهل بالنفس في الشبهات الموضوعية، فإنَّ ماهية الفعل الخارجي مجهولة، حيث لا يعلم أنه شُرْبُ خل أو خمر، وقد يكون وصفه مجهولاً وإن كانت نفسه معلومة، كشرب التتن، حيث إنَّ حكمه مجهول مع معلومية ماهيته، والجامع المشترك بينهما جهالة الفعل، إلا أنَّ متعلق الجهل قد يكون النفس وقد يكون الحكم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النهاية</w:t>
      </w:r>
      <w:r>
        <w:rPr>
          <w:rStyle w:val="FootnoteAnchor"/>
          <w:rtl w:val="true"/>
        </w:rPr>
        <w:footnoteReference w:id="869"/>
      </w:r>
      <w:r>
        <w:rPr>
          <w:rFonts w:ascii="Amiri" w:hAnsi="Amiri" w:eastAsia="Amiri" w:cs="Amiri"/>
          <w:color w:val="111111"/>
          <w:sz w:val="28"/>
          <w:sz w:val="28"/>
          <w:szCs w:val="28"/>
          <w:rtl w:val="true"/>
          <w:lang w:bidi="ar-SA"/>
        </w:rPr>
        <w:t xml:space="preserve">بأنَّ ظاهر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الشيء بلحاظ نفسه لا بلحاظ وصفه، فإنَّ الوصف بلحاظ نفسه وصف بحاله، أما الوصف بلحاظ وصفه فهو وصف له بحال متعلقه، وهو </w:t>
      </w:r>
    </w:p>
    <w:p>
      <w:pPr>
        <w:pStyle w:val="BookText"/>
        <w:rPr/>
      </w:pPr>
      <w:r>
        <w:rPr>
          <w:rFonts w:ascii="Amiri" w:hAnsi="Amiri" w:eastAsia="Amiri" w:cs="Amiri"/>
          <w:color w:val="111111"/>
          <w:sz w:val="28"/>
          <w:sz w:val="28"/>
          <w:szCs w:val="28"/>
          <w:rtl w:val="true"/>
          <w:lang w:bidi="ar-SA"/>
        </w:rPr>
        <w:t xml:space="preserve">خلاف الظاهر،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بنفسه مجهولاً، وهو لا يتحقق إلاَّ في الشبهات الموضوعية لجهالة الذات فيها، حيث لا يعلم حقيقة هذا الشرب هل هو شرب خل أو خمر؟ أما في شرب التتن فهو معلوم الفعل 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تعميم الحديث الشريف للشبهات الحكمية، بل يختص بالموضوعية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والجهل تارة يراد بهما العلم والجهل التصوريان، فيمكن أن يتعلقا بالمفردات، أما التصديقي منهما فلا يتعلق إلاّ بالمركبات، أي مفاد الهليات المركبة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والجهل التصديقي متعلقهما ثبوت شيء لشيء لا ثبوت الشيء، والمراد من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التصديقي لا الجهل التصوري،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إتيان الصورة الذهنية للشيء كمفرد، بل المراد الجهل التصديقي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نفس الفعل ليس متعلقاً للجهل التصديقي، بل متعلقه ثبوت الوصف للفعل، فلو كان المراد بالمجهول في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الفعل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التصديقي، أي أنَّ المجهول ثبوت الوصف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المجهول ذاته، فإنَّ الثاني مفاد الهليات البسيطة لا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فعل يجهلون ثبوت وصف وعنوان له، وهو يشمل الشبهتين؛ لأنَّ شرب التتن مجهول الحكم، والمائع المردد مجهول العنوان، فتعلق الجهل بالعنوان لا الذات، غاية الأمر أنَّ أحد العنوانين ذاتي والآخر عرضي، ففي شرب التتن جهل بثبوت الحرمة له، فالحرمة وصف عرضي لشرب </w:t>
      </w:r>
    </w:p>
    <w:p>
      <w:pPr>
        <w:pStyle w:val="BookText"/>
        <w:rPr/>
      </w:pPr>
      <w:r>
        <w:rPr>
          <w:rFonts w:ascii="Amiri" w:hAnsi="Amiri" w:eastAsia="Amiri" w:cs="Amiri"/>
          <w:color w:val="111111"/>
          <w:sz w:val="28"/>
          <w:sz w:val="28"/>
          <w:szCs w:val="28"/>
          <w:rtl w:val="true"/>
          <w:lang w:bidi="ar-SA"/>
        </w:rPr>
        <w:t>التتن، وفي شرب مائع مردد مجهول ثبوت الخمرية والخلية له، فخمريته وخليته وصف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الشبهتين أن الوصف يكون بحال المتعلق، أي شرب التتن مجهول حكمه، وشرب مائع مردد مجهول عنوانه، وليس أحدهما وصفاً بحال نفسه والآخر وصفاً بحال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النهاية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المراد من الموصول هو الفعل، فلا محالة ليس إلا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الذي يكون رفع الحكم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الفعل الذي ليس موضوعاً للحكم</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وقد مر توضيحه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شرب المائع لم يكن موضوع الحكم، بل شرب الخمر هو موضوع الحكم، فلا يمكن القول برفع شرب المائع، بل رفع شرب الخمر، فلو صار الموضوع شرب الخمر اختلف الوصفان، فهو وصف بحال متعلقه في شرب التتن لا يعلم حكمه، ووصف بحال نفسه في شرب الخمر لا يعلمونه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فيدور الأمر بين فعلين،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له بحال ذاته، وهو شرب الخمر المجهول،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له بحال متعلقه، وهو شرب التتن المجهول حكمه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فشرب الخمر مجهول بالذات، وشرب التتن مجهول الحكم، وظاهر </w:t>
      </w:r>
    </w:p>
    <w:p>
      <w:pPr>
        <w:pStyle w:val="BookText"/>
        <w:rPr/>
      </w:pPr>
      <w:r>
        <w:rPr>
          <w:rFonts w:ascii="Amiri" w:hAnsi="Amiri" w:eastAsia="Amiri" w:cs="Amiri"/>
          <w:color w:val="111111"/>
          <w:sz w:val="28"/>
          <w:sz w:val="28"/>
          <w:szCs w:val="28"/>
          <w:rtl w:val="true"/>
          <w:lang w:bidi="ar-SA"/>
        </w:rPr>
        <w:t>الوصف أن يكون بحال الذات لا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فالحديث لا يشمل الشبهات الحكمية؛ لأنه 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التنظر فيه، 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شرب المائع وإن لم يكن موضوعاً للحكم الفعلي، لكنه موضوع للحكم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المترقب وإن لم يكن متحققاً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وصفين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محالة ليس إلا موضوع الحكم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محل نظر، حيث لا يلزم أن يكون موضوع الحكم، بل موضوع الحكم المترقب قابل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بعدم الإشكال فيه ثبوتاً،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شرب مائع لا يعلمون عنوانه، أو رفع شرب خمر لا يعلمون ذاته، لكن حيث إن الأول وصف بحال المتعلق، والثاني وصف بحال نفسه يكون الثاني أولى، فيعود إشكال النهاية على التقريب الثالث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رفع فعل لا يعلمون ذاته، يعني رفع شرب خمر لا يعلمون ذاته، لا مائع لا يعلمون عنوانه، فإن كان هذا مراداً لظهور الوصف، فإنَّ شمول الحديث للشبهات الحكمية يستلزم أن يكون الوصف فيها وصفاً بحال المتعلق،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التقرير الثالث لا يمكن المساعدة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أعم من الموضوع والحكم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والحكم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من ألفاظ العموم في أمثال المقام، بمعنى الشيء المبهم، أي رفع شيء لا </w:t>
      </w:r>
    </w:p>
    <w:p>
      <w:pPr>
        <w:pStyle w:val="BookText"/>
        <w:rPr/>
      </w:pPr>
      <w:r>
        <w:rPr>
          <w:rFonts w:ascii="Amiri" w:hAnsi="Amiri" w:eastAsia="Amiri" w:cs="Amiri"/>
          <w:color w:val="111111"/>
          <w:sz w:val="28"/>
          <w:sz w:val="28"/>
          <w:szCs w:val="28"/>
          <w:rtl w:val="true"/>
          <w:lang w:bidi="ar-SA"/>
        </w:rPr>
        <w:t xml:space="preserve">يعلمونه،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الموضوع والحكم، فيعم الحديث الشبهتين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صاحب الكفاية في حاشيته</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الرفع إلى الموضوع إسناد لغير ما وضع له، وإسناد الرفع إلى الحكم إسناد لما وضع له ؛ لأنَّ الحكم بذاته قابل للرفع والوضع، والجمع بين الإسنادين في كلام واحد غير ممكن ؛ لأنه يوجب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نظيره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 ثلاثة حيث مَرَّت إنه إسناد لغير ما هو له أولاً، وأنه إسناد لما هو له ثانياً، وإسناد للاثنين ولا محذور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الفرق بين هذا الإشكال وما سبقه، حيث كان يرتبط بجميع الفقرات، وهذا خاص بخصوص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الموضوع في أفق الاعتبار</w:t>
      </w:r>
    </w:p>
    <w:p>
      <w:pPr>
        <w:pStyle w:val="BookText"/>
        <w:rPr/>
      </w:pPr>
      <w:r>
        <w:rPr>
          <w:rFonts w:ascii="Amiri" w:hAnsi="Amiri" w:eastAsia="Amiri" w:cs="Amiri"/>
          <w:color w:val="111111"/>
          <w:sz w:val="28"/>
          <w:sz w:val="28"/>
          <w:szCs w:val="28"/>
          <w:rtl w:val="true"/>
          <w:lang w:bidi="ar-SA"/>
        </w:rPr>
        <w:t>ما ذكره في النهاية وارتضاه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بالموصول الموضوع الذي يتقوم به الحكم في أفق الاعتبار، وهو مرفوع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وجود الحكم من دون متعلق، ولا يكون المتعلق الموضوع الجزئي الخارجي، حيث يمكن وجود الحكم من دون وجوده، كما لو فرض نزول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 xml:space="preserve">مع عدم وجود </w:t>
      </w:r>
    </w:p>
    <w:p>
      <w:pPr>
        <w:pStyle w:val="BookText"/>
        <w:rPr/>
      </w:pPr>
      <w:r>
        <w:rPr>
          <w:rFonts w:ascii="Amiri" w:hAnsi="Amiri" w:eastAsia="Amiri" w:cs="Amiri"/>
          <w:color w:val="111111"/>
          <w:sz w:val="28"/>
          <w:sz w:val="28"/>
          <w:szCs w:val="28"/>
          <w:rtl w:val="true"/>
          <w:lang w:bidi="ar-SA"/>
        </w:rPr>
        <w:t>سارق خارجاً، وكيف يمكن أن يكون الحكم الذي هو من الأمور التعلقية موجوداً مع عدم تحقق موضوعه</w:t>
      </w:r>
      <w:r>
        <w:rPr>
          <w:rStyle w:val="FootnoteAnchor"/>
          <w:rtl w:val="true"/>
        </w:rPr>
        <w:footnoteReference w:id="876"/>
      </w:r>
      <w:r>
        <w:rPr>
          <w:rFonts w:ascii="Amiri" w:hAnsi="Amiri" w:eastAsia="Amiri" w:cs="Amiri"/>
          <w:color w:val="111111"/>
          <w:sz w:val="28"/>
          <w:sz w:val="28"/>
          <w:szCs w:val="28"/>
          <w:rtl w:val="true"/>
          <w:lang w:bidi="ar-SA"/>
        </w:rPr>
        <w:t>؟ فيعلم من ذلك أنَّ الموضوع الخارجي ليس متعلقاً للحكم الثابت، بل المتعلق هو الموضوع الذي يتولد في أفق الاعتبار مع وجود الحكم، فالحكم الاعتباري محمول في عالم الاعتبار، وله موضوع اعتباري في عالم الاعتبار، ويكون وجود الموضوع الاعتباري بوجود الحكم، ورفعه برفع الحكم، فلو رفع الحكم رفع الموضوع، ولو رفع الموضوع رفع الحكم أيضاً، فارتفاع أحدهما مساوق لارتفاع الآخر، وثبوت أحدهما مساوق لثبوت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المتولد في أفق الاعتبار إن كان مجهولاً فهو مرفوع، والمجهول تارة مجهول نفساً، كشرب التتن، أو أكل العظم فيما لو شك في حليته وحرمته، فموضوعية الموضوع للحرمة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مجهولاً انطباقاً، وهو في الشبهات الموضوعية، فيعم حديث الرفع الشبهات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المنتقى</w:t>
      </w:r>
      <w:r>
        <w:rPr>
          <w:rStyle w:val="FootnoteAnchor"/>
          <w:rtl w:val="true"/>
        </w:rPr>
        <w:footnoteReference w:id="877"/>
      </w:r>
      <w:r>
        <w:rPr>
          <w:rFonts w:ascii="Amiri" w:hAnsi="Amiri" w:eastAsia="Amiri" w:cs="Amiri"/>
          <w:color w:val="111111"/>
          <w:sz w:val="28"/>
          <w:sz w:val="28"/>
          <w:szCs w:val="28"/>
          <w:rtl w:val="true"/>
          <w:lang w:bidi="ar-SA"/>
        </w:rPr>
        <w:t>بما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موضوعين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الخارجي، وهو الخمر الذي صنعته المعامل، وفعلية كل حكم منوطة بفعلية موضوعه، فمتى ما صار الموضوع فعلياً صارت الحرمة 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في أفق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يناط به أصل الحكم المنشأ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 في الشبهة الموضوعية شك في وجود الموضوع الجزئي الخارجي للحكم الفعلي الجزئي، وهو لا يرتبط بالشك في موضوع الحكم الكلي، فعندما يشك في كون المائع خمراً أو خلاً فلا شك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ثابت ولا شك فيه، والعنوان الكلي ليس مدار ثبوت الحكم الجزئي، وإنما الشك في المقام نابع من الشك في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ليس ذلك الحكم والموضوع الكليين مدار ثبوت هذا الحكم الفعلي والموضوع الجزئي، لا إثباتاً ولا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 حديث الرفع الشبهات الموضوعية مع التصوير المذكور، فإن ثبوت الموضوع أو رفعه يرتبط بمرحلة الجعل لا مرحلة المجعول،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 الحكم الكلي ووجد الموضوع الكلي، ولا يكون ارتفاعهما إلاّ بالنسخ، فوضع الموضوع ورفعه لا يرتبط بالحكم الجزئي الخارجي، ولا يتحقق ذلك إلا في الشبهات الحكمية، حيث يرفعه المولى واقعاً، وهو النسخ، أو ظاهراً وهو البراءة، فلا يشمل الحديث الشبهات الموضوعية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العنوان الكلي مداراً لثبوت الحكم خارجاً</w:t>
      </w:r>
      <w:r>
        <w:rPr>
          <w:rStyle w:val="FootnoteAnchor"/>
          <w:rtl w:val="true"/>
        </w:rPr>
        <w:footnoteReference w:id="878"/>
      </w:r>
      <w:r>
        <w:rPr>
          <w:rFonts w:ascii="IRNazanin" w:hAnsi="IRNazanin" w:eastAsia="IRNazanin"/>
          <w:color w:val="111111"/>
          <w:sz w:val="28"/>
          <w:sz w:val="28"/>
          <w:szCs w:val="28"/>
          <w:rtl w:val="true"/>
          <w:lang w:bidi="fa-IR"/>
        </w:rPr>
        <w:t>، بل المدار على وجود الموضوع خارجاً</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 xml:space="preserve">، فلو كان المائع واقعاً خمراً لكان حراماً </w:t>
      </w:r>
    </w:p>
    <w:p>
      <w:pPr>
        <w:pStyle w:val="BookText"/>
        <w:rPr/>
      </w:pP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توجيه حديث الرفع يرتبط بمرحلة الجعل، فيكون خاصاً بالشبهات الحكمية، ولا يرتبط بمرحلة المجعول، فلا يشمل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المذكور محل تأمل في بادئ النظر، فإنَّ الحكم الجزئي الخارجي مرتبط بفعلية الموضوع، ولا يرتبط بالجعل الكلي، إلا أنه متحد مع الحكم الكلي لا أنه مغاير له، فنفس الحرام الذي أنشأه المولى متحقق في الخارج، كما في زيد المتحد مع الإنسان، لا أنه مغاير له فهو هو، وإلا لم يوجد إنسان في الخارج، وقد قال في شرح المنظومة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 الطبيعي هي المهيّة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وجودها شخصيّة</w:t>
      </w:r>
    </w:p>
    <w:p>
      <w:pPr>
        <w:pStyle w:val="BookText"/>
        <w:rPr/>
      </w:pPr>
      <w:r>
        <w:rPr>
          <w:rFonts w:ascii="Amiri" w:hAnsi="Amiri" w:eastAsia="Amiri" w:cs="Amiri"/>
          <w:color w:val="111111"/>
          <w:sz w:val="28"/>
          <w:sz w:val="28"/>
          <w:szCs w:val="28"/>
          <w:rtl w:val="true"/>
          <w:lang w:bidi="ar-SA"/>
        </w:rPr>
        <w:t>إذ ليس بالكليّةِ مرهونا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الأطوار بدا مقرونا</w:t>
      </w:r>
    </w:p>
    <w:p>
      <w:pPr>
        <w:pStyle w:val="BookText"/>
        <w:rPr/>
      </w:pPr>
      <w:r>
        <w:rPr>
          <w:rFonts w:ascii="Amiri" w:hAnsi="Amiri" w:eastAsia="Amiri" w:cs="Amiri"/>
          <w:color w:val="111111"/>
          <w:sz w:val="28"/>
          <w:sz w:val="28"/>
          <w:szCs w:val="28"/>
          <w:rtl w:val="true"/>
          <w:lang w:bidi="ar-SA"/>
        </w:rPr>
        <w:t>فلاتحاده بشخصه يحق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ليس كوصف ما اعتلق</w:t>
      </w:r>
    </w:p>
    <w:p>
      <w:pPr>
        <w:pStyle w:val="BookText"/>
        <w:rPr/>
      </w:pPr>
      <w:r>
        <w:rPr>
          <w:rFonts w:ascii="Amiri" w:hAnsi="Amiri" w:eastAsia="Amiri" w:cs="Amiri"/>
          <w:color w:val="111111"/>
          <w:sz w:val="28"/>
          <w:sz w:val="28"/>
          <w:szCs w:val="28"/>
          <w:rtl w:val="true"/>
          <w:lang w:bidi="ar-SA"/>
        </w:rPr>
        <w:t>وفي المقام الحرمة نفسها لا غيرها، فحينما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الخمر حرام فهو نفس الحرمة المنشأة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للمولى أن يرفع الحرمة بتعبيرين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احتمل كون المائع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خمراً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الموضوع في هذا المورد؛ لأنَّ رفع الموضوع </w:t>
      </w:r>
      <w:bookmarkStart w:id="317" w:name="pg15601_167043"/>
    </w:p>
    <w:p>
      <w:pPr>
        <w:pStyle w:val="BookText"/>
        <w:rPr/>
      </w:pPr>
      <w:bookmarkEnd w:id="317"/>
      <w:r>
        <w:rPr>
          <w:rFonts w:ascii="Amiri" w:hAnsi="Amiri" w:eastAsia="Amiri" w:cs="Amiri"/>
          <w:color w:val="111111"/>
          <w:sz w:val="28"/>
          <w:sz w:val="28"/>
          <w:szCs w:val="28"/>
          <w:rtl w:val="true"/>
          <w:lang w:bidi="ar-SA"/>
        </w:rPr>
        <w:t>بمعنى رفع الحكم،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رفع للموضوع، ومآله إلى رفع الحكم، فيعم الشبهة الموضوعية، ولو تم هذا الكلام فالإشكال المذكور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الكلام أنَّ ما ذكر في النهاية وإن لم يرد عليه الإشكال الثبوتي إلا أنه مما لا يفهم عرفاً، فهل مراد المولى من الموصول الموضوع الذي تولد في أفق الاعتبار، أم أنه نوع من التعمل العقلي؟</w:t>
      </w:r>
    </w:p>
    <w:p>
      <w:pPr>
        <w:pStyle w:val="Heading6"/>
        <w:numPr>
          <w:ilvl w:val="5"/>
          <w:numId w:val="1"/>
        </w:numPr>
        <w:rPr/>
      </w:pPr>
      <w:bookmarkStart w:id="318" w:name="__RefHeading___Toc10000263_2142443653"/>
      <w:bookmarkStart w:id="319" w:name="_Toc119"/>
      <w:bookmarkEnd w:id="318"/>
      <w:r>
        <w:rPr>
          <w:rtl w:val="true"/>
        </w:rPr>
        <w:t>المبحث الثاني</w:t>
      </w:r>
      <w:r>
        <w:rPr>
          <w:rtl w:val="true"/>
        </w:rPr>
        <w:t xml:space="preserve">: </w:t>
      </w:r>
      <w:r>
        <w:rPr>
          <w:rtl w:val="true"/>
        </w:rPr>
        <w:t>الرفع واقعي أو ظاهري</w:t>
      </w:r>
      <w:bookmarkEnd w:id="319"/>
    </w:p>
    <w:p>
      <w:pPr>
        <w:pStyle w:val="BookText"/>
        <w:rPr/>
      </w:pPr>
      <w:r>
        <w:rPr>
          <w:rFonts w:ascii="Amiri" w:hAnsi="Amiri" w:eastAsia="Amiri" w:cs="Amiri"/>
          <w:color w:val="111111"/>
          <w:sz w:val="28"/>
          <w:sz w:val="28"/>
          <w:szCs w:val="28"/>
          <w:rtl w:val="true"/>
          <w:lang w:bidi="ar-SA"/>
        </w:rPr>
        <w:t>هل أن رفع التكليف المجهول رفع واقعي أو ظاهري؟</w:t>
      </w:r>
    </w:p>
    <w:p>
      <w:pPr>
        <w:pStyle w:val="BookText"/>
        <w:rPr/>
      </w:pPr>
      <w:r>
        <w:rPr>
          <w:rFonts w:ascii="Amiri" w:hAnsi="Amiri" w:eastAsia="Amiri" w:cs="Amiri"/>
          <w:color w:val="111111"/>
          <w:sz w:val="28"/>
          <w:sz w:val="28"/>
          <w:szCs w:val="28"/>
          <w:rtl w:val="true"/>
          <w:lang w:bidi="ar-SA"/>
        </w:rPr>
        <w:t>وقبل الشروع في أصل البحث نشير إلى ثلاث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الرفع الواقعي والظاهري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الرفع الواقعي والرفع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الرفع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دليل الرفع مقيد أو مخصص لإطلاقات وعمومات الأدلة الواقعية،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الحيوانات البحرية ما لا فلس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عام أو مطلق لجميع المكلفين، سواء أكانوا عالمين أم جاهلين، لكن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يقيده، فيخرج الجاهل عن الحكم، وكأنَّ المولى حكم بحرمة ما لا فلس له على العالمين فقط، كما في قضية المسيحي مع الثاني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يكن عالماً بحرمة الخمر فدرئ عنه الحد</w:t>
      </w:r>
      <w:r>
        <w:rPr>
          <w:rStyle w:val="FootnoteAnchor"/>
          <w:rtl w:val="true"/>
        </w:rPr>
        <w:footnoteReference w:id="881"/>
      </w:r>
      <w:r>
        <w:rPr>
          <w:rFonts w:ascii="Amiri" w:hAnsi="Amiri" w:eastAsia="Amiri" w:cs="Amiri"/>
          <w:color w:val="111111"/>
          <w:sz w:val="28"/>
          <w:sz w:val="28"/>
          <w:szCs w:val="28"/>
          <w:rtl w:val="true"/>
          <w:lang w:bidi="ar-SA"/>
        </w:rPr>
        <w:t>، وكأن المولى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فاجتنبوه أيها العالمين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الجاهل فلم يشرع في حقه الحكم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الرفع الظاهري فله تصويران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وجوب الاحتياط، فالحكم الواقعي المجهول ثابت، ومع ذلك يحكم المولى بعدم وجوب الاحتياط تجاهه، إلا إذا كان التكليف المجهول مهماً بأهمية بالغة، كما لو شاهد شبحاً لا يعلم أنه مهدور الدم أو محقون الدم، حيث يجب الاحتياط، لكن لو لم يكن التكليف حائزاً تلك الأهمية فإنَّ المولى يرفع وجوب الاحتياط، مع احتمال كون المائع خمراً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الواقعي مرفوع في مرحلة الظاهر، بأن ينفي النجاسة ظاهراً لا واقعاً، حيث يمكن أن تكون النجاسة واقعاً موجودة، لكن يحكم بعدم وجودها ظاهراً،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الواقعي لو كان ثابتاً في مرحلة الواقع فهو مرفوع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التصوير الثاني رفع وجوب الاحتياط، فإنَّ مفاد الرفع الظاهري الترخيص، بمعنى جواز الاقتحام، وهو لا يجتمع مع وجوب الاحتياط، بأن يجيز المولى الاقتحام ويوجب الاحتياط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وجامع التصويرين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ليس واقعياً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كون الرفع واقعياً أو ظاهرياً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تعيين ماهية الرفع، وهي ثمرة مهمة جداً، وهي أنه لو انكشف فيما بعد أنَّ التكليف المجهول كان ثابتاً واقعاً، بأن قامت الأمارة على حرمة الشيء أو شرطيته أو جزئيته، فلو كان الرفع واقعياً لم </w:t>
      </w:r>
    </w:p>
    <w:p>
      <w:pPr>
        <w:pStyle w:val="BookText"/>
        <w:rPr/>
      </w:pPr>
      <w:r>
        <w:rPr>
          <w:rFonts w:ascii="Amiri" w:hAnsi="Amiri" w:eastAsia="Amiri" w:cs="Amiri"/>
          <w:color w:val="111111"/>
          <w:sz w:val="28"/>
          <w:sz w:val="28"/>
          <w:szCs w:val="28"/>
          <w:rtl w:val="true"/>
          <w:lang w:bidi="ar-SA"/>
        </w:rPr>
        <w:t>تجب الإعادة والقضاء، فإن الجزئية والشرطية مرفوعة واقعاً، كمن ارتمس جاهلاً وهو صائم، فإنَّ الارتماس لم يكن جزءاً لتروك هي مقومة لماهية الصيام، فلم يكن مفطراً في حقه، وقد أتى بالصوم الكامل فلا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كان الرفع ظاهرياً، وكان التكليف ثابتاً في حقه واقعاً، فإنه لم يأتِ بالمركب الذي أمر به المولى، فعليه الإعادة والقضاء مطلقاً، إلا في مورد دل الدليل على عدمه،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حيث أسقط المولى القضاء مع أنَّ المكلف لم يأتِ بالمأمور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المأتي به للمأمور به يقتضي الإجزاء، وبعد انكشاف الواقع يتبين أنَّ المأتي به لم يطابق المأمور به، فيثبت عليه القضاء، سواء بالأمر الأول حيث لم يمتثله، أم بالأمر الجديد فهو موجود؛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فاتتك من فريضة فاقضها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واقعي في جميع فقرات الحديث</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الرفع في سائر فقرات الحديث رفع واقعي، حسب ما ذهب إليه البعض</w:t>
      </w:r>
      <w:r>
        <w:rPr>
          <w:rStyle w:val="FootnoteAnchor"/>
          <w:rtl w:val="true"/>
        </w:rPr>
        <w:footnoteReference w:id="885"/>
      </w: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 المتيقن منه بعض الفقرات، كرفع الاضطرار، فحرمة لمس الأجنبية مرفوع في حق المضطر وكذلك المكره، فإنَّ جميع الأحكام الأولية مقيدة بعدم الإكراه والاضطرار</w:t>
      </w:r>
      <w:r>
        <w:rPr>
          <w:rFonts w:eastAsia="Amiri" w:cs="Amiri" w:ascii="Amiri" w:hAnsi="Amiri"/>
          <w:color w:val="111111"/>
          <w:sz w:val="28"/>
          <w:szCs w:val="28"/>
          <w:rtl w:val="true"/>
          <w:lang w:bidi="ar-SA"/>
        </w:rPr>
        <w:t xml:space="preserve">. </w:t>
      </w:r>
      <w:bookmarkStart w:id="320" w:name="pg15601_167049"/>
    </w:p>
    <w:p>
      <w:pPr>
        <w:pStyle w:val="BookText"/>
        <w:rPr/>
      </w:pPr>
      <w:bookmarkEnd w:id="320"/>
      <w:r>
        <w:rPr>
          <w:rFonts w:ascii="Amiri" w:hAnsi="Amiri" w:eastAsia="Amiri" w:cs="Amiri"/>
          <w:color w:val="111111"/>
          <w:sz w:val="28"/>
          <w:sz w:val="28"/>
          <w:szCs w:val="28"/>
          <w:rtl w:val="true"/>
          <w:lang w:bidi="ar-SA"/>
        </w:rPr>
        <w:t>نعم، يمكن البحث في كون الرفع في النسيان واقعياً أوظاهرياً، وقد اختار جمع</w:t>
      </w:r>
      <w:r>
        <w:rPr>
          <w:rStyle w:val="FootnoteAnchor"/>
          <w:rtl w:val="true"/>
        </w:rPr>
        <w:footnoteReference w:id="886"/>
      </w:r>
      <w:r>
        <w:rPr>
          <w:rFonts w:ascii="Amiri" w:hAnsi="Amiri" w:eastAsia="Amiri" w:cs="Amiri"/>
          <w:color w:val="111111"/>
          <w:sz w:val="28"/>
          <w:sz w:val="28"/>
          <w:szCs w:val="28"/>
          <w:rtl w:val="true"/>
          <w:lang w:bidi="ar-SA"/>
        </w:rPr>
        <w:t xml:space="preserve">أنه واقعي في تمام الفقرات، وإنما الإشكال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0000265_2142443653"/>
      <w:bookmarkStart w:id="322" w:name="_Toc120"/>
      <w:bookmarkEnd w:id="321"/>
      <w:r>
        <w:rPr>
          <w:rtl w:val="true"/>
        </w:rPr>
        <w:t xml:space="preserve">أدلة كون الرفع غير واقعي في </w:t>
      </w:r>
      <w:r>
        <w:rPr>
          <w:rtl w:val="true"/>
        </w:rPr>
        <w:t>(</w:t>
      </w:r>
      <w:r>
        <w:rPr>
          <w:rtl w:val="true"/>
        </w:rPr>
        <w:t>ما لا يعلمون</w:t>
      </w:r>
      <w:r>
        <w:rPr>
          <w:rtl w:val="true"/>
        </w:rPr>
        <w:t>)</w:t>
      </w:r>
      <w:bookmarkEnd w:id="322"/>
    </w:p>
    <w:p>
      <w:pPr>
        <w:pStyle w:val="BookText"/>
        <w:rPr/>
      </w:pPr>
      <w:r>
        <w:rPr>
          <w:rFonts w:ascii="Amiri" w:hAnsi="Amiri" w:eastAsia="Amiri" w:cs="Amiri"/>
          <w:color w:val="111111"/>
          <w:sz w:val="28"/>
          <w:sz w:val="28"/>
          <w:szCs w:val="28"/>
          <w:rtl w:val="true"/>
          <w:lang w:bidi="ar-SA"/>
        </w:rPr>
        <w:t>وبعد هذه المقدمات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استدل على أنَّ الرفع غير واقعي بأدلة ثمانية،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الداخلية،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وجود شيء لم ينكشف بالانكشاف العلمي، فهنالك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وجود للمعلوم،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الذي لا يعلمونه، فنفس هذا التعبير دال على وجود الحكم في الواقع، فلا يكون الرفع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الكثيرة الدالة على اشتراك الأحكام بين العالم والجاهل، وقد ادعى الشيخ الأعظم في مباحث الأمارة غير العلمية أنها متواترة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ضرورة المذهب على الاشتراك في التكاليف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حسن الاحتياط بالنسبة إلى التكاليف المشكوكة، كمن لا يعلم بحرمة العظم مثلاً، ولو لم يكن هنالك تكليف، وكان الرفع واقعياً فلا معنى للاحتياط؛ لعدم وجود شيء واقعاً حتى يحتاط </w:t>
      </w:r>
    </w:p>
    <w:p>
      <w:pPr>
        <w:pStyle w:val="BookText"/>
        <w:rPr/>
      </w:pPr>
      <w:r>
        <w:rPr>
          <w:rFonts w:ascii="Amiri" w:hAnsi="Amiri" w:eastAsia="Amiri" w:cs="Amiri"/>
          <w:color w:val="111111"/>
          <w:sz w:val="28"/>
          <w:sz w:val="28"/>
          <w:szCs w:val="28"/>
          <w:rtl w:val="true"/>
          <w:lang w:bidi="ar-SA"/>
        </w:rPr>
        <w:t>لأجل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على بطلان التصويب، فليس حكم اللّه تابعاً لأحكام المجتهدين وعلمهم، فلو علموا كانت الحرمة وإلاّ فلا، والرفع الواقعي يستلزم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المحذور العقلي من كون الرفع واقعياً، فإنه يوجب تقيد الأحكام بالعلم بها، فمن علم بحرمة الخمر حرمت عليه الخمر، وهو موجب للدور أو ملاك الدور، أو محاذير أخرى ذكرناها في أول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الحديث الحكم الواقعي؛ لعدم كونه بوجوده الواقعي مما فيه الضيق على المكلف حتى يقتضي الامتنان رفعه، فإنَّ حديث الرفع سيق للامتنان، ومقتضى الامتنان رفع ما يأتي منه الضيق، وليس الحكم بوجوده الواقعي النفس الأمري مما يأتي منه الضيق على المكلف، فلا يرفع بحديث الرفع، وإنما الذي يوجب الضيق عليه الأمر بالاحتياط في مورد التكليف المشكوك، فرفع التكليف المجهول ليس منة، وإنما رفع الأمر بالاحتياط منّة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أيضاً</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مقتضى ظهور سياق الحديث في سائر الفقرات، فإنَّ رفع الخطأ ادعائي لوجود الخطأ خارجاً، وكذلك في جميع الفقرات، فلو كان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حقيقياً لزم مخالفة الظهور السياقي، فحفظاً للسياق لا بد أن يكون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ادعائياً، بأن يفرض رفع حرمة الغراب رفعاً فرضياً تنزيلياً ادعائياً، وبذلك يحفظ الظهور السياقي في تمام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بعض الأدلة المذكورة</w:t>
      </w:r>
    </w:p>
    <w:p>
      <w:pPr>
        <w:pStyle w:val="BookText"/>
        <w:rPr/>
      </w:pPr>
      <w:r>
        <w:rPr>
          <w:rFonts w:ascii="Amiri" w:hAnsi="Amiri" w:eastAsia="Amiri" w:cs="Amiri"/>
          <w:color w:val="111111"/>
          <w:sz w:val="28"/>
          <w:sz w:val="28"/>
          <w:szCs w:val="28"/>
          <w:rtl w:val="true"/>
          <w:lang w:bidi="ar-SA"/>
        </w:rPr>
        <w:t>لكن بعض الأدلة الثمانية قابلة للمناقشة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الثاني</w:t>
      </w:r>
    </w:p>
    <w:p>
      <w:pPr>
        <w:pStyle w:val="BookText"/>
        <w:rPr/>
      </w:pPr>
      <w:r>
        <w:rPr>
          <w:rFonts w:ascii="Amiri" w:hAnsi="Amiri" w:eastAsia="Amiri" w:cs="Amiri"/>
          <w:color w:val="111111"/>
          <w:sz w:val="28"/>
          <w:sz w:val="28"/>
          <w:szCs w:val="28"/>
          <w:rtl w:val="true"/>
          <w:lang w:bidi="ar-SA"/>
        </w:rPr>
        <w:t xml:space="preserve">فقد أجاب في المنتقى عن الروايات الكثيرة الدالة على اشتراك الأحكام الواقعية بين العالم والجاهل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في الأخبار عين ولا أثر</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المحاضرات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ترد رواية واحدة تدل على أنَّ الأحكام الواقعية مشتركة بين العالمين بها والجاهلين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جانب آخر صرح في المصباح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الكثيرة الدالة على اشتراك الأحكام بين العالم والجاهل</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متواترة</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فكيف يمكن التوفيق بين هذه الكلمات؟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عدم العثور على الدليل الدال بالدلالة المطابقية على الاشتراك، وأما الأدلة المفيدة للاشتراك بالدلالة الالتزامية أو الظهور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موجودة، ويمكن أن يكون مجموعها متواتراً، ويمكن تصنيفها إلى ثلاث 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الأولية الشاملة لجميع أدلة الأحكام أو معظمها؛ لأنَّ مفاد الإطلاق أو العموم اشتراك الأحكام، كما أنها تشمل الرجل والمرأة والأبيض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محل تأمل؛ لإمكان القول بتقييدها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الرفع، كما هو الشأن في المضطر وغيره، حيث إنَّ الأدلة الأولية مطلقة تشمل المضطر والمكره و غيرهما، ولكن قيدت بعدم الإكراه والاضطرار وكذلك الجهل، فحديث الرفع يخرج الجاهلين من إطلاقات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الاحتياط، فأدلة الاحتياط تدل على وجود الواقع المجهول، مع أنَّ المحتاط جاهل بالحكم الواقعي، وإلا لم يكن معنى للاحتياط، سواء أكان وجوبياً أم ندبياً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يمكن دعوى تواترها من حيث المجموع، كما أنَّ بعضها معتبرة، ومفادها السؤال عن العالم، وهو ظاهر عرفاً في ثبوت الحكم للجاهل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حماد بن عيسى، عن حريز، عن زرارة ومحمد بن مسلم وبريد العجلي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دليل على وجود واقع، فمن عرفه وعمل به نجا، ومن جهل يقع في الهلكة، كما لو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يمرضون ؛ لأنهم لا يطالعون الكتب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احتمالاً عقلياً أن يكون السؤال واجباً نفسياً، والهلكة ناشئة من عدم العمل به، ولكنه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ومفتاحه المسألة</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فالسؤال هو مفتاح الحقيقة القائمة الموجودة واقعاً، وإن جهل به الجاهل، لا أنها موجدة للحقيقة، كالعلم العنائي الذي يولد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مجدور أصابته جنابة فغسلوه فمات،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 فإن دواء العي السؤال</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هنالك حكم في الواقع لما كان مجال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روايات أخرى متعددة بنفس المضمون أو قريب منه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عثرنا عليه من الأدلة الدالة على اشتراك الأحكام بين العالم والجاهل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يسلم بهذه الطوائف أحد، فيمكنه القول بعدم وجود دليل على </w:t>
      </w:r>
    </w:p>
    <w:p>
      <w:pPr>
        <w:pStyle w:val="BookText"/>
        <w:rPr/>
      </w:pPr>
      <w:r>
        <w:rPr>
          <w:rFonts w:ascii="Amiri" w:hAnsi="Amiri" w:eastAsia="Amiri" w:cs="Amiri"/>
          <w:color w:val="111111"/>
          <w:sz w:val="28"/>
          <w:sz w:val="28"/>
          <w:szCs w:val="28"/>
          <w:rtl w:val="true"/>
          <w:lang w:bidi="ar-SA"/>
        </w:rPr>
        <w:t>اشتراك الأحكام بين العالم والجاهل، كما في المحاضرات والمنتقى</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الدليل السابع</w:t>
      </w:r>
    </w:p>
    <w:p>
      <w:pPr>
        <w:pStyle w:val="BookText"/>
        <w:rPr/>
      </w:pPr>
      <w:r>
        <w:rPr>
          <w:rFonts w:ascii="Amiri" w:hAnsi="Amiri" w:eastAsia="Amiri" w:cs="Amiri"/>
          <w:color w:val="111111"/>
          <w:sz w:val="28"/>
          <w:sz w:val="28"/>
          <w:szCs w:val="28"/>
          <w:rtl w:val="true"/>
          <w:lang w:bidi="ar-SA"/>
        </w:rPr>
        <w:t>وأما ما ذكره المحقق العراقي فيمكن المناقشة فيه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الامتنان وإن لم يتوقف على نفي الواقع، إلا أنه قد يكون بنفي الواقع، وظاهر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خلينا وطبعنا بغض النظر عن الأدلة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حمل شخص بضاعة ثقيلة فتم رفعها عنه كان امتناناً، مع أنَّ سبب الثقل لم يكن أصل حمل البضاعة، وإنما ثقلها الزائد، حيث كانت قدرته على حمل نصفها، فكما أنَّ الامتنان حاصل برفع نصفها، كأن يشترك معه في حملها، كذلك الامتنان حاصل برفع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فالمولى يمكنه أن يمتن على الجاهل بالواقع برفع وجوب الاحتياط، كما يمكنه أن يمتن عليه برفع الواقع المجهول، وأثر رفع الواقع المجهول رفع وجوب الاحتياط، وحيث إنَّ رفع الشيء ظاهر في رفعه بتمام مراتبه نحمله على رفع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الدليل الثامن</w:t>
      </w:r>
    </w:p>
    <w:p>
      <w:pPr>
        <w:pStyle w:val="BookText"/>
        <w:rPr/>
      </w:pPr>
      <w:r>
        <w:rPr>
          <w:rFonts w:ascii="Amiri" w:hAnsi="Amiri" w:eastAsia="Amiri" w:cs="Amiri"/>
          <w:color w:val="111111"/>
          <w:sz w:val="28"/>
          <w:sz w:val="28"/>
          <w:szCs w:val="28"/>
          <w:rtl w:val="true"/>
          <w:lang w:bidi="ar-SA"/>
        </w:rPr>
        <w:t>وأما السياق المدعى، فيظهر الحال فيه مما تقدم في بحث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الأدلة الثمانية كافية لإثبات أنَّ الرفع ظاهري لا واقعي، وإن نوقش في بعضها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ذهب بعض الأعلام إلى أنَّ الرفع واقعي،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الوالد والسيد الروحاني وبعض المعاصرين، وذلك مع تحقق الإجماع على بطلان </w:t>
      </w:r>
    </w:p>
    <w:p>
      <w:pPr>
        <w:pStyle w:val="BookText"/>
        <w:rPr/>
      </w:pPr>
      <w:r>
        <w:rPr>
          <w:rFonts w:ascii="Amiri" w:hAnsi="Amiri" w:eastAsia="Amiri" w:cs="Amiri"/>
          <w:color w:val="111111"/>
          <w:sz w:val="28"/>
          <w:sz w:val="28"/>
          <w:szCs w:val="28"/>
          <w:rtl w:val="true"/>
          <w:lang w:bidi="ar-SA"/>
        </w:rPr>
        <w:t>التصويب، وضرورة الاشتراك في التكليف، فلا بد من ملاحظة مرادهم وإنهم هل يلتزمون باختصاص الأحكام الواقعية بالعالمين بها أم يقصدون شيئا آخر؟</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الالتزام بانَّ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واقعي كالرفع في سائر الفقرات المذكورة في الحديث بمعنى أنَّ الحديث يكون متكفلاً لبيان ارتفاع الحكم الفعلي عند عدم العلم، فلا يكون من أخذ العلم بالحكم في موضوع نفسه كي يكون محالاً، كما لا يكون من إناطة الواقع بقيام الأمارة كي يكون تصويباً مجمعاً على بطلانه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كالرفع في سائر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مقتضى وحدة السياق في رفع الاضطرار والإكراه يمكن أن يعتبر 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الحكم الأربع</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إلى توضيح، فإنَّ للحكم مراحل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 أما مرحلة الاقتضاء، فلا ترتبط بالعلم والجهل؛ لأنها عبارة عن المصالح والمفاسد الواقعية النفس الأمرية، والملاكات الواقعية أمور تكوينية ولا مدخلية للعلم والجهل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مرحلة الإنشاء، فالأدلة العقلية والنقلية دلت على عدم مدخلية العلم والجهل فيها، فالحكم الإنشائي ثابت للجميع، وقد مر تفصيله في مباحث القطع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مرحلة التنجز، فلا شك في إناطتها بالعلم، فإنَّ الجاهل لا يتنجز عليه التكليف ولا يعاقب، وإنما الكلام في مرحلة الفعلية، حيث يرى السيد </w:t>
      </w:r>
    </w:p>
    <w:p>
      <w:pPr>
        <w:pStyle w:val="BookText"/>
        <w:rPr/>
      </w:pPr>
      <w:r>
        <w:rPr>
          <w:rFonts w:ascii="Amiri" w:hAnsi="Amiri" w:eastAsia="Amiri" w:cs="Amiri"/>
          <w:color w:val="111111"/>
          <w:sz w:val="28"/>
          <w:sz w:val="28"/>
          <w:szCs w:val="28"/>
          <w:rtl w:val="true"/>
          <w:lang w:bidi="ar-SA"/>
        </w:rPr>
        <w:t>الروحاني</w:t>
      </w:r>
      <w:r>
        <w:rPr>
          <w:rStyle w:val="FootnoteAnchor"/>
          <w:rtl w:val="true"/>
        </w:rPr>
        <w:footnoteReference w:id="901"/>
      </w:r>
      <w:r>
        <w:rPr>
          <w:rFonts w:ascii="Amiri" w:hAnsi="Amiri" w:eastAsia="Amiri" w:cs="Amiri"/>
          <w:color w:val="111111"/>
          <w:sz w:val="28"/>
          <w:sz w:val="28"/>
          <w:szCs w:val="28"/>
          <w:rtl w:val="true"/>
          <w:lang w:bidi="ar-SA"/>
        </w:rPr>
        <w:t>عدم المانع من تكفل حديث الرفع لرفع مرتبة الفعلية، فلا فعلية له للحكم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منه محذور الدور أو الخلف أو ملاك الدور؛ لعدم تعليق أصل الحكم على العلم، بل فعليته، كما أنَّ الحكم الواقعي لم يكن منوطاً بقيام الأمارة حتى يستلزم التصويب المجمع على بطلانه، فلا محذور عقلي أو شرعي فيما ذكر، وقد أشار إلى ذلك في المنتقى في مواضع متعددة، وستأتي لكلامه تتمة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كون الرفع واقعياً</w:t>
      </w:r>
    </w:p>
    <w:p>
      <w:pPr>
        <w:pStyle w:val="BookText"/>
        <w:rPr/>
      </w:pPr>
      <w:r>
        <w:rPr>
          <w:rFonts w:ascii="Amiri" w:hAnsi="Amiri" w:eastAsia="Amiri" w:cs="Amiri"/>
          <w:color w:val="111111"/>
          <w:sz w:val="28"/>
          <w:sz w:val="28"/>
          <w:szCs w:val="28"/>
          <w:rtl w:val="true"/>
          <w:lang w:bidi="ar-SA"/>
        </w:rPr>
        <w:t>ولكنه محل تأمل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الرفع والجهل متحدان في ظاهر حديث الرفع؛ فلو أراد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بالفعلية له مدخلية في فعلية الحكم فهو مستلزم للدور أو ملاك الدور، حيث يكون مفاد الحديث إنْ علمت بفعلية الحكم ثبت عليك الحكم، وإلا فالحكم مرفوع،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وهو دور ومآله إلى تقييد الفعلية بالعلم بالفعلية ولا يمكن الالتزام بذلك، حيث لا يمكن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بالفعلية ثبتت الفعلية، فإنَّ المعلوم متقدم رتبة على العلم، فكيف يصبح متأخراً عنه ويكون معلولاً له،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بوجود الجدار وجد الجدار، فإنه محال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ولدفع هذا المحذور لابدّ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بالحكم الإنشائي ثبتت عليك الفعلية، فيكون متعلق العلم الحكم الإنشائي، ومعلول العلم </w:t>
      </w:r>
    </w:p>
    <w:p>
      <w:pPr>
        <w:pStyle w:val="BookText"/>
        <w:rPr/>
      </w:pPr>
      <w:r>
        <w:rPr>
          <w:rFonts w:ascii="Amiri" w:hAnsi="Amiri" w:eastAsia="Amiri" w:cs="Amiri"/>
          <w:color w:val="111111"/>
          <w:sz w:val="28"/>
          <w:sz w:val="28"/>
          <w:szCs w:val="28"/>
          <w:rtl w:val="true"/>
          <w:lang w:bidi="ar-SA"/>
        </w:rPr>
        <w:t>الحكم الفعلي، ولا محذور فيه؛ لأنَّ المتقدم والمتأخر شيئان، ويكون الحكم الإنشائي ثابتاً، سواء أعلم المكلف به أم لم يعلم،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المكلف بالحكم الإنشائي ثبتت الفعلية، وإنْ لم يعلم فالفعلية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يتعدد المتعلق في المجهول والمرفوع، فمتعلق المجهول هو الحكم الإنشائي، ومتعلق المرفوع هو الحكم الفعلي</w:t>
      </w:r>
      <w:r>
        <w:rPr>
          <w:rStyle w:val="FootnoteAnchor"/>
          <w:rtl w:val="true"/>
        </w:rPr>
        <w:footnoteReference w:id="902"/>
      </w:r>
      <w:r>
        <w:rPr>
          <w:rFonts w:ascii="Amiri" w:hAnsi="Amiri" w:eastAsia="Amiri" w:cs="Amiri"/>
          <w:color w:val="111111"/>
          <w:sz w:val="28"/>
          <w:sz w:val="28"/>
          <w:szCs w:val="28"/>
          <w:rtl w:val="true"/>
          <w:lang w:bidi="ar-SA"/>
        </w:rPr>
        <w:t>، وهو خلاف ظاهر الحديث؛ لأن ظاهره أنَّ المرفوع هو المجهول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دائر مدار المحذور الثبوتي أو الإثباتي</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الأحكام الإنشائية مشتركة، وكانت الفعلية منوطة بالعلم، كان مآله إلى أنَّ العلم لا يوجب الفعلية، فالمكلف الجاهل إذا علم بالحكم صار ذلك الحكم الإنشائي متعلقاً للعلم، ومعه يبقى المعلوم إنشائياً؛ لأنَّ العلم لا يقلب الواقع عما هو عليه، بل يكشف عن الواقع، وقد مرّ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في الكفاية</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للعلم بحرمة الخمر إنشاءً في أول البعثة، وهو كالعلم بالحكم الاقتضائي، فكما أنَّ العلم بالحكم الاقتضائي لا يجعله إنشائياً، كذلك العلم بالحكم الإنشائي لا يجعله فعلياً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فقبل العلم لم يكن الحكم فعلياً؛ لأنه المفروض، وبعد العلم أيضاً لا يكون فعلياً؛ لأن العلم ليس مغيراً للواقع، فلا تكون الأحكام فعلية أبداً، ولا يجب امتثالها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يجاب بأنّ هذا الحكم الإنشائي أُنشئ بحيث ينقلب بالعلم فعلياً، وقد مرَّ تفصيل الكلام والنقض والإبرام في أوائل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المنهاج</w:t>
      </w:r>
      <w:r>
        <w:rPr>
          <w:rStyle w:val="FootnoteAnchor"/>
          <w:rtl w:val="true"/>
        </w:rPr>
        <w:footnoteReference w:id="905"/>
      </w:r>
      <w:r>
        <w:rPr>
          <w:rFonts w:ascii="Amiri" w:hAnsi="Amiri" w:eastAsia="Amiri" w:cs="Amiri"/>
          <w:color w:val="111111"/>
          <w:sz w:val="28"/>
          <w:sz w:val="28"/>
          <w:szCs w:val="28"/>
          <w:rtl w:val="true"/>
          <w:lang w:bidi="ar-SA"/>
        </w:rPr>
        <w:t>من أنَّ الرفع الواقعي مستلزم لتوالي فاسدة لا يمكن الالتزام بها، فلو تزوج أخته جاهلاً لم يفعل حراماً فعلاً، وتجب عليه نفقات أخته؛ لأنه تزوجها وهي محللة عليه بالحلية الفعلية، ولو لم ينفق عليها تلك الفترة وجب عليه أداء نفقتها، ولو علم بعد فترة انقلب الحكم الإنشائي فعلياً، وهكذا يجب عليه أن يدفع المهر المسمى؛ لأنه تزوج امرأة محللة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الالتزام بهذه التوالي وأمثالها، فإن العلم يكشف بطلان النكاح، وقد كانت الحرمة فعلية، فلا نفقة ولا مهر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الذي يوقعنا عن الجزم بهذا الأمر أنَّ المتيقن من الحديث هو إرادة الشبهة الموضوعية وقد عرفت أن النصوص كثيرة على بقاء الحكم الواقعي وثبوته فيها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حديث الرفع شاملاً للشبهات الحكمية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فيها واقعي، لكن القدر المتيقن من حديث الرفع الشبهات الموضوعية، ولا شك في اشتراك الحكم الفعلي بين العالم والجاهل فيها، ولذلك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واقعي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صرح بخلاف ذلك في موضع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أن </w:t>
      </w:r>
      <w:bookmarkStart w:id="323" w:name="pg15601_167070"/>
    </w:p>
    <w:p>
      <w:pPr>
        <w:pStyle w:val="BookText"/>
        <w:rPr/>
      </w:pPr>
      <w:bookmarkEnd w:id="323"/>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بالموصول هو الحكم، أعم من الحكم الكلي أو الجزئي</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فاختار شمول الحديث للشبهات الحكمية والموضوعية، وبناء عليه لا مانع من الالتزام بكون الرفع واقعياً بلحاظ الشبهات الحكمية</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0000267_2142443653"/>
      <w:bookmarkStart w:id="325" w:name="_Toc121"/>
      <w:bookmarkEnd w:id="324"/>
      <w:r>
        <w:rPr>
          <w:rtl w:val="true"/>
        </w:rPr>
        <w:t>المبحث الثالث</w:t>
      </w:r>
      <w:r>
        <w:rPr>
          <w:rtl w:val="true"/>
        </w:rPr>
        <w:t xml:space="preserve">: </w:t>
      </w:r>
      <w:r>
        <w:rPr>
          <w:rtl w:val="true"/>
        </w:rPr>
        <w:t>الرفع في المستحبات والمكروهات المجهولة</w:t>
      </w:r>
      <w:bookmarkEnd w:id="325"/>
    </w:p>
    <w:p>
      <w:pPr>
        <w:pStyle w:val="BookText"/>
        <w:rPr/>
      </w:pPr>
      <w:r>
        <w:rPr>
          <w:rFonts w:ascii="Amiri" w:hAnsi="Amiri" w:eastAsia="Amiri" w:cs="Amiri"/>
          <w:color w:val="111111"/>
          <w:sz w:val="28"/>
          <w:sz w:val="28"/>
          <w:szCs w:val="28"/>
          <w:rtl w:val="true"/>
          <w:lang w:bidi="ar-SA"/>
        </w:rPr>
        <w:t xml:space="preserve">هل إنَّ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بموارد الشك في التكاليف الإلزامية أم إنه عام للتكاليف غير الإلزامية؟ فلو شك في استحباب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كاستحباب غسل المسترسل من اللحية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 كراهة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ككراهة أكل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رفع الاستحباب والكراهة بحديث الرفع؟</w:t>
      </w:r>
    </w:p>
    <w:p>
      <w:pPr>
        <w:pStyle w:val="BookText"/>
        <w:rPr/>
      </w:pPr>
      <w:r>
        <w:rPr>
          <w:rFonts w:ascii="Amiri" w:hAnsi="Amiri" w:eastAsia="Amiri" w:cs="Amiri"/>
          <w:color w:val="111111"/>
          <w:sz w:val="28"/>
          <w:sz w:val="28"/>
          <w:szCs w:val="28"/>
          <w:rtl w:val="true"/>
          <w:lang w:bidi="ar-SA"/>
        </w:rPr>
        <w:t>وحيث إنَّ في كون الرفع واقعياً أو ظاهرياً مبنيين، فلا بد من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الرفع واقعياً، فقد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908"/>
      </w:r>
      <w:r>
        <w:rPr>
          <w:rFonts w:ascii="Amiri" w:hAnsi="Amiri" w:eastAsia="Amiri" w:cs="Amiri"/>
          <w:color w:val="111111"/>
          <w:sz w:val="28"/>
          <w:sz w:val="28"/>
          <w:szCs w:val="28"/>
          <w:rtl w:val="true"/>
          <w:lang w:bidi="ar-SA"/>
        </w:rPr>
        <w:t>أدلة ثلاثة لشمول الحديث للمستحبات والمكروهات المشكوكة، فيرفعان واقعاً كالوجوب والتحريم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الملاك فيهما إثباتاً ونفياً، وربما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الإلزامية والأحكام غير الإلزامية، فالكراهة كالتحريم، والاستحباب كالوجوب، فلو رفع حديث الرفع الوجوب فلا مانع من رفعه للاستحباب، </w:t>
      </w:r>
    </w:p>
    <w:p>
      <w:pPr>
        <w:pStyle w:val="BookText"/>
        <w:rPr/>
      </w:pPr>
      <w:r>
        <w:rPr>
          <w:rFonts w:ascii="Amiri" w:hAnsi="Amiri" w:eastAsia="Amiri" w:cs="Amiri"/>
          <w:color w:val="111111"/>
          <w:sz w:val="28"/>
          <w:sz w:val="28"/>
          <w:szCs w:val="28"/>
          <w:rtl w:val="true"/>
          <w:lang w:bidi="ar-SA"/>
        </w:rPr>
        <w:t>وكذلك في التحريم والكراهة، فالملاك في الأحكام الأربعة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يفيد العموم، فلم يقيد الحديث بالأحكام الإلزامية المشكوكة، فيكون المراد من الموصول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 مع رفع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مراده أنَّ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حديث رفع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فكما أنّ جميع الأحكام مرفوعة عن الصبي كذلك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يحكم بعدم الاستحباب واقعاً في كل مستحب مشكوك، وكذلك الحكم في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السيد الروحاني</w:t>
      </w:r>
      <w:r>
        <w:rPr>
          <w:rStyle w:val="FootnoteAnchor"/>
          <w:rtl w:val="true"/>
        </w:rPr>
        <w:footnoteReference w:id="910"/>
      </w:r>
      <w:r>
        <w:rPr>
          <w:rFonts w:ascii="Amiri" w:hAnsi="Amiri" w:eastAsia="Amiri" w:cs="Amiri"/>
          <w:color w:val="111111"/>
          <w:sz w:val="28"/>
          <w:sz w:val="28"/>
          <w:szCs w:val="28"/>
          <w:rtl w:val="true"/>
          <w:lang w:bidi="ar-SA"/>
        </w:rPr>
        <w:t>الشمول وعدم الشمول دائراً مدار أخذ الثقل في مفهوم الوضع والرفع، فلو لم يؤخذ الثقل في مفهومهما فلا مانع من شمول عموم الموصول للمستحبات والمكروهات، لكن مع أخذ الثقل فيهما فلا؛ لعدم وجود ثقل في المستحب والمكروه حتى يرفع بحديث الرفع، فإن الثقل مرتبط بالوجوب والتحريم، وأما الاستحباب والكراهة فلا ثقل فيهما على المكلف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برهاني لإثبات أخذ الثقل في مفهوم الرفع، فالمحكم هو الوجدان، فراجعه تعرف صحة الدعوى من سقمها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مناقشتان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كبروية وصغروية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المناقشة الكبروية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لنا أخذ الثقل في مفهوم الوضع والرفع، فلو وضع على كتف إنسان ريش طائر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الريشة على كتفه، ولو رفعت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الريشة من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الصغروية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الاستحباب والكراهة ثقلاً على المكلف، فالمتدين لو أكل الجبن صباحاً من دون ضميمة مع علمه بالكراهة يحس بتأنيب الضمير والوجدان، وإنه يقوم بمخالفة أمر اللّه، ولو بنحو ضعيف من أنحاء المخالفة، لكن لو رفعت الكراهة والاستحباب فلا يحس بذلك، كما لو علم الابن أنَّ أباه لا يحب العمل الكذائي، لا بحد التحريم، ففعله الابن، فنفس كونه مكروهاً نوع من الثقل، بخلاف ما لو كان مباحاً حيث يحس بالخفة، فالمولى بحديث الرفع يرفع الاستحباب والكراهة في موارد الشك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أنه بناء على أنَّ الرفع واقعي فلا مانع من شمول حديث الرفع للمستحبات والمكروهات المشكوكة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الرفع ظاهرياً، فقد ذكر في المصباح</w:t>
      </w:r>
      <w:r>
        <w:rPr>
          <w:rStyle w:val="FootnoteAnchor"/>
          <w:rtl w:val="true"/>
        </w:rPr>
        <w:footnoteReference w:id="912"/>
      </w:r>
      <w:r>
        <w:rPr>
          <w:rFonts w:ascii="Amiri" w:hAnsi="Amiri" w:eastAsia="Amiri" w:cs="Amiri"/>
          <w:color w:val="111111"/>
          <w:sz w:val="28"/>
          <w:sz w:val="28"/>
          <w:szCs w:val="28"/>
          <w:rtl w:val="true"/>
          <w:lang w:bidi="ar-SA"/>
        </w:rPr>
        <w:t xml:space="preserve">بعنوان التحقيق تفصيلاً بين موارد الشك في التكاليف الاستقلالية فلا يجري الرفع، وموارد الشك في التكاليف الضمنية فيجري، فلو شك في كراهة أكل الجبن في الليل فلا يجري الرفع، وأما لو شك في شرطية السور المخصوصة في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القول برفع التكليف الضمني </w:t>
      </w:r>
    </w:p>
    <w:p>
      <w:pPr>
        <w:pStyle w:val="BookText"/>
        <w:rPr/>
      </w:pPr>
      <w:r>
        <w:rPr>
          <w:rFonts w:ascii="Amiri" w:hAnsi="Amiri" w:eastAsia="Amiri" w:cs="Amiri"/>
          <w:color w:val="111111"/>
          <w:sz w:val="28"/>
          <w:sz w:val="28"/>
          <w:szCs w:val="28"/>
          <w:rtl w:val="true"/>
          <w:lang w:bidi="ar-SA"/>
        </w:rPr>
        <w:t>ظاهراً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الرفع في التكاليف الاستقلالية</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الشك في التكاليف الاستقلالية، فلو شك في استحباب صلاة يوم الغدير أو الدعاء عند رؤية الهلال، فهذه الموارد غير مشمولة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بالرفع هو الرفع في مرحلة الظاهر، ومن لوازم ذلك عدم وجوب الاحتياط</w:t>
      </w:r>
      <w:r>
        <w:rPr>
          <w:rStyle w:val="FootnoteAnchor"/>
          <w:rtl w:val="true"/>
        </w:rPr>
        <w:footnoteReference w:id="914"/>
      </w:r>
      <w:r>
        <w:rPr>
          <w:rFonts w:ascii="Amiri" w:hAnsi="Amiri" w:eastAsia="Amiri" w:cs="Amiri"/>
          <w:color w:val="111111"/>
          <w:sz w:val="28"/>
          <w:sz w:val="28"/>
          <w:szCs w:val="28"/>
          <w:rtl w:val="true"/>
          <w:lang w:bidi="ar-SA"/>
        </w:rPr>
        <w:t>، وهذا المعنى غير متحقق في موارد الشك في التكاليف الاستقلالية، إذ لا إشكال في استحباب الاحتياط، فانكشف أنّ التكليف المحتمل غير مرفوع في مرحلة الظاهر، فلا يكون مشمولاً لحديث الرفع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الظاهري مستلزم لعدم جعل الاحتياط، مع أنَّ الاحتياط في المقام مجعول قطعاً، فلا إشكال في حسن الاحتياط مع الشك في استحباب صلاة يوم الغدير، وكراهة أكل الجبن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استحباب الشيء يفرض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بما له من العنوان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بما له من العنوان العرضي، أي بما أنه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الاحتياط</w:t>
      </w:r>
      <w:r>
        <w:rPr>
          <w:rStyle w:val="FootnoteAnchor"/>
          <w:rtl w:val="true"/>
        </w:rPr>
        <w:footnoteReference w:id="916"/>
      </w:r>
      <w:r>
        <w:rPr>
          <w:rFonts w:ascii="Amiri" w:hAnsi="Amiri" w:eastAsia="Amiri" w:cs="Amiri"/>
          <w:color w:val="111111"/>
          <w:sz w:val="28"/>
          <w:sz w:val="28"/>
          <w:szCs w:val="28"/>
          <w:rtl w:val="true"/>
          <w:lang w:bidi="ar-SA"/>
        </w:rPr>
        <w:t xml:space="preserve">ناظرة إلى ثبوت الاستحباب الاحتياطي، وحديث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نفي الاستحباب النفسي،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النفسي مرفوع ظاهراً؛ للشك في استحبابه بدليل الرفع، والاستحباب الاحتياطي ثابت بأدلة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ثمرات رفع الاستحباب</w:t>
      </w:r>
    </w:p>
    <w:p>
      <w:pPr>
        <w:pStyle w:val="BookText"/>
        <w:rPr/>
      </w:pPr>
      <w:r>
        <w:rPr>
          <w:rFonts w:ascii="Amiri" w:hAnsi="Amiri" w:eastAsia="Amiri" w:cs="Amiri"/>
          <w:color w:val="111111"/>
          <w:sz w:val="28"/>
          <w:sz w:val="28"/>
          <w:szCs w:val="28"/>
          <w:rtl w:val="true"/>
          <w:lang w:bidi="ar-SA"/>
        </w:rPr>
        <w:t xml:space="preserve">و لرفع الاستحباب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فلا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خبر ضعيف على استحباب غسل المسترسل من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بقاعدة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الاحتياط الاستحبابي يقتضي غسله</w:t>
      </w:r>
      <w:r>
        <w:rPr>
          <w:rStyle w:val="FootnoteAnchor"/>
          <w:rtl w:val="true"/>
        </w:rPr>
        <w:footnoteReference w:id="917"/>
      </w:r>
      <w:r>
        <w:rPr>
          <w:rFonts w:ascii="Amiri" w:hAnsi="Amiri" w:eastAsia="Amiri" w:cs="Amiri"/>
          <w:color w:val="111111"/>
          <w:sz w:val="28"/>
          <w:sz w:val="28"/>
          <w:szCs w:val="28"/>
          <w:rtl w:val="true"/>
          <w:lang w:bidi="ar-SA"/>
        </w:rPr>
        <w:t>، وأما حديث الرفع فيحكم بعدم استحبابه للشك فيه، فلا يعتبر من أعمال الوضوء المستحبة للحكم برفعه ظاهراً، فالاستحباب النفسي مرفوع، والاستحباب الاحتياطي ثابت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الأثر فيما لو يبست رطوبة اليد، فلا يجوز أخذ الرطوبة من المسترسل للمسح، لأنه ليس جزءاً مستحباً من الوضوء بحديث الرفع</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خبر ضعيف على استحباب الوضوء لغاية النوم،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رافعية الوضوء للحدث موقوفة على قصد غاية من الغايات الواجبة أو المستحبة كما قال به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بالإتيان بهذا الوضوء لهذه الغاية مستحب؛ لأدلة الاحتياط، ومن بلغه ثواب على عمل حتى عند من لم يلتزم بقاعدة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القول برفع المستحبات المشكوكة بحديث الرفع لا يكون هذا الوضوء رافعاً للحدث؛ لعدم استحبابه في مرحلة الظاهر بحديث الرفع، وعليه يكون الوضوء للنوم مستحباً احتياطاً، لكنه غير رافع للحدث؛ لعدم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الأثر في النية، حيث لا تجوز نية الاستحباب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 الرأيين في عدم جواز نية الاستحباب، وأنه 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شمول الرفع للمقام يتم الدليل على عدم الاستحباب، ومع عدم الشمول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الرفع في التكاليف الضمنية</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الشك في التكاليف الضمنية، كما لو شك في استحباب السور المخصوصة في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التكاليف الضمنية فالأمر بالاحتياط عند الشك فيها وإن كان ثابتاً، فيستحب الاحتياط بإتيان ما يحتمل كونه جزءاً لمستحب، إلا أنَّ اشتراط هذا المستحب به مجهول، فلا مانع من الحكم </w:t>
      </w:r>
    </w:p>
    <w:p>
      <w:pPr>
        <w:pStyle w:val="BookText"/>
        <w:rPr/>
      </w:pPr>
      <w:r>
        <w:rPr>
          <w:rFonts w:ascii="Amiri" w:hAnsi="Amiri" w:eastAsia="Amiri" w:cs="Amiri"/>
          <w:color w:val="111111"/>
          <w:sz w:val="28"/>
          <w:sz w:val="28"/>
          <w:szCs w:val="28"/>
          <w:rtl w:val="true"/>
          <w:lang w:bidi="ar-SA"/>
        </w:rPr>
        <w:t>بعدم الاشتراط في مقام الظاهر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 وجود شكين في التكاليف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نفس الجزء المشكوك، فهل تستحب سورة العاديات في الركعة الثانية؟ ولا يجري الرفع لعدم الإشكال في ثبوت الأمر بالاحتياط، فيؤتى بها من باب الاحتياط ورجاء إدراك الواقع، ولا مجال للشك في استحباب الاحتياط بالإتيان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اشتراط المستحب بهذا الجزء المشكوك، فهل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بإتيان السور المخصوصة، بحيث تنتفي الماهية بانتفاء الجزء المشكوك؟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الشرطي مشكوك فيرفع بدليل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الإتيان بالفاقد بداعي الأمر الإلهي، لرفع الشرطية في الماهية، كما لو شك في الصلاة الواجبة في شرطية القنوت فيأتي بالفاقد بنية امتثال الأمر الإلهي، بعد رفع الوجوب بدليل الرفع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الوجوب الشرطي مسبب عن الشك في الاستحباب الضمني، فإنه إنما يشك في الوجوب الشرطي للسور المخصوصة للشك في استحبابها الضمني، فلو ثبت استحبابها ثبت الوجوب الشرطي، فلا تتحقق الماهية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الاستحباب ضمناً فلا وجوب شرطي، ومع وجود أصل يعالج الشك في مرحلة السبب لا تصل النوبة إلى جريان الأصل في مرحلة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قابل للدفع بأن السببية عقلية لا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السببية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كسببية طهارة الماء لطهارة الثوب المغسول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الأصل في السبب مانع عن جريانه في المسبب؛ لأنَّ الأصل السببي ينفي موضوع الأصل المسببي، بخلاف الأصل المسببي، حيث لا ينفي موضوع الأصل السببي؛ لأن طهارة الماء ليست من الآثار الشرعية لطهارة الثوب، لكن طهارة الثوب من الآثار الشرعية لطهارة الماء، وأما لو كانت السببية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كترتب وجود الحرارة على وجود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الأصل في الاثنين، فيستصحب بقاء الحرارة وبقاء النار، ولا وجه لتقدم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الثاني؛ لأن الشك في الوجوب الشرطي ناشئ عن الشك في الاستحباب الضمني، لكن هذه السببية عقلية؛ لأن الوجوب الشرطي ليس من الآثار الشرعية للاستحباب الضمني، فلم يقل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الشيء مستحباً ضمناً كان المجموع المركب مشروطاً به، بل العقل يحكم بذلك، فلا مانع من جريان أصالة الاحتياط في الاستحباب الضمني، وجريان الرفع في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التفصيل المذكور ما تقدم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مانع من جريان حديث الرفع لنفي الاستحباب الضمني، فالاستحباب الضمني والوجوب الشرطي كلاهما مرفوعان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في المشترك بين الواجب والمستحب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المنهاج تفصيلاً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المشكوك مما يعتبر في طبيعة الصلاة المشتركة بين الواجبة وغيرها جرى الرفع؛ إذ لا فرق بين </w:t>
      </w:r>
    </w:p>
    <w:p>
      <w:pPr>
        <w:pStyle w:val="BookText"/>
        <w:rPr/>
      </w:pPr>
      <w:r>
        <w:rPr>
          <w:rFonts w:ascii="Amiri" w:hAnsi="Amiri" w:eastAsia="Amiri" w:cs="Amiri"/>
          <w:color w:val="111111"/>
          <w:sz w:val="28"/>
          <w:sz w:val="28"/>
          <w:szCs w:val="28"/>
          <w:rtl w:val="true"/>
          <w:lang w:bidi="ar-SA"/>
        </w:rPr>
        <w:t>النافلة والفريضة، أما لو شك في اعتبار شيء خاص بالنافلة فلا يجري الرفع؛ لأنه تابع لواقعه، فلو شك في اعتبار شيء، كوجوب رفع اليدين عند تكبيرة الإحرام في طبيعة الصلاة أعم من الواجب والمندوب</w:t>
      </w:r>
      <w:r>
        <w:rPr>
          <w:rStyle w:val="FootnoteAnchor"/>
          <w:rtl w:val="true"/>
        </w:rPr>
        <w:footnoteReference w:id="920"/>
      </w:r>
      <w:r>
        <w:rPr>
          <w:rFonts w:ascii="Amiri" w:hAnsi="Amiri" w:eastAsia="Amiri" w:cs="Amiri"/>
          <w:color w:val="111111"/>
          <w:sz w:val="28"/>
          <w:sz w:val="28"/>
          <w:szCs w:val="28"/>
          <w:rtl w:val="true"/>
          <w:lang w:bidi="ar-SA"/>
        </w:rPr>
        <w:t>، فلا إشكال في جريان حديث الرفع في الواجب منه، وذلك للشك بين الأقل والأكثر، فإنه وإن كانا ارتباطيين إلاّ أنه تجري البراءة الشرعية والعقلية عند المشهور</w:t>
      </w:r>
      <w:r>
        <w:rPr>
          <w:rStyle w:val="FootnoteAnchor"/>
          <w:rtl w:val="true"/>
        </w:rPr>
        <w:footnoteReference w:id="921"/>
      </w:r>
      <w:r>
        <w:rPr>
          <w:rFonts w:ascii="Amiri" w:hAnsi="Amiri" w:eastAsia="Amiri" w:cs="Amiri"/>
          <w:color w:val="111111"/>
          <w:sz w:val="28"/>
          <w:sz w:val="28"/>
          <w:szCs w:val="28"/>
          <w:rtl w:val="true"/>
          <w:lang w:bidi="ar-SA"/>
        </w:rPr>
        <w:t>، والبراءة الشرعية فحسب عند صاحب الكفاية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المستحب فطبيعة الصلاة مشتركة لا تتبعض، فكل ما هو شرط في الواجب شرط في المستحب، وكلُّ ما لا يشترط في الواجب لا يشترط في المستحب إلا ما خرج بالدليل، وقد أشار إليه تفصيلاً الفقيه الهمداني في مصباح الفقيه</w:t>
      </w:r>
      <w:r>
        <w:rPr>
          <w:rStyle w:val="FootnoteAnchor"/>
          <w:rtl w:val="true"/>
        </w:rPr>
        <w:footnoteReference w:id="923"/>
      </w:r>
      <w:r>
        <w:rPr>
          <w:rFonts w:ascii="Amiri" w:hAnsi="Amiri" w:eastAsia="Amiri" w:cs="Amiri"/>
          <w:color w:val="111111"/>
          <w:sz w:val="28"/>
          <w:sz w:val="28"/>
          <w:szCs w:val="28"/>
          <w:rtl w:val="true"/>
          <w:lang w:bidi="ar-SA"/>
        </w:rPr>
        <w:t>فلا يكون رفع اليدين في الصلاة المستحبة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كان الشك في اعتبار شيء في خصوص النافلة، كاشتراط قراءة السور المخصوصة في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يجري حديث الرفع؛ لأنه تابع لواقعه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واضح في 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الشق الأول فوجه التأمل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الطبيعة إنما تكون في مرحلة الواقع، وأما في الظاهر فلا مانع من التفكيك، كما هو الشأن في جميع التفكيكات في الفقه من أوله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نقطة الشك في أنه حد الترخص خروجاً من الوطن ودخولاً إليه، حيث يتمّ في الأول ويقصّر في الثاني عندها، وكما لو اعتقد البائع صحة العقد والمشتري بطلانه، فيحكم بصحته للأول وبطلانه للثاني، وكما في الماء المشكوك كريته مع جهل حالته السابقة، أو تعاقبت عليه الحالات وجهل المتقدم والمتأخر، ثم غسل الثوب المتنجس فيه، فيحكم بطهارة الماء ونجاسة الثوب، مع أنه لو كان كراً لكانا طاهرين، ولو كان قليلاً لكانا 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تفكيك في مرحلة الظاهر بمقتضى الأدلة الظاهرية، فجريان حديث الرفع في الواجب لا يستلزم ثبوت الحكم في المستحب، فلا مانع من القول بعدم وجوب رفع اليدين في الصلاة الواجبة لحديث الرفع، وأما في الصلاة غير الواجبة فهو واجب شرطي؛ لعدم شمول حديث الرفع، إلا أن يقال بجريان حديث الرفع بنفسه في الواجب والمستحب، وهو مما لا يلتزم به، وإنما أثبت الحكم على وحدة الطبيعة الواحدة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التأمل 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تارة حول تحصيل غرض المكلف، وأخرى حول امتثال أمر المولى، فلو كان غرض المكلف تحصيل الآثار الواقعية للماهية، فكل شيء تابع لواقعه، سواء أكان واجباً أم مستحباً، ولا فرق بينهما، فالآثار الوضعية الواقعية للصلاة الواجبة لا تترتب على المأتي به مع أصالة الطهارة والبراءة وما أشبه، فإنَّ تلك الآثار مترتبة على الصلاة الواقعية، كما أنَّ الآثار الواقعية لصلاة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على واقع تلك الصلاة، ولو كان البحث في امتثال أمر المولى فقد تحقق الامتثال في المقامين، فمع حديث الرفع يرفع الجزئية للواجب </w:t>
      </w:r>
      <w:bookmarkStart w:id="326" w:name="pg15601_167090"/>
    </w:p>
    <w:p>
      <w:pPr>
        <w:pStyle w:val="BookText"/>
        <w:rPr/>
      </w:pPr>
      <w:bookmarkEnd w:id="326"/>
      <w:r>
        <w:rPr>
          <w:rFonts w:ascii="Amiri" w:hAnsi="Amiri" w:eastAsia="Amiri" w:cs="Amiri"/>
          <w:color w:val="111111"/>
          <w:sz w:val="28"/>
          <w:sz w:val="28"/>
          <w:szCs w:val="28"/>
          <w:rtl w:val="true"/>
          <w:lang w:bidi="ar-SA"/>
        </w:rPr>
        <w:t>والمستحب وينوي امتثال الأمر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نذر الإتيان بصلاة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بالعرض لا يقلب الماهية، فنفس الأحكام تثبت على ذمة المكلف بلا إضافة، وهو كافٍ لامتثال أمر المولى ولقصد المكلف، حيث يأتي بالصلاة الفاقدة بداعي امتثال الأمر ولا إشكال فيه؛ لأنه معذور ظاهراً بالأدلة الترخيصية، كما أنَّ اللباس الذي يصلى فيه بالبراءة طاهر ظاهراً، ويؤدى به الواجب وإن كان باطلاً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غرض المكلف بتحصيل الواقع في الصلاة الواجبة أو المستحبة فلا بد أن يراعي جميع الشروط المحتملة، لكن ذلك غير واجب، فما أفاده في المقامين يحتاج إلى تأمل أكثر</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0000269_2142443653"/>
      <w:bookmarkStart w:id="328" w:name="_Toc122"/>
      <w:bookmarkEnd w:id="327"/>
      <w:r>
        <w:rPr>
          <w:rtl w:val="true"/>
        </w:rPr>
        <w:t>المبحث الرابع</w:t>
      </w:r>
      <w:r>
        <w:rPr>
          <w:rtl w:val="true"/>
        </w:rPr>
        <w:t xml:space="preserve">: </w:t>
      </w:r>
      <w:r>
        <w:rPr>
          <w:rtl w:val="true"/>
        </w:rPr>
        <w:t xml:space="preserve">شمول </w:t>
      </w:r>
      <w:r>
        <w:rPr>
          <w:rtl w:val="true"/>
        </w:rPr>
        <w:t>(</w:t>
      </w:r>
      <w:r>
        <w:rPr>
          <w:rtl w:val="true"/>
        </w:rPr>
        <w:t>رفع ما لا يعلمون</w:t>
      </w:r>
      <w:r>
        <w:rPr>
          <w:rtl w:val="true"/>
        </w:rPr>
        <w:t xml:space="preserve">) </w:t>
      </w:r>
      <w:r>
        <w:rPr>
          <w:rtl w:val="true"/>
        </w:rPr>
        <w:t>للجاهل المقصر وعدمه</w:t>
      </w:r>
      <w:bookmarkEnd w:id="328"/>
    </w:p>
    <w:p>
      <w:pPr>
        <w:pStyle w:val="BookText"/>
        <w:rPr/>
      </w:pPr>
      <w:r>
        <w:rPr>
          <w:rFonts w:ascii="Amiri" w:hAnsi="Amiri" w:eastAsia="Amiri" w:cs="Amiri"/>
          <w:color w:val="111111"/>
          <w:sz w:val="28"/>
          <w:sz w:val="28"/>
          <w:szCs w:val="28"/>
          <w:rtl w:val="true"/>
          <w:lang w:bidi="ar-SA"/>
        </w:rPr>
        <w:t xml:space="preserve">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الجاهل المقصر أم لا؟</w:t>
      </w:r>
    </w:p>
    <w:p>
      <w:pPr>
        <w:pStyle w:val="BookText"/>
        <w:rPr/>
      </w:pPr>
      <w:r>
        <w:rPr>
          <w:rFonts w:ascii="Amiri" w:hAnsi="Amiri" w:eastAsia="Amiri" w:cs="Amiri"/>
          <w:color w:val="111111"/>
          <w:sz w:val="28"/>
          <w:sz w:val="28"/>
          <w:szCs w:val="28"/>
          <w:rtl w:val="true"/>
          <w:lang w:bidi="ar-SA"/>
        </w:rPr>
        <w:t>عدم شمول حديث الرفع للجاهل المقصر</w:t>
      </w:r>
    </w:p>
    <w:p>
      <w:pPr>
        <w:pStyle w:val="BookText"/>
        <w:rPr/>
      </w:pPr>
      <w:r>
        <w:rPr>
          <w:rFonts w:ascii="Amiri" w:hAnsi="Amiri" w:eastAsia="Amiri" w:cs="Amiri"/>
          <w:color w:val="111111"/>
          <w:sz w:val="28"/>
          <w:sz w:val="28"/>
          <w:szCs w:val="28"/>
          <w:rtl w:val="true"/>
          <w:lang w:bidi="ar-SA"/>
        </w:rPr>
        <w:t>ذكر في المنهاج</w:t>
      </w:r>
      <w:r>
        <w:rPr>
          <w:rStyle w:val="FootnoteAnchor"/>
          <w:rtl w:val="true"/>
        </w:rPr>
        <w:footnoteReference w:id="924"/>
      </w:r>
      <w:r>
        <w:rPr>
          <w:rFonts w:ascii="Amiri" w:hAnsi="Amiri" w:eastAsia="Amiri" w:cs="Amiri"/>
          <w:color w:val="111111"/>
          <w:sz w:val="28"/>
          <w:sz w:val="28"/>
          <w:szCs w:val="28"/>
          <w:rtl w:val="true"/>
          <w:lang w:bidi="ar-SA"/>
        </w:rPr>
        <w:t>أنه يمكن القول بعدم شمول الحديث للجاهل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المدعى ذكر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القول بالانصراف؛ لأنَّ المطلوب من المسلمين تعلم الدين وأحكامه بالضرورة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ما لا </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بإطلاقات الأدلة الدالة على عدم معذورية الجاهل المقصر، ولزوم الفحص عن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 مضمونه ما في الفقه</w:t>
      </w:r>
      <w:r>
        <w:rPr>
          <w:rStyle w:val="FootnoteAnchor"/>
          <w:rtl w:val="true"/>
        </w:rPr>
        <w:footnoteReference w:id="9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بطلان أعمال الجاهل المقصر، إلاّ على قول ضعيف عمم حديث الرفع حتى لما نحن فيه، فيضعف التمسك بالتعميم في حق الجاهل المقصر لو انكشف أنّ أعماله مخالفة للواقع والأمارة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العموم لو سلم كان مخصصاً بما دل على إبلاس المجرم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مبنيان في حديث الرفع</w:t>
      </w:r>
    </w:p>
    <w:p>
      <w:pPr>
        <w:pStyle w:val="BookText"/>
        <w:rPr/>
      </w:pPr>
      <w:r>
        <w:rPr>
          <w:rFonts w:ascii="Amiri" w:hAnsi="Amiri" w:eastAsia="Amiri" w:cs="Amiri"/>
          <w:color w:val="111111"/>
          <w:sz w:val="28"/>
          <w:sz w:val="28"/>
          <w:szCs w:val="28"/>
          <w:rtl w:val="true"/>
          <w:lang w:bidi="ar-SA"/>
        </w:rPr>
        <w:t>في حديث الرفع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الرفع خصوص المؤاخذة، ولا شبهة في أنَّ الحديث لا يشمل الجاهل المقصر؛ لأنه مستحق للمؤاخذة قطعاً، واستحقاق المؤاخذة غير مرفوع قطعاً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جميع الآثار أو أظهر الآثار، 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جميعها أو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عن الجاهل المقصر؟ يمكن دعوى إطلاق الحديث، فكلمة الجاهل مطلقة تشمل القاصر والمقصر احتمالاً، ولا وجه للانصراف، وأما ما دل على إبلاس المجرم وانقطاع حجته فهو يرتبط بخصوص المؤاخذة لا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المسألة فروع كثيرة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مؤيدات لشمول حديث الرفع للجاهل المقصر</w:t>
      </w:r>
    </w:p>
    <w:p>
      <w:pPr>
        <w:pStyle w:val="BookText"/>
        <w:rPr/>
      </w:pPr>
      <w:r>
        <w:rPr>
          <w:rFonts w:ascii="Amiri" w:hAnsi="Amiri" w:eastAsia="Amiri" w:cs="Amiri"/>
          <w:color w:val="111111"/>
          <w:sz w:val="28"/>
          <w:sz w:val="28"/>
          <w:szCs w:val="28"/>
          <w:rtl w:val="true"/>
          <w:lang w:bidi="ar-SA"/>
        </w:rPr>
        <w:t xml:space="preserve">ويؤيد ما ذكرناه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التي ذكرها الفقهاء وأفتى بعضهم بارتفاع الآثار عن الجاهل المقصر، وإن كانت خلافية، وإنما أوردناها دفعاً لتوهم الانفراد،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صاحب العروة بعدم البطلان فيما لو كان ماء الوضوء ومكان المتوضئ، ومصب ماء الوضوء مغصوباً إن كان المكلف جاهلاً بالموضوع،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وكذا مع الجهل بالحكم أيضاً إذا كان قاصراً، بل ومقصراً أيضاً، إذا حصل منه قصد القربة</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فلو لم يكن يعلم اشتراط الإباحة في مكان المتوضئ وكان جاهلاً مقصراً صح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العروة في شرائط لباس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البطلان مع الجهل بالحرمة أيضاً، وإن كان الحكم بالصحة لا يخلو عن قوة</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العروة في شرائط مكان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غافلاً أو جاهلاً أو ناسياً فلا تبطل</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وقد صرح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الجاهل بالحكم الشرعي تصح صلاته وإن كان جاهلاً مقصراً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في بعض الفروع المتقدمة الصحة مطلقاً، بلا </w:t>
      </w:r>
    </w:p>
    <w:p>
      <w:pPr>
        <w:pStyle w:val="BookText"/>
        <w:rPr/>
      </w:pPr>
      <w:r>
        <w:rPr>
          <w:rFonts w:ascii="Amiri" w:hAnsi="Amiri" w:eastAsia="Amiri" w:cs="Amiri"/>
          <w:color w:val="111111"/>
          <w:sz w:val="28"/>
          <w:sz w:val="28"/>
          <w:szCs w:val="28"/>
          <w:rtl w:val="true"/>
          <w:lang w:bidi="ar-SA"/>
        </w:rPr>
        <w:t>فرق بين القاصر والمقصر عن جامع المقاصد وإرشاد الجعفرية والروض، والمقاصد العلية ومجمع البرهان والمدارك، واختاره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إخلال في الصلاة في غير الأركان لو كان عن جهل بالحكم فالأقوى عدم البطلان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ووافقه على ذلك السيد الحكيم والسيد الخونساري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في الصوم</w:t>
      </w:r>
      <w:r>
        <w:rPr>
          <w:rStyle w:val="FootnoteAnchor"/>
          <w:rtl w:val="true"/>
        </w:rPr>
        <w:footnoteReference w:id="9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وجوب الكفارة على الجاهل، خصوصاً القاصر والمقصر غير الملتفت حين الإفطار، ومفاده أنه لو كان الجاهل ملتفتاً فارتمس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السيد أبو الحسن الإصفهاني والسيد الخونساري والسيد الخوئي، وأما السيد الحكيم فقد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ذلك حلالاً، ومفاده أنه لو لم يكن ملتفتاً، بل كان جاهلاً مركباً حين الإتيان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 الفقهاء أفتى بعدم القضاء على الجاهل بالحكم، ونقل في الجواهر عن الشيخ الطوسي وابن إدريس أن الصائم لو جامع جاهلاً بالتحريم لم يجب عليه شيء، ثم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وظاهرهما سقوطهما معاً كما عن المنتهى احتماله، لسقوط القلم عنه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النراقي</w:t>
      </w:r>
      <w:r>
        <w:rPr>
          <w:rStyle w:val="FootnoteAnchor"/>
          <w:rtl w:val="true"/>
        </w:rPr>
        <w:footnoteReference w:id="935"/>
      </w:r>
      <w:r>
        <w:rPr>
          <w:rFonts w:ascii="Amiri" w:hAnsi="Amiri" w:eastAsia="Amiri" w:cs="Amiri"/>
          <w:color w:val="111111"/>
          <w:sz w:val="28"/>
          <w:sz w:val="28"/>
          <w:szCs w:val="28"/>
          <w:rtl w:val="true"/>
          <w:lang w:bidi="ar-SA"/>
        </w:rPr>
        <w:t xml:space="preserve">من عدم الكفارة في محرمات </w:t>
      </w:r>
    </w:p>
    <w:p>
      <w:pPr>
        <w:pStyle w:val="BookText"/>
        <w:rPr/>
      </w:pPr>
      <w:r>
        <w:rPr>
          <w:rFonts w:ascii="Amiri" w:hAnsi="Amiri" w:eastAsia="Amiri" w:cs="Amiri"/>
          <w:color w:val="111111"/>
          <w:sz w:val="28"/>
          <w:sz w:val="28"/>
          <w:szCs w:val="28"/>
          <w:rtl w:val="true"/>
          <w:lang w:bidi="ar-SA"/>
        </w:rPr>
        <w:t>الإحرام مع الجهل إلا في الصيد؛ للنص الخاص، وأقام له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إجماع 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كصحيحة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ناسياً أو جاهلاً فليس عليه شيء</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ليس عليك فداء شيء أتيته وأنت جاهل به وأنت محرم في حجك، ولا في عمرتك إلا الصيد</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أنَّ الجاهل هنا عام يشمل المقصر، فما هو الفارق بينه وبين حديث الرفع؟</w:t>
      </w:r>
    </w:p>
    <w:p>
      <w:pPr>
        <w:pStyle w:val="BookText"/>
        <w:rPr/>
      </w:pPr>
      <w:r>
        <w:rPr>
          <w:rFonts w:ascii="Amiri" w:hAnsi="Amiri" w:eastAsia="Amiri" w:cs="Amiri"/>
          <w:color w:val="111111"/>
          <w:sz w:val="28"/>
          <w:sz w:val="28"/>
          <w:szCs w:val="28"/>
          <w:rtl w:val="true"/>
          <w:lang w:bidi="ar-SA"/>
        </w:rPr>
        <w:t>واستدل في شرح العروة</w:t>
      </w:r>
      <w:r>
        <w:rPr>
          <w:rStyle w:val="FootnoteAnchor"/>
          <w:rtl w:val="true"/>
        </w:rPr>
        <w:footnoteReference w:id="938"/>
      </w:r>
      <w:r>
        <w:rPr>
          <w:rFonts w:ascii="Amiri" w:hAnsi="Amiri" w:eastAsia="Amiri" w:cs="Amiri"/>
          <w:color w:val="111111"/>
          <w:sz w:val="28"/>
          <w:sz w:val="28"/>
          <w:szCs w:val="28"/>
          <w:rtl w:val="true"/>
          <w:lang w:bidi="ar-SA"/>
        </w:rPr>
        <w:t>لعدم الكفارة في كل تروك الإحرام فيما لو كان جاهلاً بصحيحة ابن عمار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في الفقه</w:t>
      </w:r>
      <w:r>
        <w:rPr>
          <w:rStyle w:val="FootnoteAnchor"/>
          <w:rtl w:val="true"/>
        </w:rPr>
        <w:footnoteReference w:id="939"/>
      </w:r>
      <w:r>
        <w:rPr>
          <w:rFonts w:ascii="Amiri" w:hAnsi="Amiri" w:eastAsia="Amiri" w:cs="Amiri"/>
          <w:color w:val="111111"/>
          <w:sz w:val="28"/>
          <w:sz w:val="28"/>
          <w:szCs w:val="28"/>
          <w:rtl w:val="true"/>
          <w:lang w:bidi="ar-SA"/>
        </w:rPr>
        <w:t>بأنه لا فرق بين الجاهل بالحكم والموضوع قصورياً أو تقصيرياً، كل ذلك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مؤيدان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قاعدة الجب من أنه مطلق، سواء أكان الكافر جاهلاً قاصراً أم مقصراً أم عامداً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حين الخلاف جاهلاً قاصراً أم مقصراً أم عامداً متردداً أم جاهلاً مركباً، فكل </w:t>
      </w:r>
      <w:bookmarkStart w:id="329" w:name="pg15601_167100"/>
    </w:p>
    <w:p>
      <w:pPr>
        <w:pStyle w:val="BookText"/>
        <w:rPr/>
      </w:pPr>
      <w:bookmarkEnd w:id="329"/>
      <w:r>
        <w:rPr>
          <w:rFonts w:ascii="Amiri" w:hAnsi="Amiri" w:eastAsia="Amiri" w:cs="Amiri"/>
          <w:color w:val="111111"/>
          <w:sz w:val="28"/>
          <w:sz w:val="28"/>
          <w:szCs w:val="28"/>
          <w:rtl w:val="true"/>
          <w:lang w:bidi="ar-SA"/>
        </w:rPr>
        <w:t>أعماله صحيحة إلا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أو المعروف بين الفقهاء أنَّ الجاهل المقصر كالعامد في جميع الأحكام الفقهية، فأعماله باطلة إلا في مسألتين الجهر والإخفات والقصر والإتمام، والمسألة بحاجة إلى تأمل أكثر</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0000271_2142443653"/>
      <w:bookmarkStart w:id="331" w:name="_Toc123"/>
      <w:bookmarkEnd w:id="330"/>
      <w:r>
        <w:rPr>
          <w:rtl w:val="true"/>
        </w:rPr>
        <w:t>المبحث الخامس</w:t>
      </w:r>
      <w:r>
        <w:rPr>
          <w:rtl w:val="true"/>
        </w:rPr>
        <w:t xml:space="preserve">: </w:t>
      </w:r>
      <w:r>
        <w:rPr>
          <w:rtl w:val="true"/>
        </w:rPr>
        <w:t>في شمول الرفع لموارد العلم الإجمالي</w:t>
      </w:r>
      <w:bookmarkEnd w:id="331"/>
    </w:p>
    <w:p>
      <w:pPr>
        <w:pStyle w:val="BookText"/>
        <w:rPr/>
      </w:pPr>
      <w:r>
        <w:rPr>
          <w:rFonts w:ascii="Amiri" w:hAnsi="Amiri" w:eastAsia="Amiri" w:cs="Amiri"/>
          <w:color w:val="111111"/>
          <w:sz w:val="28"/>
          <w:sz w:val="28"/>
          <w:szCs w:val="28"/>
          <w:rtl w:val="true"/>
          <w:lang w:bidi="ar-SA"/>
        </w:rPr>
        <w:t xml:space="preserve">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موارد العلم الإجمالي أم لا؟</w:t>
      </w:r>
    </w:p>
    <w:p>
      <w:pPr>
        <w:pStyle w:val="BookText"/>
        <w:rPr/>
      </w:pPr>
      <w:r>
        <w:rPr>
          <w:rFonts w:ascii="Amiri" w:hAnsi="Amiri" w:eastAsia="Amiri" w:cs="Amiri"/>
          <w:color w:val="111111"/>
          <w:sz w:val="28"/>
          <w:sz w:val="28"/>
          <w:szCs w:val="28"/>
          <w:rtl w:val="true"/>
          <w:lang w:bidi="ar-SA"/>
        </w:rPr>
        <w:t>يتحقق العلم الإجمالي في المتباينين تارة، كما لو علم بوقوع الدم في أحد الإناءين، وأخرى في موارد الدوران بين الأقل والأكثر الارتباطيين، كما لو شك في وجوب القنوت في الصلاة، والمشهور على انحلال العلم الإجمالي إلى العلم التفصيلي بالأقل والشك في الأكثر، ولكن يرى صاحب الكفاية في مباحث العلم الإجمالي</w:t>
      </w:r>
      <w:r>
        <w:rPr>
          <w:rStyle w:val="FootnoteAnchor"/>
          <w:rtl w:val="true"/>
        </w:rPr>
        <w:footnoteReference w:id="940"/>
      </w:r>
      <w:r>
        <w:rPr>
          <w:rFonts w:ascii="Amiri" w:hAnsi="Amiri" w:eastAsia="Amiri" w:cs="Amiri"/>
          <w:color w:val="111111"/>
          <w:sz w:val="28"/>
          <w:sz w:val="28"/>
          <w:szCs w:val="28"/>
          <w:rtl w:val="true"/>
          <w:lang w:bidi="ar-SA"/>
        </w:rPr>
        <w:t>عدم الانحلال، فلا تجري البراءة العقلية، فيكون الموردان كالمتباينين، فيجب فيهما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شمول الرفع لموارد العلم الإجمالي</w:t>
      </w:r>
    </w:p>
    <w:p>
      <w:pPr>
        <w:pStyle w:val="BookText"/>
        <w:rPr/>
      </w:pPr>
      <w:r>
        <w:rPr>
          <w:rFonts w:ascii="Amiri" w:hAnsi="Amiri" w:eastAsia="Amiri" w:cs="Amiri"/>
          <w:color w:val="111111"/>
          <w:sz w:val="28"/>
          <w:sz w:val="28"/>
          <w:szCs w:val="28"/>
          <w:rtl w:val="true"/>
          <w:lang w:bidi="ar-SA"/>
        </w:rPr>
        <w:t>وأثر شمول الرفع لموارد العلم الجمالي تنافي حديث الرفع مع دليل الاحتياط العقلي، ففي مثال الإناءين يأمر العقل بلزوم الاحتياط، بينما يأمر الشرع بالرفع، لكون كل واحد منهما مشكوك الحرمة، فلا بد من حل مشكلة التعارض بينهما، والحل مطروح في مباحث العلم الإجمالي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المرحلة المتقدمة على الحل المذكور، وهي أصل شمول الرفع لهذه الموارد، فلو لم تشمل فلا تعارض أصلاً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والحاصل أنَّ هنا مراحل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بعدم شمول حديث الرفع لموارد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بالشمول، لكنه لا ينافي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بالشمول والمعارضة، فيلزم البحث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الرفع بالشبهات البدوية</w:t>
      </w:r>
    </w:p>
    <w:p>
      <w:pPr>
        <w:pStyle w:val="BookText"/>
        <w:rPr/>
      </w:pPr>
      <w:r>
        <w:rPr>
          <w:rFonts w:ascii="Amiri" w:hAnsi="Amiri" w:eastAsia="Amiri" w:cs="Amiri"/>
          <w:color w:val="111111"/>
          <w:sz w:val="28"/>
          <w:sz w:val="28"/>
          <w:szCs w:val="28"/>
          <w:rtl w:val="true"/>
          <w:lang w:bidi="ar-SA"/>
        </w:rPr>
        <w:t>ذكر في المنتقى</w:t>
      </w:r>
      <w:r>
        <w:rPr>
          <w:rStyle w:val="FootnoteAnchor"/>
          <w:rtl w:val="true"/>
        </w:rPr>
        <w:footnoteReference w:id="941"/>
      </w:r>
      <w:r>
        <w:rPr>
          <w:rFonts w:ascii="Amiri" w:hAnsi="Amiri" w:eastAsia="Amiri" w:cs="Amiri"/>
          <w:color w:val="111111"/>
          <w:sz w:val="28"/>
          <w:sz w:val="28"/>
          <w:szCs w:val="28"/>
          <w:rtl w:val="true"/>
          <w:lang w:bidi="ar-SA"/>
        </w:rPr>
        <w:t>أنَّ حديث الرفع خاص بالشبهات البدوية، ولا يشمل موارد العلم الإجمالي فيما لو كان معناه رفع وجوب الاحتياط الشرعي، و ذكر لذلك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منصرف إلى صورة انحصار التضييق بالشارع، فلو كان لزوم الاحتياط ناشئاً من الشارع، كالشبهات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العقل بالبراءة لقبح العقاب بلا بيان لا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يرفع التضييق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ينحصر ذلك به، كما في موارد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العقل بالتضييق على المكلف بالاحتياط وإن سكت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الرفع منصرف عنه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يسلم الانصراف، وقلنا بشمول حديث الرفع للصورتين، إلاّ أنه يرفع الاحتياط الشرعي، فلم يجعل الشارع الاحتياط الشرعي في موارد العلم الإجمالي، وذلك لا ينافي وجوب الاحتياط بحكم العقل في تلك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تفصيلاً في المقام</w:t>
      </w:r>
      <w:r>
        <w:rPr>
          <w:rStyle w:val="FootnoteAnchor"/>
          <w:rtl w:val="true"/>
        </w:rPr>
        <w:footnoteReference w:id="942"/>
      </w:r>
      <w:r>
        <w:rPr>
          <w:rFonts w:ascii="Amiri" w:hAnsi="Amiri" w:eastAsia="Amiri" w:cs="Amiri"/>
          <w:color w:val="111111"/>
          <w:sz w:val="28"/>
          <w:sz w:val="28"/>
          <w:szCs w:val="28"/>
          <w:rtl w:val="true"/>
          <w:lang w:bidi="ar-SA"/>
        </w:rPr>
        <w:t>، حاصله أنه لو كان الرفع بمعنى الوضع</w:t>
      </w:r>
      <w:r>
        <w:rPr>
          <w:rStyle w:val="FootnoteAnchor"/>
          <w:rtl w:val="true"/>
        </w:rPr>
        <w:footnoteReference w:id="943"/>
      </w:r>
      <w:r>
        <w:rPr>
          <w:rFonts w:ascii="Amiri" w:hAnsi="Amiri" w:eastAsia="Amiri" w:cs="Amiri"/>
          <w:color w:val="111111"/>
          <w:sz w:val="28"/>
          <w:sz w:val="28"/>
          <w:szCs w:val="28"/>
          <w:rtl w:val="true"/>
          <w:lang w:bidi="ar-SA"/>
        </w:rPr>
        <w:t xml:space="preserve">فإشكال التعارض قائم،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وضع الشارع للحلية الظاهرية، فينافي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العقلي؛ لأنَّ العقل يحكم بوجوب الاحتياط، والشارع قد جعل الحلية الظاهرية،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التفصيل يحتاج إلى تأمل أكثر، فإنَّ واقع التعارض بالذات هو بين حديث الرفع وأدلة الواجبات والمحرمات الواقعية، لا بين حديث الرفع والأمر العقلي بالاحتياط، فإنه تعارض بالتبع، فالعقل إنما يحكم بلزوم الاحتياط بين الإناءين المشتبهين باعتبار أمره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كون التعارض بالذات قائماً بينهما فلا فرق بين أن يكون مفاد حديث الرفع الرفع أو الوضع، فمن جهة يحكم المولى بحرمة الخمر الواقعي بين الإناءين، ومن جهة ثانية لا يلزم العبد بالاحتياط، بل يجيز له الاقتحام، وهما متنافيان؛ لأنَّ لازم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الحكم الواقعي، فكيف يمكن أن لا يرفع يده عن حرمة الخمر، ومع ذلك يرفع الأمر بالاحتياط؟ وهكذا الأمر فيما لو جعل الحلية الظاهرية للإناءين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نقول بالانصراف على كلا المبنيين رفعاً ووضعاً، أو نقول </w:t>
      </w:r>
    </w:p>
    <w:p>
      <w:pPr>
        <w:pStyle w:val="BookText"/>
        <w:rPr/>
      </w:pPr>
      <w:r>
        <w:rPr>
          <w:rFonts w:ascii="Amiri" w:hAnsi="Amiri" w:eastAsia="Amiri" w:cs="Amiri"/>
          <w:color w:val="111111"/>
          <w:sz w:val="28"/>
          <w:sz w:val="28"/>
          <w:szCs w:val="28"/>
          <w:rtl w:val="true"/>
          <w:lang w:bidi="ar-SA"/>
        </w:rPr>
        <w:t>بالشمول على كلا المبنيين، ونبحث في مباحث العلم الإجمالي عن حل مشكلة التعارض</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الثاني بمباحثه الخمسة</w:t>
      </w:r>
      <w:r>
        <w:rPr>
          <w:rFonts w:eastAsia="Amiri" w:cs="Amiri" w:ascii="Amiri" w:hAnsi="Amiri"/>
          <w:color w:val="111111"/>
          <w:sz w:val="28"/>
          <w:szCs w:val="28"/>
          <w:rtl w:val="true"/>
          <w:lang w:bidi="ar-SA"/>
        </w:rPr>
        <w:t xml:space="preserve">. </w:t>
      </w:r>
      <w:bookmarkStart w:id="332" w:name="pg15601_167108"/>
    </w:p>
    <w:p>
      <w:pPr>
        <w:pStyle w:val="Heading2"/>
        <w:numPr>
          <w:ilvl w:val="1"/>
          <w:numId w:val="1"/>
        </w:numPr>
        <w:rPr/>
      </w:pPr>
      <w:bookmarkStart w:id="333" w:name="__RefHeading___Toc10000273_2142443653"/>
      <w:bookmarkStart w:id="334" w:name="_Toc124"/>
      <w:bookmarkEnd w:id="332"/>
      <w:bookmarkEnd w:id="333"/>
      <w:r>
        <w:rPr>
          <w:rtl w:val="true"/>
        </w:rPr>
        <w:t>فهرس المحتويات</w:t>
      </w:r>
      <w:bookmarkEnd w:id="334"/>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وأنواع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أمثلة لألفاظ المدح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بالخبر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أدلة حجية الأخبار الضعيفة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كيفية إحراز استناد المشهور إلى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الخبر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شروط مسقطية الإعراض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تقريبات الاستدلال بالعقل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وأورد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الأصول العملية المثبتة للتكليف على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بالمخالفة في العبادات بترك العمل بأخبار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بالكتاب والسنة ثابت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حجية مطلق الظن</w:t>
      </w:r>
    </w:p>
    <w:p>
      <w:pPr>
        <w:pStyle w:val="BookText"/>
        <w:rPr/>
      </w:pPr>
      <w:r>
        <w:rPr>
          <w:rFonts w:ascii="Amiri" w:hAnsi="Amiri" w:eastAsia="Amiri" w:cs="Amiri"/>
          <w:color w:val="111111"/>
          <w:sz w:val="28"/>
          <w:sz w:val="28"/>
          <w:szCs w:val="28"/>
          <w:rtl w:val="true"/>
          <w:lang w:bidi="ar-SA"/>
        </w:rPr>
        <w:t>أدلة 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الظن مظنة للضرر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البحث في كبرى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العقوبة الأخروية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المرجوح على الراجح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بالمظنونات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المناقشة في 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المناقشة في 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المناقشة في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المناقشة في 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المناقشة في 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في ظرف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احتمالان في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توثيق مشايخ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نتيجة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ثلاث ثمرات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بغض النظر عن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جريان الأصول المثبتة للتكليف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جريان الأصول النافية للتكليف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العالم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المناقشة في 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تنبيهات باب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حجية الظن في مقام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استدراك على التنبيه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 في الأصول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الاعتقادية المشروطة بحصول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الظن في الأمور الاعتقادية التي يجب تحصيل العلم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الكلام حول عذاب جهنم والخلود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الجاهل المقصر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حرم التقليد لواجد ملكة الاستنباط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عدم اشتراط عموم وجوب المعرفة في تحقق الإسلام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الأصول العملية</w:t>
      </w:r>
    </w:p>
    <w:p>
      <w:pPr>
        <w:pStyle w:val="BookText"/>
        <w:rPr/>
      </w:pPr>
      <w:r>
        <w:rPr>
          <w:rFonts w:ascii="Amiri" w:hAnsi="Amiri" w:eastAsia="Amiri" w:cs="Amiri"/>
          <w:color w:val="111111"/>
          <w:sz w:val="28"/>
          <w:sz w:val="28"/>
          <w:szCs w:val="28"/>
          <w:rtl w:val="true"/>
          <w:lang w:bidi="ar-SA"/>
        </w:rPr>
        <w:t>مباحث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مباحث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أدلة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التعذيب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إشكالات على الاستدلال بآية التعذيب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الإيتاء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إشكالات على الاستدلال بآية الإيتاء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إشكالات على الاستدلال بآية الوجدان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الهلاك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طرق توثيق أحمد بن 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فقه حديث الرفع وفيه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الرفع والدفع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حقيقة المرفوع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المترتبة على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الامتنان في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ثمرات الامتنان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ترتب الأثر على فعل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الخروج التخصصي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النقض على الخروج التخصصي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التأمل في كلمات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الشك في الموضوع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حديث الرفع للأمور العدمية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نظرية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إشكالات على نظرية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المضاف له حظ من الوجود في عالم 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لا فرق بين العدم المطلق والعدم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المضاف له حظ من الوجود في عالم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إدعائي لا تنزيلي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الرفع بالعناوين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حديث الرفع للتكاليف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الأمر بالمركب بعد رفع التكليف الضمني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نظرية عدم بقاء الأمر بالمركب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مناقشة النظرية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الرفع للشبهات الحكمية والموضوعية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اختصاص حديث الرفع بالشبهات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حجية السياق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الرفع أمراً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مقابل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المجازي يعين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الإسناد مجازي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الإسناد حقيقي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الإسناد حقيقي ومجازي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بالشبهات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الرفع للشبهات الموضوعية والحكمية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ولتقريبه 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والوصف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أعم من الموضوع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الموضوع في أفق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واقعي أو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الرفع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كون الرفع واقعياً أو ظاهرياً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واقعي في جميع فقرات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أدلة كون الرفع غير واقعي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مناقشة بعض الأدلة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مناقشة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مناقشة 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مراحل الحكم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الإشكال على كون الرفع واقعياً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في المستحبات والمكروهات المجهولة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الرفع في التكاليف الاستقلالية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ثمرات رفع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الرفع في التكاليف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تفصيل في المشترك بين الواجب والمستحب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 المقصر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عدم شمول حديث الرفع للجاهل المقصر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مبنيان في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مؤيدات لشمول حديث الرفع للجاهل المقصر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الرفع لموارد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أثر شمول الرفع لموارد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اختصاص الرفع بالشبهات البدوية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ورد في حقه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رجلاً جانياً، ولم يرو عنه الحسن البصري حتى حديثاً واحداً، فبينهما واسطة مجهولة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معارضته لمشهور المتقدمين، بل في صورة عدم العلم برأيهم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حجية الخبر الواحد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صنعه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نعلم بوجود ما يطابق الواقع في بقية الأخبار بعد عزل المقدار المعلوم بالإجمال وسائر الأمارات الظنية وهو وجداني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باقي الأخبار وسائر الأمارات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إجمالاً حيث لا فرق بينهما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انطوى وتثنى من لحم، جمعها عكن وأعكان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ومدعاه حجية الأخبار بشرطين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حسبنا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معجم 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كلا شقي كلام الشيخ إشكال، فلا يبتني وجوب معرفة اللّه على وجوب شكر المنعم فقط، بل هنالك مبانٍ أخرى، وكذا وجوب شكر المنعم ليس مبنياً على وجوب دفع الضرر المحتمل، بل هنالك مبانِ أخرى، تفصيلها في علم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المقصود إثبات الحكم العقلي بالوجوب والحرمة لإثبات حجية مطلق الظنون فلا يمكن ذلك لمجرد الملاءمة والمنافرة، فهل العقل يحكم بوجوب العمل بشيء لمجرد ملاءمته، أو بحرمة العمل بشيء لمجرد منافرته؟ في كليته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تصريحاً أو تلويحاً أو احتمالاً لغموضه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بوجود خصوصية في خصوص هذا الجعل، باعتبار المجعول له دون غيره، فمثلاً ينهى المولى العبد عن عمل يرغب فيه دون عمل آخر لا يرغب فيه، ليرى مدى طاعته مع عدم وجود ملاك في المتعلق، بل الملاك في صرف الجعل، إلا أنه باعتبار حالات المجعول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 بحر الفوائد للمحقق الآشتياني أن الشيخ الأعظم نقله عن أستاذه شريف العلماء عن أستاذه السيد علي الطباطبائي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عرضت المسألة على الفقهاء لأفتوا بتقديم الاحتياط في المظنونات على المشكوكات والموهومات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الخراساني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بمعنى الكفر وإنما بمعنى مخالفة المكلف للأغراض والأحكام الشرعية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المقدمة الأولى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كالإجماع المنقول والشهرة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الذي كل واحد من رواته عدل إمامي ضابط، وقام على توثيقهم شاهدان عادلان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وبينهما عموم من وجه، فيمكن أن يكون الخبر موثوقاً به لكن لم ينقله الثقة، بل وثق بصدوره عبر القرائن الخارجية كالشهرة، ويمكن أن يكون خبر رواه ثقة لكن لم يكن موثوقاً به، لقوة احتمال اشتباهه عقلائياً، كخبر أبان في قضية قطع أصابع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يذكروه فرضاً في خصوص المقام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مبنائي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بنائي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التنجز مسألة تشكيكية، فقد يكون كلا الأمرين منجزاً، وقد تكون المخالفة القطعية منجزة دون الموافقة القطعية وذلك حسب 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الوجوب بالمعنى الأعم الشامل لعدم الجواز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يحتمل أن يكون له مفاد آخر غير ما ذكره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تارة حاكمة على الأحكام الأولية وتارة حاكمة على الاحتياط العقلي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فالعقل إنما حكم بالاحتياط لوجود الحكم الشرعي في متن الواقع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نفي العسر والحرج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الواقعية المشتبهة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تدل العبارة الثالثة للنجاشي على عدم روايته عن الضعيف، حيث قال حول جعفر بن محمد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فأخذ موضوعاً لعدم رواية النجاشي عنه،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المجموع المركب من ضعف الحديث ووضعه و فساد المذهب والرأي هو موضوع عدم 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ضرر لا يرفع وجوب الاحتياط لأن المنفي فعل ضرر لا حكم ضرري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يقال إن وزان لا حرج وزان لا ضرر، أي نفي الفعل الحرجي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الحكم الحرجي لا الفعل الحرجي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المجعول هو الحكم لا الموضوع،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للحكم المنفي، يعني ما جعل عليكم حكماً حرجياً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حقق في محله توثيقهم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محل كلام وهل أن الأمر فيه سهل؟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تكليف له داعوية ومحركية نحو الإتيان بمتعلقه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امتثال التكاليف الواقعية ليس فيه عسر ولا حرج في المقام، أي باب الانسداد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فتحصيل العلم بامتثال التكاليف الواقعية حرجي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بالامتثال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التكليف يقتضي امتثال الإتيان بمتعلقه، ولا يقتضي تحصيل العلم بامتثاله،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أد الحج، وليس معناه حصل العلم بإتيان الحج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أدلة نفي الحرج والضرر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 التكليف الذي يقتضي العسر كالصوم الحرجي، ولا تعم حتى تنفي تكليفاً يقتضي العسر، وتكليفاً هو موضوع لأمر عقلي لازمه العسر والحرج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مبنى الشيخ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مقتضى الحكم حرجياً لكان منفياً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نقول هذا الحكم حرجي؛ لأن الحكم العقلي حرجي، كأن نقول زيد رفيع بيته حيث إنه وصف بحال متعلقه، فأنتم تقولون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الحكم الشرعي حرجي الحكم العقلي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يكن هذا الحكم الشرعي حرجياً، وإنما صار متعلقه حرجياً، فلا بد وأن يكون الحكم الشرعي حرجياً حتى يرفع بأدلة لا حرج، لا أن يكون وصفاً بحال المتعلق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المتعلق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العقلي أمر عقلي بتحصيل العلم بالامتثال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البرقي، وهو ثقة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ثقة وإن كان يعتمد الضعفاء والمراسيل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ثقة من أصحاب الإجماع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ثقة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والعسر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فالاحتياط التطبيقي يخل بالمعاش والمعاد للزوم تعطيل كل الأعمال، وترك جميع المستحبات لتعلم الاحتياط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صورة وجود ماء طاهر غير مستعمل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أصابه عرق الجنب من الحرام واحتمل نجاسته، فهل يرفع عرق الجنب النجس احتمالاً ويتوضأ بالماء المستعمل، أو يتوضأ بالماء غير المستعمل ويترك عرق الجنب، أو يرفعه بالماء المستعمل؟ فهذه صورة تعارض الاحتياطين، فمن جهة الاحتياط في رفع عرق الجنب بالماء غير المستعمل، ومن جهة الاحتياط أن يتوضأ بالماء غير المستعمل، فأيهما أقوى احتمالاً أو محتملاً؟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وجود الماء المستعمل مع التراب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يجمع بين الاثنين حتى وإن وقع بعض الصلاة خارج الوقت، أو يقتصر على أحدهما لتقع الصلاة كاملة في الوقت؟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عدم وجود شيء إلا الماء المستعمل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كلب يموت من العطش، فهل الاحتياط أن يتوضأ بالماء المستعمل، أو يسقيه حتى لا يموت؟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المجتهد لا يفتي بأي مظنون وموهوم، بل فتواه تكون على طبق خبر أو إجماع أو شهرة، وإلا احتمال وجوب الدعاء يوم الجمعة في الساعة العاشرة مثلا لا يوجب فتواه بالاحتياط، لما قلناه من انحلال العلم الإجمالي في أطراف الأمارات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الأمارات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تكون التكاليف كلها محل ابتلاء المكلف، بل يحتاط فيما هو محل ابتلائه، وهو لا يوجب الحرج أو إخلال النظام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الحرج شخصي لا نوعي، فلا يجب الاحتياط التام على من كان حرجياً عليه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الثمرة الأولى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الثمرة الثانية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محذور التناقض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هنالك بحث في قواطع الصلاة في أن القهقهة التقديرية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امتلأ ضحكاً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مبطلة للصلاة أم لا؟ فذهب البعض إلى عدم البطلان؛ لأن الألفاظ ظاهرة في الفعلية، وهذه تقديرية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نوع من الإبهام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يجري الاحتياط في موارد الأصول المثبتة، لفرض إثباتها بها، فتبقى خصوص موارد الأصول النافية محل الاحتياط، وهذا في مقابل كلام الشيخ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كل محتملات التكليف محل الاحتياط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مبناه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مبنى الشيخ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كالماء المتغير بعد زوال التغير، وصلاة الجمعة في عهد الغيبة، وجواز الاقتراب بعد الطهر وقبل التطهر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يتطرق الشيخ إلى هذه التفاصيل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يرجع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عليه أن حذف المتعلق يفيد العموم، فهو سنة في كل شيء، ثم إنه يمكن للمالك تعيين الأول بالاعتبار في مورد الرواية عقلاً أو شرعاً، وذلك باختياره لمن شاء، فيرجع ذلك إلى اعتباره، ومع ذلك حكم بالقرعة، فالمقام لا يختلف عن مورد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أن تكون كاشفة عن نفس الحكم، كالشهرة الدالة على الحكم الشرعي فهي حجة لو أورثت الظن بناء على حجيته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الانسداد اللغوي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الانسداد الأحكامي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كالظن الخاص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الصدور والظهور والجهة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التكليف والإتيان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الأخبار أن نور النبي والأمير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عليهم وآلهم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قبل سبعة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المبشر الذي يبشر القوم بأمر خير أو شر، والبشير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لأحد ملائكة القبر، وهو على وزان فعلان من الروم بمعنى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مسألة مهمة جداً ومحل ابتلاء العلماء والوعاظ والمؤلفين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الثقة المأمون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الرواية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يظهر منه رأي قاطع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التدين والاعتقاد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فتصديق كل شيء بحسبه ففي الفروع بالعمل وفي الأصول بالاعتقاد والإخبار والإقرار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الظن الخاص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يقطع بوجود اللّه من مشاهدته لأخلاق السيد حسين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ويتوقف على تنقيحه جميع المباحث القادمة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المبدأ إلى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يمثل الشيخ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صحيحة أو حسنة على الخلاف في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أطفال الكفار فإن أطفال المؤمنين يلحقون بهم،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أَلْحَقْنَا بِهِمْ ذُرِّيَّتَهُمْ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بين الرسل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وجامعه من لم تتم عليه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لم تبلغنا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صحيحة أو حسنة بابراهيم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الذنب بأن يموت في أيام الطفولة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يلازم الصمم غالباً ولا تتم عليهم الحجة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لم ير الروايات التي ذكرناها أو له إشكالات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بابويه، والد الشيخ الصدوق، المدفون بجوار مسجد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المقدسة، الذي كان يدرّس فيه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الأشعري بقرينة الراوي والمروي عنه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الصباح الكناني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اعتبارها خلاف للخلاف في سهل بن زياد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شبه الكفر أو احتماله فيصير شاكاً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اعتبارها خلاف للخلاف في محمد بن سنان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الذي ذكره للعقاب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يناقض كلامه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يناقض كلامه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مراده أن المأمور به التصديق الجازم وهو عاجز 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القبيح يمكن صدوره من المولى غير الحكيم، وأما المحال فلا يمكن صدوره مطلقاً، ولو من غير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قدمنا الأول مع أنه متأخر رتبة لقلة مباحثه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مراده الإطلاق لا العموم؛ لأن الأدلة التي استدل بها 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يتطرق الشيخ الأعظم إلى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يجب معرفته وما لا يجب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لظروف التقية الشديدة حيث لم تذكر اسماء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للخواص، وأما غيرهم فكانوا يجهلون اسم الإمام الذي يلي الإمام 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يجب النفر على العموم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كلمات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يضيق عليه مهما جهل، أي أنه في سعة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وللرواية تتمة فيها نصائح أخلاقية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فاتق اللّه وكف لسانك الا من خير، ولا تقل غني هديت نفسي، بل اللّه هداك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مقابل مسلك 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 شكر ما أنعم اللّه عز وجل به عليك، ولا تكن ممن إذا أقبل طعن في عينه، وإذا أدبر طعن في قفاه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يسيء التعامل مع الناس فيطعن في حضوره وغيبته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اعتبروا في الإيمان شرائط ليست منه،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مرتكب الكبيرة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غير مسالة إنكار الضروري، وإنكار ما علم أنه من الدين بالعلم الوجداني والتعبدي على ما أشرنا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فعلية التعذيب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الأخباريين حيث يرون لزوم الاحتياط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تكن فعلية فلا استحقاق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الآية الكريمة نفت الفعلية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فحتى الأخباري لا يعترف بالملازمة المذكورة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على المختار حسنة على بعض المباني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الآية الكريمة تنفي فعلية التعذيب ولم تثبت نفي استحقاق التعذيب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حمل إذا يبس فحركته الريح سمعت له زجلاً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إجراء التعديل عليه لتشويش في بعض عباراتهم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دمج الشيخ هذا الإشكال مع سابقه وارتضاه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لبّ كلام المحقق العراقي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لانتزاع الجامع بين زيد وعمرو لابد من إلغاء الخصوصيات الفردية الأينية والكمية والكيفية وما أشبه وملاحظة المشتركات، ثَمَ ينتزع المفهوم الكلي للإنسان الجامع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تقرر في المجلد الأول من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وإثباته على عهدة بحث المعنى الحرفي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وجود زيد وعمرو حتى يتعلق ضربه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ينشأ منه الفعل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مباحث المطلق والمقيد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لحاظ شخص المتكلم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يتأمل فيه بعدم كونه في مقام الاحتجاج على الخصم، بل قد يكون في مقام بيان الموقف، فمع اعتراض أحد على المسلمين بارتكاب المحرمات يكون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نجد في ديننا 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ثقة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الأنباري السلمي،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صدوقاً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عيسی، من أصحاب الإجماع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 السجستاني، ثقة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مناهج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الهفت والأظلة، المنسوبة إلى المفضل الجعفي صاحب التوحيد، والهفت هذا في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وجدت بين الطائفة المفضلية في سوريا فطبعها عارف تأمر ببيروت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ثم عثر مصطفى غالب بنسخة أخرى منها اسمها الهفت الشريف، وهي أيضا في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لكنها أكبر من نسخة عارف تأمر، فطبعها دار الأندلس في 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الهفت والأظلة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المقدسة عند الطائفة المفضلية وهم من فرق الغلاة الخطابية، أتباع المفضل بن عمر الجعفي الصيرفي، والكتاب منسوب إليه، يرويه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بتحقيق عارف تأمر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مصطفى غالب،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الهفت الشريف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للحكم بالاعتبار في المقام الاستفاضة في طبقة أحمد بن محمد بن يحيى العطار، فلو ثبتت الاستفاضة في طبقته وقلنا بحجية الاستفاضة كبرى، كفى في اعتبار الرواية؛ لثبوت وثاقة سائر الرواة، فلا يلزم الاستفاضة في طبقتهم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القمي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سند الرواية في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إجازته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الصور الذهنية التي تحتاج إلى التوجه والالتفات آناً فآنا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الأعلام في المقام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يذكره أحد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كلكل وهو الصدر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طريق الحر العاملي في الوسائل إلى الشيخ الطوسي معتبر، كما في خاتمة الوسائل، وطريق الشيخ الطوسي إلى المحاسن معتبر أيضاً، وقد ذكره في الفهرست في أحوال 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البرقي الابن وهو ثقة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هو الذي أخرج من قم ولم يكن لعدم وثاقته بل لروايته عن الضعفاء واعتماده المراسيل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من أصحاب الإجماع من الطبقة الثالثة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من أصحاب الإجماع من الطبقة الثالثة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متداولاً عند العرب بالرجوع عن السفر فيما لو رأوا الغراب، وهذ الحكم من أظهر آثار الطيرة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الشيخ في أواخر الفرائد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حديث الرفع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فالخطأ عنوان لمعنون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العالم بما هو هو يعني زيد، والعالم بما هو عالم يعني العالم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أمر عدمي فلا يتم الجواب،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في نظر العرف له حظ من الوجود، لا أنه أمر عدمي، ولذا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 جاهل، أي عدم الملكة، فهو في نظر العرف له حظ من الوجود لا عدم محض، وإن تم الإشكال فيما لا يعلمون فالجواب تام في غيره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أعم من مفهوم الشيء كما يقول الفلاسفة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يصف الممدوح بأنَّ التفاتة الغزالة بعينها عند النظر لاتقاس بالتفاتة عينه ونور الغزالة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مكتسبٌ من نور خديه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التفكيك بين المرحلتين يظهر فيما لو استخدمت كلمة عامة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وأريد به خصوص العلماء العدول، فالمراد بالإرادة الاستعمالية العموم وبالإرادة الجدية الخصوص</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هذا حكم محقق، بل الرفع لوجود المقتضي أو سائر الوجوه التي مرت سابقاً، وهو في واقعه دفع على ما مضى من النقض والإبرام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الكلمة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مركب ممّا في المنتقی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منع للمقدمة الأولى كما يبدو في بادئ النظر، وإن كان بحاجة إلى مزيد من التأمل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ناظر إلى منع المقدمة الثانية، مع عدم انسجام عباراته، فمفاد صدرها غير مفاد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الجهل المقابل للعلم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فشرب الخمر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خمر يعلم أنه خمر فهو حرام، وشرب خمر لا يعلم أنه خمر فحلال ومرفوع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تفصيل هذا البحث في المجلد الأول من المباحث الأصولية في مبحث تعلق الأوامر بالطبائع أو الأفراد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رفع العنوان الكلي يرفع الحكم الخارجي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وكذلك في الباب الأول، باب فرض العلم ووجوب طلبه والحث عليه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جهلت بالحكم الإنشائي رفع عنك الحكم الفعلي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جهل الحكم الفعلي رفع عنه الحكم الفعلي ففيه المحذور الثبوتي، وإن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جهل الحكم الإنشائي رفع عنه الحكم الفعلي ففيه المحذور الإثباتي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لوازم ذلك عدم جعل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أقرب إلى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رفع الحرمة في مشكوك الحرمة، فإن رفع حرمة التتن ظاهراً يستلزم جواز الاقتحام، وعدم وجوب الاحتياط، وإلا لغا الرفع الظاهري، فإن معنى رفع الحرمة ظاهراً عدم وجوب الاحتياط، فلا يعقل إيجاب الاحتياط على المكلف للمنافاة بينهما، وأما فيما نحن فيه فمعنى شمول حديث الرفع للمقام عدم استحباب الشيء ظاهراً؛ لأنه مجهول الاستحباب، ومعناه عدم جعل الاحتياط مع أن الاحتياط مجعول قطعاً، ولا يمكن الجمع بين حكمين متضادين، سواء أكانا واقعيين أم ظاهريين، فرفع الاستحباب ظاهراً منافٍ لجعل الاحتياط تنافي الحكمين الظاهريين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أخوك دينك فاحتط لدينك بما شئت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الاحتياط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عند من لم يقل بقاعدة التسامح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الموارد المشكوكة بعنوان الاحتياط، لا أنه يفيد الاستحباب النفسي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فيثبت عدم الجواز بالاستناد إلى حديث الرفع، وأما على ما ذكره المصباح من عدم شمول حديث الرفع للمقام، فلا بد من إقامة دليل آخر على ذلك، فيمكن أن تكون النتيجة واحدة والمستند 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سائر الواجبات كالصوم والحج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عن الوضع بالرفع متداول في العرف كثيراً، كما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هل سقط الدم في الإناء فهل أشربه؟ فيكون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بمعنى أنه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66362</Words>
  <Characters>314040</Characters>
  <CharactersWithSpaces>377969</CharactersWithSpaces>
  <Paragraphs>2821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2026-08-25T02:22:03Z</dcterms:created>
  <dc:creator>ghaemiyeh.com</dc:creator>
  <dc:description/>
  <dc:language>en-US</dc:language>
  <cp:lastModifiedBy/>
  <dcterms:modified xsi:type="dcterms:W3CDTF">2026-08-25T05:52:15Z</dcterms:modified>
  <cp:revision>1</cp:revision>
  <dc:subject/>
  <dc:title>موسوعة الفقیه الشیرازی جلد 8</dc:title>
</cp:coreProperties>
</file>

<file path=docProps/custom.xml><?xml version="1.0" encoding="utf-8"?>
<Properties xmlns="http://schemas.openxmlformats.org/officeDocument/2006/custom-properties" xmlns:vt="http://schemas.openxmlformats.org/officeDocument/2006/docPropsVTypes"/>
</file>