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سلفى گرى و وهابیت تبارشناسى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88774_2142443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8088776_2142443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8088778_2142443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8088780_2142443653">
            <w:r>
              <w:rPr>
                <w:webHidden/>
                <w:rStyle w:val="IndexLink"/>
                <w:rtl w:val="true"/>
              </w:rPr>
              <w:t>سخن ناشر</w:t>
            </w:r>
            <w:r>
              <w:rPr>
                <w:rStyle w:val="IndexLink"/>
                <w:rtl w:val="true"/>
              </w:rPr>
              <w:tab/>
            </w:r>
            <w:r>
              <w:rPr>
                <w:rStyle w:val="IndexLink"/>
              </w:rPr>
              <w:t>23</w:t>
            </w:r>
          </w:hyperlink>
        </w:p>
        <w:p>
          <w:pPr>
            <w:pStyle w:val="Contents2"/>
            <w:tabs>
              <w:tab w:val="clear" w:pos="8743"/>
              <w:tab w:val="right" w:pos="9026" w:leader="dot"/>
            </w:tabs>
            <w:rPr/>
          </w:pPr>
          <w:hyperlink w:anchor="__RefHeading___Toc8088782_2142443653">
            <w:r>
              <w:rPr>
                <w:webHidden/>
                <w:rStyle w:val="IndexLink"/>
                <w:rtl w:val="true"/>
              </w:rPr>
              <w:t>پيش گفتار</w:t>
            </w:r>
            <w:r>
              <w:rPr>
                <w:rStyle w:val="IndexLink"/>
                <w:rtl w:val="true"/>
              </w:rPr>
              <w:tab/>
            </w:r>
            <w:r>
              <w:rPr>
                <w:rStyle w:val="IndexLink"/>
              </w:rPr>
              <w:t>26</w:t>
            </w:r>
          </w:hyperlink>
        </w:p>
        <w:p>
          <w:pPr>
            <w:pStyle w:val="Contents2"/>
            <w:tabs>
              <w:tab w:val="clear" w:pos="8743"/>
              <w:tab w:val="right" w:pos="9026" w:leader="dot"/>
            </w:tabs>
            <w:rPr/>
          </w:pPr>
          <w:hyperlink w:anchor="__RefHeading___Toc8088784_2142443653">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29</w:t>
            </w:r>
          </w:hyperlink>
        </w:p>
        <w:p>
          <w:pPr>
            <w:pStyle w:val="Contents3"/>
            <w:tabs>
              <w:tab w:val="clear" w:pos="8459"/>
              <w:tab w:val="right" w:pos="9026" w:leader="dot"/>
            </w:tabs>
            <w:rPr/>
          </w:pPr>
          <w:hyperlink w:anchor="__RefHeading___Toc8088786_2142443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8088788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30</w:t>
            </w:r>
          </w:hyperlink>
        </w:p>
        <w:p>
          <w:pPr>
            <w:pStyle w:val="Contents3"/>
            <w:tabs>
              <w:tab w:val="clear" w:pos="8459"/>
              <w:tab w:val="right" w:pos="9026" w:leader="dot"/>
            </w:tabs>
            <w:rPr/>
          </w:pPr>
          <w:hyperlink w:anchor="__RefHeading___Toc8088790_2142443653">
            <w:r>
              <w:rPr>
                <w:webHidden/>
                <w:rStyle w:val="IndexLink"/>
              </w:rPr>
              <w:t>2</w:t>
            </w:r>
            <w:r>
              <w:rPr>
                <w:rStyle w:val="IndexLink"/>
                <w:rtl w:val="true"/>
              </w:rPr>
              <w:t xml:space="preserve"> - </w:t>
            </w:r>
            <w:r>
              <w:rPr>
                <w:rStyle w:val="IndexLink"/>
                <w:rtl w:val="true"/>
              </w:rPr>
              <w:t>روش</w:t>
            </w:r>
            <w:r>
              <w:rPr>
                <w:rStyle w:val="IndexLink"/>
                <w:rtl w:val="true"/>
              </w:rPr>
              <w:tab/>
            </w:r>
            <w:r>
              <w:rPr>
                <w:rStyle w:val="IndexLink"/>
              </w:rPr>
              <w:t>30</w:t>
            </w:r>
          </w:hyperlink>
        </w:p>
        <w:p>
          <w:pPr>
            <w:pStyle w:val="Contents3"/>
            <w:tabs>
              <w:tab w:val="clear" w:pos="8459"/>
              <w:tab w:val="right" w:pos="9026" w:leader="dot"/>
            </w:tabs>
            <w:rPr/>
          </w:pPr>
          <w:hyperlink w:anchor="__RefHeading___Toc8088792_2142443653">
            <w:r>
              <w:rPr>
                <w:webHidden/>
                <w:rStyle w:val="IndexLink"/>
              </w:rPr>
              <w:t>3</w:t>
            </w:r>
            <w:r>
              <w:rPr>
                <w:rStyle w:val="IndexLink"/>
                <w:rtl w:val="true"/>
              </w:rPr>
              <w:t xml:space="preserve"> - </w:t>
            </w:r>
            <w:r>
              <w:rPr>
                <w:rStyle w:val="IndexLink"/>
                <w:rtl w:val="true"/>
              </w:rPr>
              <w:t>وهابيت و مذاهب اسلامى</w:t>
            </w:r>
            <w:r>
              <w:rPr>
                <w:rStyle w:val="IndexLink"/>
                <w:rtl w:val="true"/>
              </w:rPr>
              <w:tab/>
            </w:r>
            <w:r>
              <w:rPr>
                <w:rStyle w:val="IndexLink"/>
              </w:rPr>
              <w:t>32</w:t>
            </w:r>
          </w:hyperlink>
        </w:p>
        <w:p>
          <w:pPr>
            <w:pStyle w:val="Contents3"/>
            <w:tabs>
              <w:tab w:val="clear" w:pos="8459"/>
              <w:tab w:val="right" w:pos="9026" w:leader="dot"/>
            </w:tabs>
            <w:rPr/>
          </w:pPr>
          <w:hyperlink w:anchor="__RefHeading___Toc8088794_2142443653">
            <w:r>
              <w:rPr>
                <w:webHidden/>
                <w:rStyle w:val="IndexLink"/>
              </w:rPr>
              <w:t>4</w:t>
            </w:r>
            <w:r>
              <w:rPr>
                <w:rStyle w:val="IndexLink"/>
                <w:rtl w:val="true"/>
              </w:rPr>
              <w:t xml:space="preserve"> - </w:t>
            </w:r>
            <w:r>
              <w:rPr>
                <w:rStyle w:val="IndexLink"/>
                <w:rtl w:val="true"/>
              </w:rPr>
              <w:t>علم كلام</w:t>
            </w:r>
            <w:r>
              <w:rPr>
                <w:rStyle w:val="IndexLink"/>
                <w:rtl w:val="true"/>
              </w:rPr>
              <w:tab/>
            </w:r>
            <w:r>
              <w:rPr>
                <w:rStyle w:val="IndexLink"/>
              </w:rPr>
              <w:t>35</w:t>
            </w:r>
          </w:hyperlink>
        </w:p>
        <w:p>
          <w:pPr>
            <w:pStyle w:val="Contents4"/>
            <w:tabs>
              <w:tab w:val="clear" w:pos="8176"/>
              <w:tab w:val="right" w:pos="9026" w:leader="dot"/>
            </w:tabs>
            <w:rPr/>
          </w:pPr>
          <w:hyperlink w:anchor="__RefHeading___Toc8088796_2142443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8088798_2142443653">
            <w:r>
              <w:rPr>
                <w:webHidden/>
                <w:rStyle w:val="IndexLink"/>
              </w:rPr>
              <w:t>1</w:t>
            </w:r>
            <w:r>
              <w:rPr>
                <w:rStyle w:val="IndexLink"/>
                <w:rtl w:val="true"/>
              </w:rPr>
              <w:t>‏-‏</w:t>
            </w:r>
            <w:r>
              <w:rPr>
                <w:rStyle w:val="IndexLink"/>
              </w:rPr>
              <w:t>4</w:t>
            </w:r>
            <w:r>
              <w:rPr>
                <w:rStyle w:val="IndexLink"/>
                <w:rtl w:val="true"/>
              </w:rPr>
              <w:t xml:space="preserve"> - </w:t>
            </w:r>
            <w:r>
              <w:rPr>
                <w:rStyle w:val="IndexLink"/>
                <w:rtl w:val="true"/>
              </w:rPr>
              <w:t>روش شناسى در علم كلام</w:t>
            </w:r>
            <w:r>
              <w:rPr>
                <w:rStyle w:val="IndexLink"/>
                <w:rtl w:val="true"/>
              </w:rPr>
              <w:tab/>
            </w:r>
            <w:r>
              <w:rPr>
                <w:rStyle w:val="IndexLink"/>
              </w:rPr>
              <w:t>36</w:t>
            </w:r>
          </w:hyperlink>
        </w:p>
        <w:p>
          <w:pPr>
            <w:pStyle w:val="Contents4"/>
            <w:tabs>
              <w:tab w:val="clear" w:pos="8176"/>
              <w:tab w:val="right" w:pos="9026" w:leader="dot"/>
            </w:tabs>
            <w:rPr/>
          </w:pPr>
          <w:hyperlink w:anchor="__RefHeading___Toc8088800_2142443653">
            <w:r>
              <w:rPr>
                <w:webHidden/>
                <w:rStyle w:val="IndexLink"/>
              </w:rPr>
              <w:t>2</w:t>
            </w:r>
            <w:r>
              <w:rPr>
                <w:rStyle w:val="IndexLink"/>
                <w:rtl w:val="true"/>
              </w:rPr>
              <w:t>‏-‏</w:t>
            </w:r>
            <w:r>
              <w:rPr>
                <w:rStyle w:val="IndexLink"/>
              </w:rPr>
              <w:t>4</w:t>
            </w:r>
            <w:r>
              <w:rPr>
                <w:rStyle w:val="IndexLink"/>
                <w:rtl w:val="true"/>
              </w:rPr>
              <w:t xml:space="preserve"> - </w:t>
            </w:r>
            <w:r>
              <w:rPr>
                <w:rStyle w:val="IndexLink"/>
                <w:rtl w:val="true"/>
              </w:rPr>
              <w:t>مذاهب كلامى در اسلام</w:t>
            </w:r>
            <w:r>
              <w:rPr>
                <w:rStyle w:val="IndexLink"/>
                <w:rtl w:val="true"/>
              </w:rPr>
              <w:tab/>
            </w:r>
            <w:r>
              <w:rPr>
                <w:rStyle w:val="IndexLink"/>
              </w:rPr>
              <w:t>39</w:t>
            </w:r>
          </w:hyperlink>
        </w:p>
        <w:p>
          <w:pPr>
            <w:pStyle w:val="Contents4"/>
            <w:tabs>
              <w:tab w:val="clear" w:pos="8176"/>
              <w:tab w:val="right" w:pos="9026" w:leader="dot"/>
            </w:tabs>
            <w:rPr/>
          </w:pPr>
          <w:hyperlink w:anchor="__RefHeading___Toc8088802_2142443653">
            <w:r>
              <w:rPr>
                <w:webHidden/>
                <w:rStyle w:val="IndexLink"/>
              </w:rPr>
              <w:t>3</w:t>
            </w:r>
            <w:r>
              <w:rPr>
                <w:rStyle w:val="IndexLink"/>
                <w:rtl w:val="true"/>
              </w:rPr>
              <w:t>‏-‏</w:t>
            </w:r>
            <w:r>
              <w:rPr>
                <w:rStyle w:val="IndexLink"/>
              </w:rPr>
              <w:t>4</w:t>
            </w:r>
            <w:r>
              <w:rPr>
                <w:rStyle w:val="IndexLink"/>
                <w:rtl w:val="true"/>
              </w:rPr>
              <w:t xml:space="preserve"> - </w:t>
            </w:r>
            <w:r>
              <w:rPr>
                <w:rStyle w:val="IndexLink"/>
                <w:rtl w:val="true"/>
              </w:rPr>
              <w:t>علم كلام و وهابيت</w:t>
            </w:r>
            <w:r>
              <w:rPr>
                <w:rStyle w:val="IndexLink"/>
                <w:rtl w:val="true"/>
              </w:rPr>
              <w:tab/>
            </w:r>
            <w:r>
              <w:rPr>
                <w:rStyle w:val="IndexLink"/>
              </w:rPr>
              <w:t>42</w:t>
            </w:r>
          </w:hyperlink>
        </w:p>
        <w:p>
          <w:pPr>
            <w:pStyle w:val="Contents2"/>
            <w:tabs>
              <w:tab w:val="clear" w:pos="8743"/>
              <w:tab w:val="right" w:pos="9026" w:leader="dot"/>
            </w:tabs>
            <w:rPr/>
          </w:pPr>
          <w:hyperlink w:anchor="__RefHeading___Toc8088804_2142443653">
            <w:r>
              <w:rPr>
                <w:webHidden/>
                <w:rStyle w:val="IndexLink"/>
                <w:rtl w:val="true"/>
              </w:rPr>
              <w:t>بخش اول</w:t>
            </w:r>
            <w:r>
              <w:rPr>
                <w:rStyle w:val="IndexLink"/>
                <w:rtl w:val="true"/>
              </w:rPr>
              <w:t xml:space="preserve">: </w:t>
            </w:r>
            <w:r>
              <w:rPr>
                <w:rStyle w:val="IndexLink"/>
                <w:rtl w:val="true"/>
              </w:rPr>
              <w:t>توحيد و شرك</w:t>
            </w:r>
            <w:r>
              <w:rPr>
                <w:rStyle w:val="IndexLink"/>
                <w:rtl w:val="true"/>
              </w:rPr>
              <w:tab/>
            </w:r>
            <w:r>
              <w:rPr>
                <w:rStyle w:val="IndexLink"/>
              </w:rPr>
              <w:t>48</w:t>
            </w:r>
          </w:hyperlink>
        </w:p>
        <w:p>
          <w:pPr>
            <w:pStyle w:val="Contents3"/>
            <w:tabs>
              <w:tab w:val="clear" w:pos="8459"/>
              <w:tab w:val="right" w:pos="9026" w:leader="dot"/>
            </w:tabs>
            <w:rPr/>
          </w:pPr>
          <w:hyperlink w:anchor="__RefHeading___Toc8088806_2142443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8088808_2142443653">
            <w:r>
              <w:rPr>
                <w:webHidden/>
                <w:rStyle w:val="IndexLink"/>
                <w:rtl w:val="true"/>
              </w:rPr>
              <w:t>فصل دوم</w:t>
            </w:r>
            <w:r>
              <w:rPr>
                <w:rStyle w:val="IndexLink"/>
                <w:rtl w:val="true"/>
              </w:rPr>
              <w:t xml:space="preserve">: </w:t>
            </w:r>
            <w:r>
              <w:rPr>
                <w:rStyle w:val="IndexLink"/>
                <w:rtl w:val="true"/>
              </w:rPr>
              <w:t>مفهوم و مراحل توحيد</w:t>
            </w:r>
            <w:r>
              <w:rPr>
                <w:rStyle w:val="IndexLink"/>
                <w:rtl w:val="true"/>
              </w:rPr>
              <w:tab/>
            </w:r>
            <w:r>
              <w:rPr>
                <w:rStyle w:val="IndexLink"/>
              </w:rPr>
              <w:t>50</w:t>
            </w:r>
          </w:hyperlink>
        </w:p>
        <w:p>
          <w:pPr>
            <w:pStyle w:val="Contents4"/>
            <w:tabs>
              <w:tab w:val="clear" w:pos="8176"/>
              <w:tab w:val="right" w:pos="9026" w:leader="dot"/>
            </w:tabs>
            <w:rPr/>
          </w:pPr>
          <w:hyperlink w:anchor="__RefHeading___Toc8088810_2142443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8088812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51</w:t>
            </w:r>
          </w:hyperlink>
        </w:p>
        <w:p>
          <w:pPr>
            <w:pStyle w:val="Contents4"/>
            <w:tabs>
              <w:tab w:val="clear" w:pos="8176"/>
              <w:tab w:val="right" w:pos="9026" w:leader="dot"/>
            </w:tabs>
            <w:rPr/>
          </w:pPr>
          <w:hyperlink w:anchor="__RefHeading___Toc8088814_2142443653">
            <w:r>
              <w:rPr>
                <w:webHidden/>
                <w:rStyle w:val="IndexLink"/>
              </w:rPr>
              <w:t>2</w:t>
            </w:r>
            <w:r>
              <w:rPr>
                <w:rStyle w:val="IndexLink"/>
                <w:rtl w:val="true"/>
              </w:rPr>
              <w:t xml:space="preserve"> - </w:t>
            </w:r>
            <w:r>
              <w:rPr>
                <w:rStyle w:val="IndexLink"/>
                <w:rtl w:val="true"/>
              </w:rPr>
              <w:t>توحيد در لغت و اصطلاح</w:t>
            </w:r>
            <w:r>
              <w:rPr>
                <w:rStyle w:val="IndexLink"/>
                <w:rtl w:val="true"/>
              </w:rPr>
              <w:tab/>
            </w:r>
            <w:r>
              <w:rPr>
                <w:rStyle w:val="IndexLink"/>
              </w:rPr>
              <w:t>51</w:t>
            </w:r>
          </w:hyperlink>
        </w:p>
        <w:p>
          <w:pPr>
            <w:pStyle w:val="Contents4"/>
            <w:tabs>
              <w:tab w:val="clear" w:pos="8176"/>
              <w:tab w:val="right" w:pos="9026" w:leader="dot"/>
            </w:tabs>
            <w:rPr/>
          </w:pPr>
          <w:hyperlink w:anchor="__RefHeading___Toc8088816_2142443653">
            <w:r>
              <w:rPr>
                <w:webHidden/>
                <w:rStyle w:val="IndexLink"/>
              </w:rPr>
              <w:t>3</w:t>
            </w:r>
            <w:r>
              <w:rPr>
                <w:rStyle w:val="IndexLink"/>
                <w:rtl w:val="true"/>
              </w:rPr>
              <w:t xml:space="preserve"> - </w:t>
            </w:r>
            <w:r>
              <w:rPr>
                <w:rStyle w:val="IndexLink"/>
                <w:rtl w:val="true"/>
              </w:rPr>
              <w:t>جايگاه توحيد در آموزه هاى اسلامى</w:t>
            </w:r>
            <w:r>
              <w:rPr>
                <w:rStyle w:val="IndexLink"/>
                <w:rtl w:val="true"/>
              </w:rPr>
              <w:tab/>
            </w:r>
            <w:r>
              <w:rPr>
                <w:rStyle w:val="IndexLink"/>
              </w:rPr>
              <w:t>53</w:t>
            </w:r>
          </w:hyperlink>
        </w:p>
        <w:p>
          <w:pPr>
            <w:pStyle w:val="Contents4"/>
            <w:tabs>
              <w:tab w:val="clear" w:pos="8176"/>
              <w:tab w:val="right" w:pos="9026" w:leader="dot"/>
            </w:tabs>
            <w:rPr/>
          </w:pPr>
          <w:hyperlink w:anchor="__RefHeading___Toc8088818_2142443653">
            <w:r>
              <w:rPr>
                <w:webHidden/>
                <w:rStyle w:val="IndexLink"/>
              </w:rPr>
              <w:t>4</w:t>
            </w:r>
            <w:r>
              <w:rPr>
                <w:rStyle w:val="IndexLink"/>
                <w:rtl w:val="true"/>
              </w:rPr>
              <w:t xml:space="preserve"> - </w:t>
            </w:r>
            <w:r>
              <w:rPr>
                <w:rStyle w:val="IndexLink"/>
                <w:rtl w:val="true"/>
              </w:rPr>
              <w:t>توحيد و فطرت</w:t>
            </w:r>
            <w:r>
              <w:rPr>
                <w:rStyle w:val="IndexLink"/>
                <w:rtl w:val="true"/>
              </w:rPr>
              <w:tab/>
            </w:r>
            <w:r>
              <w:rPr>
                <w:rStyle w:val="IndexLink"/>
              </w:rPr>
              <w:t>56</w:t>
            </w:r>
          </w:hyperlink>
        </w:p>
        <w:p>
          <w:pPr>
            <w:pStyle w:val="Contents4"/>
            <w:tabs>
              <w:tab w:val="clear" w:pos="8176"/>
              <w:tab w:val="right" w:pos="9026" w:leader="dot"/>
            </w:tabs>
            <w:rPr/>
          </w:pPr>
          <w:hyperlink w:anchor="__RefHeading___Toc8088820_2142443653">
            <w:r>
              <w:rPr>
                <w:webHidden/>
                <w:rStyle w:val="IndexLink"/>
              </w:rPr>
              <w:t>5</w:t>
            </w:r>
            <w:r>
              <w:rPr>
                <w:rStyle w:val="IndexLink"/>
                <w:rtl w:val="true"/>
              </w:rPr>
              <w:t xml:space="preserve"> - </w:t>
            </w:r>
            <w:r>
              <w:rPr>
                <w:rStyle w:val="IndexLink"/>
                <w:rtl w:val="true"/>
              </w:rPr>
              <w:t>توحيد نظرى و توحيد عملى</w:t>
            </w:r>
            <w:r>
              <w:rPr>
                <w:rStyle w:val="IndexLink"/>
                <w:rtl w:val="true"/>
              </w:rPr>
              <w:tab/>
            </w:r>
            <w:r>
              <w:rPr>
                <w:rStyle w:val="IndexLink"/>
              </w:rPr>
              <w:t>58</w:t>
            </w:r>
          </w:hyperlink>
        </w:p>
        <w:p>
          <w:pPr>
            <w:pStyle w:val="Contents5"/>
            <w:tabs>
              <w:tab w:val="clear" w:pos="7892"/>
              <w:tab w:val="right" w:pos="9026" w:leader="dot"/>
            </w:tabs>
            <w:rPr/>
          </w:pPr>
          <w:hyperlink w:anchor="__RefHeading___Toc8088822_214244365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8088824_2142443653">
            <w:r>
              <w:rPr>
                <w:webHidden/>
                <w:rStyle w:val="IndexLink"/>
              </w:rPr>
              <w:t>1</w:t>
            </w:r>
            <w:r>
              <w:rPr>
                <w:rStyle w:val="IndexLink"/>
                <w:rtl w:val="true"/>
              </w:rPr>
              <w:t>‏-‏</w:t>
            </w:r>
            <w:r>
              <w:rPr>
                <w:rStyle w:val="IndexLink"/>
              </w:rPr>
              <w:t>5</w:t>
            </w:r>
            <w:r>
              <w:rPr>
                <w:rStyle w:val="IndexLink"/>
                <w:rtl w:val="true"/>
              </w:rPr>
              <w:t xml:space="preserve"> - </w:t>
            </w:r>
            <w:r>
              <w:rPr>
                <w:rStyle w:val="IndexLink"/>
                <w:rtl w:val="true"/>
              </w:rPr>
              <w:t>اقسام توحيد نظرى</w:t>
            </w:r>
            <w:r>
              <w:rPr>
                <w:rStyle w:val="IndexLink"/>
                <w:rtl w:val="true"/>
              </w:rPr>
              <w:tab/>
            </w:r>
            <w:r>
              <w:rPr>
                <w:rStyle w:val="IndexLink"/>
              </w:rPr>
              <w:t>59</w:t>
            </w:r>
          </w:hyperlink>
        </w:p>
        <w:p>
          <w:pPr>
            <w:pStyle w:val="Contents6"/>
            <w:tabs>
              <w:tab w:val="clear" w:pos="7609"/>
              <w:tab w:val="right" w:pos="9026" w:leader="dot"/>
            </w:tabs>
            <w:rPr/>
          </w:pPr>
          <w:hyperlink w:anchor="__RefHeading___Toc8088826_2142443653">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8088828_2142443653">
            <w:r>
              <w:rPr>
                <w:webHidden/>
                <w:rStyle w:val="IndexLink"/>
              </w:rPr>
              <w:t>1</w:t>
            </w:r>
            <w:r>
              <w:rPr>
                <w:rStyle w:val="IndexLink"/>
                <w:rtl w:val="true"/>
              </w:rPr>
              <w:t>‏-‏</w:t>
            </w:r>
            <w:r>
              <w:rPr>
                <w:rStyle w:val="IndexLink"/>
              </w:rPr>
              <w:t>1</w:t>
            </w:r>
            <w:r>
              <w:rPr>
                <w:rStyle w:val="IndexLink"/>
                <w:rtl w:val="true"/>
              </w:rPr>
              <w:t>‏-‏</w:t>
            </w:r>
            <w:r>
              <w:rPr>
                <w:rStyle w:val="IndexLink"/>
              </w:rPr>
              <w:t>5</w:t>
            </w:r>
            <w:r>
              <w:rPr>
                <w:rStyle w:val="IndexLink"/>
                <w:rtl w:val="true"/>
              </w:rPr>
              <w:t xml:space="preserve"> - </w:t>
            </w:r>
            <w:r>
              <w:rPr>
                <w:rStyle w:val="IndexLink"/>
                <w:rtl w:val="true"/>
              </w:rPr>
              <w:t>توحيد ذاتى</w:t>
            </w:r>
            <w:r>
              <w:rPr>
                <w:rStyle w:val="IndexLink"/>
                <w:rtl w:val="true"/>
              </w:rPr>
              <w:tab/>
            </w:r>
            <w:r>
              <w:rPr>
                <w:rStyle w:val="IndexLink"/>
              </w:rPr>
              <w:t>59</w:t>
            </w:r>
          </w:hyperlink>
        </w:p>
        <w:p>
          <w:pPr>
            <w:pStyle w:val="Contents6"/>
            <w:tabs>
              <w:tab w:val="clear" w:pos="7609"/>
              <w:tab w:val="right" w:pos="9026" w:leader="dot"/>
            </w:tabs>
            <w:rPr/>
          </w:pPr>
          <w:hyperlink w:anchor="__RefHeading___Toc8088830_2142443653">
            <w:r>
              <w:rPr>
                <w:webHidden/>
                <w:rStyle w:val="IndexLink"/>
              </w:rPr>
              <w:t>2</w:t>
            </w:r>
            <w:r>
              <w:rPr>
                <w:rStyle w:val="IndexLink"/>
                <w:rtl w:val="true"/>
              </w:rPr>
              <w:t>‏-‏</w:t>
            </w:r>
            <w:r>
              <w:rPr>
                <w:rStyle w:val="IndexLink"/>
              </w:rPr>
              <w:t>1</w:t>
            </w:r>
            <w:r>
              <w:rPr>
                <w:rStyle w:val="IndexLink"/>
                <w:rtl w:val="true"/>
              </w:rPr>
              <w:t>‏-‏</w:t>
            </w:r>
            <w:r>
              <w:rPr>
                <w:rStyle w:val="IndexLink"/>
              </w:rPr>
              <w:t>5</w:t>
            </w:r>
            <w:r>
              <w:rPr>
                <w:rStyle w:val="IndexLink"/>
                <w:rtl w:val="true"/>
              </w:rPr>
              <w:t xml:space="preserve"> - </w:t>
            </w:r>
            <w:r>
              <w:rPr>
                <w:rStyle w:val="IndexLink"/>
                <w:rtl w:val="true"/>
              </w:rPr>
              <w:t>توحيد صفاتى</w:t>
            </w:r>
            <w:r>
              <w:rPr>
                <w:rStyle w:val="IndexLink"/>
                <w:rtl w:val="true"/>
              </w:rPr>
              <w:tab/>
            </w:r>
            <w:r>
              <w:rPr>
                <w:rStyle w:val="IndexLink"/>
              </w:rPr>
              <w:t>61</w:t>
            </w:r>
          </w:hyperlink>
        </w:p>
        <w:p>
          <w:pPr>
            <w:pStyle w:val="Contents6"/>
            <w:tabs>
              <w:tab w:val="clear" w:pos="7609"/>
              <w:tab w:val="right" w:pos="9026" w:leader="dot"/>
            </w:tabs>
            <w:rPr/>
          </w:pPr>
          <w:hyperlink w:anchor="__RefHeading___Toc8088832_2142443653">
            <w:r>
              <w:rPr>
                <w:webHidden/>
                <w:rStyle w:val="IndexLink"/>
              </w:rPr>
              <w:t>3</w:t>
            </w:r>
            <w:r>
              <w:rPr>
                <w:rStyle w:val="IndexLink"/>
                <w:rtl w:val="true"/>
              </w:rPr>
              <w:t>‏-‏</w:t>
            </w:r>
            <w:r>
              <w:rPr>
                <w:rStyle w:val="IndexLink"/>
              </w:rPr>
              <w:t>1</w:t>
            </w:r>
            <w:r>
              <w:rPr>
                <w:rStyle w:val="IndexLink"/>
                <w:rtl w:val="true"/>
              </w:rPr>
              <w:t>‏-‏</w:t>
            </w:r>
            <w:r>
              <w:rPr>
                <w:rStyle w:val="IndexLink"/>
              </w:rPr>
              <w:t>5</w:t>
            </w:r>
            <w:r>
              <w:rPr>
                <w:rStyle w:val="IndexLink"/>
                <w:rtl w:val="true"/>
              </w:rPr>
              <w:t xml:space="preserve"> - </w:t>
            </w:r>
            <w:r>
              <w:rPr>
                <w:rStyle w:val="IndexLink"/>
                <w:rtl w:val="true"/>
              </w:rPr>
              <w:t>توحيد افعالى و انواع آن</w:t>
            </w:r>
            <w:r>
              <w:rPr>
                <w:rStyle w:val="IndexLink"/>
                <w:rtl w:val="true"/>
              </w:rPr>
              <w:tab/>
            </w:r>
            <w:r>
              <w:rPr>
                <w:rStyle w:val="IndexLink"/>
              </w:rPr>
              <w:t>62</w:t>
            </w:r>
          </w:hyperlink>
        </w:p>
        <w:p>
          <w:pPr>
            <w:pStyle w:val="Contents6"/>
            <w:tabs>
              <w:tab w:val="clear" w:pos="7609"/>
              <w:tab w:val="right" w:pos="9026" w:leader="dot"/>
            </w:tabs>
            <w:rPr/>
          </w:pPr>
          <w:hyperlink w:anchor="__RefHeading___Toc8088834_2142443653">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8088836_2142443653">
            <w:r>
              <w:rPr>
                <w:webHidden/>
                <w:rStyle w:val="IndexLink"/>
              </w:rPr>
              <w:t>1</w:t>
            </w:r>
            <w:r>
              <w:rPr>
                <w:rStyle w:val="IndexLink"/>
                <w:rtl w:val="true"/>
              </w:rPr>
              <w:t>‏-‏</w:t>
            </w:r>
            <w:r>
              <w:rPr>
                <w:rStyle w:val="IndexLink"/>
              </w:rPr>
              <w:t>3</w:t>
            </w:r>
            <w:r>
              <w:rPr>
                <w:rStyle w:val="IndexLink"/>
                <w:rtl w:val="true"/>
              </w:rPr>
              <w:t>‏-‏</w:t>
            </w:r>
            <w:r>
              <w:rPr>
                <w:rStyle w:val="IndexLink"/>
              </w:rPr>
              <w:t>1</w:t>
            </w:r>
            <w:r>
              <w:rPr>
                <w:rStyle w:val="IndexLink"/>
                <w:rtl w:val="true"/>
              </w:rPr>
              <w:t>‏-‏</w:t>
            </w:r>
            <w:r>
              <w:rPr>
                <w:rStyle w:val="IndexLink"/>
              </w:rPr>
              <w:t>5</w:t>
            </w:r>
            <w:r>
              <w:rPr>
                <w:rStyle w:val="IndexLink"/>
                <w:rtl w:val="true"/>
              </w:rPr>
              <w:t xml:space="preserve"> - </w:t>
            </w:r>
            <w:r>
              <w:rPr>
                <w:rStyle w:val="IndexLink"/>
                <w:rtl w:val="true"/>
              </w:rPr>
              <w:t>توحيد در آفرينش</w:t>
            </w:r>
            <w:r>
              <w:rPr>
                <w:rStyle w:val="IndexLink"/>
                <w:rtl w:val="true"/>
              </w:rPr>
              <w:tab/>
            </w:r>
            <w:r>
              <w:rPr>
                <w:rStyle w:val="IndexLink"/>
              </w:rPr>
              <w:t>63</w:t>
            </w:r>
          </w:hyperlink>
        </w:p>
        <w:p>
          <w:pPr>
            <w:pStyle w:val="Contents6"/>
            <w:tabs>
              <w:tab w:val="clear" w:pos="7609"/>
              <w:tab w:val="right" w:pos="9026" w:leader="dot"/>
            </w:tabs>
            <w:rPr/>
          </w:pPr>
          <w:hyperlink w:anchor="__RefHeading___Toc8088838_2142443653">
            <w:r>
              <w:rPr>
                <w:webHidden/>
                <w:rStyle w:val="IndexLink"/>
              </w:rPr>
              <w:t>2</w:t>
            </w:r>
            <w:r>
              <w:rPr>
                <w:rStyle w:val="IndexLink"/>
                <w:rtl w:val="true"/>
              </w:rPr>
              <w:t>‏-‏</w:t>
            </w:r>
            <w:r>
              <w:rPr>
                <w:rStyle w:val="IndexLink"/>
              </w:rPr>
              <w:t>3</w:t>
            </w:r>
            <w:r>
              <w:rPr>
                <w:rStyle w:val="IndexLink"/>
                <w:rtl w:val="true"/>
              </w:rPr>
              <w:t>‏-‏</w:t>
            </w:r>
            <w:r>
              <w:rPr>
                <w:rStyle w:val="IndexLink"/>
              </w:rPr>
              <w:t>1</w:t>
            </w:r>
            <w:r>
              <w:rPr>
                <w:rStyle w:val="IndexLink"/>
                <w:rtl w:val="true"/>
              </w:rPr>
              <w:t>‏-‏</w:t>
            </w:r>
            <w:r>
              <w:rPr>
                <w:rStyle w:val="IndexLink"/>
              </w:rPr>
              <w:t>5</w:t>
            </w:r>
            <w:r>
              <w:rPr>
                <w:rStyle w:val="IndexLink"/>
                <w:rtl w:val="true"/>
              </w:rPr>
              <w:t xml:space="preserve"> - </w:t>
            </w:r>
            <w:r>
              <w:rPr>
                <w:rStyle w:val="IndexLink"/>
                <w:rtl w:val="true"/>
              </w:rPr>
              <w:t>توحيد در ربوبيت</w:t>
            </w:r>
            <w:r>
              <w:rPr>
                <w:rStyle w:val="IndexLink"/>
                <w:rtl w:val="true"/>
              </w:rPr>
              <w:tab/>
            </w:r>
            <w:r>
              <w:rPr>
                <w:rStyle w:val="IndexLink"/>
              </w:rPr>
              <w:t>64</w:t>
            </w:r>
          </w:hyperlink>
        </w:p>
        <w:p>
          <w:pPr>
            <w:pStyle w:val="Contents6"/>
            <w:tabs>
              <w:tab w:val="clear" w:pos="7609"/>
              <w:tab w:val="right" w:pos="9026" w:leader="dot"/>
            </w:tabs>
            <w:rPr/>
          </w:pPr>
          <w:hyperlink w:anchor="__RefHeading___Toc8088840_2142443653">
            <w:r>
              <w:rPr>
                <w:webHidden/>
                <w:rStyle w:val="IndexLink"/>
              </w:rPr>
              <w:t>3</w:t>
            </w:r>
            <w:r>
              <w:rPr>
                <w:rStyle w:val="IndexLink"/>
                <w:rtl w:val="true"/>
              </w:rPr>
              <w:t>‏-‏</w:t>
            </w:r>
            <w:r>
              <w:rPr>
                <w:rStyle w:val="IndexLink"/>
              </w:rPr>
              <w:t>3</w:t>
            </w:r>
            <w:r>
              <w:rPr>
                <w:rStyle w:val="IndexLink"/>
                <w:rtl w:val="true"/>
              </w:rPr>
              <w:t>‏-‏</w:t>
            </w:r>
            <w:r>
              <w:rPr>
                <w:rStyle w:val="IndexLink"/>
              </w:rPr>
              <w:t>1</w:t>
            </w:r>
            <w:r>
              <w:rPr>
                <w:rStyle w:val="IndexLink"/>
                <w:rtl w:val="true"/>
              </w:rPr>
              <w:t>‏-‏</w:t>
            </w:r>
            <w:r>
              <w:rPr>
                <w:rStyle w:val="IndexLink"/>
              </w:rPr>
              <w:t>5</w:t>
            </w:r>
            <w:r>
              <w:rPr>
                <w:rStyle w:val="IndexLink"/>
                <w:rtl w:val="true"/>
              </w:rPr>
              <w:t xml:space="preserve"> - </w:t>
            </w:r>
            <w:r>
              <w:rPr>
                <w:rStyle w:val="IndexLink"/>
                <w:rtl w:val="true"/>
              </w:rPr>
              <w:t>توحيد در قانون گذارى</w:t>
            </w:r>
            <w:r>
              <w:rPr>
                <w:rStyle w:val="IndexLink"/>
                <w:rtl w:val="true"/>
              </w:rPr>
              <w:tab/>
            </w:r>
            <w:r>
              <w:rPr>
                <w:rStyle w:val="IndexLink"/>
              </w:rPr>
              <w:t>65</w:t>
            </w:r>
          </w:hyperlink>
        </w:p>
        <w:p>
          <w:pPr>
            <w:pStyle w:val="Contents6"/>
            <w:tabs>
              <w:tab w:val="clear" w:pos="7609"/>
              <w:tab w:val="right" w:pos="9026" w:leader="dot"/>
            </w:tabs>
            <w:rPr/>
          </w:pPr>
          <w:hyperlink w:anchor="__RefHeading___Toc8088842_2142443653">
            <w:r>
              <w:rPr>
                <w:webHidden/>
                <w:rStyle w:val="IndexLink"/>
              </w:rPr>
              <w:t>4</w:t>
            </w:r>
            <w:r>
              <w:rPr>
                <w:rStyle w:val="IndexLink"/>
                <w:rtl w:val="true"/>
              </w:rPr>
              <w:t>‏-‏</w:t>
            </w:r>
            <w:r>
              <w:rPr>
                <w:rStyle w:val="IndexLink"/>
              </w:rPr>
              <w:t>3</w:t>
            </w:r>
            <w:r>
              <w:rPr>
                <w:rStyle w:val="IndexLink"/>
                <w:rtl w:val="true"/>
              </w:rPr>
              <w:t>‏-‏</w:t>
            </w:r>
            <w:r>
              <w:rPr>
                <w:rStyle w:val="IndexLink"/>
              </w:rPr>
              <w:t>1</w:t>
            </w:r>
            <w:r>
              <w:rPr>
                <w:rStyle w:val="IndexLink"/>
                <w:rtl w:val="true"/>
              </w:rPr>
              <w:t>‏-‏</w:t>
            </w:r>
            <w:r>
              <w:rPr>
                <w:rStyle w:val="IndexLink"/>
              </w:rPr>
              <w:t>5</w:t>
            </w:r>
            <w:r>
              <w:rPr>
                <w:rStyle w:val="IndexLink"/>
                <w:rtl w:val="true"/>
              </w:rPr>
              <w:t xml:space="preserve"> - </w:t>
            </w:r>
            <w:r>
              <w:rPr>
                <w:rStyle w:val="IndexLink"/>
                <w:rtl w:val="true"/>
              </w:rPr>
              <w:t>توحيد در حاكميت</w:t>
            </w:r>
            <w:r>
              <w:rPr>
                <w:rStyle w:val="IndexLink"/>
                <w:rtl w:val="true"/>
              </w:rPr>
              <w:tab/>
            </w:r>
            <w:r>
              <w:rPr>
                <w:rStyle w:val="IndexLink"/>
              </w:rPr>
              <w:t>65</w:t>
            </w:r>
          </w:hyperlink>
        </w:p>
        <w:p>
          <w:pPr>
            <w:pStyle w:val="Contents5"/>
            <w:tabs>
              <w:tab w:val="clear" w:pos="7892"/>
              <w:tab w:val="right" w:pos="9026" w:leader="dot"/>
            </w:tabs>
            <w:rPr/>
          </w:pPr>
          <w:hyperlink w:anchor="__RefHeading___Toc8088844_2142443653">
            <w:r>
              <w:rPr>
                <w:webHidden/>
                <w:rStyle w:val="IndexLink"/>
              </w:rPr>
              <w:t>2</w:t>
            </w:r>
            <w:r>
              <w:rPr>
                <w:rStyle w:val="IndexLink"/>
                <w:rtl w:val="true"/>
              </w:rPr>
              <w:t>‏-‏</w:t>
            </w:r>
            <w:r>
              <w:rPr>
                <w:rStyle w:val="IndexLink"/>
              </w:rPr>
              <w:t>5</w:t>
            </w:r>
            <w:r>
              <w:rPr>
                <w:rStyle w:val="IndexLink"/>
                <w:rtl w:val="true"/>
              </w:rPr>
              <w:t xml:space="preserve"> - </w:t>
            </w:r>
            <w:r>
              <w:rPr>
                <w:rStyle w:val="IndexLink"/>
                <w:rtl w:val="true"/>
              </w:rPr>
              <w:t>اقسام توحيد عملى</w:t>
            </w:r>
            <w:r>
              <w:rPr>
                <w:rStyle w:val="IndexLink"/>
                <w:rtl w:val="true"/>
              </w:rPr>
              <w:tab/>
            </w:r>
            <w:r>
              <w:rPr>
                <w:rStyle w:val="IndexLink"/>
              </w:rPr>
              <w:t>66</w:t>
            </w:r>
          </w:hyperlink>
        </w:p>
        <w:p>
          <w:pPr>
            <w:pStyle w:val="Contents6"/>
            <w:tabs>
              <w:tab w:val="clear" w:pos="7609"/>
              <w:tab w:val="right" w:pos="9026" w:leader="dot"/>
            </w:tabs>
            <w:rPr/>
          </w:pPr>
          <w:hyperlink w:anchor="__RefHeading___Toc8088846_2142443653">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8088848_2142443653">
            <w:r>
              <w:rPr>
                <w:webHidden/>
                <w:rStyle w:val="IndexLink"/>
              </w:rPr>
              <w:t>1</w:t>
            </w:r>
            <w:r>
              <w:rPr>
                <w:rStyle w:val="IndexLink"/>
                <w:rtl w:val="true"/>
              </w:rPr>
              <w:t>‏-‏</w:t>
            </w:r>
            <w:r>
              <w:rPr>
                <w:rStyle w:val="IndexLink"/>
              </w:rPr>
              <w:t>2</w:t>
            </w:r>
            <w:r>
              <w:rPr>
                <w:rStyle w:val="IndexLink"/>
                <w:rtl w:val="true"/>
              </w:rPr>
              <w:t>‏-‏</w:t>
            </w:r>
            <w:r>
              <w:rPr>
                <w:rStyle w:val="IndexLink"/>
              </w:rPr>
              <w:t>5</w:t>
            </w:r>
            <w:r>
              <w:rPr>
                <w:rStyle w:val="IndexLink"/>
                <w:rtl w:val="true"/>
              </w:rPr>
              <w:t xml:space="preserve"> - </w:t>
            </w:r>
            <w:r>
              <w:rPr>
                <w:rStyle w:val="IndexLink"/>
                <w:rtl w:val="true"/>
              </w:rPr>
              <w:t>توحيد در عبادت</w:t>
            </w:r>
            <w:r>
              <w:rPr>
                <w:rStyle w:val="IndexLink"/>
                <w:rtl w:val="true"/>
              </w:rPr>
              <w:tab/>
            </w:r>
            <w:r>
              <w:rPr>
                <w:rStyle w:val="IndexLink"/>
              </w:rPr>
              <w:t>66</w:t>
            </w:r>
          </w:hyperlink>
        </w:p>
        <w:p>
          <w:pPr>
            <w:pStyle w:val="Contents6"/>
            <w:tabs>
              <w:tab w:val="clear" w:pos="7609"/>
              <w:tab w:val="right" w:pos="9026" w:leader="dot"/>
            </w:tabs>
            <w:rPr/>
          </w:pPr>
          <w:hyperlink w:anchor="__RefHeading___Toc8088850_2142443653">
            <w:r>
              <w:rPr>
                <w:webHidden/>
                <w:rStyle w:val="IndexLink"/>
              </w:rPr>
              <w:t>2</w:t>
            </w:r>
            <w:r>
              <w:rPr>
                <w:rStyle w:val="IndexLink"/>
                <w:rtl w:val="true"/>
              </w:rPr>
              <w:t>‏-‏</w:t>
            </w:r>
            <w:r>
              <w:rPr>
                <w:rStyle w:val="IndexLink"/>
              </w:rPr>
              <w:t>2</w:t>
            </w:r>
            <w:r>
              <w:rPr>
                <w:rStyle w:val="IndexLink"/>
                <w:rtl w:val="true"/>
              </w:rPr>
              <w:t>‏-‏</w:t>
            </w:r>
            <w:r>
              <w:rPr>
                <w:rStyle w:val="IndexLink"/>
              </w:rPr>
              <w:t>5</w:t>
            </w:r>
            <w:r>
              <w:rPr>
                <w:rStyle w:val="IndexLink"/>
                <w:rtl w:val="true"/>
              </w:rPr>
              <w:t xml:space="preserve"> - </w:t>
            </w:r>
            <w:r>
              <w:rPr>
                <w:rStyle w:val="IndexLink"/>
                <w:rtl w:val="true"/>
              </w:rPr>
              <w:t>توحيد در استعانت</w:t>
            </w:r>
            <w:r>
              <w:rPr>
                <w:rStyle w:val="IndexLink"/>
                <w:rtl w:val="true"/>
              </w:rPr>
              <w:tab/>
            </w:r>
            <w:r>
              <w:rPr>
                <w:rStyle w:val="IndexLink"/>
              </w:rPr>
              <w:t>67</w:t>
            </w:r>
          </w:hyperlink>
        </w:p>
        <w:p>
          <w:pPr>
            <w:pStyle w:val="Contents6"/>
            <w:tabs>
              <w:tab w:val="clear" w:pos="7609"/>
              <w:tab w:val="right" w:pos="9026" w:leader="dot"/>
            </w:tabs>
            <w:rPr/>
          </w:pPr>
          <w:hyperlink w:anchor="__RefHeading___Toc8088852_2142443653">
            <w:r>
              <w:rPr>
                <w:webHidden/>
                <w:rStyle w:val="IndexLink"/>
              </w:rPr>
              <w:t>3</w:t>
            </w:r>
            <w:r>
              <w:rPr>
                <w:rStyle w:val="IndexLink"/>
                <w:rtl w:val="true"/>
              </w:rPr>
              <w:t>‏-‏</w:t>
            </w:r>
            <w:r>
              <w:rPr>
                <w:rStyle w:val="IndexLink"/>
              </w:rPr>
              <w:t>2</w:t>
            </w:r>
            <w:r>
              <w:rPr>
                <w:rStyle w:val="IndexLink"/>
                <w:rtl w:val="true"/>
              </w:rPr>
              <w:t>‏-‏</w:t>
            </w:r>
            <w:r>
              <w:rPr>
                <w:rStyle w:val="IndexLink"/>
              </w:rPr>
              <w:t>5</w:t>
            </w:r>
            <w:r>
              <w:rPr>
                <w:rStyle w:val="IndexLink"/>
                <w:rtl w:val="true"/>
              </w:rPr>
              <w:t xml:space="preserve"> - </w:t>
            </w:r>
            <w:r>
              <w:rPr>
                <w:rStyle w:val="IndexLink"/>
                <w:rtl w:val="true"/>
              </w:rPr>
              <w:t>توحيد در اطاعت</w:t>
            </w:r>
            <w:r>
              <w:rPr>
                <w:rStyle w:val="IndexLink"/>
                <w:rtl w:val="true"/>
              </w:rPr>
              <w:tab/>
            </w:r>
            <w:r>
              <w:rPr>
                <w:rStyle w:val="IndexLink"/>
              </w:rPr>
              <w:t>67</w:t>
            </w:r>
          </w:hyperlink>
        </w:p>
        <w:p>
          <w:pPr>
            <w:pStyle w:val="Contents4"/>
            <w:tabs>
              <w:tab w:val="clear" w:pos="8176"/>
              <w:tab w:val="right" w:pos="9026" w:leader="dot"/>
            </w:tabs>
            <w:rPr/>
          </w:pPr>
          <w:hyperlink w:anchor="__RefHeading___Toc8088854_2142443653">
            <w:r>
              <w:rPr>
                <w:webHidden/>
                <w:rStyle w:val="IndexLink"/>
              </w:rPr>
              <w:t>6</w:t>
            </w:r>
            <w:r>
              <w:rPr>
                <w:rStyle w:val="IndexLink"/>
                <w:rtl w:val="true"/>
              </w:rPr>
              <w:t xml:space="preserve"> - </w:t>
            </w:r>
            <w:r>
              <w:rPr>
                <w:rStyle w:val="IndexLink"/>
                <w:rtl w:val="true"/>
              </w:rPr>
              <w:t>توحيد در مذاهب اسلامى</w:t>
            </w:r>
            <w:r>
              <w:rPr>
                <w:rStyle w:val="IndexLink"/>
                <w:rtl w:val="true"/>
              </w:rPr>
              <w:tab/>
            </w:r>
            <w:r>
              <w:rPr>
                <w:rStyle w:val="IndexLink"/>
              </w:rPr>
              <w:t>68</w:t>
            </w:r>
          </w:hyperlink>
        </w:p>
        <w:p>
          <w:pPr>
            <w:pStyle w:val="Contents3"/>
            <w:tabs>
              <w:tab w:val="clear" w:pos="8459"/>
              <w:tab w:val="right" w:pos="9026" w:leader="dot"/>
            </w:tabs>
            <w:rPr/>
          </w:pPr>
          <w:hyperlink w:anchor="__RefHeading___Toc8088856_2142443653">
            <w:r>
              <w:rPr>
                <w:webHidden/>
                <w:rStyle w:val="IndexLink"/>
                <w:rtl w:val="true"/>
              </w:rPr>
              <w:t>فصل سوم</w:t>
            </w:r>
            <w:r>
              <w:rPr>
                <w:rStyle w:val="IndexLink"/>
                <w:rtl w:val="true"/>
              </w:rPr>
              <w:t xml:space="preserve">: </w:t>
            </w:r>
            <w:r>
              <w:rPr>
                <w:rStyle w:val="IndexLink"/>
                <w:rtl w:val="true"/>
              </w:rPr>
              <w:t>مفهوم و مراحل شرك</w:t>
            </w:r>
            <w:r>
              <w:rPr>
                <w:rStyle w:val="IndexLink"/>
                <w:rtl w:val="true"/>
              </w:rPr>
              <w:tab/>
            </w:r>
            <w:r>
              <w:rPr>
                <w:rStyle w:val="IndexLink"/>
              </w:rPr>
              <w:t>72</w:t>
            </w:r>
          </w:hyperlink>
        </w:p>
        <w:p>
          <w:pPr>
            <w:pStyle w:val="Contents4"/>
            <w:tabs>
              <w:tab w:val="clear" w:pos="8176"/>
              <w:tab w:val="right" w:pos="9026" w:leader="dot"/>
            </w:tabs>
            <w:rPr/>
          </w:pPr>
          <w:hyperlink w:anchor="__RefHeading___Toc8088858_214244365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8088860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73</w:t>
            </w:r>
          </w:hyperlink>
        </w:p>
        <w:p>
          <w:pPr>
            <w:pStyle w:val="Contents4"/>
            <w:tabs>
              <w:tab w:val="clear" w:pos="8176"/>
              <w:tab w:val="right" w:pos="9026" w:leader="dot"/>
            </w:tabs>
            <w:rPr/>
          </w:pPr>
          <w:hyperlink w:anchor="__RefHeading___Toc8088862_2142443653">
            <w:r>
              <w:rPr>
                <w:webHidden/>
                <w:rStyle w:val="IndexLink"/>
              </w:rPr>
              <w:t>2</w:t>
            </w:r>
            <w:r>
              <w:rPr>
                <w:rStyle w:val="IndexLink"/>
                <w:rtl w:val="true"/>
              </w:rPr>
              <w:t xml:space="preserve"> - </w:t>
            </w:r>
            <w:r>
              <w:rPr>
                <w:rStyle w:val="IndexLink"/>
                <w:rtl w:val="true"/>
              </w:rPr>
              <w:t>شرك در لغت و اصطلاح</w:t>
            </w:r>
            <w:r>
              <w:rPr>
                <w:rStyle w:val="IndexLink"/>
                <w:rtl w:val="true"/>
              </w:rPr>
              <w:tab/>
            </w:r>
            <w:r>
              <w:rPr>
                <w:rStyle w:val="IndexLink"/>
              </w:rPr>
              <w:t>73</w:t>
            </w:r>
          </w:hyperlink>
        </w:p>
        <w:p>
          <w:pPr>
            <w:pStyle w:val="Contents4"/>
            <w:tabs>
              <w:tab w:val="clear" w:pos="8176"/>
              <w:tab w:val="right" w:pos="9026" w:leader="dot"/>
            </w:tabs>
            <w:rPr/>
          </w:pPr>
          <w:hyperlink w:anchor="__RefHeading___Toc8088864_2142443653">
            <w:r>
              <w:rPr>
                <w:webHidden/>
                <w:rStyle w:val="IndexLink"/>
              </w:rPr>
              <w:t>3</w:t>
            </w:r>
            <w:r>
              <w:rPr>
                <w:rStyle w:val="IndexLink"/>
                <w:rtl w:val="true"/>
              </w:rPr>
              <w:t xml:space="preserve"> - </w:t>
            </w:r>
            <w:r>
              <w:rPr>
                <w:rStyle w:val="IndexLink"/>
                <w:rtl w:val="true"/>
              </w:rPr>
              <w:t>شرك در قرآن</w:t>
            </w:r>
            <w:r>
              <w:rPr>
                <w:rStyle w:val="IndexLink"/>
                <w:rtl w:val="true"/>
              </w:rPr>
              <w:tab/>
            </w:r>
            <w:r>
              <w:rPr>
                <w:rStyle w:val="IndexLink"/>
              </w:rPr>
              <w:t>75</w:t>
            </w:r>
          </w:hyperlink>
        </w:p>
        <w:p>
          <w:pPr>
            <w:pStyle w:val="Contents4"/>
            <w:tabs>
              <w:tab w:val="clear" w:pos="8176"/>
              <w:tab w:val="right" w:pos="9026" w:leader="dot"/>
            </w:tabs>
            <w:rPr/>
          </w:pPr>
          <w:hyperlink w:anchor="__RefHeading___Toc8088866_2142443653">
            <w:r>
              <w:rPr>
                <w:webHidden/>
                <w:rStyle w:val="IndexLink"/>
              </w:rPr>
              <w:t>4</w:t>
            </w:r>
            <w:r>
              <w:rPr>
                <w:rStyle w:val="IndexLink"/>
                <w:rtl w:val="true"/>
              </w:rPr>
              <w:t xml:space="preserve"> - </w:t>
            </w:r>
            <w:r>
              <w:rPr>
                <w:rStyle w:val="IndexLink"/>
                <w:rtl w:val="true"/>
              </w:rPr>
              <w:t>شرك نظرى و شرك عملى</w:t>
            </w:r>
            <w:r>
              <w:rPr>
                <w:rStyle w:val="IndexLink"/>
                <w:rtl w:val="true"/>
              </w:rPr>
              <w:tab/>
            </w:r>
            <w:r>
              <w:rPr>
                <w:rStyle w:val="IndexLink"/>
              </w:rPr>
              <w:t>77</w:t>
            </w:r>
          </w:hyperlink>
        </w:p>
        <w:p>
          <w:pPr>
            <w:pStyle w:val="Contents5"/>
            <w:tabs>
              <w:tab w:val="clear" w:pos="7892"/>
              <w:tab w:val="right" w:pos="9026" w:leader="dot"/>
            </w:tabs>
            <w:rPr/>
          </w:pPr>
          <w:hyperlink w:anchor="__RefHeading___Toc8088868_214244365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8088870_2142443653">
            <w:r>
              <w:rPr>
                <w:webHidden/>
                <w:rStyle w:val="IndexLink"/>
              </w:rPr>
              <w:t>1</w:t>
            </w:r>
            <w:r>
              <w:rPr>
                <w:rStyle w:val="IndexLink"/>
                <w:rtl w:val="true"/>
              </w:rPr>
              <w:t>‏-‏</w:t>
            </w:r>
            <w:r>
              <w:rPr>
                <w:rStyle w:val="IndexLink"/>
              </w:rPr>
              <w:t>4</w:t>
            </w:r>
            <w:r>
              <w:rPr>
                <w:rStyle w:val="IndexLink"/>
                <w:rtl w:val="true"/>
              </w:rPr>
              <w:t xml:space="preserve"> - </w:t>
            </w:r>
            <w:r>
              <w:rPr>
                <w:rStyle w:val="IndexLink"/>
                <w:rtl w:val="true"/>
              </w:rPr>
              <w:t>اقسام شرك نظرى</w:t>
            </w:r>
            <w:r>
              <w:rPr>
                <w:rStyle w:val="IndexLink"/>
                <w:rtl w:val="true"/>
              </w:rPr>
              <w:tab/>
            </w:r>
            <w:r>
              <w:rPr>
                <w:rStyle w:val="IndexLink"/>
              </w:rPr>
              <w:t>77</w:t>
            </w:r>
          </w:hyperlink>
        </w:p>
        <w:p>
          <w:pPr>
            <w:pStyle w:val="Contents6"/>
            <w:tabs>
              <w:tab w:val="clear" w:pos="7609"/>
              <w:tab w:val="right" w:pos="9026" w:leader="dot"/>
            </w:tabs>
            <w:rPr/>
          </w:pPr>
          <w:hyperlink w:anchor="__RefHeading___Toc8088872_2142443653">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8088874_2142443653">
            <w:r>
              <w:rPr>
                <w:webHidden/>
                <w:rStyle w:val="IndexLink"/>
              </w:rPr>
              <w:t>1</w:t>
            </w:r>
            <w:r>
              <w:rPr>
                <w:rStyle w:val="IndexLink"/>
                <w:rtl w:val="true"/>
              </w:rPr>
              <w:t>‏-‏</w:t>
            </w:r>
            <w:r>
              <w:rPr>
                <w:rStyle w:val="IndexLink"/>
              </w:rPr>
              <w:t>1</w:t>
            </w:r>
            <w:r>
              <w:rPr>
                <w:rStyle w:val="IndexLink"/>
                <w:rtl w:val="true"/>
              </w:rPr>
              <w:t>‏-‏</w:t>
            </w:r>
            <w:r>
              <w:rPr>
                <w:rStyle w:val="IndexLink"/>
              </w:rPr>
              <w:t>4</w:t>
            </w:r>
            <w:r>
              <w:rPr>
                <w:rStyle w:val="IndexLink"/>
                <w:rtl w:val="true"/>
              </w:rPr>
              <w:t xml:space="preserve"> - </w:t>
            </w:r>
            <w:r>
              <w:rPr>
                <w:rStyle w:val="IndexLink"/>
                <w:rtl w:val="true"/>
              </w:rPr>
              <w:t>شرك در ذات</w:t>
            </w:r>
            <w:r>
              <w:rPr>
                <w:rStyle w:val="IndexLink"/>
                <w:rtl w:val="true"/>
              </w:rPr>
              <w:tab/>
            </w:r>
            <w:r>
              <w:rPr>
                <w:rStyle w:val="IndexLink"/>
              </w:rPr>
              <w:t>77</w:t>
            </w:r>
          </w:hyperlink>
        </w:p>
        <w:p>
          <w:pPr>
            <w:pStyle w:val="Contents6"/>
            <w:tabs>
              <w:tab w:val="clear" w:pos="7609"/>
              <w:tab w:val="right" w:pos="9026" w:leader="dot"/>
            </w:tabs>
            <w:rPr/>
          </w:pPr>
          <w:hyperlink w:anchor="__RefHeading___Toc8088876_2142443653">
            <w:r>
              <w:rPr>
                <w:webHidden/>
                <w:rStyle w:val="IndexLink"/>
              </w:rPr>
              <w:t>2</w:t>
            </w:r>
            <w:r>
              <w:rPr>
                <w:rStyle w:val="IndexLink"/>
                <w:rtl w:val="true"/>
              </w:rPr>
              <w:t>‏-‏</w:t>
            </w:r>
            <w:r>
              <w:rPr>
                <w:rStyle w:val="IndexLink"/>
              </w:rPr>
              <w:t>1</w:t>
            </w:r>
            <w:r>
              <w:rPr>
                <w:rStyle w:val="IndexLink"/>
                <w:rtl w:val="true"/>
              </w:rPr>
              <w:t>‏-‏</w:t>
            </w:r>
            <w:r>
              <w:rPr>
                <w:rStyle w:val="IndexLink"/>
              </w:rPr>
              <w:t>4</w:t>
            </w:r>
            <w:r>
              <w:rPr>
                <w:rStyle w:val="IndexLink"/>
                <w:rtl w:val="true"/>
              </w:rPr>
              <w:t xml:space="preserve"> - </w:t>
            </w:r>
            <w:r>
              <w:rPr>
                <w:rStyle w:val="IndexLink"/>
                <w:rtl w:val="true"/>
              </w:rPr>
              <w:t>شرك در صفات</w:t>
            </w:r>
            <w:r>
              <w:rPr>
                <w:rStyle w:val="IndexLink"/>
                <w:rtl w:val="true"/>
              </w:rPr>
              <w:tab/>
            </w:r>
            <w:r>
              <w:rPr>
                <w:rStyle w:val="IndexLink"/>
              </w:rPr>
              <w:t>78</w:t>
            </w:r>
          </w:hyperlink>
        </w:p>
        <w:p>
          <w:pPr>
            <w:pStyle w:val="Contents6"/>
            <w:tabs>
              <w:tab w:val="clear" w:pos="7609"/>
              <w:tab w:val="right" w:pos="9026" w:leader="dot"/>
            </w:tabs>
            <w:rPr/>
          </w:pPr>
          <w:hyperlink w:anchor="__RefHeading___Toc8088878_2142443653">
            <w:r>
              <w:rPr>
                <w:webHidden/>
                <w:rStyle w:val="IndexLink"/>
              </w:rPr>
              <w:t>3</w:t>
            </w:r>
            <w:r>
              <w:rPr>
                <w:rStyle w:val="IndexLink"/>
                <w:rtl w:val="true"/>
              </w:rPr>
              <w:t>‏-‏</w:t>
            </w:r>
            <w:r>
              <w:rPr>
                <w:rStyle w:val="IndexLink"/>
              </w:rPr>
              <w:t>1</w:t>
            </w:r>
            <w:r>
              <w:rPr>
                <w:rStyle w:val="IndexLink"/>
                <w:rtl w:val="true"/>
              </w:rPr>
              <w:t>‏-‏</w:t>
            </w:r>
            <w:r>
              <w:rPr>
                <w:rStyle w:val="IndexLink"/>
              </w:rPr>
              <w:t>4</w:t>
            </w:r>
            <w:r>
              <w:rPr>
                <w:rStyle w:val="IndexLink"/>
                <w:rtl w:val="true"/>
              </w:rPr>
              <w:t xml:space="preserve"> - </w:t>
            </w:r>
            <w:r>
              <w:rPr>
                <w:rStyle w:val="IndexLink"/>
                <w:rtl w:val="true"/>
              </w:rPr>
              <w:t>شرك افعالى</w:t>
            </w:r>
            <w:r>
              <w:rPr>
                <w:rStyle w:val="IndexLink"/>
                <w:rtl w:val="true"/>
              </w:rPr>
              <w:tab/>
            </w:r>
            <w:r>
              <w:rPr>
                <w:rStyle w:val="IndexLink"/>
              </w:rPr>
              <w:t>79</w:t>
            </w:r>
          </w:hyperlink>
        </w:p>
        <w:p>
          <w:pPr>
            <w:pStyle w:val="Contents5"/>
            <w:tabs>
              <w:tab w:val="clear" w:pos="7892"/>
              <w:tab w:val="right" w:pos="9026" w:leader="dot"/>
            </w:tabs>
            <w:rPr/>
          </w:pPr>
          <w:hyperlink w:anchor="__RefHeading___Toc8088880_2142443653">
            <w:r>
              <w:rPr>
                <w:webHidden/>
                <w:rStyle w:val="IndexLink"/>
              </w:rPr>
              <w:t>2</w:t>
            </w:r>
            <w:r>
              <w:rPr>
                <w:rStyle w:val="IndexLink"/>
                <w:rtl w:val="true"/>
              </w:rPr>
              <w:t>‏-‏</w:t>
            </w:r>
            <w:r>
              <w:rPr>
                <w:rStyle w:val="IndexLink"/>
              </w:rPr>
              <w:t>4</w:t>
            </w:r>
            <w:r>
              <w:rPr>
                <w:rStyle w:val="IndexLink"/>
                <w:rtl w:val="true"/>
              </w:rPr>
              <w:t xml:space="preserve"> - </w:t>
            </w:r>
            <w:r>
              <w:rPr>
                <w:rStyle w:val="IndexLink"/>
                <w:rtl w:val="true"/>
              </w:rPr>
              <w:t>اقسام شرك عملى</w:t>
            </w:r>
            <w:r>
              <w:rPr>
                <w:rStyle w:val="IndexLink"/>
                <w:rtl w:val="true"/>
              </w:rPr>
              <w:tab/>
            </w:r>
            <w:r>
              <w:rPr>
                <w:rStyle w:val="IndexLink"/>
              </w:rPr>
              <w:t>80</w:t>
            </w:r>
          </w:hyperlink>
        </w:p>
        <w:p>
          <w:pPr>
            <w:pStyle w:val="Contents6"/>
            <w:tabs>
              <w:tab w:val="clear" w:pos="7609"/>
              <w:tab w:val="right" w:pos="9026" w:leader="dot"/>
            </w:tabs>
            <w:rPr/>
          </w:pPr>
          <w:hyperlink w:anchor="__RefHeading___Toc8088882_2142443653">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8088884_2142443653">
            <w:r>
              <w:rPr>
                <w:webHidden/>
                <w:rStyle w:val="IndexLink"/>
              </w:rPr>
              <w:t>1</w:t>
            </w:r>
            <w:r>
              <w:rPr>
                <w:rStyle w:val="IndexLink"/>
                <w:rtl w:val="true"/>
              </w:rPr>
              <w:t>‏-‏</w:t>
            </w:r>
            <w:r>
              <w:rPr>
                <w:rStyle w:val="IndexLink"/>
              </w:rPr>
              <w:t>2</w:t>
            </w:r>
            <w:r>
              <w:rPr>
                <w:rStyle w:val="IndexLink"/>
                <w:rtl w:val="true"/>
              </w:rPr>
              <w:t>‏-‏</w:t>
            </w:r>
            <w:r>
              <w:rPr>
                <w:rStyle w:val="IndexLink"/>
              </w:rPr>
              <w:t>4</w:t>
            </w:r>
            <w:r>
              <w:rPr>
                <w:rStyle w:val="IndexLink"/>
                <w:rtl w:val="true"/>
              </w:rPr>
              <w:t xml:space="preserve"> - </w:t>
            </w:r>
            <w:r>
              <w:rPr>
                <w:rStyle w:val="IndexLink"/>
                <w:rtl w:val="true"/>
              </w:rPr>
              <w:t>شرك جلى</w:t>
            </w:r>
            <w:r>
              <w:rPr>
                <w:rStyle w:val="IndexLink"/>
                <w:rtl w:val="true"/>
              </w:rPr>
              <w:tab/>
            </w:r>
            <w:r>
              <w:rPr>
                <w:rStyle w:val="IndexLink"/>
              </w:rPr>
              <w:t>80</w:t>
            </w:r>
          </w:hyperlink>
        </w:p>
        <w:p>
          <w:pPr>
            <w:pStyle w:val="Contents6"/>
            <w:tabs>
              <w:tab w:val="clear" w:pos="7609"/>
              <w:tab w:val="right" w:pos="9026" w:leader="dot"/>
            </w:tabs>
            <w:rPr/>
          </w:pPr>
          <w:hyperlink w:anchor="__RefHeading___Toc8088886_2142443653">
            <w:r>
              <w:rPr>
                <w:webHidden/>
                <w:rStyle w:val="IndexLink"/>
              </w:rPr>
              <w:t>2</w:t>
            </w:r>
            <w:r>
              <w:rPr>
                <w:rStyle w:val="IndexLink"/>
                <w:rtl w:val="true"/>
              </w:rPr>
              <w:t>‏-‏</w:t>
            </w:r>
            <w:r>
              <w:rPr>
                <w:rStyle w:val="IndexLink"/>
              </w:rPr>
              <w:t>2</w:t>
            </w:r>
            <w:r>
              <w:rPr>
                <w:rStyle w:val="IndexLink"/>
                <w:rtl w:val="true"/>
              </w:rPr>
              <w:t>‏-‏</w:t>
            </w:r>
            <w:r>
              <w:rPr>
                <w:rStyle w:val="IndexLink"/>
              </w:rPr>
              <w:t>4</w:t>
            </w:r>
            <w:r>
              <w:rPr>
                <w:rStyle w:val="IndexLink"/>
                <w:rtl w:val="true"/>
              </w:rPr>
              <w:t xml:space="preserve"> - </w:t>
            </w:r>
            <w:r>
              <w:rPr>
                <w:rStyle w:val="IndexLink"/>
                <w:rtl w:val="true"/>
              </w:rPr>
              <w:t>شرك خفى</w:t>
            </w:r>
            <w:r>
              <w:rPr>
                <w:rStyle w:val="IndexLink"/>
                <w:rtl w:val="true"/>
              </w:rPr>
              <w:tab/>
            </w:r>
            <w:r>
              <w:rPr>
                <w:rStyle w:val="IndexLink"/>
              </w:rPr>
              <w:t>80</w:t>
            </w:r>
          </w:hyperlink>
        </w:p>
        <w:p>
          <w:pPr>
            <w:pStyle w:val="Contents4"/>
            <w:tabs>
              <w:tab w:val="clear" w:pos="8176"/>
              <w:tab w:val="right" w:pos="9026" w:leader="dot"/>
            </w:tabs>
            <w:rPr/>
          </w:pPr>
          <w:hyperlink w:anchor="__RefHeading___Toc8088888_2142443653">
            <w:r>
              <w:rPr>
                <w:webHidden/>
                <w:rStyle w:val="IndexLink"/>
              </w:rPr>
              <w:t>5</w:t>
            </w:r>
            <w:r>
              <w:rPr>
                <w:rStyle w:val="IndexLink"/>
                <w:rtl w:val="true"/>
              </w:rPr>
              <w:t xml:space="preserve"> - </w:t>
            </w:r>
            <w:r>
              <w:rPr>
                <w:rStyle w:val="IndexLink"/>
                <w:rtl w:val="true"/>
              </w:rPr>
              <w:t>علل گرايش به شرك</w:t>
            </w:r>
            <w:r>
              <w:rPr>
                <w:rStyle w:val="IndexLink"/>
                <w:rtl w:val="true"/>
              </w:rPr>
              <w:tab/>
            </w:r>
            <w:r>
              <w:rPr>
                <w:rStyle w:val="IndexLink"/>
              </w:rPr>
              <w:t>82</w:t>
            </w:r>
          </w:hyperlink>
        </w:p>
        <w:p>
          <w:pPr>
            <w:pStyle w:val="Contents5"/>
            <w:tabs>
              <w:tab w:val="clear" w:pos="7892"/>
              <w:tab w:val="right" w:pos="9026" w:leader="dot"/>
            </w:tabs>
            <w:rPr/>
          </w:pPr>
          <w:hyperlink w:anchor="__RefHeading___Toc8088890_2142443653">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8088892_2142443653">
            <w:r>
              <w:rPr>
                <w:webHidden/>
                <w:rStyle w:val="IndexLink"/>
              </w:rPr>
              <w:t>1</w:t>
            </w:r>
            <w:r>
              <w:rPr>
                <w:rStyle w:val="IndexLink"/>
                <w:rtl w:val="true"/>
              </w:rPr>
              <w:t>‏-‏</w:t>
            </w:r>
            <w:r>
              <w:rPr>
                <w:rStyle w:val="IndexLink"/>
              </w:rPr>
              <w:t>5</w:t>
            </w:r>
            <w:r>
              <w:rPr>
                <w:rStyle w:val="IndexLink"/>
                <w:rtl w:val="true"/>
              </w:rPr>
              <w:t xml:space="preserve"> - </w:t>
            </w:r>
            <w:r>
              <w:rPr>
                <w:rStyle w:val="IndexLink"/>
                <w:rtl w:val="true"/>
              </w:rPr>
              <w:t>جهل و نادانى</w:t>
            </w:r>
            <w:r>
              <w:rPr>
                <w:rStyle w:val="IndexLink"/>
                <w:rtl w:val="true"/>
              </w:rPr>
              <w:tab/>
            </w:r>
            <w:r>
              <w:rPr>
                <w:rStyle w:val="IndexLink"/>
              </w:rPr>
              <w:t>82</w:t>
            </w:r>
          </w:hyperlink>
        </w:p>
        <w:p>
          <w:pPr>
            <w:pStyle w:val="Contents5"/>
            <w:tabs>
              <w:tab w:val="clear" w:pos="7892"/>
              <w:tab w:val="right" w:pos="9026" w:leader="dot"/>
            </w:tabs>
            <w:rPr/>
          </w:pPr>
          <w:hyperlink w:anchor="__RefHeading___Toc8088894_2142443653">
            <w:r>
              <w:rPr>
                <w:webHidden/>
                <w:rStyle w:val="IndexLink"/>
              </w:rPr>
              <w:t>2</w:t>
            </w:r>
            <w:r>
              <w:rPr>
                <w:rStyle w:val="IndexLink"/>
                <w:rtl w:val="true"/>
              </w:rPr>
              <w:t>‏-‏</w:t>
            </w:r>
            <w:r>
              <w:rPr>
                <w:rStyle w:val="IndexLink"/>
              </w:rPr>
              <w:t>5</w:t>
            </w:r>
            <w:r>
              <w:rPr>
                <w:rStyle w:val="IndexLink"/>
                <w:rtl w:val="true"/>
              </w:rPr>
              <w:t xml:space="preserve"> - </w:t>
            </w:r>
            <w:r>
              <w:rPr>
                <w:rStyle w:val="IndexLink"/>
                <w:rtl w:val="true"/>
              </w:rPr>
              <w:t>پى روى از شك و ترديد</w:t>
            </w:r>
            <w:r>
              <w:rPr>
                <w:rStyle w:val="IndexLink"/>
                <w:rtl w:val="true"/>
              </w:rPr>
              <w:tab/>
            </w:r>
            <w:r>
              <w:rPr>
                <w:rStyle w:val="IndexLink"/>
              </w:rPr>
              <w:t>84</w:t>
            </w:r>
          </w:hyperlink>
        </w:p>
        <w:p>
          <w:pPr>
            <w:pStyle w:val="Contents5"/>
            <w:tabs>
              <w:tab w:val="clear" w:pos="7892"/>
              <w:tab w:val="right" w:pos="9026" w:leader="dot"/>
            </w:tabs>
            <w:rPr/>
          </w:pPr>
          <w:hyperlink w:anchor="__RefHeading___Toc8088896_2142443653">
            <w:r>
              <w:rPr>
                <w:webHidden/>
                <w:rStyle w:val="IndexLink"/>
              </w:rPr>
              <w:t>3</w:t>
            </w:r>
            <w:r>
              <w:rPr>
                <w:rStyle w:val="IndexLink"/>
                <w:rtl w:val="true"/>
              </w:rPr>
              <w:t>‏-‏</w:t>
            </w:r>
            <w:r>
              <w:rPr>
                <w:rStyle w:val="IndexLink"/>
              </w:rPr>
              <w:t>5</w:t>
            </w:r>
            <w:r>
              <w:rPr>
                <w:rStyle w:val="IndexLink"/>
                <w:rtl w:val="true"/>
              </w:rPr>
              <w:t xml:space="preserve"> - </w:t>
            </w:r>
            <w:r>
              <w:rPr>
                <w:rStyle w:val="IndexLink"/>
                <w:rtl w:val="true"/>
              </w:rPr>
              <w:t>حس گرايى</w:t>
            </w:r>
            <w:r>
              <w:rPr>
                <w:rStyle w:val="IndexLink"/>
                <w:rtl w:val="true"/>
              </w:rPr>
              <w:tab/>
            </w:r>
            <w:r>
              <w:rPr>
                <w:rStyle w:val="IndexLink"/>
              </w:rPr>
              <w:t>85</w:t>
            </w:r>
          </w:hyperlink>
        </w:p>
        <w:p>
          <w:pPr>
            <w:pStyle w:val="Contents5"/>
            <w:tabs>
              <w:tab w:val="clear" w:pos="7892"/>
              <w:tab w:val="right" w:pos="9026" w:leader="dot"/>
            </w:tabs>
            <w:rPr/>
          </w:pPr>
          <w:hyperlink w:anchor="__RefHeading___Toc8088898_2142443653">
            <w:r>
              <w:rPr>
                <w:webHidden/>
                <w:rStyle w:val="IndexLink"/>
              </w:rPr>
              <w:t>4</w:t>
            </w:r>
            <w:r>
              <w:rPr>
                <w:rStyle w:val="IndexLink"/>
                <w:rtl w:val="true"/>
              </w:rPr>
              <w:t>‏-‏</w:t>
            </w:r>
            <w:r>
              <w:rPr>
                <w:rStyle w:val="IndexLink"/>
              </w:rPr>
              <w:t>5</w:t>
            </w:r>
            <w:r>
              <w:rPr>
                <w:rStyle w:val="IndexLink"/>
                <w:rtl w:val="true"/>
              </w:rPr>
              <w:t xml:space="preserve"> - </w:t>
            </w:r>
            <w:r>
              <w:rPr>
                <w:rStyle w:val="IndexLink"/>
                <w:rtl w:val="true"/>
              </w:rPr>
              <w:t>عوامل ديگر</w:t>
            </w:r>
            <w:r>
              <w:rPr>
                <w:rStyle w:val="IndexLink"/>
                <w:rtl w:val="true"/>
              </w:rPr>
              <w:tab/>
            </w:r>
            <w:r>
              <w:rPr>
                <w:rStyle w:val="IndexLink"/>
              </w:rPr>
              <w:t>87</w:t>
            </w:r>
          </w:hyperlink>
        </w:p>
        <w:p>
          <w:pPr>
            <w:pStyle w:val="Contents4"/>
            <w:tabs>
              <w:tab w:val="clear" w:pos="8176"/>
              <w:tab w:val="right" w:pos="9026" w:leader="dot"/>
            </w:tabs>
            <w:rPr/>
          </w:pPr>
          <w:hyperlink w:anchor="__RefHeading___Toc8088900_2142443653">
            <w:r>
              <w:rPr>
                <w:webHidden/>
                <w:rStyle w:val="IndexLink"/>
              </w:rPr>
              <w:t>6</w:t>
            </w:r>
            <w:r>
              <w:rPr>
                <w:rStyle w:val="IndexLink"/>
                <w:rtl w:val="true"/>
              </w:rPr>
              <w:t xml:space="preserve"> - </w:t>
            </w:r>
            <w:r>
              <w:rPr>
                <w:rStyle w:val="IndexLink"/>
                <w:rtl w:val="true"/>
              </w:rPr>
              <w:t>وهابيت و شرك</w:t>
            </w:r>
            <w:r>
              <w:rPr>
                <w:rStyle w:val="IndexLink"/>
                <w:rtl w:val="true"/>
              </w:rPr>
              <w:tab/>
            </w:r>
            <w:r>
              <w:rPr>
                <w:rStyle w:val="IndexLink"/>
              </w:rPr>
              <w:t>87</w:t>
            </w:r>
          </w:hyperlink>
        </w:p>
        <w:p>
          <w:pPr>
            <w:pStyle w:val="Contents3"/>
            <w:tabs>
              <w:tab w:val="clear" w:pos="8459"/>
              <w:tab w:val="right" w:pos="9026" w:leader="dot"/>
            </w:tabs>
            <w:rPr/>
          </w:pPr>
          <w:hyperlink w:anchor="__RefHeading___Toc8088902_2142443653">
            <w:r>
              <w:rPr>
                <w:webHidden/>
                <w:rStyle w:val="IndexLink"/>
                <w:rtl w:val="true"/>
              </w:rPr>
              <w:t>فصل چهارم</w:t>
            </w:r>
            <w:r>
              <w:rPr>
                <w:rStyle w:val="IndexLink"/>
                <w:rtl w:val="true"/>
              </w:rPr>
              <w:t xml:space="preserve">: </w:t>
            </w:r>
            <w:r>
              <w:rPr>
                <w:rStyle w:val="IndexLink"/>
                <w:rtl w:val="true"/>
              </w:rPr>
              <w:t xml:space="preserve">توحيد صفاتى در انديشه ى اسلامى </w:t>
            </w:r>
            <w:r>
              <w:rPr>
                <w:rStyle w:val="IndexLink"/>
                <w:rtl w:val="true"/>
              </w:rPr>
              <w:t>(</w:t>
            </w:r>
            <w:r>
              <w:rPr>
                <w:rStyle w:val="IndexLink"/>
                <w:rtl w:val="true"/>
              </w:rPr>
              <w:t>صفات خبرى</w:t>
            </w:r>
            <w:r>
              <w:rPr>
                <w:rStyle w:val="IndexLink"/>
                <w:rtl w:val="true"/>
              </w:rPr>
              <w:t>)</w:t>
              <w:tab/>
            </w:r>
            <w:r>
              <w:rPr>
                <w:rStyle w:val="IndexLink"/>
              </w:rPr>
              <w:t>89</w:t>
            </w:r>
          </w:hyperlink>
        </w:p>
        <w:p>
          <w:pPr>
            <w:pStyle w:val="Contents4"/>
            <w:tabs>
              <w:tab w:val="clear" w:pos="8176"/>
              <w:tab w:val="right" w:pos="9026" w:leader="dot"/>
            </w:tabs>
            <w:rPr/>
          </w:pPr>
          <w:hyperlink w:anchor="__RefHeading___Toc8088904_2142443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8088906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90</w:t>
            </w:r>
          </w:hyperlink>
        </w:p>
        <w:p>
          <w:pPr>
            <w:pStyle w:val="Contents4"/>
            <w:tabs>
              <w:tab w:val="clear" w:pos="8176"/>
              <w:tab w:val="right" w:pos="9026" w:leader="dot"/>
            </w:tabs>
            <w:rPr/>
          </w:pPr>
          <w:hyperlink w:anchor="__RefHeading___Toc8088908_2142443653">
            <w:r>
              <w:rPr>
                <w:webHidden/>
                <w:rStyle w:val="IndexLink"/>
              </w:rPr>
              <w:t>2</w:t>
            </w:r>
            <w:r>
              <w:rPr>
                <w:rStyle w:val="IndexLink"/>
                <w:rtl w:val="true"/>
              </w:rPr>
              <w:t xml:space="preserve"> - </w:t>
            </w:r>
            <w:r>
              <w:rPr>
                <w:rStyle w:val="IndexLink"/>
                <w:rtl w:val="true"/>
              </w:rPr>
              <w:t>توحيد صفاتى در نگاه مذاهب اسلامى</w:t>
            </w:r>
            <w:r>
              <w:rPr>
                <w:rStyle w:val="IndexLink"/>
                <w:rtl w:val="true"/>
              </w:rPr>
              <w:tab/>
            </w:r>
            <w:r>
              <w:rPr>
                <w:rStyle w:val="IndexLink"/>
              </w:rPr>
              <w:t>90</w:t>
            </w:r>
          </w:hyperlink>
        </w:p>
        <w:p>
          <w:pPr>
            <w:pStyle w:val="Contents4"/>
            <w:tabs>
              <w:tab w:val="clear" w:pos="8176"/>
              <w:tab w:val="right" w:pos="9026" w:leader="dot"/>
            </w:tabs>
            <w:rPr/>
          </w:pPr>
          <w:hyperlink w:anchor="__RefHeading___Toc8088910_2142443653">
            <w:r>
              <w:rPr>
                <w:webHidden/>
                <w:rStyle w:val="IndexLink"/>
              </w:rPr>
              <w:t>3</w:t>
            </w:r>
            <w:r>
              <w:rPr>
                <w:rStyle w:val="IndexLink"/>
                <w:rtl w:val="true"/>
              </w:rPr>
              <w:t xml:space="preserve"> - </w:t>
            </w:r>
            <w:r>
              <w:rPr>
                <w:rStyle w:val="IndexLink"/>
                <w:rtl w:val="true"/>
              </w:rPr>
              <w:t>صفات خبرى</w:t>
            </w:r>
            <w:r>
              <w:rPr>
                <w:rStyle w:val="IndexLink"/>
                <w:rtl w:val="true"/>
              </w:rPr>
              <w:tab/>
            </w:r>
            <w:r>
              <w:rPr>
                <w:rStyle w:val="IndexLink"/>
              </w:rPr>
              <w:t>93</w:t>
            </w:r>
          </w:hyperlink>
        </w:p>
        <w:p>
          <w:pPr>
            <w:pStyle w:val="Contents5"/>
            <w:tabs>
              <w:tab w:val="clear" w:pos="7892"/>
              <w:tab w:val="right" w:pos="9026" w:leader="dot"/>
            </w:tabs>
            <w:rPr/>
          </w:pPr>
          <w:hyperlink w:anchor="__RefHeading___Toc8088912_2142443653">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8088914_2142443653">
            <w:r>
              <w:rPr>
                <w:webHidden/>
                <w:rStyle w:val="IndexLink"/>
              </w:rPr>
              <w:t>1</w:t>
            </w:r>
            <w:r>
              <w:rPr>
                <w:rStyle w:val="IndexLink"/>
                <w:rtl w:val="true"/>
              </w:rPr>
              <w:t>‏-‏</w:t>
            </w:r>
            <w:r>
              <w:rPr>
                <w:rStyle w:val="IndexLink"/>
              </w:rPr>
              <w:t>3</w:t>
            </w:r>
            <w:r>
              <w:rPr>
                <w:rStyle w:val="IndexLink"/>
                <w:rtl w:val="true"/>
              </w:rPr>
              <w:t xml:space="preserve"> - </w:t>
            </w:r>
            <w:r>
              <w:rPr>
                <w:rStyle w:val="IndexLink"/>
                <w:rtl w:val="true"/>
              </w:rPr>
              <w:t>نظريات تشبيهى</w:t>
            </w:r>
            <w:r>
              <w:rPr>
                <w:rStyle w:val="IndexLink"/>
                <w:rtl w:val="true"/>
              </w:rPr>
              <w:tab/>
            </w:r>
            <w:r>
              <w:rPr>
                <w:rStyle w:val="IndexLink"/>
              </w:rPr>
              <w:t>94</w:t>
            </w:r>
          </w:hyperlink>
        </w:p>
        <w:p>
          <w:pPr>
            <w:pStyle w:val="Contents5"/>
            <w:tabs>
              <w:tab w:val="clear" w:pos="7892"/>
              <w:tab w:val="right" w:pos="9026" w:leader="dot"/>
            </w:tabs>
            <w:rPr/>
          </w:pPr>
          <w:hyperlink w:anchor="__RefHeading___Toc8088916_2142443653">
            <w:r>
              <w:rPr>
                <w:webHidden/>
                <w:rStyle w:val="IndexLink"/>
              </w:rPr>
              <w:t>2</w:t>
            </w:r>
            <w:r>
              <w:rPr>
                <w:rStyle w:val="IndexLink"/>
                <w:rtl w:val="true"/>
              </w:rPr>
              <w:t>‏-‏</w:t>
            </w:r>
            <w:r>
              <w:rPr>
                <w:rStyle w:val="IndexLink"/>
              </w:rPr>
              <w:t>3</w:t>
            </w:r>
            <w:r>
              <w:rPr>
                <w:rStyle w:val="IndexLink"/>
                <w:rtl w:val="true"/>
              </w:rPr>
              <w:t xml:space="preserve"> - </w:t>
            </w:r>
            <w:r>
              <w:rPr>
                <w:rStyle w:val="IndexLink"/>
                <w:rtl w:val="true"/>
              </w:rPr>
              <w:t>نظريات تنزيهى</w:t>
            </w:r>
            <w:r>
              <w:rPr>
                <w:rStyle w:val="IndexLink"/>
                <w:rtl w:val="true"/>
              </w:rPr>
              <w:tab/>
            </w:r>
            <w:r>
              <w:rPr>
                <w:rStyle w:val="IndexLink"/>
              </w:rPr>
              <w:t>101</w:t>
            </w:r>
          </w:hyperlink>
        </w:p>
        <w:p>
          <w:pPr>
            <w:pStyle w:val="Contents6"/>
            <w:tabs>
              <w:tab w:val="clear" w:pos="7609"/>
              <w:tab w:val="right" w:pos="9026" w:leader="dot"/>
            </w:tabs>
            <w:rPr/>
          </w:pPr>
          <w:hyperlink w:anchor="__RefHeading___Toc8088918_2142443653">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8088920_2142443653">
            <w:r>
              <w:rPr>
                <w:webHidden/>
                <w:rStyle w:val="IndexLink"/>
              </w:rPr>
              <w:t>1</w:t>
            </w:r>
            <w:r>
              <w:rPr>
                <w:rStyle w:val="IndexLink"/>
                <w:rtl w:val="true"/>
              </w:rPr>
              <w:t>‏-‏</w:t>
            </w:r>
            <w:r>
              <w:rPr>
                <w:rStyle w:val="IndexLink"/>
              </w:rPr>
              <w:t>2</w:t>
            </w:r>
            <w:r>
              <w:rPr>
                <w:rStyle w:val="IndexLink"/>
                <w:rtl w:val="true"/>
              </w:rPr>
              <w:t>‏-‏</w:t>
            </w:r>
            <w:r>
              <w:rPr>
                <w:rStyle w:val="IndexLink"/>
              </w:rPr>
              <w:t>3</w:t>
            </w:r>
            <w:r>
              <w:rPr>
                <w:rStyle w:val="IndexLink"/>
                <w:rtl w:val="true"/>
              </w:rPr>
              <w:t xml:space="preserve"> - </w:t>
            </w:r>
            <w:r>
              <w:rPr>
                <w:rStyle w:val="IndexLink"/>
                <w:rtl w:val="true"/>
              </w:rPr>
              <w:t>اثبات بلاتكييف</w:t>
            </w:r>
            <w:r>
              <w:rPr>
                <w:rStyle w:val="IndexLink"/>
                <w:rtl w:val="true"/>
              </w:rPr>
              <w:t xml:space="preserve">: </w:t>
            </w:r>
            <w:r>
              <w:rPr>
                <w:rStyle w:val="IndexLink"/>
                <w:rtl w:val="true"/>
              </w:rPr>
              <w:t>اثبات صفات بدون كيفيت و تشبيه</w:t>
            </w:r>
            <w:r>
              <w:rPr>
                <w:rStyle w:val="IndexLink"/>
                <w:rtl w:val="true"/>
              </w:rPr>
              <w:tab/>
            </w:r>
            <w:r>
              <w:rPr>
                <w:rStyle w:val="IndexLink"/>
              </w:rPr>
              <w:t>101</w:t>
            </w:r>
          </w:hyperlink>
        </w:p>
        <w:p>
          <w:pPr>
            <w:pStyle w:val="Contents6"/>
            <w:tabs>
              <w:tab w:val="clear" w:pos="7609"/>
              <w:tab w:val="right" w:pos="9026" w:leader="dot"/>
            </w:tabs>
            <w:rPr/>
          </w:pPr>
          <w:hyperlink w:anchor="__RefHeading___Toc8088922_2142443653">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8088924_2142443653">
            <w:r>
              <w:rPr>
                <w:webHidden/>
                <w:rStyle w:val="IndexLink"/>
              </w:rPr>
              <w:t>1</w:t>
            </w:r>
            <w:r>
              <w:rPr>
                <w:rStyle w:val="IndexLink"/>
                <w:rtl w:val="true"/>
              </w:rPr>
              <w:t>‏-‏</w:t>
            </w:r>
            <w:r>
              <w:rPr>
                <w:rStyle w:val="IndexLink"/>
              </w:rPr>
              <w:t>1</w:t>
            </w:r>
            <w:r>
              <w:rPr>
                <w:rStyle w:val="IndexLink"/>
                <w:rtl w:val="true"/>
              </w:rPr>
              <w:t>‏-‏</w:t>
            </w:r>
            <w:r>
              <w:rPr>
                <w:rStyle w:val="IndexLink"/>
              </w:rPr>
              <w:t>2</w:t>
            </w:r>
            <w:r>
              <w:rPr>
                <w:rStyle w:val="IndexLink"/>
                <w:rtl w:val="true"/>
              </w:rPr>
              <w:t>‏-‏</w:t>
            </w:r>
            <w:r>
              <w:rPr>
                <w:rStyle w:val="IndexLink"/>
              </w:rPr>
              <w:t>3</w:t>
            </w:r>
            <w:r>
              <w:rPr>
                <w:rStyle w:val="IndexLink"/>
                <w:rtl w:val="true"/>
              </w:rPr>
              <w:t xml:space="preserve"> - </w:t>
            </w:r>
            <w:r>
              <w:rPr>
                <w:rStyle w:val="IndexLink"/>
                <w:rtl w:val="true"/>
              </w:rPr>
              <w:t>تفويض</w:t>
            </w:r>
            <w:r>
              <w:rPr>
                <w:rStyle w:val="IndexLink"/>
                <w:rtl w:val="true"/>
              </w:rPr>
              <w:tab/>
            </w:r>
            <w:r>
              <w:rPr>
                <w:rStyle w:val="IndexLink"/>
              </w:rPr>
              <w:t>102</w:t>
            </w:r>
          </w:hyperlink>
        </w:p>
        <w:p>
          <w:pPr>
            <w:pStyle w:val="Contents6"/>
            <w:tabs>
              <w:tab w:val="clear" w:pos="7609"/>
              <w:tab w:val="right" w:pos="9026" w:leader="dot"/>
            </w:tabs>
            <w:rPr/>
          </w:pPr>
          <w:hyperlink w:anchor="__RefHeading___Toc8088926_2142443653">
            <w:r>
              <w:rPr>
                <w:webHidden/>
                <w:rStyle w:val="IndexLink"/>
              </w:rPr>
              <w:t>2</w:t>
            </w:r>
            <w:r>
              <w:rPr>
                <w:rStyle w:val="IndexLink"/>
                <w:rtl w:val="true"/>
              </w:rPr>
              <w:t>‏-‏</w:t>
            </w:r>
            <w:r>
              <w:rPr>
                <w:rStyle w:val="IndexLink"/>
              </w:rPr>
              <w:t>1</w:t>
            </w:r>
            <w:r>
              <w:rPr>
                <w:rStyle w:val="IndexLink"/>
                <w:rtl w:val="true"/>
              </w:rPr>
              <w:t>‏-‏</w:t>
            </w:r>
            <w:r>
              <w:rPr>
                <w:rStyle w:val="IndexLink"/>
              </w:rPr>
              <w:t>2</w:t>
            </w:r>
            <w:r>
              <w:rPr>
                <w:rStyle w:val="IndexLink"/>
                <w:rtl w:val="true"/>
              </w:rPr>
              <w:t>‏-‏</w:t>
            </w:r>
            <w:r>
              <w:rPr>
                <w:rStyle w:val="IndexLink"/>
              </w:rPr>
              <w:t>3</w:t>
            </w:r>
            <w:r>
              <w:rPr>
                <w:rStyle w:val="IndexLink"/>
                <w:rtl w:val="true"/>
              </w:rPr>
              <w:t xml:space="preserve"> - </w:t>
            </w:r>
            <w:r>
              <w:rPr>
                <w:rStyle w:val="IndexLink"/>
                <w:rtl w:val="true"/>
              </w:rPr>
              <w:t>نظريه ى تأويل</w:t>
            </w:r>
            <w:r>
              <w:rPr>
                <w:rStyle w:val="IndexLink"/>
                <w:rtl w:val="true"/>
              </w:rPr>
              <w:tab/>
            </w:r>
            <w:r>
              <w:rPr>
                <w:rStyle w:val="IndexLink"/>
              </w:rPr>
              <w:t>105</w:t>
            </w:r>
          </w:hyperlink>
        </w:p>
        <w:p>
          <w:pPr>
            <w:pStyle w:val="Contents3"/>
            <w:tabs>
              <w:tab w:val="clear" w:pos="8459"/>
              <w:tab w:val="right" w:pos="9026" w:leader="dot"/>
            </w:tabs>
            <w:rPr/>
          </w:pPr>
          <w:hyperlink w:anchor="__RefHeading___Toc8088928_2142443653">
            <w:r>
              <w:rPr>
                <w:webHidden/>
                <w:rStyle w:val="IndexLink"/>
                <w:rtl w:val="true"/>
              </w:rPr>
              <w:t>فصل پنجم</w:t>
            </w:r>
            <w:r>
              <w:rPr>
                <w:rStyle w:val="IndexLink"/>
                <w:rtl w:val="true"/>
              </w:rPr>
              <w:t xml:space="preserve">: </w:t>
            </w:r>
            <w:r>
              <w:rPr>
                <w:rStyle w:val="IndexLink"/>
                <w:rtl w:val="true"/>
              </w:rPr>
              <w:t>وهابيت، مكتب تشبيه</w:t>
            </w:r>
            <w:r>
              <w:rPr>
                <w:rStyle w:val="IndexLink"/>
                <w:rtl w:val="true"/>
              </w:rPr>
              <w:tab/>
            </w:r>
            <w:r>
              <w:rPr>
                <w:rStyle w:val="IndexLink"/>
              </w:rPr>
              <w:t>110</w:t>
            </w:r>
          </w:hyperlink>
        </w:p>
        <w:p>
          <w:pPr>
            <w:pStyle w:val="Contents4"/>
            <w:tabs>
              <w:tab w:val="clear" w:pos="8176"/>
              <w:tab w:val="right" w:pos="9026" w:leader="dot"/>
            </w:tabs>
            <w:rPr/>
          </w:pPr>
          <w:hyperlink w:anchor="__RefHeading___Toc8088930_2142443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8088932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111</w:t>
            </w:r>
          </w:hyperlink>
        </w:p>
        <w:p>
          <w:pPr>
            <w:pStyle w:val="Contents4"/>
            <w:tabs>
              <w:tab w:val="clear" w:pos="8176"/>
              <w:tab w:val="right" w:pos="9026" w:leader="dot"/>
            </w:tabs>
            <w:rPr/>
          </w:pPr>
          <w:hyperlink w:anchor="__RefHeading___Toc8088934_2142443653">
            <w:r>
              <w:rPr>
                <w:webHidden/>
                <w:rStyle w:val="IndexLink"/>
              </w:rPr>
              <w:t>2</w:t>
            </w:r>
            <w:r>
              <w:rPr>
                <w:rStyle w:val="IndexLink"/>
                <w:rtl w:val="true"/>
              </w:rPr>
              <w:t xml:space="preserve"> - </w:t>
            </w:r>
            <w:r>
              <w:rPr>
                <w:rStyle w:val="IndexLink"/>
                <w:rtl w:val="true"/>
              </w:rPr>
              <w:t>وهابيت و توحيد اسماء و صفات</w:t>
            </w:r>
            <w:r>
              <w:rPr>
                <w:rStyle w:val="IndexLink"/>
                <w:rtl w:val="true"/>
              </w:rPr>
              <w:tab/>
            </w:r>
            <w:r>
              <w:rPr>
                <w:rStyle w:val="IndexLink"/>
              </w:rPr>
              <w:t>111</w:t>
            </w:r>
          </w:hyperlink>
        </w:p>
        <w:p>
          <w:pPr>
            <w:pStyle w:val="Contents4"/>
            <w:tabs>
              <w:tab w:val="clear" w:pos="8176"/>
              <w:tab w:val="right" w:pos="9026" w:leader="dot"/>
            </w:tabs>
            <w:rPr/>
          </w:pPr>
          <w:hyperlink w:anchor="__RefHeading___Toc8088936_2142443653">
            <w:r>
              <w:rPr>
                <w:webHidden/>
                <w:rStyle w:val="IndexLink"/>
              </w:rPr>
              <w:t>3</w:t>
            </w:r>
            <w:r>
              <w:rPr>
                <w:rStyle w:val="IndexLink"/>
                <w:rtl w:val="true"/>
              </w:rPr>
              <w:t xml:space="preserve"> - </w:t>
            </w:r>
            <w:r>
              <w:rPr>
                <w:rStyle w:val="IndexLink"/>
                <w:rtl w:val="true"/>
              </w:rPr>
              <w:t>مبانى نظرى تشبيه گرايى وهابيت</w:t>
            </w:r>
            <w:r>
              <w:rPr>
                <w:rStyle w:val="IndexLink"/>
                <w:rtl w:val="true"/>
              </w:rPr>
              <w:tab/>
            </w:r>
            <w:r>
              <w:rPr>
                <w:rStyle w:val="IndexLink"/>
              </w:rPr>
              <w:t>112</w:t>
            </w:r>
          </w:hyperlink>
        </w:p>
        <w:p>
          <w:pPr>
            <w:pStyle w:val="Contents5"/>
            <w:tabs>
              <w:tab w:val="clear" w:pos="7892"/>
              <w:tab w:val="right" w:pos="9026" w:leader="dot"/>
            </w:tabs>
            <w:rPr/>
          </w:pPr>
          <w:hyperlink w:anchor="__RefHeading___Toc8088938_2142443653">
            <w:r>
              <w:rPr>
                <w:webHidden/>
                <w:rStyle w:val="IndexLink"/>
              </w:rPr>
              <w:t>1</w:t>
            </w:r>
            <w:r>
              <w:rPr>
                <w:rStyle w:val="IndexLink"/>
                <w:rtl w:val="true"/>
              </w:rPr>
              <w:t>‏-‏</w:t>
            </w:r>
            <w:r>
              <w:rPr>
                <w:rStyle w:val="IndexLink"/>
              </w:rPr>
              <w:t>3</w:t>
            </w:r>
            <w:r>
              <w:rPr>
                <w:rStyle w:val="IndexLink"/>
                <w:rtl w:val="true"/>
              </w:rPr>
              <w:t xml:space="preserve"> - </w:t>
            </w:r>
            <w:r>
              <w:rPr>
                <w:rStyle w:val="IndexLink"/>
                <w:rtl w:val="true"/>
              </w:rPr>
              <w:t>معنى شناسى وهابيت</w:t>
            </w:r>
            <w:r>
              <w:rPr>
                <w:rStyle w:val="IndexLink"/>
                <w:rtl w:val="true"/>
              </w:rPr>
              <w:t xml:space="preserve">: </w:t>
            </w:r>
            <w:r>
              <w:rPr>
                <w:rStyle w:val="IndexLink"/>
                <w:rtl w:val="true"/>
              </w:rPr>
              <w:t>ظاهرگرايى</w:t>
            </w:r>
            <w:r>
              <w:rPr>
                <w:rStyle w:val="IndexLink"/>
                <w:rtl w:val="true"/>
              </w:rPr>
              <w:tab/>
            </w:r>
            <w:r>
              <w:rPr>
                <w:rStyle w:val="IndexLink"/>
              </w:rPr>
              <w:t>112</w:t>
            </w:r>
          </w:hyperlink>
        </w:p>
        <w:p>
          <w:pPr>
            <w:pStyle w:val="Contents6"/>
            <w:tabs>
              <w:tab w:val="clear" w:pos="7609"/>
              <w:tab w:val="right" w:pos="9026" w:leader="dot"/>
            </w:tabs>
            <w:rPr/>
          </w:pPr>
          <w:hyperlink w:anchor="__RefHeading___Toc8088940_2142443653">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8088942_2142443653">
            <w:r>
              <w:rPr>
                <w:webHidden/>
                <w:rStyle w:val="IndexLink"/>
              </w:rPr>
              <w:t>1</w:t>
            </w:r>
            <w:r>
              <w:rPr>
                <w:rStyle w:val="IndexLink"/>
                <w:rtl w:val="true"/>
              </w:rPr>
              <w:t>‏-‏</w:t>
            </w:r>
            <w:r>
              <w:rPr>
                <w:rStyle w:val="IndexLink"/>
              </w:rPr>
              <w:t>1</w:t>
            </w:r>
            <w:r>
              <w:rPr>
                <w:rStyle w:val="IndexLink"/>
                <w:rtl w:val="true"/>
              </w:rPr>
              <w:t>‏-‏</w:t>
            </w:r>
            <w:r>
              <w:rPr>
                <w:rStyle w:val="IndexLink"/>
              </w:rPr>
              <w:t>3</w:t>
            </w:r>
            <w:r>
              <w:rPr>
                <w:rStyle w:val="IndexLink"/>
                <w:rtl w:val="true"/>
              </w:rPr>
              <w:t xml:space="preserve"> - </w:t>
            </w:r>
            <w:r>
              <w:rPr>
                <w:rStyle w:val="IndexLink"/>
                <w:rtl w:val="true"/>
              </w:rPr>
              <w:t>تفويض كيفيت</w:t>
            </w:r>
            <w:r>
              <w:rPr>
                <w:rStyle w:val="IndexLink"/>
                <w:rtl w:val="true"/>
              </w:rPr>
              <w:tab/>
            </w:r>
            <w:r>
              <w:rPr>
                <w:rStyle w:val="IndexLink"/>
              </w:rPr>
              <w:t>119</w:t>
            </w:r>
          </w:hyperlink>
        </w:p>
        <w:p>
          <w:pPr>
            <w:pStyle w:val="Contents5"/>
            <w:tabs>
              <w:tab w:val="clear" w:pos="7892"/>
              <w:tab w:val="right" w:pos="9026" w:leader="dot"/>
            </w:tabs>
            <w:rPr/>
          </w:pPr>
          <w:hyperlink w:anchor="__RefHeading___Toc8088944_2142443653">
            <w:r>
              <w:rPr>
                <w:webHidden/>
                <w:rStyle w:val="IndexLink"/>
              </w:rPr>
              <w:t>2</w:t>
            </w:r>
            <w:r>
              <w:rPr>
                <w:rStyle w:val="IndexLink"/>
                <w:rtl w:val="true"/>
              </w:rPr>
              <w:t>‏-‏</w:t>
            </w:r>
            <w:r>
              <w:rPr>
                <w:rStyle w:val="IndexLink"/>
              </w:rPr>
              <w:t>3</w:t>
            </w:r>
            <w:r>
              <w:rPr>
                <w:rStyle w:val="IndexLink"/>
                <w:rtl w:val="true"/>
              </w:rPr>
              <w:t xml:space="preserve"> - </w:t>
            </w:r>
            <w:r>
              <w:rPr>
                <w:rStyle w:val="IndexLink"/>
                <w:rtl w:val="true"/>
              </w:rPr>
              <w:t>هستى شناسى وهابيت</w:t>
            </w:r>
            <w:r>
              <w:rPr>
                <w:rStyle w:val="IndexLink"/>
                <w:rtl w:val="true"/>
              </w:rPr>
              <w:t xml:space="preserve">: </w:t>
            </w:r>
            <w:r>
              <w:rPr>
                <w:rStyle w:val="IndexLink"/>
                <w:rtl w:val="true"/>
              </w:rPr>
              <w:t>حس گرايى و تشبيه</w:t>
            </w:r>
            <w:r>
              <w:rPr>
                <w:rStyle w:val="IndexLink"/>
                <w:rtl w:val="true"/>
              </w:rPr>
              <w:tab/>
            </w:r>
            <w:r>
              <w:rPr>
                <w:rStyle w:val="IndexLink"/>
              </w:rPr>
              <w:t>122</w:t>
            </w:r>
          </w:hyperlink>
        </w:p>
        <w:p>
          <w:pPr>
            <w:pStyle w:val="Contents4"/>
            <w:tabs>
              <w:tab w:val="clear" w:pos="8176"/>
              <w:tab w:val="right" w:pos="9026" w:leader="dot"/>
            </w:tabs>
            <w:rPr/>
          </w:pPr>
          <w:hyperlink w:anchor="__RefHeading___Toc8088946_2142443653">
            <w:r>
              <w:rPr>
                <w:webHidden/>
                <w:rStyle w:val="IndexLink"/>
              </w:rPr>
              <w:t>4</w:t>
            </w:r>
            <w:r>
              <w:rPr>
                <w:rStyle w:val="IndexLink"/>
                <w:rtl w:val="true"/>
              </w:rPr>
              <w:t xml:space="preserve"> - </w:t>
            </w:r>
            <w:r>
              <w:rPr>
                <w:rStyle w:val="IndexLink"/>
                <w:rtl w:val="true"/>
              </w:rPr>
              <w:t>مصاديق تجسيم در انديشه ى وهابيت</w:t>
            </w:r>
            <w:r>
              <w:rPr>
                <w:rStyle w:val="IndexLink"/>
                <w:rtl w:val="true"/>
              </w:rPr>
              <w:tab/>
            </w:r>
            <w:r>
              <w:rPr>
                <w:rStyle w:val="IndexLink"/>
              </w:rPr>
              <w:t>123</w:t>
            </w:r>
          </w:hyperlink>
        </w:p>
        <w:p>
          <w:pPr>
            <w:pStyle w:val="Contents4"/>
            <w:tabs>
              <w:tab w:val="clear" w:pos="8176"/>
              <w:tab w:val="right" w:pos="9026" w:leader="dot"/>
            </w:tabs>
            <w:rPr/>
          </w:pPr>
          <w:hyperlink w:anchor="__RefHeading___Toc8088948_2142443653">
            <w:r>
              <w:rPr>
                <w:webHidden/>
                <w:rStyle w:val="IndexLink"/>
              </w:rPr>
              <w:t>5</w:t>
            </w:r>
            <w:r>
              <w:rPr>
                <w:rStyle w:val="IndexLink"/>
                <w:rtl w:val="true"/>
              </w:rPr>
              <w:t xml:space="preserve"> - </w:t>
            </w:r>
            <w:r>
              <w:rPr>
                <w:rStyle w:val="IndexLink"/>
                <w:rtl w:val="true"/>
              </w:rPr>
              <w:t xml:space="preserve">وهابيت و دشمنى با انديشه هاى تنزيهى </w:t>
            </w:r>
            <w:r>
              <w:rPr>
                <w:rStyle w:val="IndexLink"/>
                <w:rtl w:val="true"/>
              </w:rPr>
              <w:t>(</w:t>
            </w:r>
            <w:r>
              <w:rPr>
                <w:rStyle w:val="IndexLink"/>
                <w:rtl w:val="true"/>
              </w:rPr>
              <w:t>مسلمانان</w:t>
            </w:r>
            <w:r>
              <w:rPr>
                <w:rStyle w:val="IndexLink"/>
                <w:rtl w:val="true"/>
              </w:rPr>
              <w:t>)</w:t>
              <w:tab/>
            </w:r>
            <w:r>
              <w:rPr>
                <w:rStyle w:val="IndexLink"/>
              </w:rPr>
              <w:t>126</w:t>
            </w:r>
          </w:hyperlink>
        </w:p>
        <w:p>
          <w:pPr>
            <w:pStyle w:val="Contents3"/>
            <w:tabs>
              <w:tab w:val="clear" w:pos="8459"/>
              <w:tab w:val="right" w:pos="9026" w:leader="dot"/>
            </w:tabs>
            <w:rPr/>
          </w:pPr>
          <w:hyperlink w:anchor="__RefHeading___Toc8088950_2142443653">
            <w:r>
              <w:rPr>
                <w:webHidden/>
                <w:rStyle w:val="IndexLink"/>
                <w:rtl w:val="true"/>
              </w:rPr>
              <w:t>فصل ششم</w:t>
            </w:r>
            <w:r>
              <w:rPr>
                <w:rStyle w:val="IndexLink"/>
                <w:rtl w:val="true"/>
              </w:rPr>
              <w:t xml:space="preserve">: </w:t>
            </w:r>
            <w:r>
              <w:rPr>
                <w:rStyle w:val="IndexLink"/>
                <w:rtl w:val="true"/>
              </w:rPr>
              <w:t>وهابيت و توحيد ربوبى</w:t>
            </w:r>
            <w:r>
              <w:rPr>
                <w:rStyle w:val="IndexLink"/>
                <w:rtl w:val="true"/>
              </w:rPr>
              <w:tab/>
            </w:r>
            <w:r>
              <w:rPr>
                <w:rStyle w:val="IndexLink"/>
              </w:rPr>
              <w:t>129</w:t>
            </w:r>
          </w:hyperlink>
        </w:p>
        <w:p>
          <w:pPr>
            <w:pStyle w:val="Contents4"/>
            <w:tabs>
              <w:tab w:val="clear" w:pos="8176"/>
              <w:tab w:val="right" w:pos="9026" w:leader="dot"/>
            </w:tabs>
            <w:rPr/>
          </w:pPr>
          <w:hyperlink w:anchor="__RefHeading___Toc8088952_2142443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8088954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130</w:t>
            </w:r>
          </w:hyperlink>
        </w:p>
        <w:p>
          <w:pPr>
            <w:pStyle w:val="Contents4"/>
            <w:tabs>
              <w:tab w:val="clear" w:pos="8176"/>
              <w:tab w:val="right" w:pos="9026" w:leader="dot"/>
            </w:tabs>
            <w:rPr/>
          </w:pPr>
          <w:hyperlink w:anchor="__RefHeading___Toc8088956_2142443653">
            <w:r>
              <w:rPr>
                <w:webHidden/>
                <w:rStyle w:val="IndexLink"/>
              </w:rPr>
              <w:t>2</w:t>
            </w:r>
            <w:r>
              <w:rPr>
                <w:rStyle w:val="IndexLink"/>
                <w:rtl w:val="true"/>
              </w:rPr>
              <w:t xml:space="preserve"> - </w:t>
            </w:r>
            <w:r>
              <w:rPr>
                <w:rStyle w:val="IndexLink"/>
                <w:rtl w:val="true"/>
              </w:rPr>
              <w:t>پيشينه ى توحيد ربوبى و الوهى</w:t>
            </w:r>
            <w:r>
              <w:rPr>
                <w:rStyle w:val="IndexLink"/>
                <w:rtl w:val="true"/>
              </w:rPr>
              <w:tab/>
            </w:r>
            <w:r>
              <w:rPr>
                <w:rStyle w:val="IndexLink"/>
              </w:rPr>
              <w:t>131</w:t>
            </w:r>
          </w:hyperlink>
        </w:p>
        <w:p>
          <w:pPr>
            <w:pStyle w:val="Contents4"/>
            <w:tabs>
              <w:tab w:val="clear" w:pos="8176"/>
              <w:tab w:val="right" w:pos="9026" w:leader="dot"/>
            </w:tabs>
            <w:rPr/>
          </w:pPr>
          <w:hyperlink w:anchor="__RefHeading___Toc8088958_2142443653">
            <w:r>
              <w:rPr>
                <w:webHidden/>
                <w:rStyle w:val="IndexLink"/>
              </w:rPr>
              <w:t>3</w:t>
            </w:r>
            <w:r>
              <w:rPr>
                <w:rStyle w:val="IndexLink"/>
                <w:rtl w:val="true"/>
              </w:rPr>
              <w:t xml:space="preserve"> - </w:t>
            </w:r>
            <w:r>
              <w:rPr>
                <w:rStyle w:val="IndexLink"/>
                <w:rtl w:val="true"/>
              </w:rPr>
              <w:t>وهابيت و توحيد ربوبى</w:t>
            </w:r>
            <w:r>
              <w:rPr>
                <w:rStyle w:val="IndexLink"/>
                <w:rtl w:val="true"/>
              </w:rPr>
              <w:tab/>
            </w:r>
            <w:r>
              <w:rPr>
                <w:rStyle w:val="IndexLink"/>
              </w:rPr>
              <w:t>131</w:t>
            </w:r>
          </w:hyperlink>
        </w:p>
        <w:p>
          <w:pPr>
            <w:pStyle w:val="Contents4"/>
            <w:tabs>
              <w:tab w:val="clear" w:pos="8176"/>
              <w:tab w:val="right" w:pos="9026" w:leader="dot"/>
            </w:tabs>
            <w:rPr/>
          </w:pPr>
          <w:hyperlink w:anchor="__RefHeading___Toc8088960_2142443653">
            <w:r>
              <w:rPr>
                <w:webHidden/>
                <w:rStyle w:val="IndexLink"/>
              </w:rPr>
              <w:t>4</w:t>
            </w:r>
            <w:r>
              <w:rPr>
                <w:rStyle w:val="IndexLink"/>
                <w:rtl w:val="true"/>
              </w:rPr>
              <w:t xml:space="preserve"> - </w:t>
            </w:r>
            <w:r>
              <w:rPr>
                <w:rStyle w:val="IndexLink"/>
                <w:rtl w:val="true"/>
              </w:rPr>
              <w:t>توحيد ربوبى در ترازوى نقد</w:t>
            </w:r>
            <w:r>
              <w:rPr>
                <w:rStyle w:val="IndexLink"/>
                <w:rtl w:val="true"/>
              </w:rPr>
              <w:tab/>
            </w:r>
            <w:r>
              <w:rPr>
                <w:rStyle w:val="IndexLink"/>
              </w:rPr>
              <w:t>135</w:t>
            </w:r>
          </w:hyperlink>
        </w:p>
        <w:p>
          <w:pPr>
            <w:pStyle w:val="Contents5"/>
            <w:tabs>
              <w:tab w:val="clear" w:pos="7892"/>
              <w:tab w:val="right" w:pos="9026" w:leader="dot"/>
            </w:tabs>
            <w:rPr/>
          </w:pPr>
          <w:hyperlink w:anchor="__RefHeading___Toc8088962_2142443653">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8088964_2142443653">
            <w:r>
              <w:rPr>
                <w:webHidden/>
                <w:rStyle w:val="IndexLink"/>
              </w:rPr>
              <w:t>1</w:t>
            </w:r>
            <w:r>
              <w:rPr>
                <w:rStyle w:val="IndexLink"/>
                <w:rtl w:val="true"/>
              </w:rPr>
              <w:t>‏-‏</w:t>
            </w:r>
            <w:r>
              <w:rPr>
                <w:rStyle w:val="IndexLink"/>
              </w:rPr>
              <w:t>4</w:t>
            </w:r>
            <w:r>
              <w:rPr>
                <w:rStyle w:val="IndexLink"/>
                <w:rtl w:val="true"/>
              </w:rPr>
              <w:t xml:space="preserve"> - </w:t>
            </w:r>
            <w:r>
              <w:rPr>
                <w:rStyle w:val="IndexLink"/>
                <w:rtl w:val="true"/>
              </w:rPr>
              <w:t>واژه شناسى</w:t>
            </w:r>
            <w:r>
              <w:rPr>
                <w:rStyle w:val="IndexLink"/>
                <w:rtl w:val="true"/>
              </w:rPr>
              <w:tab/>
            </w:r>
            <w:r>
              <w:rPr>
                <w:rStyle w:val="IndexLink"/>
              </w:rPr>
              <w:t>135</w:t>
            </w:r>
          </w:hyperlink>
        </w:p>
        <w:p>
          <w:pPr>
            <w:pStyle w:val="Contents5"/>
            <w:tabs>
              <w:tab w:val="clear" w:pos="7892"/>
              <w:tab w:val="right" w:pos="9026" w:leader="dot"/>
            </w:tabs>
            <w:rPr/>
          </w:pPr>
          <w:hyperlink w:anchor="__RefHeading___Toc8088966_2142443653">
            <w:r>
              <w:rPr>
                <w:webHidden/>
                <w:rStyle w:val="IndexLink"/>
              </w:rPr>
              <w:t>2</w:t>
            </w:r>
            <w:r>
              <w:rPr>
                <w:rStyle w:val="IndexLink"/>
                <w:rtl w:val="true"/>
              </w:rPr>
              <w:t>‏-‏</w:t>
            </w:r>
            <w:r>
              <w:rPr>
                <w:rStyle w:val="IndexLink"/>
              </w:rPr>
              <w:t>4</w:t>
            </w:r>
            <w:r>
              <w:rPr>
                <w:rStyle w:val="IndexLink"/>
                <w:rtl w:val="true"/>
              </w:rPr>
              <w:t xml:space="preserve"> - </w:t>
            </w:r>
            <w:r>
              <w:rPr>
                <w:rStyle w:val="IndexLink"/>
                <w:rtl w:val="true"/>
              </w:rPr>
              <w:t>رابطه ى توحيد ربوبى و توحيد الوهى</w:t>
            </w:r>
            <w:r>
              <w:rPr>
                <w:rStyle w:val="IndexLink"/>
                <w:rtl w:val="true"/>
              </w:rPr>
              <w:tab/>
            </w:r>
            <w:r>
              <w:rPr>
                <w:rStyle w:val="IndexLink"/>
              </w:rPr>
              <w:t>136</w:t>
            </w:r>
          </w:hyperlink>
        </w:p>
        <w:p>
          <w:pPr>
            <w:pStyle w:val="Contents5"/>
            <w:tabs>
              <w:tab w:val="clear" w:pos="7892"/>
              <w:tab w:val="right" w:pos="9026" w:leader="dot"/>
            </w:tabs>
            <w:rPr/>
          </w:pPr>
          <w:hyperlink w:anchor="__RefHeading___Toc8088968_2142443653">
            <w:r>
              <w:rPr>
                <w:webHidden/>
                <w:rStyle w:val="IndexLink"/>
              </w:rPr>
              <w:t>3</w:t>
            </w:r>
            <w:r>
              <w:rPr>
                <w:rStyle w:val="IndexLink"/>
                <w:rtl w:val="true"/>
              </w:rPr>
              <w:t>‏-‏</w:t>
            </w:r>
            <w:r>
              <w:rPr>
                <w:rStyle w:val="IndexLink"/>
              </w:rPr>
              <w:t>4</w:t>
            </w:r>
            <w:r>
              <w:rPr>
                <w:rStyle w:val="IndexLink"/>
                <w:rtl w:val="true"/>
              </w:rPr>
              <w:t xml:space="preserve"> - </w:t>
            </w:r>
            <w:r>
              <w:rPr>
                <w:rStyle w:val="IndexLink"/>
                <w:rtl w:val="true"/>
              </w:rPr>
              <w:t>مفهوم شناسى رب و اله در قرآن و حديث</w:t>
            </w:r>
            <w:r>
              <w:rPr>
                <w:rStyle w:val="IndexLink"/>
                <w:rtl w:val="true"/>
              </w:rPr>
              <w:tab/>
            </w:r>
            <w:r>
              <w:rPr>
                <w:rStyle w:val="IndexLink"/>
              </w:rPr>
              <w:t>138</w:t>
            </w:r>
          </w:hyperlink>
        </w:p>
        <w:p>
          <w:pPr>
            <w:pStyle w:val="Contents5"/>
            <w:tabs>
              <w:tab w:val="clear" w:pos="7892"/>
              <w:tab w:val="right" w:pos="9026" w:leader="dot"/>
            </w:tabs>
            <w:rPr/>
          </w:pPr>
          <w:hyperlink w:anchor="__RefHeading___Toc8088970_2142443653">
            <w:r>
              <w:rPr>
                <w:webHidden/>
                <w:rStyle w:val="IndexLink"/>
              </w:rPr>
              <w:t>4</w:t>
            </w:r>
            <w:r>
              <w:rPr>
                <w:rStyle w:val="IndexLink"/>
                <w:rtl w:val="true"/>
              </w:rPr>
              <w:t>‏-‏</w:t>
            </w:r>
            <w:r>
              <w:rPr>
                <w:rStyle w:val="IndexLink"/>
              </w:rPr>
              <w:t>4</w:t>
            </w:r>
            <w:r>
              <w:rPr>
                <w:rStyle w:val="IndexLink"/>
                <w:rtl w:val="true"/>
              </w:rPr>
              <w:t xml:space="preserve"> - </w:t>
            </w:r>
            <w:r>
              <w:rPr>
                <w:rStyle w:val="IndexLink"/>
                <w:rtl w:val="true"/>
              </w:rPr>
              <w:t>مشركان و توحيد ربوبى</w:t>
            </w:r>
            <w:r>
              <w:rPr>
                <w:rStyle w:val="IndexLink"/>
                <w:rtl w:val="true"/>
              </w:rPr>
              <w:tab/>
            </w:r>
            <w:r>
              <w:rPr>
                <w:rStyle w:val="IndexLink"/>
              </w:rPr>
              <w:t>142</w:t>
            </w:r>
          </w:hyperlink>
        </w:p>
        <w:p>
          <w:pPr>
            <w:pStyle w:val="Contents6"/>
            <w:tabs>
              <w:tab w:val="clear" w:pos="7609"/>
              <w:tab w:val="right" w:pos="9026" w:leader="dot"/>
            </w:tabs>
            <w:rPr/>
          </w:pPr>
          <w:hyperlink w:anchor="__RefHeading___Toc8088972_2142443653">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8088974_2142443653">
            <w:r>
              <w:rPr>
                <w:webHidden/>
                <w:rStyle w:val="IndexLink"/>
              </w:rPr>
              <w:t>1</w:t>
            </w:r>
            <w:r>
              <w:rPr>
                <w:rStyle w:val="IndexLink"/>
                <w:rtl w:val="true"/>
              </w:rPr>
              <w:t>‏-‏</w:t>
            </w:r>
            <w:r>
              <w:rPr>
                <w:rStyle w:val="IndexLink"/>
              </w:rPr>
              <w:t>4</w:t>
            </w:r>
            <w:r>
              <w:rPr>
                <w:rStyle w:val="IndexLink"/>
                <w:rtl w:val="true"/>
              </w:rPr>
              <w:t>‏-‏</w:t>
            </w:r>
            <w:r>
              <w:rPr>
                <w:rStyle w:val="IndexLink"/>
              </w:rPr>
              <w:t>4</w:t>
            </w:r>
            <w:r>
              <w:rPr>
                <w:rStyle w:val="IndexLink"/>
                <w:rtl w:val="true"/>
              </w:rPr>
              <w:t xml:space="preserve"> - </w:t>
            </w:r>
            <w:r>
              <w:rPr>
                <w:rStyle w:val="IndexLink"/>
                <w:rtl w:val="true"/>
              </w:rPr>
              <w:t>مشركان و شرك در ذات</w:t>
            </w:r>
            <w:r>
              <w:rPr>
                <w:rStyle w:val="IndexLink"/>
                <w:rtl w:val="true"/>
              </w:rPr>
              <w:tab/>
            </w:r>
            <w:r>
              <w:rPr>
                <w:rStyle w:val="IndexLink"/>
              </w:rPr>
              <w:t>143</w:t>
            </w:r>
          </w:hyperlink>
        </w:p>
        <w:p>
          <w:pPr>
            <w:pStyle w:val="Contents3"/>
            <w:tabs>
              <w:tab w:val="clear" w:pos="8459"/>
              <w:tab w:val="right" w:pos="9026" w:leader="dot"/>
            </w:tabs>
            <w:rPr/>
          </w:pPr>
          <w:hyperlink w:anchor="__RefHeading___Toc8088976_2142443653">
            <w:r>
              <w:rPr>
                <w:webHidden/>
                <w:rStyle w:val="IndexLink"/>
                <w:rtl w:val="true"/>
              </w:rPr>
              <w:t>فصل هفتم</w:t>
            </w:r>
            <w:r>
              <w:rPr>
                <w:rStyle w:val="IndexLink"/>
                <w:rtl w:val="true"/>
              </w:rPr>
              <w:t xml:space="preserve">: </w:t>
            </w:r>
            <w:r>
              <w:rPr>
                <w:rStyle w:val="IndexLink"/>
                <w:rtl w:val="true"/>
              </w:rPr>
              <w:t>وهابيت و توحيد ربوبى</w:t>
            </w:r>
            <w:r>
              <w:rPr>
                <w:rStyle w:val="IndexLink"/>
                <w:rtl w:val="true"/>
              </w:rPr>
              <w:tab/>
            </w:r>
            <w:r>
              <w:rPr>
                <w:rStyle w:val="IndexLink"/>
              </w:rPr>
              <w:t>150</w:t>
            </w:r>
          </w:hyperlink>
        </w:p>
        <w:p>
          <w:pPr>
            <w:pStyle w:val="Contents4"/>
            <w:tabs>
              <w:tab w:val="clear" w:pos="8176"/>
              <w:tab w:val="right" w:pos="9026" w:leader="dot"/>
            </w:tabs>
            <w:rPr/>
          </w:pPr>
          <w:hyperlink w:anchor="__RefHeading___Toc8088978_214244365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8088980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151</w:t>
            </w:r>
          </w:hyperlink>
        </w:p>
        <w:p>
          <w:pPr>
            <w:pStyle w:val="Contents4"/>
            <w:tabs>
              <w:tab w:val="clear" w:pos="8176"/>
              <w:tab w:val="right" w:pos="9026" w:leader="dot"/>
            </w:tabs>
            <w:rPr/>
          </w:pPr>
          <w:hyperlink w:anchor="__RefHeading___Toc8088982_2142443653">
            <w:r>
              <w:rPr>
                <w:webHidden/>
                <w:rStyle w:val="IndexLink"/>
              </w:rPr>
              <w:t>2</w:t>
            </w:r>
            <w:r>
              <w:rPr>
                <w:rStyle w:val="IndexLink"/>
                <w:rtl w:val="true"/>
              </w:rPr>
              <w:t xml:space="preserve"> - </w:t>
            </w:r>
            <w:r>
              <w:rPr>
                <w:rStyle w:val="IndexLink"/>
                <w:rtl w:val="true"/>
              </w:rPr>
              <w:t>مشركان و شرك در تدبير</w:t>
            </w:r>
            <w:r>
              <w:rPr>
                <w:rStyle w:val="IndexLink"/>
                <w:rtl w:val="true"/>
              </w:rPr>
              <w:tab/>
            </w:r>
            <w:r>
              <w:rPr>
                <w:rStyle w:val="IndexLink"/>
              </w:rPr>
              <w:t>151</w:t>
            </w:r>
          </w:hyperlink>
        </w:p>
        <w:p>
          <w:pPr>
            <w:pStyle w:val="Contents4"/>
            <w:tabs>
              <w:tab w:val="clear" w:pos="8176"/>
              <w:tab w:val="right" w:pos="9026" w:leader="dot"/>
            </w:tabs>
            <w:rPr/>
          </w:pPr>
          <w:hyperlink w:anchor="__RefHeading___Toc8088984_2142443653">
            <w:r>
              <w:rPr>
                <w:webHidden/>
                <w:rStyle w:val="IndexLink"/>
              </w:rPr>
              <w:t>3</w:t>
            </w:r>
            <w:r>
              <w:rPr>
                <w:rStyle w:val="IndexLink"/>
                <w:rtl w:val="true"/>
              </w:rPr>
              <w:t xml:space="preserve"> - </w:t>
            </w:r>
            <w:r>
              <w:rPr>
                <w:rStyle w:val="IndexLink"/>
                <w:rtl w:val="true"/>
              </w:rPr>
              <w:t>مشركان پيش از اسلام</w:t>
            </w:r>
            <w:r>
              <w:rPr>
                <w:rStyle w:val="IndexLink"/>
                <w:rtl w:val="true"/>
              </w:rPr>
              <w:tab/>
            </w:r>
            <w:r>
              <w:rPr>
                <w:rStyle w:val="IndexLink"/>
              </w:rPr>
              <w:t>155</w:t>
            </w:r>
          </w:hyperlink>
        </w:p>
        <w:p>
          <w:pPr>
            <w:pStyle w:val="Contents5"/>
            <w:tabs>
              <w:tab w:val="clear" w:pos="7892"/>
              <w:tab w:val="right" w:pos="9026" w:leader="dot"/>
            </w:tabs>
            <w:rPr/>
          </w:pPr>
          <w:hyperlink w:anchor="__RefHeading___Toc8088986_2142443653">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8088988_2142443653">
            <w:r>
              <w:rPr>
                <w:webHidden/>
                <w:rStyle w:val="IndexLink"/>
              </w:rPr>
              <w:t>1</w:t>
            </w:r>
            <w:r>
              <w:rPr>
                <w:rStyle w:val="IndexLink"/>
                <w:rtl w:val="true"/>
              </w:rPr>
              <w:t>‏-‏</w:t>
            </w:r>
            <w:r>
              <w:rPr>
                <w:rStyle w:val="IndexLink"/>
              </w:rPr>
              <w:t>3</w:t>
            </w:r>
            <w:r>
              <w:rPr>
                <w:rStyle w:val="IndexLink"/>
                <w:rtl w:val="true"/>
              </w:rPr>
              <w:t xml:space="preserve"> - </w:t>
            </w:r>
            <w:r>
              <w:rPr>
                <w:rStyle w:val="IndexLink"/>
                <w:rtl w:val="true"/>
              </w:rPr>
              <w:t>پيشينه ى يكتا پرستى در شبه جزيره ى عرب</w:t>
            </w:r>
            <w:r>
              <w:rPr>
                <w:rStyle w:val="IndexLink"/>
                <w:rtl w:val="true"/>
              </w:rPr>
              <w:tab/>
            </w:r>
            <w:r>
              <w:rPr>
                <w:rStyle w:val="IndexLink"/>
              </w:rPr>
              <w:t>155</w:t>
            </w:r>
          </w:hyperlink>
        </w:p>
        <w:p>
          <w:pPr>
            <w:pStyle w:val="Contents5"/>
            <w:tabs>
              <w:tab w:val="clear" w:pos="7892"/>
              <w:tab w:val="right" w:pos="9026" w:leader="dot"/>
            </w:tabs>
            <w:rPr/>
          </w:pPr>
          <w:hyperlink w:anchor="__RefHeading___Toc8088990_2142443653">
            <w:r>
              <w:rPr>
                <w:webHidden/>
                <w:rStyle w:val="IndexLink"/>
              </w:rPr>
              <w:t>2</w:t>
            </w:r>
            <w:r>
              <w:rPr>
                <w:rStyle w:val="IndexLink"/>
                <w:rtl w:val="true"/>
              </w:rPr>
              <w:t>‏-‏</w:t>
            </w:r>
            <w:r>
              <w:rPr>
                <w:rStyle w:val="IndexLink"/>
              </w:rPr>
              <w:t>3</w:t>
            </w:r>
            <w:r>
              <w:rPr>
                <w:rStyle w:val="IndexLink"/>
                <w:rtl w:val="true"/>
              </w:rPr>
              <w:t xml:space="preserve"> - </w:t>
            </w:r>
            <w:r>
              <w:rPr>
                <w:rStyle w:val="IndexLink"/>
                <w:rtl w:val="true"/>
              </w:rPr>
              <w:t>قرآن و شرك ربوبى مشركان پيش از اسلام</w:t>
            </w:r>
            <w:r>
              <w:rPr>
                <w:rStyle w:val="IndexLink"/>
                <w:rtl w:val="true"/>
              </w:rPr>
              <w:tab/>
            </w:r>
            <w:r>
              <w:rPr>
                <w:rStyle w:val="IndexLink"/>
              </w:rPr>
              <w:t>158</w:t>
            </w:r>
          </w:hyperlink>
        </w:p>
        <w:p>
          <w:pPr>
            <w:pStyle w:val="Contents5"/>
            <w:tabs>
              <w:tab w:val="clear" w:pos="7892"/>
              <w:tab w:val="right" w:pos="9026" w:leader="dot"/>
            </w:tabs>
            <w:rPr/>
          </w:pPr>
          <w:hyperlink w:anchor="__RefHeading___Toc8088992_2142443653">
            <w:r>
              <w:rPr>
                <w:webHidden/>
                <w:rStyle w:val="IndexLink"/>
              </w:rPr>
              <w:t>3</w:t>
            </w:r>
            <w:r>
              <w:rPr>
                <w:rStyle w:val="IndexLink"/>
                <w:rtl w:val="true"/>
              </w:rPr>
              <w:t>‏-‏</w:t>
            </w:r>
            <w:r>
              <w:rPr>
                <w:rStyle w:val="IndexLink"/>
              </w:rPr>
              <w:t>3</w:t>
            </w:r>
            <w:r>
              <w:rPr>
                <w:rStyle w:val="IndexLink"/>
                <w:rtl w:val="true"/>
              </w:rPr>
              <w:t xml:space="preserve"> - </w:t>
            </w:r>
            <w:r>
              <w:rPr>
                <w:rStyle w:val="IndexLink"/>
                <w:rtl w:val="true"/>
              </w:rPr>
              <w:t>بت پرستى مشركان پيش از اسلام</w:t>
            </w:r>
            <w:r>
              <w:rPr>
                <w:rStyle w:val="IndexLink"/>
                <w:rtl w:val="true"/>
              </w:rPr>
              <w:tab/>
            </w:r>
            <w:r>
              <w:rPr>
                <w:rStyle w:val="IndexLink"/>
              </w:rPr>
              <w:t>160</w:t>
            </w:r>
          </w:hyperlink>
        </w:p>
        <w:p>
          <w:pPr>
            <w:pStyle w:val="Contents4"/>
            <w:tabs>
              <w:tab w:val="clear" w:pos="8176"/>
              <w:tab w:val="right" w:pos="9026" w:leader="dot"/>
            </w:tabs>
            <w:rPr/>
          </w:pPr>
          <w:hyperlink w:anchor="__RefHeading___Toc8088994_2142443653">
            <w:r>
              <w:rPr>
                <w:webHidden/>
                <w:rStyle w:val="IndexLink"/>
              </w:rPr>
              <w:t>4</w:t>
            </w:r>
            <w:r>
              <w:rPr>
                <w:rStyle w:val="IndexLink"/>
                <w:rtl w:val="true"/>
              </w:rPr>
              <w:t xml:space="preserve"> - </w:t>
            </w:r>
            <w:r>
              <w:rPr>
                <w:rStyle w:val="IndexLink"/>
                <w:rtl w:val="true"/>
              </w:rPr>
              <w:t>پيامبران و دعوت به توحيد ربوبى</w:t>
            </w:r>
            <w:r>
              <w:rPr>
                <w:rStyle w:val="IndexLink"/>
                <w:rtl w:val="true"/>
              </w:rPr>
              <w:tab/>
            </w:r>
            <w:r>
              <w:rPr>
                <w:rStyle w:val="IndexLink"/>
              </w:rPr>
              <w:t>163</w:t>
            </w:r>
          </w:hyperlink>
        </w:p>
        <w:p>
          <w:pPr>
            <w:pStyle w:val="Contents4"/>
            <w:tabs>
              <w:tab w:val="clear" w:pos="8176"/>
              <w:tab w:val="right" w:pos="9026" w:leader="dot"/>
            </w:tabs>
            <w:rPr/>
          </w:pPr>
          <w:hyperlink w:anchor="__RefHeading___Toc8088996_2142443653">
            <w:r>
              <w:rPr>
                <w:webHidden/>
                <w:rStyle w:val="IndexLink"/>
              </w:rPr>
              <w:t>5</w:t>
            </w:r>
            <w:r>
              <w:rPr>
                <w:rStyle w:val="IndexLink"/>
                <w:rtl w:val="true"/>
              </w:rPr>
              <w:t xml:space="preserve"> - </w:t>
            </w:r>
            <w:r>
              <w:rPr>
                <w:rStyle w:val="IndexLink"/>
                <w:rtl w:val="true"/>
              </w:rPr>
              <w:t>نقد دلايل وهابيان بر توحيد ربوبى مشركان</w:t>
            </w:r>
            <w:r>
              <w:rPr>
                <w:rStyle w:val="IndexLink"/>
                <w:rtl w:val="true"/>
              </w:rPr>
              <w:tab/>
            </w:r>
            <w:r>
              <w:rPr>
                <w:rStyle w:val="IndexLink"/>
              </w:rPr>
              <w:t>166</w:t>
            </w:r>
          </w:hyperlink>
        </w:p>
        <w:p>
          <w:pPr>
            <w:pStyle w:val="Contents4"/>
            <w:tabs>
              <w:tab w:val="clear" w:pos="8176"/>
              <w:tab w:val="right" w:pos="9026" w:leader="dot"/>
            </w:tabs>
            <w:rPr/>
          </w:pPr>
          <w:hyperlink w:anchor="__RefHeading___Toc8088998_2142443653">
            <w:r>
              <w:rPr>
                <w:webHidden/>
                <w:rStyle w:val="IndexLink"/>
              </w:rPr>
              <w:t>6</w:t>
            </w:r>
            <w:r>
              <w:rPr>
                <w:rStyle w:val="IndexLink"/>
                <w:rtl w:val="true"/>
              </w:rPr>
              <w:t xml:space="preserve"> - </w:t>
            </w:r>
            <w:r>
              <w:rPr>
                <w:rStyle w:val="IndexLink"/>
                <w:rtl w:val="true"/>
              </w:rPr>
              <w:t>توحيد، نداى هميشگى فطرت</w:t>
            </w:r>
            <w:r>
              <w:rPr>
                <w:rStyle w:val="IndexLink"/>
                <w:rtl w:val="true"/>
              </w:rPr>
              <w:tab/>
            </w:r>
            <w:r>
              <w:rPr>
                <w:rStyle w:val="IndexLink"/>
              </w:rPr>
              <w:t>172</w:t>
            </w:r>
          </w:hyperlink>
        </w:p>
        <w:p>
          <w:pPr>
            <w:pStyle w:val="Contents3"/>
            <w:tabs>
              <w:tab w:val="clear" w:pos="8459"/>
              <w:tab w:val="right" w:pos="9026" w:leader="dot"/>
            </w:tabs>
            <w:rPr/>
          </w:pPr>
          <w:hyperlink w:anchor="__RefHeading___Toc8089000_2142443653">
            <w:r>
              <w:rPr>
                <w:webHidden/>
                <w:rStyle w:val="IndexLink"/>
                <w:rtl w:val="true"/>
              </w:rPr>
              <w:t>فصل هشتم</w:t>
            </w:r>
            <w:r>
              <w:rPr>
                <w:rStyle w:val="IndexLink"/>
                <w:rtl w:val="true"/>
              </w:rPr>
              <w:t xml:space="preserve">: </w:t>
            </w:r>
            <w:r>
              <w:rPr>
                <w:rStyle w:val="IndexLink"/>
                <w:rtl w:val="true"/>
              </w:rPr>
              <w:t xml:space="preserve">وهابيت و توحيد الوهى </w:t>
            </w:r>
            <w:r>
              <w:rPr>
                <w:rStyle w:val="IndexLink"/>
                <w:rtl w:val="true"/>
              </w:rPr>
              <w:t>(</w:t>
            </w:r>
            <w:r>
              <w:rPr>
                <w:rStyle w:val="IndexLink"/>
                <w:rtl w:val="true"/>
              </w:rPr>
              <w:t>عبادى</w:t>
            </w:r>
            <w:r>
              <w:rPr>
                <w:rStyle w:val="IndexLink"/>
                <w:rtl w:val="true"/>
              </w:rPr>
              <w:t>)</w:t>
              <w:tab/>
            </w:r>
            <w:r>
              <w:rPr>
                <w:rStyle w:val="IndexLink"/>
              </w:rPr>
              <w:t>175</w:t>
            </w:r>
          </w:hyperlink>
        </w:p>
        <w:p>
          <w:pPr>
            <w:pStyle w:val="Contents4"/>
            <w:tabs>
              <w:tab w:val="clear" w:pos="8176"/>
              <w:tab w:val="right" w:pos="9026" w:leader="dot"/>
            </w:tabs>
            <w:rPr/>
          </w:pPr>
          <w:hyperlink w:anchor="__RefHeading___Toc8089002_214244365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8089004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176</w:t>
            </w:r>
          </w:hyperlink>
        </w:p>
        <w:p>
          <w:pPr>
            <w:pStyle w:val="Contents4"/>
            <w:tabs>
              <w:tab w:val="clear" w:pos="8176"/>
              <w:tab w:val="right" w:pos="9026" w:leader="dot"/>
            </w:tabs>
            <w:rPr/>
          </w:pPr>
          <w:hyperlink w:anchor="__RefHeading___Toc8089006_2142443653">
            <w:r>
              <w:rPr>
                <w:webHidden/>
                <w:rStyle w:val="IndexLink"/>
              </w:rPr>
              <w:t>2</w:t>
            </w:r>
            <w:r>
              <w:rPr>
                <w:rStyle w:val="IndexLink"/>
                <w:rtl w:val="true"/>
              </w:rPr>
              <w:t xml:space="preserve"> - </w:t>
            </w:r>
            <w:r>
              <w:rPr>
                <w:rStyle w:val="IndexLink"/>
                <w:rtl w:val="true"/>
              </w:rPr>
              <w:t>وهابيت و توحيد الوهى</w:t>
            </w:r>
            <w:r>
              <w:rPr>
                <w:rStyle w:val="IndexLink"/>
                <w:rtl w:val="true"/>
              </w:rPr>
              <w:tab/>
            </w:r>
            <w:r>
              <w:rPr>
                <w:rStyle w:val="IndexLink"/>
              </w:rPr>
              <w:t>176</w:t>
            </w:r>
          </w:hyperlink>
        </w:p>
        <w:p>
          <w:pPr>
            <w:pStyle w:val="Contents4"/>
            <w:tabs>
              <w:tab w:val="clear" w:pos="8176"/>
              <w:tab w:val="right" w:pos="9026" w:leader="dot"/>
            </w:tabs>
            <w:rPr/>
          </w:pPr>
          <w:hyperlink w:anchor="__RefHeading___Toc8089008_2142443653">
            <w:r>
              <w:rPr>
                <w:webHidden/>
                <w:rStyle w:val="IndexLink"/>
              </w:rPr>
              <w:t>3</w:t>
            </w:r>
            <w:r>
              <w:rPr>
                <w:rStyle w:val="IndexLink"/>
                <w:rtl w:val="true"/>
              </w:rPr>
              <w:t xml:space="preserve"> - </w:t>
            </w:r>
            <w:r>
              <w:rPr>
                <w:rStyle w:val="IndexLink"/>
                <w:rtl w:val="true"/>
              </w:rPr>
              <w:t>واژه شناسى توحيد الوهى</w:t>
            </w:r>
            <w:r>
              <w:rPr>
                <w:rStyle w:val="IndexLink"/>
                <w:rtl w:val="true"/>
              </w:rPr>
              <w:tab/>
            </w:r>
            <w:r>
              <w:rPr>
                <w:rStyle w:val="IndexLink"/>
              </w:rPr>
              <w:t>180</w:t>
            </w:r>
          </w:hyperlink>
        </w:p>
        <w:p>
          <w:pPr>
            <w:pStyle w:val="Contents4"/>
            <w:tabs>
              <w:tab w:val="clear" w:pos="8176"/>
              <w:tab w:val="right" w:pos="9026" w:leader="dot"/>
            </w:tabs>
            <w:rPr/>
          </w:pPr>
          <w:hyperlink w:anchor="__RefHeading___Toc8089010_2142443653">
            <w:r>
              <w:rPr>
                <w:webHidden/>
                <w:rStyle w:val="IndexLink"/>
              </w:rPr>
              <w:t>4</w:t>
            </w:r>
            <w:r>
              <w:rPr>
                <w:rStyle w:val="IndexLink"/>
                <w:rtl w:val="true"/>
              </w:rPr>
              <w:t xml:space="preserve"> - </w:t>
            </w:r>
            <w:r>
              <w:rPr>
                <w:rStyle w:val="IndexLink"/>
                <w:rtl w:val="true"/>
              </w:rPr>
              <w:t>مفهوم اله در قرآن</w:t>
            </w:r>
            <w:r>
              <w:rPr>
                <w:rStyle w:val="IndexLink"/>
                <w:rtl w:val="true"/>
              </w:rPr>
              <w:tab/>
            </w:r>
            <w:r>
              <w:rPr>
                <w:rStyle w:val="IndexLink"/>
              </w:rPr>
              <w:t>182</w:t>
            </w:r>
          </w:hyperlink>
        </w:p>
        <w:p>
          <w:pPr>
            <w:pStyle w:val="Contents4"/>
            <w:tabs>
              <w:tab w:val="clear" w:pos="8176"/>
              <w:tab w:val="right" w:pos="9026" w:leader="dot"/>
            </w:tabs>
            <w:rPr/>
          </w:pPr>
          <w:hyperlink w:anchor="__RefHeading___Toc8089012_2142443653">
            <w:r>
              <w:rPr>
                <w:webHidden/>
                <w:rStyle w:val="IndexLink"/>
              </w:rPr>
              <w:t>5</w:t>
            </w:r>
            <w:r>
              <w:rPr>
                <w:rStyle w:val="IndexLink"/>
                <w:rtl w:val="true"/>
              </w:rPr>
              <w:t xml:space="preserve"> - </w:t>
            </w:r>
            <w:r>
              <w:rPr>
                <w:rStyle w:val="IndexLink"/>
                <w:rtl w:val="true"/>
              </w:rPr>
              <w:t>واژه شناسى عبادت</w:t>
            </w:r>
            <w:r>
              <w:rPr>
                <w:rStyle w:val="IndexLink"/>
                <w:rtl w:val="true"/>
              </w:rPr>
              <w:tab/>
            </w:r>
            <w:r>
              <w:rPr>
                <w:rStyle w:val="IndexLink"/>
              </w:rPr>
              <w:t>183</w:t>
            </w:r>
          </w:hyperlink>
        </w:p>
        <w:p>
          <w:pPr>
            <w:pStyle w:val="Contents4"/>
            <w:tabs>
              <w:tab w:val="clear" w:pos="8176"/>
              <w:tab w:val="right" w:pos="9026" w:leader="dot"/>
            </w:tabs>
            <w:rPr/>
          </w:pPr>
          <w:hyperlink w:anchor="__RefHeading___Toc8089014_2142443653">
            <w:r>
              <w:rPr>
                <w:webHidden/>
                <w:rStyle w:val="IndexLink"/>
              </w:rPr>
              <w:t>6</w:t>
            </w:r>
            <w:r>
              <w:rPr>
                <w:rStyle w:val="IndexLink"/>
                <w:rtl w:val="true"/>
              </w:rPr>
              <w:t xml:space="preserve"> - </w:t>
            </w:r>
            <w:r>
              <w:rPr>
                <w:rStyle w:val="IndexLink"/>
                <w:rtl w:val="true"/>
              </w:rPr>
              <w:t>وهابيت و معنى اصطلاحى عبادت</w:t>
            </w:r>
            <w:r>
              <w:rPr>
                <w:rStyle w:val="IndexLink"/>
                <w:rtl w:val="true"/>
              </w:rPr>
              <w:tab/>
            </w:r>
            <w:r>
              <w:rPr>
                <w:rStyle w:val="IndexLink"/>
              </w:rPr>
              <w:t>184</w:t>
            </w:r>
          </w:hyperlink>
        </w:p>
        <w:p>
          <w:pPr>
            <w:pStyle w:val="Contents4"/>
            <w:tabs>
              <w:tab w:val="clear" w:pos="8176"/>
              <w:tab w:val="right" w:pos="9026" w:leader="dot"/>
            </w:tabs>
            <w:rPr/>
          </w:pPr>
          <w:hyperlink w:anchor="__RefHeading___Toc8089016_2142443653">
            <w:r>
              <w:rPr>
                <w:webHidden/>
                <w:rStyle w:val="IndexLink"/>
              </w:rPr>
              <w:t>7</w:t>
            </w:r>
            <w:r>
              <w:rPr>
                <w:rStyle w:val="IndexLink"/>
                <w:rtl w:val="true"/>
              </w:rPr>
              <w:t xml:space="preserve"> - </w:t>
            </w:r>
            <w:r>
              <w:rPr>
                <w:rStyle w:val="IndexLink"/>
                <w:rtl w:val="true"/>
              </w:rPr>
              <w:t>معنى شناسى وهابيت و توحيد عبادى</w:t>
            </w:r>
            <w:r>
              <w:rPr>
                <w:rStyle w:val="IndexLink"/>
                <w:rtl w:val="true"/>
              </w:rPr>
              <w:tab/>
            </w:r>
            <w:r>
              <w:rPr>
                <w:rStyle w:val="IndexLink"/>
              </w:rPr>
              <w:t>189</w:t>
            </w:r>
          </w:hyperlink>
        </w:p>
        <w:p>
          <w:pPr>
            <w:pStyle w:val="Contents4"/>
            <w:tabs>
              <w:tab w:val="clear" w:pos="8176"/>
              <w:tab w:val="right" w:pos="9026" w:leader="dot"/>
            </w:tabs>
            <w:rPr/>
          </w:pPr>
          <w:hyperlink w:anchor="__RefHeading___Toc8089018_2142443653">
            <w:r>
              <w:rPr>
                <w:webHidden/>
                <w:rStyle w:val="IndexLink"/>
              </w:rPr>
              <w:t>8</w:t>
            </w:r>
            <w:r>
              <w:rPr>
                <w:rStyle w:val="IndexLink"/>
                <w:rtl w:val="true"/>
              </w:rPr>
              <w:t xml:space="preserve"> - </w:t>
            </w:r>
            <w:r>
              <w:rPr>
                <w:rStyle w:val="IndexLink"/>
                <w:rtl w:val="true"/>
              </w:rPr>
              <w:t>توحيد الوهى در نگاه وهابيت</w:t>
            </w:r>
            <w:r>
              <w:rPr>
                <w:rStyle w:val="IndexLink"/>
                <w:rtl w:val="true"/>
              </w:rPr>
              <w:tab/>
            </w:r>
            <w:r>
              <w:rPr>
                <w:rStyle w:val="IndexLink"/>
              </w:rPr>
              <w:t>190</w:t>
            </w:r>
          </w:hyperlink>
        </w:p>
        <w:p>
          <w:pPr>
            <w:pStyle w:val="Contents3"/>
            <w:tabs>
              <w:tab w:val="clear" w:pos="8459"/>
              <w:tab w:val="right" w:pos="9026" w:leader="dot"/>
            </w:tabs>
            <w:rPr/>
          </w:pPr>
          <w:hyperlink w:anchor="__RefHeading___Toc8089020_2142443653">
            <w:r>
              <w:rPr>
                <w:webHidden/>
                <w:rStyle w:val="IndexLink"/>
                <w:rtl w:val="true"/>
              </w:rPr>
              <w:t>فصل نهم</w:t>
            </w:r>
            <w:r>
              <w:rPr>
                <w:rStyle w:val="IndexLink"/>
                <w:rtl w:val="true"/>
              </w:rPr>
              <w:t xml:space="preserve">: </w:t>
            </w:r>
            <w:r>
              <w:rPr>
                <w:rStyle w:val="IndexLink"/>
                <w:rtl w:val="true"/>
              </w:rPr>
              <w:t>توحيد عبادى در انديشه ى اسلامى</w:t>
            </w:r>
            <w:r>
              <w:rPr>
                <w:rStyle w:val="IndexLink"/>
                <w:rtl w:val="true"/>
              </w:rPr>
              <w:tab/>
            </w:r>
            <w:r>
              <w:rPr>
                <w:rStyle w:val="IndexLink"/>
              </w:rPr>
              <w:t>194</w:t>
            </w:r>
          </w:hyperlink>
        </w:p>
        <w:p>
          <w:pPr>
            <w:pStyle w:val="Contents4"/>
            <w:tabs>
              <w:tab w:val="clear" w:pos="8176"/>
              <w:tab w:val="right" w:pos="9026" w:leader="dot"/>
            </w:tabs>
            <w:rPr/>
          </w:pPr>
          <w:hyperlink w:anchor="__RefHeading___Toc8089022_214244365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8089024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195</w:t>
            </w:r>
          </w:hyperlink>
        </w:p>
        <w:p>
          <w:pPr>
            <w:pStyle w:val="Contents4"/>
            <w:tabs>
              <w:tab w:val="clear" w:pos="8176"/>
              <w:tab w:val="right" w:pos="9026" w:leader="dot"/>
            </w:tabs>
            <w:rPr/>
          </w:pPr>
          <w:hyperlink w:anchor="__RefHeading___Toc8089026_2142443653">
            <w:r>
              <w:rPr>
                <w:webHidden/>
                <w:rStyle w:val="IndexLink"/>
              </w:rPr>
              <w:t>2</w:t>
            </w:r>
            <w:r>
              <w:rPr>
                <w:rStyle w:val="IndexLink"/>
                <w:rtl w:val="true"/>
              </w:rPr>
              <w:t xml:space="preserve"> - </w:t>
            </w:r>
            <w:r>
              <w:rPr>
                <w:rStyle w:val="IndexLink"/>
                <w:rtl w:val="true"/>
              </w:rPr>
              <w:t>جايگاه توحيد عبادى</w:t>
            </w:r>
            <w:r>
              <w:rPr>
                <w:rStyle w:val="IndexLink"/>
                <w:rtl w:val="true"/>
              </w:rPr>
              <w:tab/>
            </w:r>
            <w:r>
              <w:rPr>
                <w:rStyle w:val="IndexLink"/>
              </w:rPr>
              <w:t>195</w:t>
            </w:r>
          </w:hyperlink>
        </w:p>
        <w:p>
          <w:pPr>
            <w:pStyle w:val="Contents4"/>
            <w:tabs>
              <w:tab w:val="clear" w:pos="8176"/>
              <w:tab w:val="right" w:pos="9026" w:leader="dot"/>
            </w:tabs>
            <w:rPr/>
          </w:pPr>
          <w:hyperlink w:anchor="__RefHeading___Toc8089028_2142443653">
            <w:r>
              <w:rPr>
                <w:webHidden/>
                <w:rStyle w:val="IndexLink"/>
              </w:rPr>
              <w:t>3</w:t>
            </w:r>
            <w:r>
              <w:rPr>
                <w:rStyle w:val="IndexLink"/>
                <w:rtl w:val="true"/>
              </w:rPr>
              <w:t xml:space="preserve"> - </w:t>
            </w:r>
            <w:r>
              <w:rPr>
                <w:rStyle w:val="IndexLink"/>
                <w:rtl w:val="true"/>
              </w:rPr>
              <w:t>توحيد عبادى در انديشه ى اسلامى</w:t>
            </w:r>
            <w:r>
              <w:rPr>
                <w:rStyle w:val="IndexLink"/>
                <w:rtl w:val="true"/>
              </w:rPr>
              <w:tab/>
            </w:r>
            <w:r>
              <w:rPr>
                <w:rStyle w:val="IndexLink"/>
              </w:rPr>
              <w:t>197</w:t>
            </w:r>
          </w:hyperlink>
        </w:p>
        <w:p>
          <w:pPr>
            <w:pStyle w:val="Contents4"/>
            <w:tabs>
              <w:tab w:val="clear" w:pos="8176"/>
              <w:tab w:val="right" w:pos="9026" w:leader="dot"/>
            </w:tabs>
            <w:rPr/>
          </w:pPr>
          <w:hyperlink w:anchor="__RefHeading___Toc8089030_2142443653">
            <w:r>
              <w:rPr>
                <w:webHidden/>
                <w:rStyle w:val="IndexLink"/>
              </w:rPr>
              <w:t>4</w:t>
            </w:r>
            <w:r>
              <w:rPr>
                <w:rStyle w:val="IndexLink"/>
                <w:rtl w:val="true"/>
              </w:rPr>
              <w:t xml:space="preserve"> - </w:t>
            </w:r>
            <w:r>
              <w:rPr>
                <w:rStyle w:val="IndexLink"/>
                <w:rtl w:val="true"/>
              </w:rPr>
              <w:t>وهابيت و چالش هاى درونى</w:t>
            </w:r>
            <w:r>
              <w:rPr>
                <w:rStyle w:val="IndexLink"/>
                <w:rtl w:val="true"/>
              </w:rPr>
              <w:tab/>
            </w:r>
            <w:r>
              <w:rPr>
                <w:rStyle w:val="IndexLink"/>
              </w:rPr>
              <w:t>201</w:t>
            </w:r>
          </w:hyperlink>
        </w:p>
        <w:p>
          <w:pPr>
            <w:pStyle w:val="Contents5"/>
            <w:tabs>
              <w:tab w:val="clear" w:pos="7892"/>
              <w:tab w:val="right" w:pos="9026" w:leader="dot"/>
            </w:tabs>
            <w:rPr/>
          </w:pPr>
          <w:hyperlink w:anchor="__RefHeading___Toc8089032_2142443653">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8089034_2142443653">
            <w:r>
              <w:rPr>
                <w:webHidden/>
                <w:rStyle w:val="IndexLink"/>
              </w:rPr>
              <w:t>1</w:t>
            </w:r>
            <w:r>
              <w:rPr>
                <w:rStyle w:val="IndexLink"/>
                <w:rtl w:val="true"/>
              </w:rPr>
              <w:t>‏-‏</w:t>
            </w:r>
            <w:r>
              <w:rPr>
                <w:rStyle w:val="IndexLink"/>
              </w:rPr>
              <w:t>4</w:t>
            </w:r>
            <w:r>
              <w:rPr>
                <w:rStyle w:val="IndexLink"/>
                <w:rtl w:val="true"/>
              </w:rPr>
              <w:t xml:space="preserve"> - </w:t>
            </w:r>
            <w:r>
              <w:rPr>
                <w:rStyle w:val="IndexLink"/>
                <w:rtl w:val="true"/>
              </w:rPr>
              <w:t>شيخ سليمان بن عبدالوهاب</w:t>
            </w:r>
            <w:r>
              <w:rPr>
                <w:rStyle w:val="IndexLink"/>
                <w:rtl w:val="true"/>
              </w:rPr>
              <w:tab/>
            </w:r>
            <w:r>
              <w:rPr>
                <w:rStyle w:val="IndexLink"/>
              </w:rPr>
              <w:t>202</w:t>
            </w:r>
          </w:hyperlink>
        </w:p>
        <w:p>
          <w:pPr>
            <w:pStyle w:val="Contents5"/>
            <w:tabs>
              <w:tab w:val="clear" w:pos="7892"/>
              <w:tab w:val="right" w:pos="9026" w:leader="dot"/>
            </w:tabs>
            <w:rPr/>
          </w:pPr>
          <w:hyperlink w:anchor="__RefHeading___Toc8089036_2142443653">
            <w:r>
              <w:rPr>
                <w:webHidden/>
                <w:rStyle w:val="IndexLink"/>
              </w:rPr>
              <w:t>2</w:t>
            </w:r>
            <w:r>
              <w:rPr>
                <w:rStyle w:val="IndexLink"/>
                <w:rtl w:val="true"/>
              </w:rPr>
              <w:t>‏-‏</w:t>
            </w:r>
            <w:r>
              <w:rPr>
                <w:rStyle w:val="IndexLink"/>
              </w:rPr>
              <w:t>4</w:t>
            </w:r>
            <w:r>
              <w:rPr>
                <w:rStyle w:val="IndexLink"/>
                <w:rtl w:val="true"/>
              </w:rPr>
              <w:t xml:space="preserve"> - </w:t>
            </w:r>
            <w:r>
              <w:rPr>
                <w:rStyle w:val="IndexLink"/>
                <w:rtl w:val="true"/>
              </w:rPr>
              <w:t>توحيد القبور و توحيد القصور</w:t>
            </w:r>
            <w:r>
              <w:rPr>
                <w:rStyle w:val="IndexLink"/>
                <w:rtl w:val="true"/>
              </w:rPr>
              <w:tab/>
            </w:r>
            <w:r>
              <w:rPr>
                <w:rStyle w:val="IndexLink"/>
              </w:rPr>
              <w:t>203</w:t>
            </w:r>
          </w:hyperlink>
        </w:p>
        <w:p>
          <w:pPr>
            <w:pStyle w:val="Contents5"/>
            <w:tabs>
              <w:tab w:val="clear" w:pos="7892"/>
              <w:tab w:val="right" w:pos="9026" w:leader="dot"/>
            </w:tabs>
            <w:rPr/>
          </w:pPr>
          <w:hyperlink w:anchor="__RefHeading___Toc8089038_2142443653">
            <w:r>
              <w:rPr>
                <w:webHidden/>
                <w:rStyle w:val="IndexLink"/>
              </w:rPr>
              <w:t>3</w:t>
            </w:r>
            <w:r>
              <w:rPr>
                <w:rStyle w:val="IndexLink"/>
                <w:rtl w:val="true"/>
              </w:rPr>
              <w:t>‏-‏</w:t>
            </w:r>
            <w:r>
              <w:rPr>
                <w:rStyle w:val="IndexLink"/>
              </w:rPr>
              <w:t>4</w:t>
            </w:r>
            <w:r>
              <w:rPr>
                <w:rStyle w:val="IndexLink"/>
                <w:rtl w:val="true"/>
              </w:rPr>
              <w:t xml:space="preserve"> - </w:t>
            </w:r>
            <w:r>
              <w:rPr>
                <w:rStyle w:val="IndexLink"/>
                <w:rtl w:val="true"/>
              </w:rPr>
              <w:t>نوسلفيان</w:t>
            </w:r>
            <w:r>
              <w:rPr>
                <w:rStyle w:val="IndexLink"/>
                <w:rtl w:val="true"/>
              </w:rPr>
              <w:tab/>
            </w:r>
            <w:r>
              <w:rPr>
                <w:rStyle w:val="IndexLink"/>
              </w:rPr>
              <w:t>209</w:t>
            </w:r>
          </w:hyperlink>
        </w:p>
        <w:p>
          <w:pPr>
            <w:pStyle w:val="Contents4"/>
            <w:tabs>
              <w:tab w:val="clear" w:pos="8176"/>
              <w:tab w:val="right" w:pos="9026" w:leader="dot"/>
            </w:tabs>
            <w:rPr/>
          </w:pPr>
          <w:hyperlink w:anchor="__RefHeading___Toc8089040_2142443653">
            <w:r>
              <w:rPr>
                <w:webHidden/>
                <w:rStyle w:val="IndexLink"/>
              </w:rPr>
              <w:t>5</w:t>
            </w:r>
            <w:r>
              <w:rPr>
                <w:rStyle w:val="IndexLink"/>
                <w:rtl w:val="true"/>
              </w:rPr>
              <w:t xml:space="preserve"> - </w:t>
            </w:r>
            <w:r>
              <w:rPr>
                <w:rStyle w:val="IndexLink"/>
                <w:rtl w:val="true"/>
              </w:rPr>
              <w:t>مرزهاى توحيد و شرك</w:t>
            </w:r>
            <w:r>
              <w:rPr>
                <w:rStyle w:val="IndexLink"/>
                <w:rtl w:val="true"/>
              </w:rPr>
              <w:tab/>
            </w:r>
            <w:r>
              <w:rPr>
                <w:rStyle w:val="IndexLink"/>
              </w:rPr>
              <w:t>212</w:t>
            </w:r>
          </w:hyperlink>
        </w:p>
        <w:p>
          <w:pPr>
            <w:pStyle w:val="Contents3"/>
            <w:tabs>
              <w:tab w:val="clear" w:pos="8459"/>
              <w:tab w:val="right" w:pos="9026" w:leader="dot"/>
            </w:tabs>
            <w:rPr/>
          </w:pPr>
          <w:hyperlink w:anchor="__RefHeading___Toc8089042_2142443653">
            <w:r>
              <w:rPr>
                <w:webHidden/>
                <w:rStyle w:val="IndexLink"/>
                <w:rtl w:val="true"/>
              </w:rPr>
              <w:t>نتيجه ى بخش اول</w:t>
            </w:r>
            <w:r>
              <w:rPr>
                <w:rStyle w:val="IndexLink"/>
                <w:rtl w:val="true"/>
              </w:rPr>
              <w:tab/>
            </w:r>
            <w:r>
              <w:rPr>
                <w:rStyle w:val="IndexLink"/>
              </w:rPr>
              <w:t>214</w:t>
            </w:r>
          </w:hyperlink>
        </w:p>
        <w:p>
          <w:pPr>
            <w:pStyle w:val="Contents2"/>
            <w:tabs>
              <w:tab w:val="clear" w:pos="8743"/>
              <w:tab w:val="right" w:pos="9026" w:leader="dot"/>
            </w:tabs>
            <w:rPr/>
          </w:pPr>
          <w:hyperlink w:anchor="__RefHeading___Toc8089044_2142443653">
            <w:r>
              <w:rPr>
                <w:webHidden/>
                <w:rStyle w:val="IndexLink"/>
                <w:rtl w:val="true"/>
              </w:rPr>
              <w:t>بخش دوم</w:t>
            </w:r>
            <w:r>
              <w:rPr>
                <w:rStyle w:val="IndexLink"/>
                <w:rtl w:val="true"/>
              </w:rPr>
              <w:t xml:space="preserve">: </w:t>
            </w:r>
            <w:r>
              <w:rPr>
                <w:rStyle w:val="IndexLink"/>
                <w:rtl w:val="true"/>
              </w:rPr>
              <w:t>ايمان و كفر</w:t>
            </w:r>
            <w:r>
              <w:rPr>
                <w:rStyle w:val="IndexLink"/>
                <w:rtl w:val="true"/>
              </w:rPr>
              <w:tab/>
            </w:r>
            <w:r>
              <w:rPr>
                <w:rStyle w:val="IndexLink"/>
              </w:rPr>
              <w:t>215</w:t>
            </w:r>
          </w:hyperlink>
        </w:p>
        <w:p>
          <w:pPr>
            <w:pStyle w:val="Contents3"/>
            <w:tabs>
              <w:tab w:val="clear" w:pos="8459"/>
              <w:tab w:val="right" w:pos="9026" w:leader="dot"/>
            </w:tabs>
            <w:rPr/>
          </w:pPr>
          <w:hyperlink w:anchor="__RefHeading___Toc8089046_2142443653">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8089048_2142443653">
            <w:r>
              <w:rPr>
                <w:webHidden/>
                <w:rStyle w:val="IndexLink"/>
                <w:rtl w:val="true"/>
              </w:rPr>
              <w:t>فصل دهم</w:t>
            </w:r>
            <w:r>
              <w:rPr>
                <w:rStyle w:val="IndexLink"/>
                <w:rtl w:val="true"/>
              </w:rPr>
              <w:t xml:space="preserve">: </w:t>
            </w:r>
            <w:r>
              <w:rPr>
                <w:rStyle w:val="IndexLink"/>
                <w:rtl w:val="true"/>
              </w:rPr>
              <w:t>ايمان در انديشه ى اسلامى</w:t>
            </w:r>
            <w:r>
              <w:rPr>
                <w:rStyle w:val="IndexLink"/>
                <w:rtl w:val="true"/>
              </w:rPr>
              <w:tab/>
            </w:r>
            <w:r>
              <w:rPr>
                <w:rStyle w:val="IndexLink"/>
              </w:rPr>
              <w:t>218</w:t>
            </w:r>
          </w:hyperlink>
        </w:p>
        <w:p>
          <w:pPr>
            <w:pStyle w:val="Contents4"/>
            <w:tabs>
              <w:tab w:val="clear" w:pos="8176"/>
              <w:tab w:val="right" w:pos="9026" w:leader="dot"/>
            </w:tabs>
            <w:rPr/>
          </w:pPr>
          <w:hyperlink w:anchor="__RefHeading___Toc8089050_2142443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8089052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219</w:t>
            </w:r>
          </w:hyperlink>
        </w:p>
        <w:p>
          <w:pPr>
            <w:pStyle w:val="Contents4"/>
            <w:tabs>
              <w:tab w:val="clear" w:pos="8176"/>
              <w:tab w:val="right" w:pos="9026" w:leader="dot"/>
            </w:tabs>
            <w:rPr/>
          </w:pPr>
          <w:hyperlink w:anchor="__RefHeading___Toc8089054_2142443653">
            <w:r>
              <w:rPr>
                <w:webHidden/>
                <w:rStyle w:val="IndexLink"/>
              </w:rPr>
              <w:t>2</w:t>
            </w:r>
            <w:r>
              <w:rPr>
                <w:rStyle w:val="IndexLink"/>
                <w:rtl w:val="true"/>
              </w:rPr>
              <w:t xml:space="preserve"> - </w:t>
            </w:r>
            <w:r>
              <w:rPr>
                <w:rStyle w:val="IndexLink"/>
                <w:rtl w:val="true"/>
              </w:rPr>
              <w:t>واژه شناسى ايمان</w:t>
            </w:r>
            <w:r>
              <w:rPr>
                <w:rStyle w:val="IndexLink"/>
                <w:rtl w:val="true"/>
              </w:rPr>
              <w:tab/>
            </w:r>
            <w:r>
              <w:rPr>
                <w:rStyle w:val="IndexLink"/>
              </w:rPr>
              <w:t>219</w:t>
            </w:r>
          </w:hyperlink>
        </w:p>
        <w:p>
          <w:pPr>
            <w:pStyle w:val="Contents4"/>
            <w:tabs>
              <w:tab w:val="clear" w:pos="8176"/>
              <w:tab w:val="right" w:pos="9026" w:leader="dot"/>
            </w:tabs>
            <w:rPr/>
          </w:pPr>
          <w:hyperlink w:anchor="__RefHeading___Toc8089056_2142443653">
            <w:r>
              <w:rPr>
                <w:webHidden/>
                <w:rStyle w:val="IndexLink"/>
              </w:rPr>
              <w:t>3</w:t>
            </w:r>
            <w:r>
              <w:rPr>
                <w:rStyle w:val="IndexLink"/>
                <w:rtl w:val="true"/>
              </w:rPr>
              <w:t xml:space="preserve"> - </w:t>
            </w:r>
            <w:r>
              <w:rPr>
                <w:rStyle w:val="IndexLink"/>
                <w:rtl w:val="true"/>
              </w:rPr>
              <w:t>ايمان در اصطلاح</w:t>
            </w:r>
            <w:r>
              <w:rPr>
                <w:rStyle w:val="IndexLink"/>
                <w:rtl w:val="true"/>
              </w:rPr>
              <w:tab/>
            </w:r>
            <w:r>
              <w:rPr>
                <w:rStyle w:val="IndexLink"/>
              </w:rPr>
              <w:t>221</w:t>
            </w:r>
          </w:hyperlink>
        </w:p>
        <w:p>
          <w:pPr>
            <w:pStyle w:val="Contents4"/>
            <w:tabs>
              <w:tab w:val="clear" w:pos="8176"/>
              <w:tab w:val="right" w:pos="9026" w:leader="dot"/>
            </w:tabs>
            <w:rPr/>
          </w:pPr>
          <w:hyperlink w:anchor="__RefHeading___Toc8089058_2142443653">
            <w:r>
              <w:rPr>
                <w:webHidden/>
                <w:rStyle w:val="IndexLink"/>
              </w:rPr>
              <w:t>4</w:t>
            </w:r>
            <w:r>
              <w:rPr>
                <w:rStyle w:val="IndexLink"/>
                <w:rtl w:val="true"/>
              </w:rPr>
              <w:t xml:space="preserve"> - </w:t>
            </w:r>
            <w:r>
              <w:rPr>
                <w:rStyle w:val="IndexLink"/>
                <w:rtl w:val="true"/>
              </w:rPr>
              <w:t>خوارج؛ تلازم ايمان و عمل</w:t>
            </w:r>
            <w:r>
              <w:rPr>
                <w:rStyle w:val="IndexLink"/>
                <w:rtl w:val="true"/>
              </w:rPr>
              <w:tab/>
            </w:r>
            <w:r>
              <w:rPr>
                <w:rStyle w:val="IndexLink"/>
              </w:rPr>
              <w:t>222</w:t>
            </w:r>
          </w:hyperlink>
        </w:p>
        <w:p>
          <w:pPr>
            <w:pStyle w:val="Contents4"/>
            <w:tabs>
              <w:tab w:val="clear" w:pos="8176"/>
              <w:tab w:val="right" w:pos="9026" w:leader="dot"/>
            </w:tabs>
            <w:rPr/>
          </w:pPr>
          <w:hyperlink w:anchor="__RefHeading___Toc8089060_2142443653">
            <w:r>
              <w:rPr>
                <w:webHidden/>
                <w:rStyle w:val="IndexLink"/>
              </w:rPr>
              <w:t>5</w:t>
            </w:r>
            <w:r>
              <w:rPr>
                <w:rStyle w:val="IndexLink"/>
                <w:rtl w:val="true"/>
              </w:rPr>
              <w:t xml:space="preserve"> - </w:t>
            </w:r>
            <w:r>
              <w:rPr>
                <w:rStyle w:val="IndexLink"/>
                <w:rtl w:val="true"/>
              </w:rPr>
              <w:t>مرجئه؛ ايمان بدون عمل</w:t>
            </w:r>
            <w:r>
              <w:rPr>
                <w:rStyle w:val="IndexLink"/>
                <w:rtl w:val="true"/>
              </w:rPr>
              <w:tab/>
            </w:r>
            <w:r>
              <w:rPr>
                <w:rStyle w:val="IndexLink"/>
              </w:rPr>
              <w:t>225</w:t>
            </w:r>
          </w:hyperlink>
        </w:p>
        <w:p>
          <w:pPr>
            <w:pStyle w:val="Contents4"/>
            <w:tabs>
              <w:tab w:val="clear" w:pos="8176"/>
              <w:tab w:val="right" w:pos="9026" w:leader="dot"/>
            </w:tabs>
            <w:rPr/>
          </w:pPr>
          <w:hyperlink w:anchor="__RefHeading___Toc8089062_2142443653">
            <w:r>
              <w:rPr>
                <w:webHidden/>
                <w:rStyle w:val="IndexLink"/>
              </w:rPr>
              <w:t>6</w:t>
            </w:r>
            <w:r>
              <w:rPr>
                <w:rStyle w:val="IndexLink"/>
                <w:rtl w:val="true"/>
              </w:rPr>
              <w:t xml:space="preserve"> - </w:t>
            </w:r>
            <w:r>
              <w:rPr>
                <w:rStyle w:val="IndexLink"/>
                <w:rtl w:val="true"/>
              </w:rPr>
              <w:t>معتزله؛ منزلة بين المنزلتين</w:t>
            </w:r>
            <w:r>
              <w:rPr>
                <w:rStyle w:val="IndexLink"/>
                <w:rtl w:val="true"/>
              </w:rPr>
              <w:tab/>
            </w:r>
            <w:r>
              <w:rPr>
                <w:rStyle w:val="IndexLink"/>
              </w:rPr>
              <w:t>226</w:t>
            </w:r>
          </w:hyperlink>
        </w:p>
        <w:p>
          <w:pPr>
            <w:pStyle w:val="Contents4"/>
            <w:tabs>
              <w:tab w:val="clear" w:pos="8176"/>
              <w:tab w:val="right" w:pos="9026" w:leader="dot"/>
            </w:tabs>
            <w:rPr/>
          </w:pPr>
          <w:hyperlink w:anchor="__RefHeading___Toc8089064_2142443653">
            <w:r>
              <w:rPr>
                <w:webHidden/>
                <w:rStyle w:val="IndexLink"/>
              </w:rPr>
              <w:t>7</w:t>
            </w:r>
            <w:r>
              <w:rPr>
                <w:rStyle w:val="IndexLink"/>
                <w:rtl w:val="true"/>
              </w:rPr>
              <w:t xml:space="preserve"> - </w:t>
            </w:r>
            <w:r>
              <w:rPr>
                <w:rStyle w:val="IndexLink"/>
                <w:rtl w:val="true"/>
              </w:rPr>
              <w:t>ايمان در انديشه ى اسلامى</w:t>
            </w:r>
            <w:r>
              <w:rPr>
                <w:rStyle w:val="IndexLink"/>
                <w:rtl w:val="true"/>
              </w:rPr>
              <w:tab/>
            </w:r>
            <w:r>
              <w:rPr>
                <w:rStyle w:val="IndexLink"/>
              </w:rPr>
              <w:t>228</w:t>
            </w:r>
          </w:hyperlink>
        </w:p>
        <w:p>
          <w:pPr>
            <w:pStyle w:val="Contents4"/>
            <w:tabs>
              <w:tab w:val="clear" w:pos="8176"/>
              <w:tab w:val="right" w:pos="9026" w:leader="dot"/>
            </w:tabs>
            <w:rPr/>
          </w:pPr>
          <w:hyperlink w:anchor="__RefHeading___Toc8089066_2142443653">
            <w:r>
              <w:rPr>
                <w:webHidden/>
                <w:rStyle w:val="IndexLink"/>
              </w:rPr>
              <w:t>8</w:t>
            </w:r>
            <w:r>
              <w:rPr>
                <w:rStyle w:val="IndexLink"/>
                <w:rtl w:val="true"/>
              </w:rPr>
              <w:t xml:space="preserve"> - </w:t>
            </w:r>
            <w:r>
              <w:rPr>
                <w:rStyle w:val="IndexLink"/>
                <w:rtl w:val="true"/>
              </w:rPr>
              <w:t>فِرق كلامى اهل سنت و مفهوم ايمان</w:t>
            </w:r>
            <w:r>
              <w:rPr>
                <w:rStyle w:val="IndexLink"/>
                <w:rtl w:val="true"/>
              </w:rPr>
              <w:tab/>
            </w:r>
            <w:r>
              <w:rPr>
                <w:rStyle w:val="IndexLink"/>
              </w:rPr>
              <w:t>232</w:t>
            </w:r>
          </w:hyperlink>
        </w:p>
        <w:p>
          <w:pPr>
            <w:pStyle w:val="Contents5"/>
            <w:tabs>
              <w:tab w:val="clear" w:pos="7892"/>
              <w:tab w:val="right" w:pos="9026" w:leader="dot"/>
            </w:tabs>
            <w:rPr/>
          </w:pPr>
          <w:hyperlink w:anchor="__RefHeading___Toc8089068_2142443653">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8089070_2142443653">
            <w:r>
              <w:rPr>
                <w:webHidden/>
                <w:rStyle w:val="IndexLink"/>
              </w:rPr>
              <w:t>1</w:t>
            </w:r>
            <w:r>
              <w:rPr>
                <w:rStyle w:val="IndexLink"/>
                <w:rtl w:val="true"/>
              </w:rPr>
              <w:t>‏-‏</w:t>
            </w:r>
            <w:r>
              <w:rPr>
                <w:rStyle w:val="IndexLink"/>
              </w:rPr>
              <w:t>8</w:t>
            </w:r>
            <w:r>
              <w:rPr>
                <w:rStyle w:val="IndexLink"/>
                <w:rtl w:val="true"/>
              </w:rPr>
              <w:t xml:space="preserve"> - </w:t>
            </w:r>
            <w:r>
              <w:rPr>
                <w:rStyle w:val="IndexLink"/>
                <w:rtl w:val="true"/>
              </w:rPr>
              <w:t>اشاعره</w:t>
            </w:r>
            <w:r>
              <w:rPr>
                <w:rStyle w:val="IndexLink"/>
                <w:rtl w:val="true"/>
              </w:rPr>
              <w:tab/>
            </w:r>
            <w:r>
              <w:rPr>
                <w:rStyle w:val="IndexLink"/>
              </w:rPr>
              <w:t>232</w:t>
            </w:r>
          </w:hyperlink>
        </w:p>
        <w:p>
          <w:pPr>
            <w:pStyle w:val="Contents5"/>
            <w:tabs>
              <w:tab w:val="clear" w:pos="7892"/>
              <w:tab w:val="right" w:pos="9026" w:leader="dot"/>
            </w:tabs>
            <w:rPr/>
          </w:pPr>
          <w:hyperlink w:anchor="__RefHeading___Toc8089072_2142443653">
            <w:r>
              <w:rPr>
                <w:webHidden/>
                <w:rStyle w:val="IndexLink"/>
              </w:rPr>
              <w:t>2</w:t>
            </w:r>
            <w:r>
              <w:rPr>
                <w:rStyle w:val="IndexLink"/>
                <w:rtl w:val="true"/>
              </w:rPr>
              <w:t>‏-‏</w:t>
            </w:r>
            <w:r>
              <w:rPr>
                <w:rStyle w:val="IndexLink"/>
              </w:rPr>
              <w:t>8</w:t>
            </w:r>
            <w:r>
              <w:rPr>
                <w:rStyle w:val="IndexLink"/>
                <w:rtl w:val="true"/>
              </w:rPr>
              <w:t xml:space="preserve"> - </w:t>
            </w:r>
            <w:r>
              <w:rPr>
                <w:rStyle w:val="IndexLink"/>
                <w:rtl w:val="true"/>
              </w:rPr>
              <w:t>ماتريديه</w:t>
            </w:r>
            <w:r>
              <w:rPr>
                <w:rStyle w:val="IndexLink"/>
                <w:rtl w:val="true"/>
              </w:rPr>
              <w:tab/>
            </w:r>
            <w:r>
              <w:rPr>
                <w:rStyle w:val="IndexLink"/>
              </w:rPr>
              <w:t>234</w:t>
            </w:r>
          </w:hyperlink>
        </w:p>
        <w:p>
          <w:pPr>
            <w:pStyle w:val="Contents5"/>
            <w:tabs>
              <w:tab w:val="clear" w:pos="7892"/>
              <w:tab w:val="right" w:pos="9026" w:leader="dot"/>
            </w:tabs>
            <w:rPr/>
          </w:pPr>
          <w:hyperlink w:anchor="__RefHeading___Toc8089074_2142443653">
            <w:r>
              <w:rPr>
                <w:webHidden/>
                <w:rStyle w:val="IndexLink"/>
              </w:rPr>
              <w:t>3</w:t>
            </w:r>
            <w:r>
              <w:rPr>
                <w:rStyle w:val="IndexLink"/>
                <w:rtl w:val="true"/>
              </w:rPr>
              <w:t>‏-‏</w:t>
            </w:r>
            <w:r>
              <w:rPr>
                <w:rStyle w:val="IndexLink"/>
              </w:rPr>
              <w:t>8</w:t>
            </w:r>
            <w:r>
              <w:rPr>
                <w:rStyle w:val="IndexLink"/>
                <w:rtl w:val="true"/>
              </w:rPr>
              <w:t xml:space="preserve"> - </w:t>
            </w:r>
            <w:r>
              <w:rPr>
                <w:rStyle w:val="IndexLink"/>
                <w:rtl w:val="true"/>
              </w:rPr>
              <w:t>طحاويه</w:t>
            </w:r>
            <w:r>
              <w:rPr>
                <w:rStyle w:val="IndexLink"/>
                <w:rtl w:val="true"/>
              </w:rPr>
              <w:tab/>
            </w:r>
            <w:r>
              <w:rPr>
                <w:rStyle w:val="IndexLink"/>
              </w:rPr>
              <w:t>235</w:t>
            </w:r>
          </w:hyperlink>
        </w:p>
        <w:p>
          <w:pPr>
            <w:pStyle w:val="Contents3"/>
            <w:tabs>
              <w:tab w:val="clear" w:pos="8459"/>
              <w:tab w:val="right" w:pos="9026" w:leader="dot"/>
            </w:tabs>
            <w:rPr/>
          </w:pPr>
          <w:hyperlink w:anchor="__RefHeading___Toc8089076_2142443653">
            <w:r>
              <w:rPr>
                <w:webHidden/>
                <w:rStyle w:val="IndexLink"/>
                <w:rtl w:val="true"/>
              </w:rPr>
              <w:t>فصل يازدهم</w:t>
            </w:r>
            <w:r>
              <w:rPr>
                <w:rStyle w:val="IndexLink"/>
                <w:rtl w:val="true"/>
              </w:rPr>
              <w:t xml:space="preserve">: </w:t>
            </w:r>
            <w:r>
              <w:rPr>
                <w:rStyle w:val="IndexLink"/>
                <w:rtl w:val="true"/>
              </w:rPr>
              <w:t>مراتب و متعلقات ايمان</w:t>
            </w:r>
            <w:r>
              <w:rPr>
                <w:rStyle w:val="IndexLink"/>
                <w:rtl w:val="true"/>
              </w:rPr>
              <w:tab/>
            </w:r>
            <w:r>
              <w:rPr>
                <w:rStyle w:val="IndexLink"/>
              </w:rPr>
              <w:t>236</w:t>
            </w:r>
          </w:hyperlink>
        </w:p>
        <w:p>
          <w:pPr>
            <w:pStyle w:val="Contents4"/>
            <w:tabs>
              <w:tab w:val="clear" w:pos="8176"/>
              <w:tab w:val="right" w:pos="9026" w:leader="dot"/>
            </w:tabs>
            <w:rPr/>
          </w:pPr>
          <w:hyperlink w:anchor="__RefHeading___Toc8089078_2142443653">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8089080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237</w:t>
            </w:r>
          </w:hyperlink>
        </w:p>
        <w:p>
          <w:pPr>
            <w:pStyle w:val="Contents4"/>
            <w:tabs>
              <w:tab w:val="clear" w:pos="8176"/>
              <w:tab w:val="right" w:pos="9026" w:leader="dot"/>
            </w:tabs>
            <w:rPr/>
          </w:pPr>
          <w:hyperlink w:anchor="__RefHeading___Toc8089082_2142443653">
            <w:r>
              <w:rPr>
                <w:webHidden/>
                <w:rStyle w:val="IndexLink"/>
              </w:rPr>
              <w:t>2</w:t>
            </w:r>
            <w:r>
              <w:rPr>
                <w:rStyle w:val="IndexLink"/>
                <w:rtl w:val="true"/>
              </w:rPr>
              <w:t xml:space="preserve"> - </w:t>
            </w:r>
            <w:r>
              <w:rPr>
                <w:rStyle w:val="IndexLink"/>
                <w:rtl w:val="true"/>
              </w:rPr>
              <w:t>رابطه ى ايمان و عمل</w:t>
            </w:r>
            <w:r>
              <w:rPr>
                <w:rStyle w:val="IndexLink"/>
                <w:rtl w:val="true"/>
              </w:rPr>
              <w:tab/>
            </w:r>
            <w:r>
              <w:rPr>
                <w:rStyle w:val="IndexLink"/>
              </w:rPr>
              <w:t>237</w:t>
            </w:r>
          </w:hyperlink>
        </w:p>
        <w:p>
          <w:pPr>
            <w:pStyle w:val="Contents5"/>
            <w:tabs>
              <w:tab w:val="clear" w:pos="7892"/>
              <w:tab w:val="right" w:pos="9026" w:leader="dot"/>
            </w:tabs>
            <w:rPr/>
          </w:pPr>
          <w:hyperlink w:anchor="__RefHeading___Toc8089084_2142443653">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8089086_2142443653">
            <w:r>
              <w:rPr>
                <w:webHidden/>
                <w:rStyle w:val="IndexLink"/>
              </w:rPr>
              <w:t>1</w:t>
            </w:r>
            <w:r>
              <w:rPr>
                <w:rStyle w:val="IndexLink"/>
                <w:rtl w:val="true"/>
              </w:rPr>
              <w:t>‏-‏</w:t>
            </w:r>
            <w:r>
              <w:rPr>
                <w:rStyle w:val="IndexLink"/>
              </w:rPr>
              <w:t>2</w:t>
            </w:r>
            <w:r>
              <w:rPr>
                <w:rStyle w:val="IndexLink"/>
                <w:rtl w:val="true"/>
              </w:rPr>
              <w:t xml:space="preserve"> - </w:t>
            </w:r>
            <w:r>
              <w:rPr>
                <w:rStyle w:val="IndexLink"/>
                <w:rtl w:val="true"/>
              </w:rPr>
              <w:t>گستره ى عمل</w:t>
            </w:r>
            <w:r>
              <w:rPr>
                <w:rStyle w:val="IndexLink"/>
                <w:rtl w:val="true"/>
              </w:rPr>
              <w:tab/>
            </w:r>
            <w:r>
              <w:rPr>
                <w:rStyle w:val="IndexLink"/>
              </w:rPr>
              <w:t>237</w:t>
            </w:r>
          </w:hyperlink>
        </w:p>
        <w:p>
          <w:pPr>
            <w:pStyle w:val="Contents5"/>
            <w:tabs>
              <w:tab w:val="clear" w:pos="7892"/>
              <w:tab w:val="right" w:pos="9026" w:leader="dot"/>
            </w:tabs>
            <w:rPr/>
          </w:pPr>
          <w:hyperlink w:anchor="__RefHeading___Toc8089088_2142443653">
            <w:r>
              <w:rPr>
                <w:webHidden/>
                <w:rStyle w:val="IndexLink"/>
              </w:rPr>
              <w:t>2</w:t>
            </w:r>
            <w:r>
              <w:rPr>
                <w:rStyle w:val="IndexLink"/>
                <w:rtl w:val="true"/>
              </w:rPr>
              <w:t>‏-‏</w:t>
            </w:r>
            <w:r>
              <w:rPr>
                <w:rStyle w:val="IndexLink"/>
              </w:rPr>
              <w:t>2</w:t>
            </w:r>
            <w:r>
              <w:rPr>
                <w:rStyle w:val="IndexLink"/>
                <w:rtl w:val="true"/>
              </w:rPr>
              <w:t xml:space="preserve"> - </w:t>
            </w:r>
            <w:r>
              <w:rPr>
                <w:rStyle w:val="IndexLink"/>
                <w:rtl w:val="true"/>
              </w:rPr>
              <w:t>مراتب و درجات ايمان</w:t>
            </w:r>
            <w:r>
              <w:rPr>
                <w:rStyle w:val="IndexLink"/>
                <w:rtl w:val="true"/>
              </w:rPr>
              <w:tab/>
            </w:r>
            <w:r>
              <w:rPr>
                <w:rStyle w:val="IndexLink"/>
              </w:rPr>
              <w:t>238</w:t>
            </w:r>
          </w:hyperlink>
        </w:p>
        <w:p>
          <w:pPr>
            <w:pStyle w:val="Contents4"/>
            <w:tabs>
              <w:tab w:val="clear" w:pos="8176"/>
              <w:tab w:val="right" w:pos="9026" w:leader="dot"/>
            </w:tabs>
            <w:rPr/>
          </w:pPr>
          <w:hyperlink w:anchor="__RefHeading___Toc8089090_2142443653">
            <w:r>
              <w:rPr>
                <w:webHidden/>
                <w:rStyle w:val="IndexLink"/>
              </w:rPr>
              <w:t>3</w:t>
            </w:r>
            <w:r>
              <w:rPr>
                <w:rStyle w:val="IndexLink"/>
                <w:rtl w:val="true"/>
              </w:rPr>
              <w:t xml:space="preserve"> - </w:t>
            </w:r>
            <w:r>
              <w:rPr>
                <w:rStyle w:val="IndexLink"/>
                <w:rtl w:val="true"/>
              </w:rPr>
              <w:t>اجتماع ايمان و شرك</w:t>
            </w:r>
            <w:r>
              <w:rPr>
                <w:rStyle w:val="IndexLink"/>
                <w:rtl w:val="true"/>
              </w:rPr>
              <w:tab/>
            </w:r>
            <w:r>
              <w:rPr>
                <w:rStyle w:val="IndexLink"/>
              </w:rPr>
              <w:t>241</w:t>
            </w:r>
          </w:hyperlink>
        </w:p>
        <w:p>
          <w:pPr>
            <w:pStyle w:val="Contents4"/>
            <w:tabs>
              <w:tab w:val="clear" w:pos="8176"/>
              <w:tab w:val="right" w:pos="9026" w:leader="dot"/>
            </w:tabs>
            <w:rPr/>
          </w:pPr>
          <w:hyperlink w:anchor="__RefHeading___Toc8089092_2142443653">
            <w:r>
              <w:rPr>
                <w:webHidden/>
                <w:rStyle w:val="IndexLink"/>
              </w:rPr>
              <w:t>4</w:t>
            </w:r>
            <w:r>
              <w:rPr>
                <w:rStyle w:val="IndexLink"/>
                <w:rtl w:val="true"/>
              </w:rPr>
              <w:t xml:space="preserve"> - </w:t>
            </w:r>
            <w:r>
              <w:rPr>
                <w:rStyle w:val="IndexLink"/>
                <w:rtl w:val="true"/>
              </w:rPr>
              <w:t>عمل بدون ايمان</w:t>
            </w:r>
            <w:r>
              <w:rPr>
                <w:rStyle w:val="IndexLink"/>
                <w:rtl w:val="true"/>
              </w:rPr>
              <w:tab/>
            </w:r>
            <w:r>
              <w:rPr>
                <w:rStyle w:val="IndexLink"/>
              </w:rPr>
              <w:t>242</w:t>
            </w:r>
          </w:hyperlink>
        </w:p>
        <w:p>
          <w:pPr>
            <w:pStyle w:val="Contents4"/>
            <w:tabs>
              <w:tab w:val="clear" w:pos="8176"/>
              <w:tab w:val="right" w:pos="9026" w:leader="dot"/>
            </w:tabs>
            <w:rPr/>
          </w:pPr>
          <w:hyperlink w:anchor="__RefHeading___Toc8089094_2142443653">
            <w:r>
              <w:rPr>
                <w:webHidden/>
                <w:rStyle w:val="IndexLink"/>
              </w:rPr>
              <w:t>5</w:t>
            </w:r>
            <w:r>
              <w:rPr>
                <w:rStyle w:val="IndexLink"/>
                <w:rtl w:val="true"/>
              </w:rPr>
              <w:t xml:space="preserve"> - </w:t>
            </w:r>
            <w:r>
              <w:rPr>
                <w:rStyle w:val="IndexLink"/>
                <w:rtl w:val="true"/>
              </w:rPr>
              <w:t>ايمان مقتضاى عمل</w:t>
            </w:r>
            <w:r>
              <w:rPr>
                <w:rStyle w:val="IndexLink"/>
                <w:rtl w:val="true"/>
              </w:rPr>
              <w:tab/>
            </w:r>
            <w:r>
              <w:rPr>
                <w:rStyle w:val="IndexLink"/>
              </w:rPr>
              <w:t>243</w:t>
            </w:r>
          </w:hyperlink>
        </w:p>
        <w:p>
          <w:pPr>
            <w:pStyle w:val="Contents4"/>
            <w:tabs>
              <w:tab w:val="clear" w:pos="8176"/>
              <w:tab w:val="right" w:pos="9026" w:leader="dot"/>
            </w:tabs>
            <w:rPr/>
          </w:pPr>
          <w:hyperlink w:anchor="__RefHeading___Toc8089096_2142443653">
            <w:r>
              <w:rPr>
                <w:webHidden/>
                <w:rStyle w:val="IndexLink"/>
              </w:rPr>
              <w:t>6</w:t>
            </w:r>
            <w:r>
              <w:rPr>
                <w:rStyle w:val="IndexLink"/>
                <w:rtl w:val="true"/>
              </w:rPr>
              <w:t xml:space="preserve"> - </w:t>
            </w:r>
            <w:r>
              <w:rPr>
                <w:rStyle w:val="IndexLink"/>
                <w:rtl w:val="true"/>
              </w:rPr>
              <w:t>رابطه ى اسلام و ايمان</w:t>
            </w:r>
            <w:r>
              <w:rPr>
                <w:rStyle w:val="IndexLink"/>
                <w:rtl w:val="true"/>
              </w:rPr>
              <w:tab/>
            </w:r>
            <w:r>
              <w:rPr>
                <w:rStyle w:val="IndexLink"/>
              </w:rPr>
              <w:t>249</w:t>
            </w:r>
          </w:hyperlink>
        </w:p>
        <w:p>
          <w:pPr>
            <w:pStyle w:val="Contents4"/>
            <w:tabs>
              <w:tab w:val="clear" w:pos="8176"/>
              <w:tab w:val="right" w:pos="9026" w:leader="dot"/>
            </w:tabs>
            <w:rPr/>
          </w:pPr>
          <w:hyperlink w:anchor="__RefHeading___Toc8089098_2142443653">
            <w:r>
              <w:rPr>
                <w:webHidden/>
                <w:rStyle w:val="IndexLink"/>
              </w:rPr>
              <w:t>7</w:t>
            </w:r>
            <w:r>
              <w:rPr>
                <w:rStyle w:val="IndexLink"/>
                <w:rtl w:val="true"/>
              </w:rPr>
              <w:t xml:space="preserve"> - </w:t>
            </w:r>
            <w:r>
              <w:rPr>
                <w:rStyle w:val="IndexLink"/>
                <w:rtl w:val="true"/>
              </w:rPr>
              <w:t>متعلقات ايمان</w:t>
            </w:r>
            <w:r>
              <w:rPr>
                <w:rStyle w:val="IndexLink"/>
                <w:rtl w:val="true"/>
              </w:rPr>
              <w:tab/>
            </w:r>
            <w:r>
              <w:rPr>
                <w:rStyle w:val="IndexLink"/>
              </w:rPr>
              <w:t>251</w:t>
            </w:r>
          </w:hyperlink>
        </w:p>
        <w:p>
          <w:pPr>
            <w:pStyle w:val="Contents5"/>
            <w:tabs>
              <w:tab w:val="clear" w:pos="7892"/>
              <w:tab w:val="right" w:pos="9026" w:leader="dot"/>
            </w:tabs>
            <w:rPr/>
          </w:pPr>
          <w:hyperlink w:anchor="__RefHeading___Toc8089100_2142443653">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8089102_2142443653">
            <w:r>
              <w:rPr>
                <w:webHidden/>
                <w:rStyle w:val="IndexLink"/>
              </w:rPr>
              <w:t>1</w:t>
            </w:r>
            <w:r>
              <w:rPr>
                <w:rStyle w:val="IndexLink"/>
                <w:rtl w:val="true"/>
              </w:rPr>
              <w:t>‏-‏</w:t>
            </w:r>
            <w:r>
              <w:rPr>
                <w:rStyle w:val="IndexLink"/>
              </w:rPr>
              <w:t>7</w:t>
            </w:r>
            <w:r>
              <w:rPr>
                <w:rStyle w:val="IndexLink"/>
                <w:rtl w:val="true"/>
              </w:rPr>
              <w:t xml:space="preserve"> - </w:t>
            </w:r>
            <w:r>
              <w:rPr>
                <w:rStyle w:val="IndexLink"/>
                <w:rtl w:val="true"/>
              </w:rPr>
              <w:t>پيامبران و رسالت آن ها</w:t>
            </w:r>
            <w:r>
              <w:rPr>
                <w:rStyle w:val="IndexLink"/>
                <w:rtl w:val="true"/>
              </w:rPr>
              <w:tab/>
            </w:r>
            <w:r>
              <w:rPr>
                <w:rStyle w:val="IndexLink"/>
              </w:rPr>
              <w:t>252</w:t>
            </w:r>
          </w:hyperlink>
        </w:p>
        <w:p>
          <w:pPr>
            <w:pStyle w:val="Contents5"/>
            <w:tabs>
              <w:tab w:val="clear" w:pos="7892"/>
              <w:tab w:val="right" w:pos="9026" w:leader="dot"/>
            </w:tabs>
            <w:rPr/>
          </w:pPr>
          <w:hyperlink w:anchor="__RefHeading___Toc8089104_2142443653">
            <w:r>
              <w:rPr>
                <w:webHidden/>
                <w:rStyle w:val="IndexLink"/>
              </w:rPr>
              <w:t>2</w:t>
            </w:r>
            <w:r>
              <w:rPr>
                <w:rStyle w:val="IndexLink"/>
                <w:rtl w:val="true"/>
              </w:rPr>
              <w:t>‏-‏</w:t>
            </w:r>
            <w:r>
              <w:rPr>
                <w:rStyle w:val="IndexLink"/>
              </w:rPr>
              <w:t>7</w:t>
            </w:r>
            <w:r>
              <w:rPr>
                <w:rStyle w:val="IndexLink"/>
                <w:rtl w:val="true"/>
              </w:rPr>
              <w:t xml:space="preserve"> - </w:t>
            </w:r>
            <w:r>
              <w:rPr>
                <w:rStyle w:val="IndexLink"/>
                <w:rtl w:val="true"/>
              </w:rPr>
              <w:t>غيب</w:t>
            </w:r>
            <w:r>
              <w:rPr>
                <w:rStyle w:val="IndexLink"/>
                <w:rtl w:val="true"/>
              </w:rPr>
              <w:tab/>
            </w:r>
            <w:r>
              <w:rPr>
                <w:rStyle w:val="IndexLink"/>
              </w:rPr>
              <w:t>254</w:t>
            </w:r>
          </w:hyperlink>
        </w:p>
        <w:p>
          <w:pPr>
            <w:pStyle w:val="Contents5"/>
            <w:tabs>
              <w:tab w:val="clear" w:pos="7892"/>
              <w:tab w:val="right" w:pos="9026" w:leader="dot"/>
            </w:tabs>
            <w:rPr/>
          </w:pPr>
          <w:hyperlink w:anchor="__RefHeading___Toc8089106_2142443653">
            <w:r>
              <w:rPr>
                <w:webHidden/>
                <w:rStyle w:val="IndexLink"/>
              </w:rPr>
              <w:t>3</w:t>
            </w:r>
            <w:r>
              <w:rPr>
                <w:rStyle w:val="IndexLink"/>
                <w:rtl w:val="true"/>
              </w:rPr>
              <w:t>‏-‏</w:t>
            </w:r>
            <w:r>
              <w:rPr>
                <w:rStyle w:val="IndexLink"/>
              </w:rPr>
              <w:t>7</w:t>
            </w:r>
            <w:r>
              <w:rPr>
                <w:rStyle w:val="IndexLink"/>
                <w:rtl w:val="true"/>
              </w:rPr>
              <w:t xml:space="preserve"> - </w:t>
            </w:r>
            <w:r>
              <w:rPr>
                <w:rStyle w:val="IndexLink"/>
                <w:rtl w:val="true"/>
              </w:rPr>
              <w:t>خدا</w:t>
            </w:r>
            <w:r>
              <w:rPr>
                <w:rStyle w:val="IndexLink"/>
                <w:rtl w:val="true"/>
              </w:rPr>
              <w:tab/>
            </w:r>
            <w:r>
              <w:rPr>
                <w:rStyle w:val="IndexLink"/>
              </w:rPr>
              <w:t>255</w:t>
            </w:r>
          </w:hyperlink>
        </w:p>
        <w:p>
          <w:pPr>
            <w:pStyle w:val="Contents5"/>
            <w:tabs>
              <w:tab w:val="clear" w:pos="7892"/>
              <w:tab w:val="right" w:pos="9026" w:leader="dot"/>
            </w:tabs>
            <w:rPr/>
          </w:pPr>
          <w:hyperlink w:anchor="__RefHeading___Toc8089108_2142443653">
            <w:r>
              <w:rPr>
                <w:webHidden/>
                <w:rStyle w:val="IndexLink"/>
              </w:rPr>
              <w:t>4</w:t>
            </w:r>
            <w:r>
              <w:rPr>
                <w:rStyle w:val="IndexLink"/>
                <w:rtl w:val="true"/>
              </w:rPr>
              <w:t>‏-‏</w:t>
            </w:r>
            <w:r>
              <w:rPr>
                <w:rStyle w:val="IndexLink"/>
              </w:rPr>
              <w:t>7</w:t>
            </w:r>
            <w:r>
              <w:rPr>
                <w:rStyle w:val="IndexLink"/>
                <w:rtl w:val="true"/>
              </w:rPr>
              <w:t xml:space="preserve"> - </w:t>
            </w:r>
            <w:r>
              <w:rPr>
                <w:rStyle w:val="IndexLink"/>
                <w:rtl w:val="true"/>
              </w:rPr>
              <w:t>معاد</w:t>
            </w:r>
            <w:r>
              <w:rPr>
                <w:rStyle w:val="IndexLink"/>
                <w:rtl w:val="true"/>
              </w:rPr>
              <w:tab/>
            </w:r>
            <w:r>
              <w:rPr>
                <w:rStyle w:val="IndexLink"/>
              </w:rPr>
              <w:t>256</w:t>
            </w:r>
          </w:hyperlink>
        </w:p>
        <w:p>
          <w:pPr>
            <w:pStyle w:val="Contents3"/>
            <w:tabs>
              <w:tab w:val="clear" w:pos="8459"/>
              <w:tab w:val="right" w:pos="9026" w:leader="dot"/>
            </w:tabs>
            <w:rPr/>
          </w:pPr>
          <w:hyperlink w:anchor="__RefHeading___Toc8089110_2142443653">
            <w:r>
              <w:rPr>
                <w:webHidden/>
                <w:rStyle w:val="IndexLink"/>
                <w:rtl w:val="true"/>
              </w:rPr>
              <w:t>فصل دوازدهم</w:t>
            </w:r>
            <w:r>
              <w:rPr>
                <w:rStyle w:val="IndexLink"/>
                <w:rtl w:val="true"/>
              </w:rPr>
              <w:t xml:space="preserve">: </w:t>
            </w:r>
            <w:r>
              <w:rPr>
                <w:rStyle w:val="IndexLink"/>
                <w:rtl w:val="true"/>
              </w:rPr>
              <w:t>كفر در انديشه ى اسلامى</w:t>
            </w:r>
            <w:r>
              <w:rPr>
                <w:rStyle w:val="IndexLink"/>
                <w:rtl w:val="true"/>
              </w:rPr>
              <w:tab/>
            </w:r>
            <w:r>
              <w:rPr>
                <w:rStyle w:val="IndexLink"/>
              </w:rPr>
              <w:t>258</w:t>
            </w:r>
          </w:hyperlink>
        </w:p>
        <w:p>
          <w:pPr>
            <w:pStyle w:val="Contents4"/>
            <w:tabs>
              <w:tab w:val="clear" w:pos="8176"/>
              <w:tab w:val="right" w:pos="9026" w:leader="dot"/>
            </w:tabs>
            <w:rPr/>
          </w:pPr>
          <w:hyperlink w:anchor="__RefHeading___Toc8089112_2142443653">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8089114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259</w:t>
            </w:r>
          </w:hyperlink>
        </w:p>
        <w:p>
          <w:pPr>
            <w:pStyle w:val="Contents4"/>
            <w:tabs>
              <w:tab w:val="clear" w:pos="8176"/>
              <w:tab w:val="right" w:pos="9026" w:leader="dot"/>
            </w:tabs>
            <w:rPr/>
          </w:pPr>
          <w:hyperlink w:anchor="__RefHeading___Toc8089116_2142443653">
            <w:r>
              <w:rPr>
                <w:webHidden/>
                <w:rStyle w:val="IndexLink"/>
              </w:rPr>
              <w:t>2</w:t>
            </w:r>
            <w:r>
              <w:rPr>
                <w:rStyle w:val="IndexLink"/>
                <w:rtl w:val="true"/>
              </w:rPr>
              <w:t xml:space="preserve"> - </w:t>
            </w:r>
            <w:r>
              <w:rPr>
                <w:rStyle w:val="IndexLink"/>
                <w:rtl w:val="true"/>
              </w:rPr>
              <w:t>مفهوم كفر</w:t>
            </w:r>
            <w:r>
              <w:rPr>
                <w:rStyle w:val="IndexLink"/>
                <w:rtl w:val="true"/>
              </w:rPr>
              <w:tab/>
            </w:r>
            <w:r>
              <w:rPr>
                <w:rStyle w:val="IndexLink"/>
              </w:rPr>
              <w:t>259</w:t>
            </w:r>
          </w:hyperlink>
        </w:p>
        <w:p>
          <w:pPr>
            <w:pStyle w:val="Contents5"/>
            <w:tabs>
              <w:tab w:val="clear" w:pos="7892"/>
              <w:tab w:val="right" w:pos="9026" w:leader="dot"/>
            </w:tabs>
            <w:rPr/>
          </w:pPr>
          <w:hyperlink w:anchor="__RefHeading___Toc8089118_2142443653">
            <w:r>
              <w:rPr>
                <w:webHidden/>
                <w:rStyle w:val="IndexLink"/>
              </w:rPr>
              <w:t>1</w:t>
            </w:r>
            <w:r>
              <w:rPr>
                <w:rStyle w:val="IndexLink"/>
                <w:rtl w:val="true"/>
              </w:rPr>
              <w:t>‏-‏</w:t>
            </w:r>
            <w:r>
              <w:rPr>
                <w:rStyle w:val="IndexLink"/>
              </w:rPr>
              <w:t>2</w:t>
            </w:r>
            <w:r>
              <w:rPr>
                <w:rStyle w:val="IndexLink"/>
                <w:rtl w:val="true"/>
              </w:rPr>
              <w:t xml:space="preserve"> - </w:t>
            </w:r>
            <w:r>
              <w:rPr>
                <w:rStyle w:val="IndexLink"/>
                <w:rtl w:val="true"/>
              </w:rPr>
              <w:t>كفر در لغت</w:t>
            </w:r>
            <w:r>
              <w:rPr>
                <w:rStyle w:val="IndexLink"/>
                <w:rtl w:val="true"/>
              </w:rPr>
              <w:tab/>
            </w:r>
            <w:r>
              <w:rPr>
                <w:rStyle w:val="IndexLink"/>
              </w:rPr>
              <w:t>259</w:t>
            </w:r>
          </w:hyperlink>
        </w:p>
        <w:p>
          <w:pPr>
            <w:pStyle w:val="Contents5"/>
            <w:tabs>
              <w:tab w:val="clear" w:pos="7892"/>
              <w:tab w:val="right" w:pos="9026" w:leader="dot"/>
            </w:tabs>
            <w:rPr/>
          </w:pPr>
          <w:hyperlink w:anchor="__RefHeading___Toc8089120_2142443653">
            <w:r>
              <w:rPr>
                <w:webHidden/>
                <w:rStyle w:val="IndexLink"/>
              </w:rPr>
              <w:t>2</w:t>
            </w:r>
            <w:r>
              <w:rPr>
                <w:rStyle w:val="IndexLink"/>
                <w:rtl w:val="true"/>
              </w:rPr>
              <w:t>‏-‏</w:t>
            </w:r>
            <w:r>
              <w:rPr>
                <w:rStyle w:val="IndexLink"/>
              </w:rPr>
              <w:t>2</w:t>
            </w:r>
            <w:r>
              <w:rPr>
                <w:rStyle w:val="IndexLink"/>
                <w:rtl w:val="true"/>
              </w:rPr>
              <w:t xml:space="preserve"> - </w:t>
            </w:r>
            <w:r>
              <w:rPr>
                <w:rStyle w:val="IndexLink"/>
                <w:rtl w:val="true"/>
              </w:rPr>
              <w:t>كفر در اصطلاح</w:t>
            </w:r>
            <w:r>
              <w:rPr>
                <w:rStyle w:val="IndexLink"/>
                <w:rtl w:val="true"/>
              </w:rPr>
              <w:tab/>
            </w:r>
            <w:r>
              <w:rPr>
                <w:rStyle w:val="IndexLink"/>
              </w:rPr>
              <w:t>260</w:t>
            </w:r>
          </w:hyperlink>
        </w:p>
        <w:p>
          <w:pPr>
            <w:pStyle w:val="Contents4"/>
            <w:tabs>
              <w:tab w:val="clear" w:pos="8176"/>
              <w:tab w:val="right" w:pos="9026" w:leader="dot"/>
            </w:tabs>
            <w:rPr/>
          </w:pPr>
          <w:hyperlink w:anchor="__RefHeading___Toc8089122_2142443653">
            <w:r>
              <w:rPr>
                <w:webHidden/>
                <w:rStyle w:val="IndexLink"/>
              </w:rPr>
              <w:t>3</w:t>
            </w:r>
            <w:r>
              <w:rPr>
                <w:rStyle w:val="IndexLink"/>
                <w:rtl w:val="true"/>
              </w:rPr>
              <w:t xml:space="preserve"> - </w:t>
            </w:r>
            <w:r>
              <w:rPr>
                <w:rStyle w:val="IndexLink"/>
                <w:rtl w:val="true"/>
              </w:rPr>
              <w:t>متعلقات كفر</w:t>
            </w:r>
            <w:r>
              <w:rPr>
                <w:rStyle w:val="IndexLink"/>
                <w:rtl w:val="true"/>
              </w:rPr>
              <w:tab/>
            </w:r>
            <w:r>
              <w:rPr>
                <w:rStyle w:val="IndexLink"/>
              </w:rPr>
              <w:t>261</w:t>
            </w:r>
          </w:hyperlink>
        </w:p>
        <w:p>
          <w:pPr>
            <w:pStyle w:val="Contents4"/>
            <w:tabs>
              <w:tab w:val="clear" w:pos="8176"/>
              <w:tab w:val="right" w:pos="9026" w:leader="dot"/>
            </w:tabs>
            <w:rPr/>
          </w:pPr>
          <w:hyperlink w:anchor="__RefHeading___Toc8089124_2142443653">
            <w:r>
              <w:rPr>
                <w:webHidden/>
                <w:rStyle w:val="IndexLink"/>
              </w:rPr>
              <w:t>4</w:t>
            </w:r>
            <w:r>
              <w:rPr>
                <w:rStyle w:val="IndexLink"/>
                <w:rtl w:val="true"/>
              </w:rPr>
              <w:t xml:space="preserve"> - </w:t>
            </w:r>
            <w:r>
              <w:rPr>
                <w:rStyle w:val="IndexLink"/>
                <w:rtl w:val="true"/>
              </w:rPr>
              <w:t>اقسام كفر</w:t>
            </w:r>
            <w:r>
              <w:rPr>
                <w:rStyle w:val="IndexLink"/>
                <w:rtl w:val="true"/>
              </w:rPr>
              <w:tab/>
            </w:r>
            <w:r>
              <w:rPr>
                <w:rStyle w:val="IndexLink"/>
              </w:rPr>
              <w:t>263</w:t>
            </w:r>
          </w:hyperlink>
        </w:p>
        <w:p>
          <w:pPr>
            <w:pStyle w:val="Contents5"/>
            <w:tabs>
              <w:tab w:val="clear" w:pos="7892"/>
              <w:tab w:val="right" w:pos="9026" w:leader="dot"/>
            </w:tabs>
            <w:rPr/>
          </w:pPr>
          <w:hyperlink w:anchor="__RefHeading___Toc8089126_2142443653">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8089128_2142443653">
            <w:r>
              <w:rPr>
                <w:webHidden/>
                <w:rStyle w:val="IndexLink"/>
              </w:rPr>
              <w:t>1</w:t>
            </w:r>
            <w:r>
              <w:rPr>
                <w:rStyle w:val="IndexLink"/>
                <w:rtl w:val="true"/>
              </w:rPr>
              <w:t>‏-‏</w:t>
            </w:r>
            <w:r>
              <w:rPr>
                <w:rStyle w:val="IndexLink"/>
              </w:rPr>
              <w:t>4</w:t>
            </w:r>
            <w:r>
              <w:rPr>
                <w:rStyle w:val="IndexLink"/>
                <w:rtl w:val="true"/>
              </w:rPr>
              <w:t xml:space="preserve"> - </w:t>
            </w:r>
            <w:r>
              <w:rPr>
                <w:rStyle w:val="IndexLink"/>
                <w:rtl w:val="true"/>
              </w:rPr>
              <w:t>سطوح كفر</w:t>
            </w:r>
            <w:r>
              <w:rPr>
                <w:rStyle w:val="IndexLink"/>
                <w:rtl w:val="true"/>
              </w:rPr>
              <w:tab/>
            </w:r>
            <w:r>
              <w:rPr>
                <w:rStyle w:val="IndexLink"/>
              </w:rPr>
              <w:t>263</w:t>
            </w:r>
          </w:hyperlink>
        </w:p>
        <w:p>
          <w:pPr>
            <w:pStyle w:val="Contents5"/>
            <w:tabs>
              <w:tab w:val="clear" w:pos="7892"/>
              <w:tab w:val="right" w:pos="9026" w:leader="dot"/>
            </w:tabs>
            <w:rPr/>
          </w:pPr>
          <w:hyperlink w:anchor="__RefHeading___Toc8089130_2142443653">
            <w:r>
              <w:rPr>
                <w:webHidden/>
                <w:rStyle w:val="IndexLink"/>
              </w:rPr>
              <w:t>2</w:t>
            </w:r>
            <w:r>
              <w:rPr>
                <w:rStyle w:val="IndexLink"/>
                <w:rtl w:val="true"/>
              </w:rPr>
              <w:t>‏-‏</w:t>
            </w:r>
            <w:r>
              <w:rPr>
                <w:rStyle w:val="IndexLink"/>
              </w:rPr>
              <w:t>4</w:t>
            </w:r>
            <w:r>
              <w:rPr>
                <w:rStyle w:val="IndexLink"/>
                <w:rtl w:val="true"/>
              </w:rPr>
              <w:t xml:space="preserve"> - </w:t>
            </w:r>
            <w:r>
              <w:rPr>
                <w:rStyle w:val="IndexLink"/>
                <w:rtl w:val="true"/>
              </w:rPr>
              <w:t>انواع كافران</w:t>
            </w:r>
            <w:r>
              <w:rPr>
                <w:rStyle w:val="IndexLink"/>
                <w:rtl w:val="true"/>
              </w:rPr>
              <w:tab/>
            </w:r>
            <w:r>
              <w:rPr>
                <w:rStyle w:val="IndexLink"/>
              </w:rPr>
              <w:t>264</w:t>
            </w:r>
          </w:hyperlink>
        </w:p>
        <w:p>
          <w:pPr>
            <w:pStyle w:val="Contents4"/>
            <w:tabs>
              <w:tab w:val="clear" w:pos="8176"/>
              <w:tab w:val="right" w:pos="9026" w:leader="dot"/>
            </w:tabs>
            <w:rPr/>
          </w:pPr>
          <w:hyperlink w:anchor="__RefHeading___Toc8089132_2142443653">
            <w:r>
              <w:rPr>
                <w:webHidden/>
                <w:rStyle w:val="IndexLink"/>
              </w:rPr>
              <w:t>5</w:t>
            </w:r>
            <w:r>
              <w:rPr>
                <w:rStyle w:val="IndexLink"/>
                <w:rtl w:val="true"/>
              </w:rPr>
              <w:t xml:space="preserve"> - </w:t>
            </w:r>
            <w:r>
              <w:rPr>
                <w:rStyle w:val="IndexLink"/>
                <w:rtl w:val="true"/>
              </w:rPr>
              <w:t>مراتب كفر</w:t>
            </w:r>
            <w:r>
              <w:rPr>
                <w:rStyle w:val="IndexLink"/>
                <w:rtl w:val="true"/>
              </w:rPr>
              <w:tab/>
            </w:r>
            <w:r>
              <w:rPr>
                <w:rStyle w:val="IndexLink"/>
              </w:rPr>
              <w:t>265</w:t>
            </w:r>
          </w:hyperlink>
        </w:p>
        <w:p>
          <w:pPr>
            <w:pStyle w:val="Contents4"/>
            <w:tabs>
              <w:tab w:val="clear" w:pos="8176"/>
              <w:tab w:val="right" w:pos="9026" w:leader="dot"/>
            </w:tabs>
            <w:rPr/>
          </w:pPr>
          <w:hyperlink w:anchor="__RefHeading___Toc8089134_2142443653">
            <w:r>
              <w:rPr>
                <w:webHidden/>
                <w:rStyle w:val="IndexLink"/>
              </w:rPr>
              <w:t>6</w:t>
            </w:r>
            <w:r>
              <w:rPr>
                <w:rStyle w:val="IndexLink"/>
                <w:rtl w:val="true"/>
              </w:rPr>
              <w:t xml:space="preserve"> - </w:t>
            </w:r>
            <w:r>
              <w:rPr>
                <w:rStyle w:val="IndexLink"/>
                <w:rtl w:val="true"/>
              </w:rPr>
              <w:t>فرجام كافران</w:t>
            </w:r>
            <w:r>
              <w:rPr>
                <w:rStyle w:val="IndexLink"/>
                <w:rtl w:val="true"/>
              </w:rPr>
              <w:tab/>
            </w:r>
            <w:r>
              <w:rPr>
                <w:rStyle w:val="IndexLink"/>
              </w:rPr>
              <w:t>266</w:t>
            </w:r>
          </w:hyperlink>
        </w:p>
        <w:p>
          <w:pPr>
            <w:pStyle w:val="Contents4"/>
            <w:tabs>
              <w:tab w:val="clear" w:pos="8176"/>
              <w:tab w:val="right" w:pos="9026" w:leader="dot"/>
            </w:tabs>
            <w:rPr/>
          </w:pPr>
          <w:hyperlink w:anchor="__RefHeading___Toc8089136_2142443653">
            <w:r>
              <w:rPr>
                <w:webHidden/>
                <w:rStyle w:val="IndexLink"/>
              </w:rPr>
              <w:t>7</w:t>
            </w:r>
            <w:r>
              <w:rPr>
                <w:rStyle w:val="IndexLink"/>
                <w:rtl w:val="true"/>
              </w:rPr>
              <w:t xml:space="preserve"> - </w:t>
            </w:r>
            <w:r>
              <w:rPr>
                <w:rStyle w:val="IndexLink"/>
                <w:rtl w:val="true"/>
              </w:rPr>
              <w:t>فتنه ى تكفير</w:t>
            </w:r>
            <w:r>
              <w:rPr>
                <w:rStyle w:val="IndexLink"/>
                <w:rtl w:val="true"/>
              </w:rPr>
              <w:tab/>
            </w:r>
            <w:r>
              <w:rPr>
                <w:rStyle w:val="IndexLink"/>
              </w:rPr>
              <w:t>267</w:t>
            </w:r>
          </w:hyperlink>
        </w:p>
        <w:p>
          <w:pPr>
            <w:pStyle w:val="Contents5"/>
            <w:tabs>
              <w:tab w:val="clear" w:pos="7892"/>
              <w:tab w:val="right" w:pos="9026" w:leader="dot"/>
            </w:tabs>
            <w:rPr/>
          </w:pPr>
          <w:hyperlink w:anchor="__RefHeading___Toc8089138_2142443653">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8089140_2142443653">
            <w:r>
              <w:rPr>
                <w:webHidden/>
                <w:rStyle w:val="IndexLink"/>
              </w:rPr>
              <w:t>1</w:t>
            </w:r>
            <w:r>
              <w:rPr>
                <w:rStyle w:val="IndexLink"/>
                <w:rtl w:val="true"/>
              </w:rPr>
              <w:t>‏-‏</w:t>
            </w:r>
            <w:r>
              <w:rPr>
                <w:rStyle w:val="IndexLink"/>
              </w:rPr>
              <w:t>7</w:t>
            </w:r>
            <w:r>
              <w:rPr>
                <w:rStyle w:val="IndexLink"/>
                <w:rtl w:val="true"/>
              </w:rPr>
              <w:t xml:space="preserve"> - </w:t>
            </w:r>
            <w:r>
              <w:rPr>
                <w:rStyle w:val="IndexLink"/>
                <w:rtl w:val="true"/>
              </w:rPr>
              <w:t>حرمت انسان و مسلمان در انديشه ى اسلامى</w:t>
            </w:r>
            <w:r>
              <w:rPr>
                <w:rStyle w:val="IndexLink"/>
                <w:rtl w:val="true"/>
              </w:rPr>
              <w:tab/>
            </w:r>
            <w:r>
              <w:rPr>
                <w:rStyle w:val="IndexLink"/>
              </w:rPr>
              <w:t>268</w:t>
            </w:r>
          </w:hyperlink>
        </w:p>
        <w:p>
          <w:pPr>
            <w:pStyle w:val="Contents5"/>
            <w:tabs>
              <w:tab w:val="clear" w:pos="7892"/>
              <w:tab w:val="right" w:pos="9026" w:leader="dot"/>
            </w:tabs>
            <w:rPr/>
          </w:pPr>
          <w:hyperlink w:anchor="__RefHeading___Toc8089142_2142443653">
            <w:r>
              <w:rPr>
                <w:webHidden/>
                <w:rStyle w:val="IndexLink"/>
              </w:rPr>
              <w:t>2</w:t>
            </w:r>
            <w:r>
              <w:rPr>
                <w:rStyle w:val="IndexLink"/>
                <w:rtl w:val="true"/>
              </w:rPr>
              <w:t>‏-‏</w:t>
            </w:r>
            <w:r>
              <w:rPr>
                <w:rStyle w:val="IndexLink"/>
              </w:rPr>
              <w:t>7</w:t>
            </w:r>
            <w:r>
              <w:rPr>
                <w:rStyle w:val="IndexLink"/>
                <w:rtl w:val="true"/>
              </w:rPr>
              <w:t xml:space="preserve"> - </w:t>
            </w:r>
            <w:r>
              <w:rPr>
                <w:rStyle w:val="IndexLink"/>
                <w:rtl w:val="true"/>
              </w:rPr>
              <w:t>انديشمندان اسلامى و مسأله ى تكفير</w:t>
            </w:r>
            <w:r>
              <w:rPr>
                <w:rStyle w:val="IndexLink"/>
                <w:rtl w:val="true"/>
              </w:rPr>
              <w:tab/>
            </w:r>
            <w:r>
              <w:rPr>
                <w:rStyle w:val="IndexLink"/>
              </w:rPr>
              <w:t>271</w:t>
            </w:r>
          </w:hyperlink>
        </w:p>
        <w:p>
          <w:pPr>
            <w:pStyle w:val="Contents5"/>
            <w:tabs>
              <w:tab w:val="clear" w:pos="7892"/>
              <w:tab w:val="right" w:pos="9026" w:leader="dot"/>
            </w:tabs>
            <w:rPr/>
          </w:pPr>
          <w:hyperlink w:anchor="__RefHeading___Toc8089144_2142443653">
            <w:r>
              <w:rPr>
                <w:webHidden/>
                <w:rStyle w:val="IndexLink"/>
              </w:rPr>
              <w:t>3</w:t>
            </w:r>
            <w:r>
              <w:rPr>
                <w:rStyle w:val="IndexLink"/>
                <w:rtl w:val="true"/>
              </w:rPr>
              <w:t>‏-‏</w:t>
            </w:r>
            <w:r>
              <w:rPr>
                <w:rStyle w:val="IndexLink"/>
              </w:rPr>
              <w:t>7</w:t>
            </w:r>
            <w:r>
              <w:rPr>
                <w:rStyle w:val="IndexLink"/>
                <w:rtl w:val="true"/>
              </w:rPr>
              <w:t xml:space="preserve"> - </w:t>
            </w:r>
            <w:r>
              <w:rPr>
                <w:rStyle w:val="IndexLink"/>
                <w:rtl w:val="true"/>
              </w:rPr>
              <w:t>شيعه و مسأله ى امامت</w:t>
            </w:r>
            <w:r>
              <w:rPr>
                <w:rStyle w:val="IndexLink"/>
                <w:rtl w:val="true"/>
              </w:rPr>
              <w:tab/>
            </w:r>
            <w:r>
              <w:rPr>
                <w:rStyle w:val="IndexLink"/>
              </w:rPr>
              <w:t>277</w:t>
            </w:r>
          </w:hyperlink>
        </w:p>
        <w:p>
          <w:pPr>
            <w:pStyle w:val="Contents3"/>
            <w:tabs>
              <w:tab w:val="clear" w:pos="8459"/>
              <w:tab w:val="right" w:pos="9026" w:leader="dot"/>
            </w:tabs>
            <w:rPr/>
          </w:pPr>
          <w:hyperlink w:anchor="__RefHeading___Toc8089146_2142443653">
            <w:r>
              <w:rPr>
                <w:webHidden/>
                <w:rStyle w:val="IndexLink"/>
                <w:rtl w:val="true"/>
              </w:rPr>
              <w:t>فصل سيزدهم</w:t>
            </w:r>
            <w:r>
              <w:rPr>
                <w:rStyle w:val="IndexLink"/>
                <w:rtl w:val="true"/>
              </w:rPr>
              <w:t xml:space="preserve">: </w:t>
            </w:r>
            <w:r>
              <w:rPr>
                <w:rStyle w:val="IndexLink"/>
                <w:rtl w:val="true"/>
              </w:rPr>
              <w:t>خاستگاه سلفى گرى تكفيرى</w:t>
            </w:r>
            <w:r>
              <w:rPr>
                <w:rStyle w:val="IndexLink"/>
                <w:rtl w:val="true"/>
              </w:rPr>
              <w:tab/>
            </w:r>
            <w:r>
              <w:rPr>
                <w:rStyle w:val="IndexLink"/>
              </w:rPr>
              <w:t>280</w:t>
            </w:r>
          </w:hyperlink>
        </w:p>
        <w:p>
          <w:pPr>
            <w:pStyle w:val="Contents4"/>
            <w:tabs>
              <w:tab w:val="clear" w:pos="8176"/>
              <w:tab w:val="right" w:pos="9026" w:leader="dot"/>
            </w:tabs>
            <w:rPr/>
          </w:pPr>
          <w:hyperlink w:anchor="__RefHeading___Toc8089148_214244365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8089150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281</w:t>
            </w:r>
          </w:hyperlink>
        </w:p>
        <w:p>
          <w:pPr>
            <w:pStyle w:val="Contents4"/>
            <w:tabs>
              <w:tab w:val="clear" w:pos="8176"/>
              <w:tab w:val="right" w:pos="9026" w:leader="dot"/>
            </w:tabs>
            <w:rPr/>
          </w:pPr>
          <w:hyperlink w:anchor="__RefHeading___Toc8089152_2142443653">
            <w:r>
              <w:rPr>
                <w:webHidden/>
                <w:rStyle w:val="IndexLink"/>
              </w:rPr>
              <w:t>2</w:t>
            </w:r>
            <w:r>
              <w:rPr>
                <w:rStyle w:val="IndexLink"/>
                <w:rtl w:val="true"/>
              </w:rPr>
              <w:t xml:space="preserve"> - </w:t>
            </w:r>
            <w:r>
              <w:rPr>
                <w:rStyle w:val="IndexLink"/>
                <w:rtl w:val="true"/>
              </w:rPr>
              <w:t>ابن تيميه، بنيان گذار سلفى گرى تكفيرى</w:t>
            </w:r>
            <w:r>
              <w:rPr>
                <w:rStyle w:val="IndexLink"/>
                <w:rtl w:val="true"/>
              </w:rPr>
              <w:tab/>
            </w:r>
            <w:r>
              <w:rPr>
                <w:rStyle w:val="IndexLink"/>
              </w:rPr>
              <w:t>282</w:t>
            </w:r>
          </w:hyperlink>
        </w:p>
        <w:p>
          <w:pPr>
            <w:pStyle w:val="Contents4"/>
            <w:tabs>
              <w:tab w:val="clear" w:pos="8176"/>
              <w:tab w:val="right" w:pos="9026" w:leader="dot"/>
            </w:tabs>
            <w:rPr/>
          </w:pPr>
          <w:hyperlink w:anchor="__RefHeading___Toc8089154_2142443653">
            <w:r>
              <w:rPr>
                <w:webHidden/>
                <w:rStyle w:val="IndexLink"/>
              </w:rPr>
              <w:t>3</w:t>
            </w:r>
            <w:r>
              <w:rPr>
                <w:rStyle w:val="IndexLink"/>
                <w:rtl w:val="true"/>
              </w:rPr>
              <w:t xml:space="preserve"> - </w:t>
            </w:r>
            <w:r>
              <w:rPr>
                <w:rStyle w:val="IndexLink"/>
                <w:rtl w:val="true"/>
              </w:rPr>
              <w:t>ابن تيميه و تكفير</w:t>
            </w:r>
            <w:r>
              <w:rPr>
                <w:rStyle w:val="IndexLink"/>
                <w:rtl w:val="true"/>
              </w:rPr>
              <w:tab/>
            </w:r>
            <w:r>
              <w:rPr>
                <w:rStyle w:val="IndexLink"/>
              </w:rPr>
              <w:t>282</w:t>
            </w:r>
          </w:hyperlink>
        </w:p>
        <w:p>
          <w:pPr>
            <w:pStyle w:val="Contents4"/>
            <w:tabs>
              <w:tab w:val="clear" w:pos="8176"/>
              <w:tab w:val="right" w:pos="9026" w:leader="dot"/>
            </w:tabs>
            <w:rPr/>
          </w:pPr>
          <w:hyperlink w:anchor="__RefHeading___Toc8089156_2142443653">
            <w:r>
              <w:rPr>
                <w:webHidden/>
                <w:rStyle w:val="IndexLink"/>
              </w:rPr>
              <w:t>4</w:t>
            </w:r>
            <w:r>
              <w:rPr>
                <w:rStyle w:val="IndexLink"/>
                <w:rtl w:val="true"/>
              </w:rPr>
              <w:t xml:space="preserve"> - </w:t>
            </w:r>
            <w:r>
              <w:rPr>
                <w:rStyle w:val="IndexLink"/>
                <w:rtl w:val="true"/>
              </w:rPr>
              <w:t>ابن تيميه و انديشه ى ضد تكفيرى</w:t>
            </w:r>
            <w:r>
              <w:rPr>
                <w:rStyle w:val="IndexLink"/>
                <w:rtl w:val="true"/>
              </w:rPr>
              <w:tab/>
            </w:r>
            <w:r>
              <w:rPr>
                <w:rStyle w:val="IndexLink"/>
              </w:rPr>
              <w:t>282</w:t>
            </w:r>
          </w:hyperlink>
        </w:p>
        <w:p>
          <w:pPr>
            <w:pStyle w:val="Contents4"/>
            <w:tabs>
              <w:tab w:val="clear" w:pos="8176"/>
              <w:tab w:val="right" w:pos="9026" w:leader="dot"/>
            </w:tabs>
            <w:rPr/>
          </w:pPr>
          <w:hyperlink w:anchor="__RefHeading___Toc8089158_2142443653">
            <w:r>
              <w:rPr>
                <w:webHidden/>
                <w:rStyle w:val="IndexLink"/>
              </w:rPr>
              <w:t>5</w:t>
            </w:r>
            <w:r>
              <w:rPr>
                <w:rStyle w:val="IndexLink"/>
                <w:rtl w:val="true"/>
              </w:rPr>
              <w:t xml:space="preserve"> - </w:t>
            </w:r>
            <w:r>
              <w:rPr>
                <w:rStyle w:val="IndexLink"/>
                <w:rtl w:val="true"/>
              </w:rPr>
              <w:t>ابن تيميه و تكفير مسلمانان</w:t>
            </w:r>
            <w:r>
              <w:rPr>
                <w:rStyle w:val="IndexLink"/>
                <w:rtl w:val="true"/>
              </w:rPr>
              <w:tab/>
            </w:r>
            <w:r>
              <w:rPr>
                <w:rStyle w:val="IndexLink"/>
              </w:rPr>
              <w:t>288</w:t>
            </w:r>
          </w:hyperlink>
        </w:p>
        <w:p>
          <w:pPr>
            <w:pStyle w:val="Contents4"/>
            <w:tabs>
              <w:tab w:val="clear" w:pos="8176"/>
              <w:tab w:val="right" w:pos="9026" w:leader="dot"/>
            </w:tabs>
            <w:rPr/>
          </w:pPr>
          <w:hyperlink w:anchor="__RefHeading___Toc8089160_2142443653">
            <w:r>
              <w:rPr>
                <w:webHidden/>
                <w:rStyle w:val="IndexLink"/>
              </w:rPr>
              <w:t>6</w:t>
            </w:r>
            <w:r>
              <w:rPr>
                <w:rStyle w:val="IndexLink"/>
                <w:rtl w:val="true"/>
              </w:rPr>
              <w:t xml:space="preserve"> - </w:t>
            </w:r>
            <w:r>
              <w:rPr>
                <w:rStyle w:val="IndexLink"/>
                <w:rtl w:val="true"/>
              </w:rPr>
              <w:t>فِرق كلامى اهل سنت و مفهوم ايمان</w:t>
            </w:r>
            <w:r>
              <w:rPr>
                <w:rStyle w:val="IndexLink"/>
                <w:rtl w:val="true"/>
              </w:rPr>
              <w:tab/>
            </w:r>
            <w:r>
              <w:rPr>
                <w:rStyle w:val="IndexLink"/>
              </w:rPr>
              <w:t>295</w:t>
            </w:r>
          </w:hyperlink>
        </w:p>
        <w:p>
          <w:pPr>
            <w:pStyle w:val="Contents5"/>
            <w:tabs>
              <w:tab w:val="clear" w:pos="7892"/>
              <w:tab w:val="right" w:pos="9026" w:leader="dot"/>
            </w:tabs>
            <w:rPr/>
          </w:pPr>
          <w:hyperlink w:anchor="__RefHeading___Toc8089162_2142443653">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8089164_2142443653">
            <w:r>
              <w:rPr>
                <w:webHidden/>
                <w:rStyle w:val="IndexLink"/>
              </w:rPr>
              <w:t>1</w:t>
            </w:r>
            <w:r>
              <w:rPr>
                <w:rStyle w:val="IndexLink"/>
                <w:rtl w:val="true"/>
              </w:rPr>
              <w:t>‏-‏</w:t>
            </w:r>
            <w:r>
              <w:rPr>
                <w:rStyle w:val="IndexLink"/>
              </w:rPr>
              <w:t>6</w:t>
            </w:r>
            <w:r>
              <w:rPr>
                <w:rStyle w:val="IndexLink"/>
                <w:rtl w:val="true"/>
              </w:rPr>
              <w:t xml:space="preserve"> - </w:t>
            </w:r>
            <w:r>
              <w:rPr>
                <w:rStyle w:val="IndexLink"/>
                <w:rtl w:val="true"/>
              </w:rPr>
              <w:t>اشاعره</w:t>
            </w:r>
            <w:r>
              <w:rPr>
                <w:rStyle w:val="IndexLink"/>
                <w:rtl w:val="true"/>
              </w:rPr>
              <w:tab/>
            </w:r>
            <w:r>
              <w:rPr>
                <w:rStyle w:val="IndexLink"/>
              </w:rPr>
              <w:t>295</w:t>
            </w:r>
          </w:hyperlink>
        </w:p>
        <w:p>
          <w:pPr>
            <w:pStyle w:val="Contents5"/>
            <w:tabs>
              <w:tab w:val="clear" w:pos="7892"/>
              <w:tab w:val="right" w:pos="9026" w:leader="dot"/>
            </w:tabs>
            <w:rPr/>
          </w:pPr>
          <w:hyperlink w:anchor="__RefHeading___Toc8089166_2142443653">
            <w:r>
              <w:rPr>
                <w:webHidden/>
                <w:rStyle w:val="IndexLink"/>
              </w:rPr>
              <w:t>2</w:t>
            </w:r>
            <w:r>
              <w:rPr>
                <w:rStyle w:val="IndexLink"/>
                <w:rtl w:val="true"/>
              </w:rPr>
              <w:t>‏-‏</w:t>
            </w:r>
            <w:r>
              <w:rPr>
                <w:rStyle w:val="IndexLink"/>
              </w:rPr>
              <w:t>6</w:t>
            </w:r>
            <w:r>
              <w:rPr>
                <w:rStyle w:val="IndexLink"/>
                <w:rtl w:val="true"/>
              </w:rPr>
              <w:t xml:space="preserve"> - </w:t>
            </w:r>
            <w:r>
              <w:rPr>
                <w:rStyle w:val="IndexLink"/>
                <w:rtl w:val="true"/>
              </w:rPr>
              <w:t>ماتريديه</w:t>
            </w:r>
            <w:r>
              <w:rPr>
                <w:rStyle w:val="IndexLink"/>
                <w:rtl w:val="true"/>
              </w:rPr>
              <w:tab/>
            </w:r>
            <w:r>
              <w:rPr>
                <w:rStyle w:val="IndexLink"/>
              </w:rPr>
              <w:t>297</w:t>
            </w:r>
          </w:hyperlink>
        </w:p>
        <w:p>
          <w:pPr>
            <w:pStyle w:val="Contents5"/>
            <w:tabs>
              <w:tab w:val="clear" w:pos="7892"/>
              <w:tab w:val="right" w:pos="9026" w:leader="dot"/>
            </w:tabs>
            <w:rPr/>
          </w:pPr>
          <w:hyperlink w:anchor="__RefHeading___Toc8089168_2142443653">
            <w:r>
              <w:rPr>
                <w:webHidden/>
                <w:rStyle w:val="IndexLink"/>
              </w:rPr>
              <w:t>3</w:t>
            </w:r>
            <w:r>
              <w:rPr>
                <w:rStyle w:val="IndexLink"/>
                <w:rtl w:val="true"/>
              </w:rPr>
              <w:t>‏-‏</w:t>
            </w:r>
            <w:r>
              <w:rPr>
                <w:rStyle w:val="IndexLink"/>
              </w:rPr>
              <w:t>6</w:t>
            </w:r>
            <w:r>
              <w:rPr>
                <w:rStyle w:val="IndexLink"/>
                <w:rtl w:val="true"/>
              </w:rPr>
              <w:t xml:space="preserve"> - </w:t>
            </w:r>
            <w:r>
              <w:rPr>
                <w:rStyle w:val="IndexLink"/>
                <w:rtl w:val="true"/>
              </w:rPr>
              <w:t>طحاويه</w:t>
            </w:r>
            <w:r>
              <w:rPr>
                <w:rStyle w:val="IndexLink"/>
                <w:rtl w:val="true"/>
              </w:rPr>
              <w:tab/>
            </w:r>
            <w:r>
              <w:rPr>
                <w:rStyle w:val="IndexLink"/>
              </w:rPr>
              <w:t>298</w:t>
            </w:r>
          </w:hyperlink>
        </w:p>
        <w:p>
          <w:pPr>
            <w:pStyle w:val="Contents3"/>
            <w:tabs>
              <w:tab w:val="clear" w:pos="8459"/>
              <w:tab w:val="right" w:pos="9026" w:leader="dot"/>
            </w:tabs>
            <w:rPr/>
          </w:pPr>
          <w:hyperlink w:anchor="__RefHeading___Toc8089170_2142443653">
            <w:r>
              <w:rPr>
                <w:webHidden/>
                <w:rStyle w:val="IndexLink"/>
                <w:rtl w:val="true"/>
              </w:rPr>
              <w:t>فصل چهاردهم</w:t>
            </w:r>
            <w:r>
              <w:rPr>
                <w:rStyle w:val="IndexLink"/>
                <w:rtl w:val="true"/>
              </w:rPr>
              <w:t xml:space="preserve">: </w:t>
            </w:r>
            <w:r>
              <w:rPr>
                <w:rStyle w:val="IndexLink"/>
                <w:rtl w:val="true"/>
              </w:rPr>
              <w:t xml:space="preserve">وهابيت تكفيرى </w:t>
            </w:r>
            <w:r>
              <w:rPr>
                <w:rStyle w:val="IndexLink"/>
                <w:rtl w:val="true"/>
              </w:rPr>
              <w:t>(</w:t>
            </w:r>
            <w:r>
              <w:rPr>
                <w:rStyle w:val="IndexLink"/>
                <w:rtl w:val="true"/>
              </w:rPr>
              <w:t>دوران تأسيس و تثبيت</w:t>
            </w:r>
            <w:r>
              <w:rPr>
                <w:rStyle w:val="IndexLink"/>
                <w:rtl w:val="true"/>
              </w:rPr>
              <w:t>)</w:t>
              <w:tab/>
            </w:r>
            <w:r>
              <w:rPr>
                <w:rStyle w:val="IndexLink"/>
              </w:rPr>
              <w:t>299</w:t>
            </w:r>
          </w:hyperlink>
        </w:p>
        <w:p>
          <w:pPr>
            <w:pStyle w:val="Contents4"/>
            <w:tabs>
              <w:tab w:val="clear" w:pos="8176"/>
              <w:tab w:val="right" w:pos="9026" w:leader="dot"/>
            </w:tabs>
            <w:rPr/>
          </w:pPr>
          <w:hyperlink w:anchor="__RefHeading___Toc8089172_214244365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8089174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300</w:t>
            </w:r>
          </w:hyperlink>
        </w:p>
        <w:p>
          <w:pPr>
            <w:pStyle w:val="Contents4"/>
            <w:tabs>
              <w:tab w:val="clear" w:pos="8176"/>
              <w:tab w:val="right" w:pos="9026" w:leader="dot"/>
            </w:tabs>
            <w:rPr/>
          </w:pPr>
          <w:hyperlink w:anchor="__RefHeading___Toc8089176_2142443653">
            <w:r>
              <w:rPr>
                <w:webHidden/>
                <w:rStyle w:val="IndexLink"/>
              </w:rPr>
              <w:t>2</w:t>
            </w:r>
            <w:r>
              <w:rPr>
                <w:rStyle w:val="IndexLink"/>
                <w:rtl w:val="true"/>
              </w:rPr>
              <w:t xml:space="preserve"> - </w:t>
            </w:r>
            <w:r>
              <w:rPr>
                <w:rStyle w:val="IndexLink"/>
                <w:rtl w:val="true"/>
              </w:rPr>
              <w:t>محمدبن عبدالوهاب و انديشه ى تكفير</w:t>
            </w:r>
            <w:r>
              <w:rPr>
                <w:rStyle w:val="IndexLink"/>
                <w:rtl w:val="true"/>
              </w:rPr>
              <w:tab/>
            </w:r>
            <w:r>
              <w:rPr>
                <w:rStyle w:val="IndexLink"/>
              </w:rPr>
              <w:t>300</w:t>
            </w:r>
          </w:hyperlink>
        </w:p>
        <w:p>
          <w:pPr>
            <w:pStyle w:val="Contents4"/>
            <w:tabs>
              <w:tab w:val="clear" w:pos="8176"/>
              <w:tab w:val="right" w:pos="9026" w:leader="dot"/>
            </w:tabs>
            <w:rPr/>
          </w:pPr>
          <w:hyperlink w:anchor="__RefHeading___Toc8089178_2142443653">
            <w:r>
              <w:rPr>
                <w:webHidden/>
                <w:rStyle w:val="IndexLink"/>
              </w:rPr>
              <w:t>3</w:t>
            </w:r>
            <w:r>
              <w:rPr>
                <w:rStyle w:val="IndexLink"/>
                <w:rtl w:val="true"/>
              </w:rPr>
              <w:t xml:space="preserve"> - </w:t>
            </w:r>
            <w:r>
              <w:rPr>
                <w:rStyle w:val="IndexLink"/>
                <w:rtl w:val="true"/>
              </w:rPr>
              <w:t>محمد بن عبدالوهاب و تكفير مسلمانان</w:t>
            </w:r>
            <w:r>
              <w:rPr>
                <w:rStyle w:val="IndexLink"/>
                <w:rtl w:val="true"/>
              </w:rPr>
              <w:tab/>
            </w:r>
            <w:r>
              <w:rPr>
                <w:rStyle w:val="IndexLink"/>
              </w:rPr>
              <w:t>304</w:t>
            </w:r>
          </w:hyperlink>
        </w:p>
        <w:p>
          <w:pPr>
            <w:pStyle w:val="Contents4"/>
            <w:tabs>
              <w:tab w:val="clear" w:pos="8176"/>
              <w:tab w:val="right" w:pos="9026" w:leader="dot"/>
            </w:tabs>
            <w:rPr/>
          </w:pPr>
          <w:hyperlink w:anchor="__RefHeading___Toc8089180_2142443653">
            <w:r>
              <w:rPr>
                <w:webHidden/>
                <w:rStyle w:val="IndexLink"/>
              </w:rPr>
              <w:t>4</w:t>
            </w:r>
            <w:r>
              <w:rPr>
                <w:rStyle w:val="IndexLink"/>
                <w:rtl w:val="true"/>
              </w:rPr>
              <w:t xml:space="preserve"> - </w:t>
            </w:r>
            <w:r>
              <w:rPr>
                <w:rStyle w:val="IndexLink"/>
                <w:rtl w:val="true"/>
              </w:rPr>
              <w:t>فتنه ى تكفير، ميراث محمد بن عبدالوهاب</w:t>
            </w:r>
            <w:r>
              <w:rPr>
                <w:rStyle w:val="IndexLink"/>
                <w:rtl w:val="true"/>
              </w:rPr>
              <w:tab/>
            </w:r>
            <w:r>
              <w:rPr>
                <w:rStyle w:val="IndexLink"/>
              </w:rPr>
              <w:t>312</w:t>
            </w:r>
          </w:hyperlink>
        </w:p>
        <w:p>
          <w:pPr>
            <w:pStyle w:val="Contents3"/>
            <w:tabs>
              <w:tab w:val="clear" w:pos="8459"/>
              <w:tab w:val="right" w:pos="9026" w:leader="dot"/>
            </w:tabs>
            <w:rPr/>
          </w:pPr>
          <w:hyperlink w:anchor="__RefHeading___Toc8089182_2142443653">
            <w:r>
              <w:rPr>
                <w:webHidden/>
                <w:rStyle w:val="IndexLink"/>
                <w:rtl w:val="true"/>
              </w:rPr>
              <w:t>فصل پانزدهم</w:t>
            </w:r>
            <w:r>
              <w:rPr>
                <w:rStyle w:val="IndexLink"/>
                <w:rtl w:val="true"/>
              </w:rPr>
              <w:t xml:space="preserve">: </w:t>
            </w:r>
            <w:r>
              <w:rPr>
                <w:rStyle w:val="IndexLink"/>
                <w:rtl w:val="true"/>
              </w:rPr>
              <w:t xml:space="preserve">وهابيت تكفيرى </w:t>
            </w:r>
            <w:r>
              <w:rPr>
                <w:rStyle w:val="IndexLink"/>
                <w:rtl w:val="true"/>
              </w:rPr>
              <w:t>(</w:t>
            </w:r>
            <w:r>
              <w:rPr>
                <w:rStyle w:val="IndexLink"/>
                <w:rtl w:val="true"/>
              </w:rPr>
              <w:t>دوره ى معاصر</w:t>
            </w:r>
            <w:r>
              <w:rPr>
                <w:rStyle w:val="IndexLink"/>
                <w:rtl w:val="true"/>
              </w:rPr>
              <w:t>)</w:t>
              <w:tab/>
            </w:r>
            <w:r>
              <w:rPr>
                <w:rStyle w:val="IndexLink"/>
              </w:rPr>
              <w:t>318</w:t>
            </w:r>
          </w:hyperlink>
        </w:p>
        <w:p>
          <w:pPr>
            <w:pStyle w:val="Contents4"/>
            <w:tabs>
              <w:tab w:val="clear" w:pos="8176"/>
              <w:tab w:val="right" w:pos="9026" w:leader="dot"/>
            </w:tabs>
            <w:rPr/>
          </w:pPr>
          <w:hyperlink w:anchor="__RefHeading___Toc8089184_2142443653">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8089186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319</w:t>
            </w:r>
          </w:hyperlink>
        </w:p>
        <w:p>
          <w:pPr>
            <w:pStyle w:val="Contents4"/>
            <w:tabs>
              <w:tab w:val="clear" w:pos="8176"/>
              <w:tab w:val="right" w:pos="9026" w:leader="dot"/>
            </w:tabs>
            <w:rPr/>
          </w:pPr>
          <w:hyperlink w:anchor="__RefHeading___Toc8089188_2142443653">
            <w:r>
              <w:rPr>
                <w:webHidden/>
                <w:rStyle w:val="IndexLink"/>
              </w:rPr>
              <w:t>2</w:t>
            </w:r>
            <w:r>
              <w:rPr>
                <w:rStyle w:val="IndexLink"/>
                <w:rtl w:val="true"/>
              </w:rPr>
              <w:t xml:space="preserve"> - </w:t>
            </w:r>
            <w:r>
              <w:rPr>
                <w:rStyle w:val="IndexLink"/>
                <w:rtl w:val="true"/>
              </w:rPr>
              <w:t>وهابيت و اهل سنت و جماعت</w:t>
            </w:r>
            <w:r>
              <w:rPr>
                <w:rStyle w:val="IndexLink"/>
                <w:rtl w:val="true"/>
              </w:rPr>
              <w:tab/>
            </w:r>
            <w:r>
              <w:rPr>
                <w:rStyle w:val="IndexLink"/>
              </w:rPr>
              <w:t>321</w:t>
            </w:r>
          </w:hyperlink>
        </w:p>
        <w:p>
          <w:pPr>
            <w:pStyle w:val="Contents4"/>
            <w:tabs>
              <w:tab w:val="clear" w:pos="8176"/>
              <w:tab w:val="right" w:pos="9026" w:leader="dot"/>
            </w:tabs>
            <w:rPr/>
          </w:pPr>
          <w:hyperlink w:anchor="__RefHeading___Toc8089190_2142443653">
            <w:r>
              <w:rPr>
                <w:webHidden/>
                <w:rStyle w:val="IndexLink"/>
              </w:rPr>
              <w:t>3</w:t>
            </w:r>
            <w:r>
              <w:rPr>
                <w:rStyle w:val="IndexLink"/>
                <w:rtl w:val="true"/>
              </w:rPr>
              <w:t xml:space="preserve"> - </w:t>
            </w:r>
            <w:r>
              <w:rPr>
                <w:rStyle w:val="IndexLink"/>
                <w:rtl w:val="true"/>
              </w:rPr>
              <w:t>وهابيت معاصر و شيعه</w:t>
            </w:r>
            <w:r>
              <w:rPr>
                <w:rStyle w:val="IndexLink"/>
                <w:rtl w:val="true"/>
              </w:rPr>
              <w:tab/>
            </w:r>
            <w:r>
              <w:rPr>
                <w:rStyle w:val="IndexLink"/>
              </w:rPr>
              <w:t>327</w:t>
            </w:r>
          </w:hyperlink>
        </w:p>
        <w:p>
          <w:pPr>
            <w:pStyle w:val="Contents4"/>
            <w:tabs>
              <w:tab w:val="clear" w:pos="8176"/>
              <w:tab w:val="right" w:pos="9026" w:leader="dot"/>
            </w:tabs>
            <w:rPr/>
          </w:pPr>
          <w:hyperlink w:anchor="__RefHeading___Toc8089192_2142443653">
            <w:r>
              <w:rPr>
                <w:webHidden/>
                <w:rStyle w:val="IndexLink"/>
              </w:rPr>
              <w:t>4</w:t>
            </w:r>
            <w:r>
              <w:rPr>
                <w:rStyle w:val="IndexLink"/>
                <w:rtl w:val="true"/>
              </w:rPr>
              <w:t xml:space="preserve"> - </w:t>
            </w:r>
            <w:r>
              <w:rPr>
                <w:rStyle w:val="IndexLink"/>
                <w:rtl w:val="true"/>
              </w:rPr>
              <w:t>فرق اسلامى و وهابيت تكفيرى</w:t>
            </w:r>
            <w:r>
              <w:rPr>
                <w:rStyle w:val="IndexLink"/>
                <w:rtl w:val="true"/>
              </w:rPr>
              <w:tab/>
            </w:r>
            <w:r>
              <w:rPr>
                <w:rStyle w:val="IndexLink"/>
              </w:rPr>
              <w:t>329</w:t>
            </w:r>
          </w:hyperlink>
        </w:p>
        <w:p>
          <w:pPr>
            <w:pStyle w:val="Contents4"/>
            <w:tabs>
              <w:tab w:val="clear" w:pos="8176"/>
              <w:tab w:val="right" w:pos="9026" w:leader="dot"/>
            </w:tabs>
            <w:rPr/>
          </w:pPr>
          <w:hyperlink w:anchor="__RefHeading___Toc8089194_2142443653">
            <w:r>
              <w:rPr>
                <w:webHidden/>
                <w:rStyle w:val="IndexLink"/>
              </w:rPr>
              <w:t>5</w:t>
            </w:r>
            <w:r>
              <w:rPr>
                <w:rStyle w:val="IndexLink"/>
                <w:rtl w:val="true"/>
              </w:rPr>
              <w:t xml:space="preserve"> - </w:t>
            </w:r>
            <w:r>
              <w:rPr>
                <w:rStyle w:val="IndexLink"/>
                <w:rtl w:val="true"/>
              </w:rPr>
              <w:t>محمد بن عبدالوهاب از چشم برادر</w:t>
            </w:r>
            <w:r>
              <w:rPr>
                <w:rStyle w:val="IndexLink"/>
                <w:rtl w:val="true"/>
              </w:rPr>
              <w:tab/>
            </w:r>
            <w:r>
              <w:rPr>
                <w:rStyle w:val="IndexLink"/>
              </w:rPr>
              <w:t>333</w:t>
            </w:r>
          </w:hyperlink>
        </w:p>
        <w:p>
          <w:pPr>
            <w:pStyle w:val="Contents4"/>
            <w:tabs>
              <w:tab w:val="clear" w:pos="8176"/>
              <w:tab w:val="right" w:pos="9026" w:leader="dot"/>
            </w:tabs>
            <w:rPr/>
          </w:pPr>
          <w:hyperlink w:anchor="__RefHeading___Toc8089196_2142443653">
            <w:r>
              <w:rPr>
                <w:webHidden/>
                <w:rStyle w:val="IndexLink"/>
              </w:rPr>
              <w:t>6</w:t>
            </w:r>
            <w:r>
              <w:rPr>
                <w:rStyle w:val="IndexLink"/>
                <w:rtl w:val="true"/>
              </w:rPr>
              <w:t xml:space="preserve"> - </w:t>
            </w:r>
            <w:r>
              <w:rPr>
                <w:rStyle w:val="IndexLink"/>
                <w:rtl w:val="true"/>
              </w:rPr>
              <w:t>وهابيان، خوارج معاصر</w:t>
            </w:r>
            <w:r>
              <w:rPr>
                <w:rStyle w:val="IndexLink"/>
                <w:rtl w:val="true"/>
              </w:rPr>
              <w:tab/>
            </w:r>
            <w:r>
              <w:rPr>
                <w:rStyle w:val="IndexLink"/>
              </w:rPr>
              <w:t>334</w:t>
            </w:r>
          </w:hyperlink>
        </w:p>
        <w:p>
          <w:pPr>
            <w:pStyle w:val="Contents3"/>
            <w:tabs>
              <w:tab w:val="clear" w:pos="8459"/>
              <w:tab w:val="right" w:pos="9026" w:leader="dot"/>
            </w:tabs>
            <w:rPr/>
          </w:pPr>
          <w:hyperlink w:anchor="__RefHeading___Toc8089198_2142443653">
            <w:r>
              <w:rPr>
                <w:webHidden/>
                <w:rStyle w:val="IndexLink"/>
                <w:rtl w:val="true"/>
              </w:rPr>
              <w:t>نتيجه ى بخش دوم</w:t>
            </w:r>
            <w:r>
              <w:rPr>
                <w:rStyle w:val="IndexLink"/>
                <w:rtl w:val="true"/>
              </w:rPr>
              <w:tab/>
            </w:r>
            <w:r>
              <w:rPr>
                <w:rStyle w:val="IndexLink"/>
              </w:rPr>
              <w:t>337</w:t>
            </w:r>
          </w:hyperlink>
        </w:p>
        <w:p>
          <w:pPr>
            <w:pStyle w:val="Contents2"/>
            <w:tabs>
              <w:tab w:val="clear" w:pos="8743"/>
              <w:tab w:val="right" w:pos="9026" w:leader="dot"/>
            </w:tabs>
            <w:rPr/>
          </w:pPr>
          <w:hyperlink w:anchor="__RefHeading___Toc8089200_2142443653">
            <w:r>
              <w:rPr>
                <w:webHidden/>
                <w:rStyle w:val="IndexLink"/>
                <w:rtl w:val="true"/>
              </w:rPr>
              <w:t>بخش سوم</w:t>
            </w:r>
            <w:r>
              <w:rPr>
                <w:rStyle w:val="IndexLink"/>
                <w:rtl w:val="true"/>
              </w:rPr>
              <w:t xml:space="preserve">: </w:t>
            </w:r>
            <w:r>
              <w:rPr>
                <w:rStyle w:val="IndexLink"/>
                <w:rtl w:val="true"/>
              </w:rPr>
              <w:t>بدعت</w:t>
            </w:r>
            <w:r>
              <w:rPr>
                <w:rStyle w:val="IndexLink"/>
                <w:rtl w:val="true"/>
              </w:rPr>
              <w:tab/>
            </w:r>
            <w:r>
              <w:rPr>
                <w:rStyle w:val="IndexLink"/>
              </w:rPr>
              <w:t>338</w:t>
            </w:r>
          </w:hyperlink>
        </w:p>
        <w:p>
          <w:pPr>
            <w:pStyle w:val="Contents3"/>
            <w:tabs>
              <w:tab w:val="clear" w:pos="8459"/>
              <w:tab w:val="right" w:pos="9026" w:leader="dot"/>
            </w:tabs>
            <w:rPr/>
          </w:pPr>
          <w:hyperlink w:anchor="__RefHeading___Toc8089202_2142443653">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8089204_2142443653">
            <w:r>
              <w:rPr>
                <w:webHidden/>
                <w:rStyle w:val="IndexLink"/>
                <w:rtl w:val="true"/>
              </w:rPr>
              <w:t>فصل شانزدهم</w:t>
            </w:r>
            <w:r>
              <w:rPr>
                <w:rStyle w:val="IndexLink"/>
                <w:rtl w:val="true"/>
              </w:rPr>
              <w:t xml:space="preserve">: </w:t>
            </w:r>
            <w:r>
              <w:rPr>
                <w:rStyle w:val="IndexLink"/>
                <w:rtl w:val="true"/>
              </w:rPr>
              <w:t>بدعت در انديشه ى اسلامى</w:t>
            </w:r>
            <w:r>
              <w:rPr>
                <w:rStyle w:val="IndexLink"/>
                <w:rtl w:val="true"/>
              </w:rPr>
              <w:tab/>
            </w:r>
            <w:r>
              <w:rPr>
                <w:rStyle w:val="IndexLink"/>
              </w:rPr>
              <w:t>340</w:t>
            </w:r>
          </w:hyperlink>
        </w:p>
        <w:p>
          <w:pPr>
            <w:pStyle w:val="Contents4"/>
            <w:tabs>
              <w:tab w:val="clear" w:pos="8176"/>
              <w:tab w:val="right" w:pos="9026" w:leader="dot"/>
            </w:tabs>
            <w:rPr/>
          </w:pPr>
          <w:hyperlink w:anchor="__RefHeading___Toc8089206_2142443653">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8089208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341</w:t>
            </w:r>
          </w:hyperlink>
        </w:p>
        <w:p>
          <w:pPr>
            <w:pStyle w:val="Contents4"/>
            <w:tabs>
              <w:tab w:val="clear" w:pos="8176"/>
              <w:tab w:val="right" w:pos="9026" w:leader="dot"/>
            </w:tabs>
            <w:rPr/>
          </w:pPr>
          <w:hyperlink w:anchor="__RefHeading___Toc8089210_2142443653">
            <w:r>
              <w:rPr>
                <w:webHidden/>
                <w:rStyle w:val="IndexLink"/>
              </w:rPr>
              <w:t>2</w:t>
            </w:r>
            <w:r>
              <w:rPr>
                <w:rStyle w:val="IndexLink"/>
                <w:rtl w:val="true"/>
              </w:rPr>
              <w:t xml:space="preserve"> - </w:t>
            </w:r>
            <w:r>
              <w:rPr>
                <w:rStyle w:val="IndexLink"/>
                <w:rtl w:val="true"/>
              </w:rPr>
              <w:t>واژه شناسى</w:t>
            </w:r>
            <w:r>
              <w:rPr>
                <w:rStyle w:val="IndexLink"/>
                <w:rtl w:val="true"/>
              </w:rPr>
              <w:tab/>
            </w:r>
            <w:r>
              <w:rPr>
                <w:rStyle w:val="IndexLink"/>
              </w:rPr>
              <w:t>341</w:t>
            </w:r>
          </w:hyperlink>
        </w:p>
        <w:p>
          <w:pPr>
            <w:pStyle w:val="Contents4"/>
            <w:tabs>
              <w:tab w:val="clear" w:pos="8176"/>
              <w:tab w:val="right" w:pos="9026" w:leader="dot"/>
            </w:tabs>
            <w:rPr/>
          </w:pPr>
          <w:hyperlink w:anchor="__RefHeading___Toc8089212_2142443653">
            <w:r>
              <w:rPr>
                <w:webHidden/>
                <w:rStyle w:val="IndexLink"/>
              </w:rPr>
              <w:t>3</w:t>
            </w:r>
            <w:r>
              <w:rPr>
                <w:rStyle w:val="IndexLink"/>
                <w:rtl w:val="true"/>
              </w:rPr>
              <w:t xml:space="preserve"> - </w:t>
            </w:r>
            <w:r>
              <w:rPr>
                <w:rStyle w:val="IndexLink"/>
                <w:rtl w:val="true"/>
              </w:rPr>
              <w:t>معناى اصطلاحى</w:t>
            </w:r>
            <w:r>
              <w:rPr>
                <w:rStyle w:val="IndexLink"/>
                <w:rtl w:val="true"/>
              </w:rPr>
              <w:tab/>
            </w:r>
            <w:r>
              <w:rPr>
                <w:rStyle w:val="IndexLink"/>
              </w:rPr>
              <w:t>343</w:t>
            </w:r>
          </w:hyperlink>
        </w:p>
        <w:p>
          <w:pPr>
            <w:pStyle w:val="Contents4"/>
            <w:tabs>
              <w:tab w:val="clear" w:pos="8176"/>
              <w:tab w:val="right" w:pos="9026" w:leader="dot"/>
            </w:tabs>
            <w:rPr/>
          </w:pPr>
          <w:hyperlink w:anchor="__RefHeading___Toc8089214_2142443653">
            <w:r>
              <w:rPr>
                <w:webHidden/>
                <w:rStyle w:val="IndexLink"/>
              </w:rPr>
              <w:t>4</w:t>
            </w:r>
            <w:r>
              <w:rPr>
                <w:rStyle w:val="IndexLink"/>
                <w:rtl w:val="true"/>
              </w:rPr>
              <w:t xml:space="preserve"> - </w:t>
            </w:r>
            <w:r>
              <w:rPr>
                <w:rStyle w:val="IndexLink"/>
                <w:rtl w:val="true"/>
              </w:rPr>
              <w:t>بدعت در برابر سنت</w:t>
            </w:r>
            <w:r>
              <w:rPr>
                <w:rStyle w:val="IndexLink"/>
                <w:rtl w:val="true"/>
              </w:rPr>
              <w:tab/>
            </w:r>
            <w:r>
              <w:rPr>
                <w:rStyle w:val="IndexLink"/>
              </w:rPr>
              <w:t>345</w:t>
            </w:r>
          </w:hyperlink>
        </w:p>
        <w:p>
          <w:pPr>
            <w:pStyle w:val="Contents4"/>
            <w:tabs>
              <w:tab w:val="clear" w:pos="8176"/>
              <w:tab w:val="right" w:pos="9026" w:leader="dot"/>
            </w:tabs>
            <w:rPr/>
          </w:pPr>
          <w:hyperlink w:anchor="__RefHeading___Toc8089216_2142443653">
            <w:r>
              <w:rPr>
                <w:webHidden/>
                <w:rStyle w:val="IndexLink"/>
              </w:rPr>
              <w:t>5</w:t>
            </w:r>
            <w:r>
              <w:rPr>
                <w:rStyle w:val="IndexLink"/>
                <w:rtl w:val="true"/>
              </w:rPr>
              <w:t xml:space="preserve"> - </w:t>
            </w:r>
            <w:r>
              <w:rPr>
                <w:rStyle w:val="IndexLink"/>
                <w:rtl w:val="true"/>
              </w:rPr>
              <w:t>بدعت در قرآن</w:t>
            </w:r>
            <w:r>
              <w:rPr>
                <w:rStyle w:val="IndexLink"/>
                <w:rtl w:val="true"/>
              </w:rPr>
              <w:tab/>
            </w:r>
            <w:r>
              <w:rPr>
                <w:rStyle w:val="IndexLink"/>
              </w:rPr>
              <w:t>346</w:t>
            </w:r>
          </w:hyperlink>
        </w:p>
        <w:p>
          <w:pPr>
            <w:pStyle w:val="Contents5"/>
            <w:tabs>
              <w:tab w:val="clear" w:pos="7892"/>
              <w:tab w:val="right" w:pos="9026" w:leader="dot"/>
            </w:tabs>
            <w:rPr/>
          </w:pPr>
          <w:hyperlink w:anchor="__RefHeading___Toc8089218_2142443653">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8089220_2142443653">
            <w:r>
              <w:rPr>
                <w:webHidden/>
                <w:rStyle w:val="IndexLink"/>
              </w:rPr>
              <w:t>1</w:t>
            </w:r>
            <w:r>
              <w:rPr>
                <w:rStyle w:val="IndexLink"/>
                <w:rtl w:val="true"/>
              </w:rPr>
              <w:t>‏-‏</w:t>
            </w:r>
            <w:r>
              <w:rPr>
                <w:rStyle w:val="IndexLink"/>
              </w:rPr>
              <w:t>5</w:t>
            </w:r>
            <w:r>
              <w:rPr>
                <w:rStyle w:val="IndexLink"/>
                <w:rtl w:val="true"/>
              </w:rPr>
              <w:t xml:space="preserve"> - </w:t>
            </w:r>
            <w:r>
              <w:rPr>
                <w:rStyle w:val="IndexLink"/>
                <w:rtl w:val="true"/>
              </w:rPr>
              <w:t>تشريع، فقط مخصوص خداست</w:t>
            </w:r>
            <w:r>
              <w:rPr>
                <w:rStyle w:val="IndexLink"/>
                <w:rtl w:val="true"/>
              </w:rPr>
              <w:tab/>
            </w:r>
            <w:r>
              <w:rPr>
                <w:rStyle w:val="IndexLink"/>
              </w:rPr>
              <w:t>346</w:t>
            </w:r>
          </w:hyperlink>
        </w:p>
        <w:p>
          <w:pPr>
            <w:pStyle w:val="Contents5"/>
            <w:tabs>
              <w:tab w:val="clear" w:pos="7892"/>
              <w:tab w:val="right" w:pos="9026" w:leader="dot"/>
            </w:tabs>
            <w:rPr/>
          </w:pPr>
          <w:hyperlink w:anchor="__RefHeading___Toc8089222_2142443653">
            <w:r>
              <w:rPr>
                <w:webHidden/>
                <w:rStyle w:val="IndexLink"/>
              </w:rPr>
              <w:t>2</w:t>
            </w:r>
            <w:r>
              <w:rPr>
                <w:rStyle w:val="IndexLink"/>
                <w:rtl w:val="true"/>
              </w:rPr>
              <w:t>‏-‏</w:t>
            </w:r>
            <w:r>
              <w:rPr>
                <w:rStyle w:val="IndexLink"/>
              </w:rPr>
              <w:t>5</w:t>
            </w:r>
            <w:r>
              <w:rPr>
                <w:rStyle w:val="IndexLink"/>
                <w:rtl w:val="true"/>
              </w:rPr>
              <w:t xml:space="preserve"> - </w:t>
            </w:r>
            <w:r>
              <w:rPr>
                <w:rStyle w:val="IndexLink"/>
                <w:rtl w:val="true"/>
              </w:rPr>
              <w:t>نكوهش بدعت در قرآن</w:t>
            </w:r>
            <w:r>
              <w:rPr>
                <w:rStyle w:val="IndexLink"/>
                <w:rtl w:val="true"/>
              </w:rPr>
              <w:tab/>
            </w:r>
            <w:r>
              <w:rPr>
                <w:rStyle w:val="IndexLink"/>
              </w:rPr>
              <w:t>348</w:t>
            </w:r>
          </w:hyperlink>
        </w:p>
        <w:p>
          <w:pPr>
            <w:pStyle w:val="Contents5"/>
            <w:tabs>
              <w:tab w:val="clear" w:pos="7892"/>
              <w:tab w:val="right" w:pos="9026" w:leader="dot"/>
            </w:tabs>
            <w:rPr/>
          </w:pPr>
          <w:hyperlink w:anchor="__RefHeading___Toc8089224_2142443653">
            <w:r>
              <w:rPr>
                <w:webHidden/>
                <w:rStyle w:val="IndexLink"/>
              </w:rPr>
              <w:t>3</w:t>
            </w:r>
            <w:r>
              <w:rPr>
                <w:rStyle w:val="IndexLink"/>
                <w:rtl w:val="true"/>
              </w:rPr>
              <w:t>‏-‏</w:t>
            </w:r>
            <w:r>
              <w:rPr>
                <w:rStyle w:val="IndexLink"/>
              </w:rPr>
              <w:t>5</w:t>
            </w:r>
            <w:r>
              <w:rPr>
                <w:rStyle w:val="IndexLink"/>
                <w:rtl w:val="true"/>
              </w:rPr>
              <w:t xml:space="preserve"> - </w:t>
            </w:r>
            <w:r>
              <w:rPr>
                <w:rStyle w:val="IndexLink"/>
                <w:rtl w:val="true"/>
              </w:rPr>
              <w:t>مصاديق بدعت در قرآن</w:t>
            </w:r>
            <w:r>
              <w:rPr>
                <w:rStyle w:val="IndexLink"/>
                <w:rtl w:val="true"/>
              </w:rPr>
              <w:tab/>
            </w:r>
            <w:r>
              <w:rPr>
                <w:rStyle w:val="IndexLink"/>
              </w:rPr>
              <w:t>348</w:t>
            </w:r>
          </w:hyperlink>
        </w:p>
        <w:p>
          <w:pPr>
            <w:pStyle w:val="Contents4"/>
            <w:tabs>
              <w:tab w:val="clear" w:pos="8176"/>
              <w:tab w:val="right" w:pos="9026" w:leader="dot"/>
            </w:tabs>
            <w:rPr/>
          </w:pPr>
          <w:hyperlink w:anchor="__RefHeading___Toc8089226_2142443653">
            <w:r>
              <w:rPr>
                <w:webHidden/>
                <w:rStyle w:val="IndexLink"/>
              </w:rPr>
              <w:t>6</w:t>
            </w:r>
            <w:r>
              <w:rPr>
                <w:rStyle w:val="IndexLink"/>
                <w:rtl w:val="true"/>
              </w:rPr>
              <w:t xml:space="preserve"> - </w:t>
            </w:r>
            <w:r>
              <w:rPr>
                <w:rStyle w:val="IndexLink"/>
                <w:rtl w:val="true"/>
              </w:rPr>
              <w:t>بدعت در روايات</w:t>
            </w:r>
            <w:r>
              <w:rPr>
                <w:rStyle w:val="IndexLink"/>
                <w:rtl w:val="true"/>
              </w:rPr>
              <w:tab/>
            </w:r>
            <w:r>
              <w:rPr>
                <w:rStyle w:val="IndexLink"/>
              </w:rPr>
              <w:t>351</w:t>
            </w:r>
          </w:hyperlink>
        </w:p>
        <w:p>
          <w:pPr>
            <w:pStyle w:val="Contents4"/>
            <w:tabs>
              <w:tab w:val="clear" w:pos="8176"/>
              <w:tab w:val="right" w:pos="9026" w:leader="dot"/>
            </w:tabs>
            <w:rPr/>
          </w:pPr>
          <w:hyperlink w:anchor="__RefHeading___Toc8089228_2142443653">
            <w:r>
              <w:rPr>
                <w:webHidden/>
                <w:rStyle w:val="IndexLink"/>
              </w:rPr>
              <w:t>7</w:t>
            </w:r>
            <w:r>
              <w:rPr>
                <w:rStyle w:val="IndexLink"/>
                <w:rtl w:val="true"/>
              </w:rPr>
              <w:t xml:space="preserve"> - </w:t>
            </w:r>
            <w:r>
              <w:rPr>
                <w:rStyle w:val="IndexLink"/>
                <w:rtl w:val="true"/>
              </w:rPr>
              <w:t>بدعت و مقتضيات زمان</w:t>
            </w:r>
            <w:r>
              <w:rPr>
                <w:rStyle w:val="IndexLink"/>
                <w:rtl w:val="true"/>
              </w:rPr>
              <w:tab/>
            </w:r>
            <w:r>
              <w:rPr>
                <w:rStyle w:val="IndexLink"/>
              </w:rPr>
              <w:t>352</w:t>
            </w:r>
          </w:hyperlink>
        </w:p>
        <w:p>
          <w:pPr>
            <w:pStyle w:val="Contents4"/>
            <w:tabs>
              <w:tab w:val="clear" w:pos="8176"/>
              <w:tab w:val="right" w:pos="9026" w:leader="dot"/>
            </w:tabs>
            <w:rPr/>
          </w:pPr>
          <w:hyperlink w:anchor="__RefHeading___Toc8089230_2142443653">
            <w:r>
              <w:rPr>
                <w:webHidden/>
                <w:rStyle w:val="IndexLink"/>
              </w:rPr>
              <w:t>8</w:t>
            </w:r>
            <w:r>
              <w:rPr>
                <w:rStyle w:val="IndexLink"/>
                <w:rtl w:val="true"/>
              </w:rPr>
              <w:t xml:space="preserve"> - </w:t>
            </w:r>
            <w:r>
              <w:rPr>
                <w:rStyle w:val="IndexLink"/>
                <w:rtl w:val="true"/>
              </w:rPr>
              <w:t>اركان بدعت</w:t>
            </w:r>
            <w:r>
              <w:rPr>
                <w:rStyle w:val="IndexLink"/>
                <w:rtl w:val="true"/>
              </w:rPr>
              <w:tab/>
            </w:r>
            <w:r>
              <w:rPr>
                <w:rStyle w:val="IndexLink"/>
              </w:rPr>
              <w:t>355</w:t>
            </w:r>
          </w:hyperlink>
        </w:p>
        <w:p>
          <w:pPr>
            <w:pStyle w:val="Contents5"/>
            <w:tabs>
              <w:tab w:val="clear" w:pos="7892"/>
              <w:tab w:val="right" w:pos="9026" w:leader="dot"/>
            </w:tabs>
            <w:rPr/>
          </w:pPr>
          <w:hyperlink w:anchor="__RefHeading___Toc8089232_2142443653">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8089234_2142443653">
            <w:r>
              <w:rPr>
                <w:webHidden/>
                <w:rStyle w:val="IndexLink"/>
              </w:rPr>
              <w:t>1</w:t>
            </w:r>
            <w:r>
              <w:rPr>
                <w:rStyle w:val="IndexLink"/>
                <w:rtl w:val="true"/>
              </w:rPr>
              <w:t>‏-‏</w:t>
            </w:r>
            <w:r>
              <w:rPr>
                <w:rStyle w:val="IndexLink"/>
              </w:rPr>
              <w:t>8</w:t>
            </w:r>
            <w:r>
              <w:rPr>
                <w:rStyle w:val="IndexLink"/>
                <w:rtl w:val="true"/>
              </w:rPr>
              <w:t xml:space="preserve"> - </w:t>
            </w:r>
            <w:r>
              <w:rPr>
                <w:rStyle w:val="IndexLink"/>
                <w:rtl w:val="true"/>
              </w:rPr>
              <w:t>تصرف در دين</w:t>
            </w:r>
            <w:r>
              <w:rPr>
                <w:rStyle w:val="IndexLink"/>
                <w:rtl w:val="true"/>
              </w:rPr>
              <w:tab/>
            </w:r>
            <w:r>
              <w:rPr>
                <w:rStyle w:val="IndexLink"/>
              </w:rPr>
              <w:t>355</w:t>
            </w:r>
          </w:hyperlink>
        </w:p>
        <w:p>
          <w:pPr>
            <w:pStyle w:val="Contents5"/>
            <w:tabs>
              <w:tab w:val="clear" w:pos="7892"/>
              <w:tab w:val="right" w:pos="9026" w:leader="dot"/>
            </w:tabs>
            <w:rPr/>
          </w:pPr>
          <w:hyperlink w:anchor="__RefHeading___Toc8089236_2142443653">
            <w:r>
              <w:rPr>
                <w:webHidden/>
                <w:rStyle w:val="IndexLink"/>
              </w:rPr>
              <w:t>2</w:t>
            </w:r>
            <w:r>
              <w:rPr>
                <w:rStyle w:val="IndexLink"/>
                <w:rtl w:val="true"/>
              </w:rPr>
              <w:t>‏-‏</w:t>
            </w:r>
            <w:r>
              <w:rPr>
                <w:rStyle w:val="IndexLink"/>
              </w:rPr>
              <w:t>8</w:t>
            </w:r>
            <w:r>
              <w:rPr>
                <w:rStyle w:val="IndexLink"/>
                <w:rtl w:val="true"/>
              </w:rPr>
              <w:t xml:space="preserve"> - </w:t>
            </w:r>
            <w:r>
              <w:rPr>
                <w:rStyle w:val="IndexLink"/>
                <w:rtl w:val="true"/>
              </w:rPr>
              <w:t>فقدان نص</w:t>
            </w:r>
            <w:r>
              <w:rPr>
                <w:rStyle w:val="IndexLink"/>
                <w:rtl w:val="true"/>
              </w:rPr>
              <w:tab/>
            </w:r>
            <w:r>
              <w:rPr>
                <w:rStyle w:val="IndexLink"/>
              </w:rPr>
              <w:t>356</w:t>
            </w:r>
          </w:hyperlink>
        </w:p>
        <w:p>
          <w:pPr>
            <w:pStyle w:val="Contents5"/>
            <w:tabs>
              <w:tab w:val="clear" w:pos="7892"/>
              <w:tab w:val="right" w:pos="9026" w:leader="dot"/>
            </w:tabs>
            <w:rPr/>
          </w:pPr>
          <w:hyperlink w:anchor="__RefHeading___Toc8089238_2142443653">
            <w:r>
              <w:rPr>
                <w:webHidden/>
                <w:rStyle w:val="IndexLink"/>
              </w:rPr>
              <w:t>3</w:t>
            </w:r>
            <w:r>
              <w:rPr>
                <w:rStyle w:val="IndexLink"/>
                <w:rtl w:val="true"/>
              </w:rPr>
              <w:t>‏-‏</w:t>
            </w:r>
            <w:r>
              <w:rPr>
                <w:rStyle w:val="IndexLink"/>
              </w:rPr>
              <w:t>8</w:t>
            </w:r>
            <w:r>
              <w:rPr>
                <w:rStyle w:val="IndexLink"/>
                <w:rtl w:val="true"/>
              </w:rPr>
              <w:t xml:space="preserve"> - </w:t>
            </w:r>
            <w:r>
              <w:rPr>
                <w:rStyle w:val="IndexLink"/>
                <w:rtl w:val="true"/>
              </w:rPr>
              <w:t xml:space="preserve">فقدان اصل </w:t>
            </w:r>
            <w:r>
              <w:rPr>
                <w:rStyle w:val="IndexLink"/>
                <w:rtl w:val="true"/>
              </w:rPr>
              <w:t>(</w:t>
            </w:r>
            <w:r>
              <w:rPr>
                <w:rStyle w:val="IndexLink"/>
                <w:rtl w:val="true"/>
              </w:rPr>
              <w:t>عام</w:t>
            </w:r>
            <w:r>
              <w:rPr>
                <w:rStyle w:val="IndexLink"/>
                <w:rtl w:val="true"/>
              </w:rPr>
              <w:t>)</w:t>
              <w:tab/>
            </w:r>
            <w:r>
              <w:rPr>
                <w:rStyle w:val="IndexLink"/>
              </w:rPr>
              <w:t>357</w:t>
            </w:r>
          </w:hyperlink>
        </w:p>
        <w:p>
          <w:pPr>
            <w:pStyle w:val="Contents3"/>
            <w:tabs>
              <w:tab w:val="clear" w:pos="8459"/>
              <w:tab w:val="right" w:pos="9026" w:leader="dot"/>
            </w:tabs>
            <w:rPr/>
          </w:pPr>
          <w:hyperlink w:anchor="__RefHeading___Toc8089240_2142443653">
            <w:r>
              <w:rPr>
                <w:webHidden/>
                <w:rStyle w:val="IndexLink"/>
                <w:rtl w:val="true"/>
              </w:rPr>
              <w:t>فصل هفدهم</w:t>
            </w:r>
            <w:r>
              <w:rPr>
                <w:rStyle w:val="IndexLink"/>
                <w:rtl w:val="true"/>
              </w:rPr>
              <w:t xml:space="preserve">: </w:t>
            </w:r>
            <w:r>
              <w:rPr>
                <w:rStyle w:val="IndexLink"/>
                <w:rtl w:val="true"/>
              </w:rPr>
              <w:t>بدعت و قابليت تقسيم</w:t>
            </w:r>
            <w:r>
              <w:rPr>
                <w:rStyle w:val="IndexLink"/>
                <w:rtl w:val="true"/>
              </w:rPr>
              <w:tab/>
            </w:r>
            <w:r>
              <w:rPr>
                <w:rStyle w:val="IndexLink"/>
              </w:rPr>
              <w:t>361</w:t>
            </w:r>
          </w:hyperlink>
        </w:p>
        <w:p>
          <w:pPr>
            <w:pStyle w:val="Contents4"/>
            <w:tabs>
              <w:tab w:val="clear" w:pos="8176"/>
              <w:tab w:val="right" w:pos="9026" w:leader="dot"/>
            </w:tabs>
            <w:rPr/>
          </w:pPr>
          <w:hyperlink w:anchor="__RefHeading___Toc8089242_2142443653">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8089244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362</w:t>
            </w:r>
          </w:hyperlink>
        </w:p>
        <w:p>
          <w:pPr>
            <w:pStyle w:val="Contents4"/>
            <w:tabs>
              <w:tab w:val="clear" w:pos="8176"/>
              <w:tab w:val="right" w:pos="9026" w:leader="dot"/>
            </w:tabs>
            <w:rPr/>
          </w:pPr>
          <w:hyperlink w:anchor="__RefHeading___Toc8089246_2142443653">
            <w:r>
              <w:rPr>
                <w:webHidden/>
                <w:rStyle w:val="IndexLink"/>
              </w:rPr>
              <w:t>2</w:t>
            </w:r>
            <w:r>
              <w:rPr>
                <w:rStyle w:val="IndexLink"/>
                <w:rtl w:val="true"/>
              </w:rPr>
              <w:t xml:space="preserve"> - </w:t>
            </w:r>
            <w:r>
              <w:rPr>
                <w:rStyle w:val="IndexLink"/>
                <w:rtl w:val="true"/>
              </w:rPr>
              <w:t>بدعت و قابليت انقسام</w:t>
            </w:r>
            <w:r>
              <w:rPr>
                <w:rStyle w:val="IndexLink"/>
                <w:rtl w:val="true"/>
              </w:rPr>
              <w:tab/>
            </w:r>
            <w:r>
              <w:rPr>
                <w:rStyle w:val="IndexLink"/>
              </w:rPr>
              <w:t>362</w:t>
            </w:r>
          </w:hyperlink>
        </w:p>
        <w:p>
          <w:pPr>
            <w:pStyle w:val="Contents4"/>
            <w:tabs>
              <w:tab w:val="clear" w:pos="8176"/>
              <w:tab w:val="right" w:pos="9026" w:leader="dot"/>
            </w:tabs>
            <w:rPr/>
          </w:pPr>
          <w:hyperlink w:anchor="__RefHeading___Toc8089248_2142443653">
            <w:r>
              <w:rPr>
                <w:webHidden/>
                <w:rStyle w:val="IndexLink"/>
              </w:rPr>
              <w:t>3</w:t>
            </w:r>
            <w:r>
              <w:rPr>
                <w:rStyle w:val="IndexLink"/>
                <w:rtl w:val="true"/>
              </w:rPr>
              <w:t xml:space="preserve"> - </w:t>
            </w:r>
            <w:r>
              <w:rPr>
                <w:rStyle w:val="IndexLink"/>
                <w:rtl w:val="true"/>
              </w:rPr>
              <w:t>بدعت خوب و بد</w:t>
            </w:r>
            <w:r>
              <w:rPr>
                <w:rStyle w:val="IndexLink"/>
                <w:rtl w:val="true"/>
              </w:rPr>
              <w:tab/>
            </w:r>
            <w:r>
              <w:rPr>
                <w:rStyle w:val="IndexLink"/>
              </w:rPr>
              <w:t>363</w:t>
            </w:r>
          </w:hyperlink>
        </w:p>
        <w:p>
          <w:pPr>
            <w:pStyle w:val="Contents4"/>
            <w:tabs>
              <w:tab w:val="clear" w:pos="8176"/>
              <w:tab w:val="right" w:pos="9026" w:leader="dot"/>
            </w:tabs>
            <w:rPr/>
          </w:pPr>
          <w:hyperlink w:anchor="__RefHeading___Toc8089250_2142443653">
            <w:r>
              <w:rPr>
                <w:webHidden/>
                <w:rStyle w:val="IndexLink"/>
              </w:rPr>
              <w:t>4</w:t>
            </w:r>
            <w:r>
              <w:rPr>
                <w:rStyle w:val="IndexLink"/>
                <w:rtl w:val="true"/>
              </w:rPr>
              <w:t xml:space="preserve"> - </w:t>
            </w:r>
            <w:r>
              <w:rPr>
                <w:rStyle w:val="IndexLink"/>
                <w:rtl w:val="true"/>
              </w:rPr>
              <w:t>تقسيم بدعت به احكام پنج گانه</w:t>
            </w:r>
            <w:r>
              <w:rPr>
                <w:rStyle w:val="IndexLink"/>
                <w:rtl w:val="true"/>
              </w:rPr>
              <w:tab/>
            </w:r>
            <w:r>
              <w:rPr>
                <w:rStyle w:val="IndexLink"/>
              </w:rPr>
              <w:t>367</w:t>
            </w:r>
          </w:hyperlink>
        </w:p>
        <w:p>
          <w:pPr>
            <w:pStyle w:val="Contents4"/>
            <w:tabs>
              <w:tab w:val="clear" w:pos="8176"/>
              <w:tab w:val="right" w:pos="9026" w:leader="dot"/>
            </w:tabs>
            <w:rPr/>
          </w:pPr>
          <w:hyperlink w:anchor="__RefHeading___Toc8089252_2142443653">
            <w:r>
              <w:rPr>
                <w:webHidden/>
                <w:rStyle w:val="IndexLink"/>
              </w:rPr>
              <w:t>5</w:t>
            </w:r>
            <w:r>
              <w:rPr>
                <w:rStyle w:val="IndexLink"/>
                <w:rtl w:val="true"/>
              </w:rPr>
              <w:t xml:space="preserve"> - </w:t>
            </w:r>
            <w:r>
              <w:rPr>
                <w:rStyle w:val="IndexLink"/>
                <w:rtl w:val="true"/>
              </w:rPr>
              <w:t>بدعت حقيقى و اضافى</w:t>
            </w:r>
            <w:r>
              <w:rPr>
                <w:rStyle w:val="IndexLink"/>
                <w:rtl w:val="true"/>
              </w:rPr>
              <w:tab/>
            </w:r>
            <w:r>
              <w:rPr>
                <w:rStyle w:val="IndexLink"/>
              </w:rPr>
              <w:t>371</w:t>
            </w:r>
          </w:hyperlink>
        </w:p>
        <w:p>
          <w:pPr>
            <w:pStyle w:val="Contents4"/>
            <w:tabs>
              <w:tab w:val="clear" w:pos="8176"/>
              <w:tab w:val="right" w:pos="9026" w:leader="dot"/>
            </w:tabs>
            <w:rPr/>
          </w:pPr>
          <w:hyperlink w:anchor="__RefHeading___Toc8089254_2142443653">
            <w:r>
              <w:rPr>
                <w:webHidden/>
                <w:rStyle w:val="IndexLink"/>
              </w:rPr>
              <w:t>6</w:t>
            </w:r>
            <w:r>
              <w:rPr>
                <w:rStyle w:val="IndexLink"/>
                <w:rtl w:val="true"/>
              </w:rPr>
              <w:t xml:space="preserve"> - </w:t>
            </w:r>
            <w:r>
              <w:rPr>
                <w:rStyle w:val="IndexLink"/>
                <w:rtl w:val="true"/>
              </w:rPr>
              <w:t>ديدگاه عدم تقسيم</w:t>
            </w:r>
            <w:r>
              <w:rPr>
                <w:rStyle w:val="IndexLink"/>
                <w:rtl w:val="true"/>
              </w:rPr>
              <w:tab/>
            </w:r>
            <w:r>
              <w:rPr>
                <w:rStyle w:val="IndexLink"/>
              </w:rPr>
              <w:t>375</w:t>
            </w:r>
          </w:hyperlink>
        </w:p>
        <w:p>
          <w:pPr>
            <w:pStyle w:val="Contents3"/>
            <w:tabs>
              <w:tab w:val="clear" w:pos="8459"/>
              <w:tab w:val="right" w:pos="9026" w:leader="dot"/>
            </w:tabs>
            <w:rPr/>
          </w:pPr>
          <w:hyperlink w:anchor="__RefHeading___Toc8089256_2142443653">
            <w:r>
              <w:rPr>
                <w:webHidden/>
                <w:rStyle w:val="IndexLink"/>
                <w:rtl w:val="true"/>
              </w:rPr>
              <w:t>فصل هجدهم</w:t>
            </w:r>
            <w:r>
              <w:rPr>
                <w:rStyle w:val="IndexLink"/>
                <w:rtl w:val="true"/>
              </w:rPr>
              <w:t xml:space="preserve">: </w:t>
            </w:r>
            <w:r>
              <w:rPr>
                <w:rStyle w:val="IndexLink"/>
                <w:rtl w:val="true"/>
              </w:rPr>
              <w:t>بدعت در انديشه ى وهابيت</w:t>
            </w:r>
            <w:r>
              <w:rPr>
                <w:rStyle w:val="IndexLink"/>
                <w:rtl w:val="true"/>
              </w:rPr>
              <w:tab/>
            </w:r>
            <w:r>
              <w:rPr>
                <w:rStyle w:val="IndexLink"/>
              </w:rPr>
              <w:t>378</w:t>
            </w:r>
          </w:hyperlink>
        </w:p>
        <w:p>
          <w:pPr>
            <w:pStyle w:val="Contents4"/>
            <w:tabs>
              <w:tab w:val="clear" w:pos="8176"/>
              <w:tab w:val="right" w:pos="9026" w:leader="dot"/>
            </w:tabs>
            <w:rPr/>
          </w:pPr>
          <w:hyperlink w:anchor="__RefHeading___Toc8089258_2142443653">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8089260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379</w:t>
            </w:r>
          </w:hyperlink>
        </w:p>
        <w:p>
          <w:pPr>
            <w:pStyle w:val="Contents4"/>
            <w:tabs>
              <w:tab w:val="clear" w:pos="8176"/>
              <w:tab w:val="right" w:pos="9026" w:leader="dot"/>
            </w:tabs>
            <w:rPr/>
          </w:pPr>
          <w:hyperlink w:anchor="__RefHeading___Toc8089262_2142443653">
            <w:r>
              <w:rPr>
                <w:webHidden/>
                <w:rStyle w:val="IndexLink"/>
              </w:rPr>
              <w:t>2</w:t>
            </w:r>
            <w:r>
              <w:rPr>
                <w:rStyle w:val="IndexLink"/>
                <w:rtl w:val="true"/>
              </w:rPr>
              <w:t xml:space="preserve"> - </w:t>
            </w:r>
            <w:r>
              <w:rPr>
                <w:rStyle w:val="IndexLink"/>
                <w:rtl w:val="true"/>
              </w:rPr>
              <w:t>مبانى وهابيت و بدعت</w:t>
            </w:r>
            <w:r>
              <w:rPr>
                <w:rStyle w:val="IndexLink"/>
                <w:rtl w:val="true"/>
              </w:rPr>
              <w:tab/>
            </w:r>
            <w:r>
              <w:rPr>
                <w:rStyle w:val="IndexLink"/>
              </w:rPr>
              <w:t>380</w:t>
            </w:r>
          </w:hyperlink>
        </w:p>
        <w:p>
          <w:pPr>
            <w:pStyle w:val="Contents5"/>
            <w:tabs>
              <w:tab w:val="clear" w:pos="7892"/>
              <w:tab w:val="right" w:pos="9026" w:leader="dot"/>
            </w:tabs>
            <w:rPr/>
          </w:pPr>
          <w:hyperlink w:anchor="__RefHeading___Toc8089264_2142443653">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8089266_2142443653">
            <w:r>
              <w:rPr>
                <w:webHidden/>
                <w:rStyle w:val="IndexLink"/>
              </w:rPr>
              <w:t>1</w:t>
            </w:r>
            <w:r>
              <w:rPr>
                <w:rStyle w:val="IndexLink"/>
                <w:rtl w:val="true"/>
              </w:rPr>
              <w:t>‏-‏</w:t>
            </w:r>
            <w:r>
              <w:rPr>
                <w:rStyle w:val="IndexLink"/>
              </w:rPr>
              <w:t>2</w:t>
            </w:r>
            <w:r>
              <w:rPr>
                <w:rStyle w:val="IndexLink"/>
                <w:rtl w:val="true"/>
              </w:rPr>
              <w:t xml:space="preserve"> - </w:t>
            </w:r>
            <w:r>
              <w:rPr>
                <w:rStyle w:val="IndexLink"/>
                <w:rtl w:val="true"/>
              </w:rPr>
              <w:t>روش شناسى وهابى</w:t>
            </w:r>
            <w:r>
              <w:rPr>
                <w:rStyle w:val="IndexLink"/>
                <w:rtl w:val="true"/>
              </w:rPr>
              <w:tab/>
            </w:r>
            <w:r>
              <w:rPr>
                <w:rStyle w:val="IndexLink"/>
              </w:rPr>
              <w:t>380</w:t>
            </w:r>
          </w:hyperlink>
        </w:p>
        <w:p>
          <w:pPr>
            <w:pStyle w:val="Contents5"/>
            <w:tabs>
              <w:tab w:val="clear" w:pos="7892"/>
              <w:tab w:val="right" w:pos="9026" w:leader="dot"/>
            </w:tabs>
            <w:rPr/>
          </w:pPr>
          <w:hyperlink w:anchor="__RefHeading___Toc8089268_2142443653">
            <w:r>
              <w:rPr>
                <w:webHidden/>
                <w:rStyle w:val="IndexLink"/>
              </w:rPr>
              <w:t>2</w:t>
            </w:r>
            <w:r>
              <w:rPr>
                <w:rStyle w:val="IndexLink"/>
                <w:rtl w:val="true"/>
              </w:rPr>
              <w:t>‏-‏</w:t>
            </w:r>
            <w:r>
              <w:rPr>
                <w:rStyle w:val="IndexLink"/>
              </w:rPr>
              <w:t>2</w:t>
            </w:r>
            <w:r>
              <w:rPr>
                <w:rStyle w:val="IndexLink"/>
                <w:rtl w:val="true"/>
              </w:rPr>
              <w:t xml:space="preserve"> - </w:t>
            </w:r>
            <w:r>
              <w:rPr>
                <w:rStyle w:val="IndexLink"/>
                <w:rtl w:val="true"/>
              </w:rPr>
              <w:t>معنى شناسى وهابى</w:t>
            </w:r>
            <w:r>
              <w:rPr>
                <w:rStyle w:val="IndexLink"/>
                <w:rtl w:val="true"/>
              </w:rPr>
              <w:tab/>
            </w:r>
            <w:r>
              <w:rPr>
                <w:rStyle w:val="IndexLink"/>
              </w:rPr>
              <w:t>381</w:t>
            </w:r>
          </w:hyperlink>
        </w:p>
        <w:p>
          <w:pPr>
            <w:pStyle w:val="Contents4"/>
            <w:tabs>
              <w:tab w:val="clear" w:pos="8176"/>
              <w:tab w:val="right" w:pos="9026" w:leader="dot"/>
            </w:tabs>
            <w:rPr/>
          </w:pPr>
          <w:hyperlink w:anchor="__RefHeading___Toc8089270_2142443653">
            <w:r>
              <w:rPr>
                <w:webHidden/>
                <w:rStyle w:val="IndexLink"/>
              </w:rPr>
              <w:t>3</w:t>
            </w:r>
            <w:r>
              <w:rPr>
                <w:rStyle w:val="IndexLink"/>
                <w:rtl w:val="true"/>
              </w:rPr>
              <w:t xml:space="preserve"> - </w:t>
            </w:r>
            <w:r>
              <w:rPr>
                <w:rStyle w:val="IndexLink"/>
                <w:rtl w:val="true"/>
              </w:rPr>
              <w:t xml:space="preserve">گسترش منابع تشريع </w:t>
            </w:r>
            <w:r>
              <w:rPr>
                <w:rStyle w:val="IndexLink"/>
                <w:rtl w:val="true"/>
              </w:rPr>
              <w:t>(</w:t>
            </w:r>
            <w:r>
              <w:rPr>
                <w:rStyle w:val="IndexLink"/>
                <w:rtl w:val="true"/>
              </w:rPr>
              <w:t>بدعت در بدعت</w:t>
            </w:r>
            <w:r>
              <w:rPr>
                <w:rStyle w:val="IndexLink"/>
                <w:rtl w:val="true"/>
              </w:rPr>
              <w:t>)</w:t>
              <w:tab/>
            </w:r>
            <w:r>
              <w:rPr>
                <w:rStyle w:val="IndexLink"/>
              </w:rPr>
              <w:t>382</w:t>
            </w:r>
          </w:hyperlink>
        </w:p>
        <w:p>
          <w:pPr>
            <w:pStyle w:val="Contents4"/>
            <w:tabs>
              <w:tab w:val="clear" w:pos="8176"/>
              <w:tab w:val="right" w:pos="9026" w:leader="dot"/>
            </w:tabs>
            <w:rPr/>
          </w:pPr>
          <w:hyperlink w:anchor="__RefHeading___Toc8089272_2142443653">
            <w:r>
              <w:rPr>
                <w:webHidden/>
                <w:rStyle w:val="IndexLink"/>
              </w:rPr>
              <w:t>4</w:t>
            </w:r>
            <w:r>
              <w:rPr>
                <w:rStyle w:val="IndexLink"/>
                <w:rtl w:val="true"/>
              </w:rPr>
              <w:t xml:space="preserve"> - </w:t>
            </w:r>
            <w:r>
              <w:rPr>
                <w:rStyle w:val="IndexLink"/>
                <w:rtl w:val="true"/>
              </w:rPr>
              <w:t>بدعت از ديدگاه وهابيت</w:t>
            </w:r>
            <w:r>
              <w:rPr>
                <w:rStyle w:val="IndexLink"/>
                <w:rtl w:val="true"/>
              </w:rPr>
              <w:tab/>
            </w:r>
            <w:r>
              <w:rPr>
                <w:rStyle w:val="IndexLink"/>
              </w:rPr>
              <w:t>384</w:t>
            </w:r>
          </w:hyperlink>
        </w:p>
        <w:p>
          <w:pPr>
            <w:pStyle w:val="Contents4"/>
            <w:tabs>
              <w:tab w:val="clear" w:pos="8176"/>
              <w:tab w:val="right" w:pos="9026" w:leader="dot"/>
            </w:tabs>
            <w:rPr/>
          </w:pPr>
          <w:hyperlink w:anchor="__RefHeading___Toc8089274_2142443653">
            <w:r>
              <w:rPr>
                <w:webHidden/>
                <w:rStyle w:val="IndexLink"/>
              </w:rPr>
              <w:t>5</w:t>
            </w:r>
            <w:r>
              <w:rPr>
                <w:rStyle w:val="IndexLink"/>
                <w:rtl w:val="true"/>
              </w:rPr>
              <w:t xml:space="preserve"> - </w:t>
            </w:r>
            <w:r>
              <w:rPr>
                <w:rStyle w:val="IndexLink"/>
                <w:rtl w:val="true"/>
              </w:rPr>
              <w:t>وهابيان و بدعت در امور غيردينى</w:t>
            </w:r>
            <w:r>
              <w:rPr>
                <w:rStyle w:val="IndexLink"/>
                <w:rtl w:val="true"/>
              </w:rPr>
              <w:tab/>
            </w:r>
            <w:r>
              <w:rPr>
                <w:rStyle w:val="IndexLink"/>
              </w:rPr>
              <w:t>386</w:t>
            </w:r>
          </w:hyperlink>
        </w:p>
        <w:p>
          <w:pPr>
            <w:pStyle w:val="Contents4"/>
            <w:tabs>
              <w:tab w:val="clear" w:pos="8176"/>
              <w:tab w:val="right" w:pos="9026" w:leader="dot"/>
            </w:tabs>
            <w:rPr/>
          </w:pPr>
          <w:hyperlink w:anchor="__RefHeading___Toc8089276_2142443653">
            <w:r>
              <w:rPr>
                <w:webHidden/>
                <w:rStyle w:val="IndexLink"/>
              </w:rPr>
              <w:t>6</w:t>
            </w:r>
            <w:r>
              <w:rPr>
                <w:rStyle w:val="IndexLink"/>
                <w:rtl w:val="true"/>
              </w:rPr>
              <w:t xml:space="preserve"> - </w:t>
            </w:r>
            <w:r>
              <w:rPr>
                <w:rStyle w:val="IndexLink"/>
                <w:rtl w:val="true"/>
              </w:rPr>
              <w:t>وهابيت، بدعت و تضاد درونى</w:t>
            </w:r>
            <w:r>
              <w:rPr>
                <w:rStyle w:val="IndexLink"/>
                <w:rtl w:val="true"/>
              </w:rPr>
              <w:tab/>
            </w:r>
            <w:r>
              <w:rPr>
                <w:rStyle w:val="IndexLink"/>
              </w:rPr>
              <w:t>388</w:t>
            </w:r>
          </w:hyperlink>
        </w:p>
        <w:p>
          <w:pPr>
            <w:pStyle w:val="Contents3"/>
            <w:tabs>
              <w:tab w:val="clear" w:pos="8459"/>
              <w:tab w:val="right" w:pos="9026" w:leader="dot"/>
            </w:tabs>
            <w:rPr/>
          </w:pPr>
          <w:hyperlink w:anchor="__RefHeading___Toc8089278_2142443653">
            <w:r>
              <w:rPr>
                <w:webHidden/>
                <w:rStyle w:val="IndexLink"/>
                <w:rtl w:val="true"/>
              </w:rPr>
              <w:t>نتيجه ى بخش سوم</w:t>
            </w:r>
            <w:r>
              <w:rPr>
                <w:rStyle w:val="IndexLink"/>
                <w:rtl w:val="true"/>
              </w:rPr>
              <w:tab/>
            </w:r>
            <w:r>
              <w:rPr>
                <w:rStyle w:val="IndexLink"/>
              </w:rPr>
              <w:t>389</w:t>
            </w:r>
          </w:hyperlink>
        </w:p>
        <w:p>
          <w:pPr>
            <w:pStyle w:val="Contents2"/>
            <w:tabs>
              <w:tab w:val="clear" w:pos="8743"/>
              <w:tab w:val="right" w:pos="9026" w:leader="dot"/>
            </w:tabs>
            <w:rPr/>
          </w:pPr>
          <w:hyperlink w:anchor="__RefHeading___Toc8089280_2142443653">
            <w:r>
              <w:rPr>
                <w:webHidden/>
                <w:rStyle w:val="IndexLink"/>
                <w:rtl w:val="true"/>
              </w:rPr>
              <w:t>بخش چهارم</w:t>
            </w:r>
            <w:r>
              <w:rPr>
                <w:rStyle w:val="IndexLink"/>
                <w:rtl w:val="true"/>
              </w:rPr>
              <w:t xml:space="preserve">: </w:t>
            </w:r>
            <w:r>
              <w:rPr>
                <w:rStyle w:val="IndexLink"/>
                <w:rtl w:val="true"/>
              </w:rPr>
              <w:t>حيات برزخى</w:t>
            </w:r>
            <w:r>
              <w:rPr>
                <w:rStyle w:val="IndexLink"/>
                <w:rtl w:val="true"/>
              </w:rPr>
              <w:tab/>
            </w:r>
            <w:r>
              <w:rPr>
                <w:rStyle w:val="IndexLink"/>
              </w:rPr>
              <w:t>390</w:t>
            </w:r>
          </w:hyperlink>
        </w:p>
        <w:p>
          <w:pPr>
            <w:pStyle w:val="Contents3"/>
            <w:tabs>
              <w:tab w:val="clear" w:pos="8459"/>
              <w:tab w:val="right" w:pos="9026" w:leader="dot"/>
            </w:tabs>
            <w:rPr/>
          </w:pPr>
          <w:hyperlink w:anchor="__RefHeading___Toc8089282_2142443653">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8089284_2142443653">
            <w:r>
              <w:rPr>
                <w:webHidden/>
                <w:rStyle w:val="IndexLink"/>
                <w:rtl w:val="true"/>
              </w:rPr>
              <w:t>فصل نوزدهم</w:t>
            </w:r>
            <w:r>
              <w:rPr>
                <w:rStyle w:val="IndexLink"/>
                <w:rtl w:val="true"/>
              </w:rPr>
              <w:t xml:space="preserve">: </w:t>
            </w:r>
            <w:r>
              <w:rPr>
                <w:rStyle w:val="IndexLink"/>
                <w:rtl w:val="true"/>
              </w:rPr>
              <w:t>حيات برزخى در انديشه ى اسلامى</w:t>
            </w:r>
            <w:r>
              <w:rPr>
                <w:rStyle w:val="IndexLink"/>
                <w:rtl w:val="true"/>
              </w:rPr>
              <w:tab/>
            </w:r>
            <w:r>
              <w:rPr>
                <w:rStyle w:val="IndexLink"/>
              </w:rPr>
              <w:t>392</w:t>
            </w:r>
          </w:hyperlink>
        </w:p>
        <w:p>
          <w:pPr>
            <w:pStyle w:val="Contents4"/>
            <w:tabs>
              <w:tab w:val="clear" w:pos="8176"/>
              <w:tab w:val="right" w:pos="9026" w:leader="dot"/>
            </w:tabs>
            <w:rPr/>
          </w:pPr>
          <w:hyperlink w:anchor="__RefHeading___Toc8089286_2142443653">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8089288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393</w:t>
            </w:r>
          </w:hyperlink>
        </w:p>
        <w:p>
          <w:pPr>
            <w:pStyle w:val="Contents4"/>
            <w:tabs>
              <w:tab w:val="clear" w:pos="8176"/>
              <w:tab w:val="right" w:pos="9026" w:leader="dot"/>
            </w:tabs>
            <w:rPr/>
          </w:pPr>
          <w:hyperlink w:anchor="__RefHeading___Toc8089290_2142443653">
            <w:r>
              <w:rPr>
                <w:webHidden/>
                <w:rStyle w:val="IndexLink"/>
              </w:rPr>
              <w:t>2</w:t>
            </w:r>
            <w:r>
              <w:rPr>
                <w:rStyle w:val="IndexLink"/>
                <w:rtl w:val="true"/>
              </w:rPr>
              <w:t xml:space="preserve"> - </w:t>
            </w:r>
            <w:r>
              <w:rPr>
                <w:rStyle w:val="IndexLink"/>
                <w:rtl w:val="true"/>
              </w:rPr>
              <w:t>واژه شناسى</w:t>
            </w:r>
            <w:r>
              <w:rPr>
                <w:rStyle w:val="IndexLink"/>
                <w:rtl w:val="true"/>
              </w:rPr>
              <w:tab/>
            </w:r>
            <w:r>
              <w:rPr>
                <w:rStyle w:val="IndexLink"/>
              </w:rPr>
              <w:t>394</w:t>
            </w:r>
          </w:hyperlink>
        </w:p>
        <w:p>
          <w:pPr>
            <w:pStyle w:val="Contents4"/>
            <w:tabs>
              <w:tab w:val="clear" w:pos="8176"/>
              <w:tab w:val="right" w:pos="9026" w:leader="dot"/>
            </w:tabs>
            <w:rPr/>
          </w:pPr>
          <w:hyperlink w:anchor="__RefHeading___Toc8089292_2142443653">
            <w:r>
              <w:rPr>
                <w:webHidden/>
                <w:rStyle w:val="IndexLink"/>
              </w:rPr>
              <w:t>3</w:t>
            </w:r>
            <w:r>
              <w:rPr>
                <w:rStyle w:val="IndexLink"/>
                <w:rtl w:val="true"/>
              </w:rPr>
              <w:t xml:space="preserve"> - </w:t>
            </w:r>
            <w:r>
              <w:rPr>
                <w:rStyle w:val="IndexLink"/>
                <w:rtl w:val="true"/>
              </w:rPr>
              <w:t>انسان در عالم برزخ</w:t>
            </w:r>
            <w:r>
              <w:rPr>
                <w:rStyle w:val="IndexLink"/>
                <w:rtl w:val="true"/>
              </w:rPr>
              <w:tab/>
            </w:r>
            <w:r>
              <w:rPr>
                <w:rStyle w:val="IndexLink"/>
              </w:rPr>
              <w:t>396</w:t>
            </w:r>
          </w:hyperlink>
        </w:p>
        <w:p>
          <w:pPr>
            <w:pStyle w:val="Contents4"/>
            <w:tabs>
              <w:tab w:val="clear" w:pos="8176"/>
              <w:tab w:val="right" w:pos="9026" w:leader="dot"/>
            </w:tabs>
            <w:rPr/>
          </w:pPr>
          <w:hyperlink w:anchor="__RefHeading___Toc8089294_2142443653">
            <w:r>
              <w:rPr>
                <w:webHidden/>
                <w:rStyle w:val="IndexLink"/>
              </w:rPr>
              <w:t>4</w:t>
            </w:r>
            <w:r>
              <w:rPr>
                <w:rStyle w:val="IndexLink"/>
                <w:rtl w:val="true"/>
              </w:rPr>
              <w:t xml:space="preserve"> - </w:t>
            </w:r>
            <w:r>
              <w:rPr>
                <w:rStyle w:val="IndexLink"/>
                <w:rtl w:val="true"/>
              </w:rPr>
              <w:t>قرآن و حيات برزخى</w:t>
            </w:r>
            <w:r>
              <w:rPr>
                <w:rStyle w:val="IndexLink"/>
                <w:rtl w:val="true"/>
              </w:rPr>
              <w:tab/>
            </w:r>
            <w:r>
              <w:rPr>
                <w:rStyle w:val="IndexLink"/>
              </w:rPr>
              <w:t>397</w:t>
            </w:r>
          </w:hyperlink>
        </w:p>
        <w:p>
          <w:pPr>
            <w:pStyle w:val="Contents5"/>
            <w:tabs>
              <w:tab w:val="clear" w:pos="7892"/>
              <w:tab w:val="right" w:pos="9026" w:leader="dot"/>
            </w:tabs>
            <w:rPr/>
          </w:pPr>
          <w:hyperlink w:anchor="__RefHeading___Toc8089296_2142443653">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8089298_2142443653">
            <w:r>
              <w:rPr>
                <w:webHidden/>
                <w:rStyle w:val="IndexLink"/>
              </w:rPr>
              <w:t>1</w:t>
            </w:r>
            <w:r>
              <w:rPr>
                <w:rStyle w:val="IndexLink"/>
                <w:rtl w:val="true"/>
              </w:rPr>
              <w:t>‏-‏</w:t>
            </w:r>
            <w:r>
              <w:rPr>
                <w:rStyle w:val="IndexLink"/>
              </w:rPr>
              <w:t>4</w:t>
            </w:r>
            <w:r>
              <w:rPr>
                <w:rStyle w:val="IndexLink"/>
                <w:rtl w:val="true"/>
              </w:rPr>
              <w:t xml:space="preserve"> - </w:t>
            </w:r>
            <w:r>
              <w:rPr>
                <w:rStyle w:val="IndexLink"/>
                <w:rtl w:val="true"/>
              </w:rPr>
              <w:t>گفت وگوى فرشتگان با صالحان</w:t>
            </w:r>
            <w:r>
              <w:rPr>
                <w:rStyle w:val="IndexLink"/>
                <w:rtl w:val="true"/>
              </w:rPr>
              <w:tab/>
            </w:r>
            <w:r>
              <w:rPr>
                <w:rStyle w:val="IndexLink"/>
              </w:rPr>
              <w:t>398</w:t>
            </w:r>
          </w:hyperlink>
        </w:p>
        <w:p>
          <w:pPr>
            <w:pStyle w:val="Contents5"/>
            <w:tabs>
              <w:tab w:val="clear" w:pos="7892"/>
              <w:tab w:val="right" w:pos="9026" w:leader="dot"/>
            </w:tabs>
            <w:rPr/>
          </w:pPr>
          <w:hyperlink w:anchor="__RefHeading___Toc8089300_2142443653">
            <w:r>
              <w:rPr>
                <w:webHidden/>
                <w:rStyle w:val="IndexLink"/>
              </w:rPr>
              <w:t>2</w:t>
            </w:r>
            <w:r>
              <w:rPr>
                <w:rStyle w:val="IndexLink"/>
                <w:rtl w:val="true"/>
              </w:rPr>
              <w:t>‏-‏</w:t>
            </w:r>
            <w:r>
              <w:rPr>
                <w:rStyle w:val="IndexLink"/>
              </w:rPr>
              <w:t>4</w:t>
            </w:r>
            <w:r>
              <w:rPr>
                <w:rStyle w:val="IndexLink"/>
                <w:rtl w:val="true"/>
              </w:rPr>
              <w:t xml:space="preserve"> - </w:t>
            </w:r>
            <w:r>
              <w:rPr>
                <w:rStyle w:val="IndexLink"/>
                <w:rtl w:val="true"/>
              </w:rPr>
              <w:t>گفت وگوى فرشتگان با بدكاران</w:t>
            </w:r>
            <w:r>
              <w:rPr>
                <w:rStyle w:val="IndexLink"/>
                <w:rtl w:val="true"/>
              </w:rPr>
              <w:tab/>
            </w:r>
            <w:r>
              <w:rPr>
                <w:rStyle w:val="IndexLink"/>
              </w:rPr>
              <w:t>399</w:t>
            </w:r>
          </w:hyperlink>
        </w:p>
        <w:p>
          <w:pPr>
            <w:pStyle w:val="Contents5"/>
            <w:tabs>
              <w:tab w:val="clear" w:pos="7892"/>
              <w:tab w:val="right" w:pos="9026" w:leader="dot"/>
            </w:tabs>
            <w:rPr/>
          </w:pPr>
          <w:hyperlink w:anchor="__RefHeading___Toc8089302_2142443653">
            <w:r>
              <w:rPr>
                <w:webHidden/>
                <w:rStyle w:val="IndexLink"/>
              </w:rPr>
              <w:t>3</w:t>
            </w:r>
            <w:r>
              <w:rPr>
                <w:rStyle w:val="IndexLink"/>
                <w:rtl w:val="true"/>
              </w:rPr>
              <w:t>‏-‏</w:t>
            </w:r>
            <w:r>
              <w:rPr>
                <w:rStyle w:val="IndexLink"/>
              </w:rPr>
              <w:t>4</w:t>
            </w:r>
            <w:r>
              <w:rPr>
                <w:rStyle w:val="IndexLink"/>
                <w:rtl w:val="true"/>
              </w:rPr>
              <w:t xml:space="preserve"> - </w:t>
            </w:r>
            <w:r>
              <w:rPr>
                <w:rStyle w:val="IndexLink"/>
                <w:rtl w:val="true"/>
              </w:rPr>
              <w:t>خطابات قرآن</w:t>
            </w:r>
            <w:r>
              <w:rPr>
                <w:rStyle w:val="IndexLink"/>
                <w:rtl w:val="true"/>
              </w:rPr>
              <w:tab/>
            </w:r>
            <w:r>
              <w:rPr>
                <w:rStyle w:val="IndexLink"/>
              </w:rPr>
              <w:t>400</w:t>
            </w:r>
          </w:hyperlink>
        </w:p>
        <w:p>
          <w:pPr>
            <w:pStyle w:val="Contents5"/>
            <w:tabs>
              <w:tab w:val="clear" w:pos="7892"/>
              <w:tab w:val="right" w:pos="9026" w:leader="dot"/>
            </w:tabs>
            <w:rPr/>
          </w:pPr>
          <w:hyperlink w:anchor="__RefHeading___Toc8089304_2142443653">
            <w:r>
              <w:rPr>
                <w:webHidden/>
                <w:rStyle w:val="IndexLink"/>
              </w:rPr>
              <w:t>4</w:t>
            </w:r>
            <w:r>
              <w:rPr>
                <w:rStyle w:val="IndexLink"/>
                <w:rtl w:val="true"/>
              </w:rPr>
              <w:t>‏-‏</w:t>
            </w:r>
            <w:r>
              <w:rPr>
                <w:rStyle w:val="IndexLink"/>
              </w:rPr>
              <w:t>4</w:t>
            </w:r>
            <w:r>
              <w:rPr>
                <w:rStyle w:val="IndexLink"/>
                <w:rtl w:val="true"/>
              </w:rPr>
              <w:t xml:space="preserve"> - </w:t>
            </w:r>
            <w:r>
              <w:rPr>
                <w:rStyle w:val="IndexLink"/>
                <w:rtl w:val="true"/>
              </w:rPr>
              <w:t>حيات و بهشت برزخى نيكان</w:t>
            </w:r>
            <w:r>
              <w:rPr>
                <w:rStyle w:val="IndexLink"/>
                <w:rtl w:val="true"/>
              </w:rPr>
              <w:tab/>
            </w:r>
            <w:r>
              <w:rPr>
                <w:rStyle w:val="IndexLink"/>
              </w:rPr>
              <w:t>400</w:t>
            </w:r>
          </w:hyperlink>
        </w:p>
        <w:p>
          <w:pPr>
            <w:pStyle w:val="Contents5"/>
            <w:tabs>
              <w:tab w:val="clear" w:pos="7892"/>
              <w:tab w:val="right" w:pos="9026" w:leader="dot"/>
            </w:tabs>
            <w:rPr/>
          </w:pPr>
          <w:hyperlink w:anchor="__RefHeading___Toc8089306_2142443653">
            <w:r>
              <w:rPr>
                <w:webHidden/>
                <w:rStyle w:val="IndexLink"/>
              </w:rPr>
              <w:t>5</w:t>
            </w:r>
            <w:r>
              <w:rPr>
                <w:rStyle w:val="IndexLink"/>
                <w:rtl w:val="true"/>
              </w:rPr>
              <w:t>‏-‏</w:t>
            </w:r>
            <w:r>
              <w:rPr>
                <w:rStyle w:val="IndexLink"/>
              </w:rPr>
              <w:t>4</w:t>
            </w:r>
            <w:r>
              <w:rPr>
                <w:rStyle w:val="IndexLink"/>
                <w:rtl w:val="true"/>
              </w:rPr>
              <w:t xml:space="preserve"> - </w:t>
            </w:r>
            <w:r>
              <w:rPr>
                <w:rStyle w:val="IndexLink"/>
                <w:rtl w:val="true"/>
              </w:rPr>
              <w:t>حيات و دوزخ برزخى كافران</w:t>
            </w:r>
            <w:r>
              <w:rPr>
                <w:rStyle w:val="IndexLink"/>
                <w:rtl w:val="true"/>
              </w:rPr>
              <w:tab/>
            </w:r>
            <w:r>
              <w:rPr>
                <w:rStyle w:val="IndexLink"/>
              </w:rPr>
              <w:t>402</w:t>
            </w:r>
          </w:hyperlink>
        </w:p>
        <w:p>
          <w:pPr>
            <w:pStyle w:val="Contents4"/>
            <w:tabs>
              <w:tab w:val="clear" w:pos="8176"/>
              <w:tab w:val="right" w:pos="9026" w:leader="dot"/>
            </w:tabs>
            <w:rPr/>
          </w:pPr>
          <w:hyperlink w:anchor="__RefHeading___Toc8089308_2142443653">
            <w:r>
              <w:rPr>
                <w:webHidden/>
                <w:rStyle w:val="IndexLink"/>
              </w:rPr>
              <w:t>5</w:t>
            </w:r>
            <w:r>
              <w:rPr>
                <w:rStyle w:val="IndexLink"/>
                <w:rtl w:val="true"/>
              </w:rPr>
              <w:t xml:space="preserve"> - </w:t>
            </w:r>
            <w:r>
              <w:rPr>
                <w:rStyle w:val="IndexLink"/>
                <w:rtl w:val="true"/>
              </w:rPr>
              <w:t>عالم برزخ در روايات</w:t>
            </w:r>
            <w:r>
              <w:rPr>
                <w:rStyle w:val="IndexLink"/>
                <w:rtl w:val="true"/>
              </w:rPr>
              <w:tab/>
            </w:r>
            <w:r>
              <w:rPr>
                <w:rStyle w:val="IndexLink"/>
              </w:rPr>
              <w:t>403</w:t>
            </w:r>
          </w:hyperlink>
        </w:p>
        <w:p>
          <w:pPr>
            <w:pStyle w:val="Contents5"/>
            <w:tabs>
              <w:tab w:val="clear" w:pos="7892"/>
              <w:tab w:val="right" w:pos="9026" w:leader="dot"/>
            </w:tabs>
            <w:rPr/>
          </w:pPr>
          <w:hyperlink w:anchor="__RefHeading___Toc8089310_2142443653">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8089312_2142443653">
            <w:r>
              <w:rPr>
                <w:webHidden/>
                <w:rStyle w:val="IndexLink"/>
              </w:rPr>
              <w:t>1</w:t>
            </w:r>
            <w:r>
              <w:rPr>
                <w:rStyle w:val="IndexLink"/>
                <w:rtl w:val="true"/>
              </w:rPr>
              <w:t>‏-‏</w:t>
            </w:r>
            <w:r>
              <w:rPr>
                <w:rStyle w:val="IndexLink"/>
              </w:rPr>
              <w:t>5</w:t>
            </w:r>
            <w:r>
              <w:rPr>
                <w:rStyle w:val="IndexLink"/>
                <w:rtl w:val="true"/>
              </w:rPr>
              <w:t xml:space="preserve"> - </w:t>
            </w:r>
            <w:r>
              <w:rPr>
                <w:rStyle w:val="IndexLink"/>
                <w:rtl w:val="true"/>
              </w:rPr>
              <w:t xml:space="preserve">شنيدن ارواح </w:t>
            </w:r>
            <w:r>
              <w:rPr>
                <w:rStyle w:val="IndexLink"/>
                <w:rtl w:val="true"/>
              </w:rPr>
              <w:t>(</w:t>
            </w:r>
            <w:r>
              <w:rPr>
                <w:rStyle w:val="IndexLink"/>
                <w:rtl w:val="true"/>
              </w:rPr>
              <w:t>سماع موتى</w:t>
            </w:r>
            <w:r>
              <w:rPr>
                <w:rStyle w:val="IndexLink"/>
                <w:rtl w:val="true"/>
              </w:rPr>
              <w:t>)</w:t>
              <w:tab/>
            </w:r>
            <w:r>
              <w:rPr>
                <w:rStyle w:val="IndexLink"/>
              </w:rPr>
              <w:t>404</w:t>
            </w:r>
          </w:hyperlink>
        </w:p>
        <w:p>
          <w:pPr>
            <w:pStyle w:val="Contents5"/>
            <w:tabs>
              <w:tab w:val="clear" w:pos="7892"/>
              <w:tab w:val="right" w:pos="9026" w:leader="dot"/>
            </w:tabs>
            <w:rPr/>
          </w:pPr>
          <w:hyperlink w:anchor="__RefHeading___Toc8089314_2142443653">
            <w:r>
              <w:rPr>
                <w:webHidden/>
                <w:rStyle w:val="IndexLink"/>
              </w:rPr>
              <w:t>2</w:t>
            </w:r>
            <w:r>
              <w:rPr>
                <w:rStyle w:val="IndexLink"/>
                <w:rtl w:val="true"/>
              </w:rPr>
              <w:t>‏-‏</w:t>
            </w:r>
            <w:r>
              <w:rPr>
                <w:rStyle w:val="IndexLink"/>
              </w:rPr>
              <w:t>5</w:t>
            </w:r>
            <w:r>
              <w:rPr>
                <w:rStyle w:val="IndexLink"/>
                <w:rtl w:val="true"/>
              </w:rPr>
              <w:t xml:space="preserve"> - </w:t>
            </w:r>
            <w:r>
              <w:rPr>
                <w:rStyle w:val="IndexLink"/>
                <w:rtl w:val="true"/>
              </w:rPr>
              <w:t>پاسخ ارواح</w:t>
            </w:r>
            <w:r>
              <w:rPr>
                <w:rStyle w:val="IndexLink"/>
                <w:rtl w:val="true"/>
              </w:rPr>
              <w:tab/>
            </w:r>
            <w:r>
              <w:rPr>
                <w:rStyle w:val="IndexLink"/>
              </w:rPr>
              <w:t>407</w:t>
            </w:r>
          </w:hyperlink>
        </w:p>
        <w:p>
          <w:pPr>
            <w:pStyle w:val="Contents5"/>
            <w:tabs>
              <w:tab w:val="clear" w:pos="7892"/>
              <w:tab w:val="right" w:pos="9026" w:leader="dot"/>
            </w:tabs>
            <w:rPr/>
          </w:pPr>
          <w:hyperlink w:anchor="__RefHeading___Toc8089316_2142443653">
            <w:r>
              <w:rPr>
                <w:webHidden/>
                <w:rStyle w:val="IndexLink"/>
              </w:rPr>
              <w:t>3</w:t>
            </w:r>
            <w:r>
              <w:rPr>
                <w:rStyle w:val="IndexLink"/>
                <w:rtl w:val="true"/>
              </w:rPr>
              <w:t>‏-‏</w:t>
            </w:r>
            <w:r>
              <w:rPr>
                <w:rStyle w:val="IndexLink"/>
              </w:rPr>
              <w:t>5</w:t>
            </w:r>
            <w:r>
              <w:rPr>
                <w:rStyle w:val="IndexLink"/>
                <w:rtl w:val="true"/>
              </w:rPr>
              <w:t xml:space="preserve"> - </w:t>
            </w:r>
            <w:r>
              <w:rPr>
                <w:rStyle w:val="IndexLink"/>
                <w:rtl w:val="true"/>
              </w:rPr>
              <w:t>ارواح و بستگان</w:t>
            </w:r>
            <w:r>
              <w:rPr>
                <w:rStyle w:val="IndexLink"/>
                <w:rtl w:val="true"/>
              </w:rPr>
              <w:tab/>
            </w:r>
            <w:r>
              <w:rPr>
                <w:rStyle w:val="IndexLink"/>
              </w:rPr>
              <w:t>408</w:t>
            </w:r>
          </w:hyperlink>
        </w:p>
        <w:p>
          <w:pPr>
            <w:pStyle w:val="Contents4"/>
            <w:tabs>
              <w:tab w:val="clear" w:pos="8176"/>
              <w:tab w:val="right" w:pos="9026" w:leader="dot"/>
            </w:tabs>
            <w:rPr/>
          </w:pPr>
          <w:hyperlink w:anchor="__RefHeading___Toc8089318_2142443653">
            <w:r>
              <w:rPr>
                <w:webHidden/>
                <w:rStyle w:val="IndexLink"/>
              </w:rPr>
              <w:t>6</w:t>
            </w:r>
            <w:r>
              <w:rPr>
                <w:rStyle w:val="IndexLink"/>
                <w:rtl w:val="true"/>
              </w:rPr>
              <w:t xml:space="preserve"> - </w:t>
            </w:r>
            <w:r>
              <w:rPr>
                <w:rStyle w:val="IndexLink"/>
                <w:rtl w:val="true"/>
              </w:rPr>
              <w:t>روح پيامبر گرامى اسلام صلى الله عليه و آله و عالم دنيا</w:t>
            </w:r>
            <w:r>
              <w:rPr>
                <w:rStyle w:val="IndexLink"/>
                <w:rtl w:val="true"/>
              </w:rPr>
              <w:tab/>
            </w:r>
            <w:r>
              <w:rPr>
                <w:rStyle w:val="IndexLink"/>
              </w:rPr>
              <w:t>409</w:t>
            </w:r>
          </w:hyperlink>
        </w:p>
        <w:p>
          <w:pPr>
            <w:pStyle w:val="Contents3"/>
            <w:tabs>
              <w:tab w:val="clear" w:pos="8459"/>
              <w:tab w:val="right" w:pos="9026" w:leader="dot"/>
            </w:tabs>
            <w:rPr/>
          </w:pPr>
          <w:hyperlink w:anchor="__RefHeading___Toc8089320_2142443653">
            <w:r>
              <w:rPr>
                <w:webHidden/>
                <w:rStyle w:val="IndexLink"/>
                <w:rtl w:val="true"/>
              </w:rPr>
              <w:t>فصل بيستم</w:t>
            </w:r>
            <w:r>
              <w:rPr>
                <w:rStyle w:val="IndexLink"/>
                <w:rtl w:val="true"/>
              </w:rPr>
              <w:t xml:space="preserve">: </w:t>
            </w:r>
            <w:r>
              <w:rPr>
                <w:rStyle w:val="IndexLink"/>
                <w:rtl w:val="true"/>
              </w:rPr>
              <w:t>وهابيت و سماع موتى</w:t>
            </w:r>
            <w:r>
              <w:rPr>
                <w:rStyle w:val="IndexLink"/>
                <w:rtl w:val="true"/>
              </w:rPr>
              <w:tab/>
            </w:r>
            <w:r>
              <w:rPr>
                <w:rStyle w:val="IndexLink"/>
              </w:rPr>
              <w:t>411</w:t>
            </w:r>
          </w:hyperlink>
        </w:p>
        <w:p>
          <w:pPr>
            <w:pStyle w:val="Contents4"/>
            <w:tabs>
              <w:tab w:val="clear" w:pos="8176"/>
              <w:tab w:val="right" w:pos="9026" w:leader="dot"/>
            </w:tabs>
            <w:rPr/>
          </w:pPr>
          <w:hyperlink w:anchor="__RefHeading___Toc8089322_2142443653">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8089324_2142443653">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412</w:t>
            </w:r>
          </w:hyperlink>
        </w:p>
        <w:p>
          <w:pPr>
            <w:pStyle w:val="Contents4"/>
            <w:tabs>
              <w:tab w:val="clear" w:pos="8176"/>
              <w:tab w:val="right" w:pos="9026" w:leader="dot"/>
            </w:tabs>
            <w:rPr/>
          </w:pPr>
          <w:hyperlink w:anchor="__RefHeading___Toc8089326_2142443653">
            <w:r>
              <w:rPr>
                <w:webHidden/>
                <w:rStyle w:val="IndexLink"/>
              </w:rPr>
              <w:t>2</w:t>
            </w:r>
            <w:r>
              <w:rPr>
                <w:rStyle w:val="IndexLink"/>
                <w:rtl w:val="true"/>
              </w:rPr>
              <w:t xml:space="preserve"> - </w:t>
            </w:r>
            <w:r>
              <w:rPr>
                <w:rStyle w:val="IndexLink"/>
                <w:rtl w:val="true"/>
              </w:rPr>
              <w:t>حيات برزخى و هستى شناسى وهابيت</w:t>
            </w:r>
            <w:r>
              <w:rPr>
                <w:rStyle w:val="IndexLink"/>
                <w:rtl w:val="true"/>
              </w:rPr>
              <w:tab/>
            </w:r>
            <w:r>
              <w:rPr>
                <w:rStyle w:val="IndexLink"/>
              </w:rPr>
              <w:t>413</w:t>
            </w:r>
          </w:hyperlink>
        </w:p>
        <w:p>
          <w:pPr>
            <w:pStyle w:val="Contents4"/>
            <w:tabs>
              <w:tab w:val="clear" w:pos="8176"/>
              <w:tab w:val="right" w:pos="9026" w:leader="dot"/>
            </w:tabs>
            <w:rPr/>
          </w:pPr>
          <w:hyperlink w:anchor="__RefHeading___Toc8089328_2142443653">
            <w:r>
              <w:rPr>
                <w:webHidden/>
                <w:rStyle w:val="IndexLink"/>
              </w:rPr>
              <w:t>3</w:t>
            </w:r>
            <w:r>
              <w:rPr>
                <w:rStyle w:val="IndexLink"/>
                <w:rtl w:val="true"/>
              </w:rPr>
              <w:t xml:space="preserve"> - </w:t>
            </w:r>
            <w:r>
              <w:rPr>
                <w:rStyle w:val="IndexLink"/>
                <w:rtl w:val="true"/>
              </w:rPr>
              <w:t>وهابيت و سماع موتى</w:t>
            </w:r>
            <w:r>
              <w:rPr>
                <w:rStyle w:val="IndexLink"/>
                <w:rtl w:val="true"/>
              </w:rPr>
              <w:tab/>
            </w:r>
            <w:r>
              <w:rPr>
                <w:rStyle w:val="IndexLink"/>
              </w:rPr>
              <w:t>416</w:t>
            </w:r>
          </w:hyperlink>
        </w:p>
        <w:p>
          <w:pPr>
            <w:pStyle w:val="Contents5"/>
            <w:tabs>
              <w:tab w:val="clear" w:pos="7892"/>
              <w:tab w:val="right" w:pos="9026" w:leader="dot"/>
            </w:tabs>
            <w:rPr/>
          </w:pPr>
          <w:hyperlink w:anchor="__RefHeading___Toc8089330_2142443653">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8089332_2142443653">
            <w:r>
              <w:rPr>
                <w:webHidden/>
                <w:rStyle w:val="IndexLink"/>
              </w:rPr>
              <w:t>1</w:t>
            </w:r>
            <w:r>
              <w:rPr>
                <w:rStyle w:val="IndexLink"/>
                <w:rtl w:val="true"/>
              </w:rPr>
              <w:t>‏-‏</w:t>
            </w:r>
            <w:r>
              <w:rPr>
                <w:rStyle w:val="IndexLink"/>
              </w:rPr>
              <w:t>3</w:t>
            </w:r>
            <w:r>
              <w:rPr>
                <w:rStyle w:val="IndexLink"/>
                <w:rtl w:val="true"/>
              </w:rPr>
              <w:t xml:space="preserve"> - </w:t>
            </w:r>
            <w:r>
              <w:rPr>
                <w:rStyle w:val="IndexLink"/>
                <w:rtl w:val="true"/>
              </w:rPr>
              <w:t>آيه ى سماع موتى</w:t>
            </w:r>
            <w:r>
              <w:rPr>
                <w:rStyle w:val="IndexLink"/>
                <w:rtl w:val="true"/>
              </w:rPr>
              <w:tab/>
            </w:r>
            <w:r>
              <w:rPr>
                <w:rStyle w:val="IndexLink"/>
              </w:rPr>
              <w:t>419</w:t>
            </w:r>
          </w:hyperlink>
        </w:p>
        <w:p>
          <w:pPr>
            <w:pStyle w:val="Contents5"/>
            <w:tabs>
              <w:tab w:val="clear" w:pos="7892"/>
              <w:tab w:val="right" w:pos="9026" w:leader="dot"/>
            </w:tabs>
            <w:rPr/>
          </w:pPr>
          <w:hyperlink w:anchor="__RefHeading___Toc8089334_2142443653">
            <w:r>
              <w:rPr>
                <w:webHidden/>
                <w:rStyle w:val="IndexLink"/>
              </w:rPr>
              <w:t>2</w:t>
            </w:r>
            <w:r>
              <w:rPr>
                <w:rStyle w:val="IndexLink"/>
                <w:rtl w:val="true"/>
              </w:rPr>
              <w:t>‏-‏</w:t>
            </w:r>
            <w:r>
              <w:rPr>
                <w:rStyle w:val="IndexLink"/>
              </w:rPr>
              <w:t>3</w:t>
            </w:r>
            <w:r>
              <w:rPr>
                <w:rStyle w:val="IndexLink"/>
                <w:rtl w:val="true"/>
              </w:rPr>
              <w:t xml:space="preserve"> - </w:t>
            </w:r>
            <w:r>
              <w:rPr>
                <w:rStyle w:val="IndexLink"/>
                <w:rtl w:val="true"/>
              </w:rPr>
              <w:t>آيه ى سماع اهل قبور</w:t>
            </w:r>
            <w:r>
              <w:rPr>
                <w:rStyle w:val="IndexLink"/>
                <w:rtl w:val="true"/>
              </w:rPr>
              <w:tab/>
            </w:r>
            <w:r>
              <w:rPr>
                <w:rStyle w:val="IndexLink"/>
              </w:rPr>
              <w:t>423</w:t>
            </w:r>
          </w:hyperlink>
        </w:p>
        <w:p>
          <w:pPr>
            <w:pStyle w:val="Contents5"/>
            <w:tabs>
              <w:tab w:val="clear" w:pos="7892"/>
              <w:tab w:val="right" w:pos="9026" w:leader="dot"/>
            </w:tabs>
            <w:rPr/>
          </w:pPr>
          <w:hyperlink w:anchor="__RefHeading___Toc8089336_2142443653">
            <w:r>
              <w:rPr>
                <w:webHidden/>
                <w:rStyle w:val="IndexLink"/>
              </w:rPr>
              <w:t>3</w:t>
            </w:r>
            <w:r>
              <w:rPr>
                <w:rStyle w:val="IndexLink"/>
                <w:rtl w:val="true"/>
              </w:rPr>
              <w:t>‏-‏</w:t>
            </w:r>
            <w:r>
              <w:rPr>
                <w:rStyle w:val="IndexLink"/>
              </w:rPr>
              <w:t>3</w:t>
            </w:r>
            <w:r>
              <w:rPr>
                <w:rStyle w:val="IndexLink"/>
                <w:rtl w:val="true"/>
              </w:rPr>
              <w:t xml:space="preserve"> - </w:t>
            </w:r>
            <w:r>
              <w:rPr>
                <w:rStyle w:val="IndexLink"/>
                <w:rtl w:val="true"/>
              </w:rPr>
              <w:t>استدلال به حديث انقطاع عمل</w:t>
            </w:r>
            <w:r>
              <w:rPr>
                <w:rStyle w:val="IndexLink"/>
                <w:rtl w:val="true"/>
              </w:rPr>
              <w:tab/>
            </w:r>
            <w:r>
              <w:rPr>
                <w:rStyle w:val="IndexLink"/>
              </w:rPr>
              <w:t>425</w:t>
            </w:r>
          </w:hyperlink>
        </w:p>
        <w:p>
          <w:pPr>
            <w:pStyle w:val="Contents4"/>
            <w:tabs>
              <w:tab w:val="clear" w:pos="8176"/>
              <w:tab w:val="right" w:pos="9026" w:leader="dot"/>
            </w:tabs>
            <w:rPr/>
          </w:pPr>
          <w:hyperlink w:anchor="__RefHeading___Toc8089338_2142443653">
            <w:r>
              <w:rPr>
                <w:webHidden/>
                <w:rStyle w:val="IndexLink"/>
              </w:rPr>
              <w:t>4</w:t>
            </w:r>
            <w:r>
              <w:rPr>
                <w:rStyle w:val="IndexLink"/>
                <w:rtl w:val="true"/>
              </w:rPr>
              <w:t xml:space="preserve"> - </w:t>
            </w:r>
            <w:r>
              <w:rPr>
                <w:rStyle w:val="IndexLink"/>
                <w:rtl w:val="true"/>
              </w:rPr>
              <w:t>نظر عايشه</w:t>
            </w:r>
            <w:r>
              <w:rPr>
                <w:rStyle w:val="IndexLink"/>
                <w:rtl w:val="true"/>
              </w:rPr>
              <w:tab/>
            </w:r>
            <w:r>
              <w:rPr>
                <w:rStyle w:val="IndexLink"/>
              </w:rPr>
              <w:t>426</w:t>
            </w:r>
          </w:hyperlink>
        </w:p>
        <w:p>
          <w:pPr>
            <w:pStyle w:val="Contents4"/>
            <w:tabs>
              <w:tab w:val="clear" w:pos="8176"/>
              <w:tab w:val="right" w:pos="9026" w:leader="dot"/>
            </w:tabs>
            <w:rPr/>
          </w:pPr>
          <w:hyperlink w:anchor="__RefHeading___Toc8089340_2142443653">
            <w:r>
              <w:rPr>
                <w:webHidden/>
                <w:rStyle w:val="IndexLink"/>
              </w:rPr>
              <w:t>5</w:t>
            </w:r>
            <w:r>
              <w:rPr>
                <w:rStyle w:val="IndexLink"/>
                <w:rtl w:val="true"/>
              </w:rPr>
              <w:t xml:space="preserve"> - </w:t>
            </w:r>
            <w:r>
              <w:rPr>
                <w:rStyle w:val="IndexLink"/>
                <w:rtl w:val="true"/>
              </w:rPr>
              <w:t>وهابيت، سماع موتى و چالش هاى درونى</w:t>
            </w:r>
            <w:r>
              <w:rPr>
                <w:rStyle w:val="IndexLink"/>
                <w:rtl w:val="true"/>
              </w:rPr>
              <w:tab/>
            </w:r>
            <w:r>
              <w:rPr>
                <w:rStyle w:val="IndexLink"/>
              </w:rPr>
              <w:t>429</w:t>
            </w:r>
          </w:hyperlink>
        </w:p>
        <w:p>
          <w:pPr>
            <w:pStyle w:val="Contents5"/>
            <w:tabs>
              <w:tab w:val="clear" w:pos="7892"/>
              <w:tab w:val="right" w:pos="9026" w:leader="dot"/>
            </w:tabs>
            <w:rPr/>
          </w:pPr>
          <w:hyperlink w:anchor="__RefHeading___Toc8089342_2142443653">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8089344_2142443653">
            <w:r>
              <w:rPr>
                <w:webHidden/>
                <w:rStyle w:val="IndexLink"/>
              </w:rPr>
              <w:t>1</w:t>
            </w:r>
            <w:r>
              <w:rPr>
                <w:rStyle w:val="IndexLink"/>
                <w:rtl w:val="true"/>
              </w:rPr>
              <w:t>‏-‏</w:t>
            </w:r>
            <w:r>
              <w:rPr>
                <w:rStyle w:val="IndexLink"/>
              </w:rPr>
              <w:t>5</w:t>
            </w:r>
            <w:r>
              <w:rPr>
                <w:rStyle w:val="IndexLink"/>
                <w:rtl w:val="true"/>
              </w:rPr>
              <w:t xml:space="preserve"> - </w:t>
            </w:r>
            <w:r>
              <w:rPr>
                <w:rStyle w:val="IndexLink"/>
                <w:rtl w:val="true"/>
              </w:rPr>
              <w:t>ابن تيميه و سماع موتى</w:t>
            </w:r>
            <w:r>
              <w:rPr>
                <w:rStyle w:val="IndexLink"/>
                <w:rtl w:val="true"/>
              </w:rPr>
              <w:tab/>
            </w:r>
            <w:r>
              <w:rPr>
                <w:rStyle w:val="IndexLink"/>
              </w:rPr>
              <w:t>429</w:t>
            </w:r>
          </w:hyperlink>
        </w:p>
        <w:p>
          <w:pPr>
            <w:pStyle w:val="Contents5"/>
            <w:tabs>
              <w:tab w:val="clear" w:pos="7892"/>
              <w:tab w:val="right" w:pos="9026" w:leader="dot"/>
            </w:tabs>
            <w:rPr/>
          </w:pPr>
          <w:hyperlink w:anchor="__RefHeading___Toc8089346_2142443653">
            <w:r>
              <w:rPr>
                <w:webHidden/>
                <w:rStyle w:val="IndexLink"/>
              </w:rPr>
              <w:t>2</w:t>
            </w:r>
            <w:r>
              <w:rPr>
                <w:rStyle w:val="IndexLink"/>
                <w:rtl w:val="true"/>
              </w:rPr>
              <w:t>‏-‏</w:t>
            </w:r>
            <w:r>
              <w:rPr>
                <w:rStyle w:val="IndexLink"/>
              </w:rPr>
              <w:t>5</w:t>
            </w:r>
            <w:r>
              <w:rPr>
                <w:rStyle w:val="IndexLink"/>
                <w:rtl w:val="true"/>
              </w:rPr>
              <w:t xml:space="preserve"> - </w:t>
            </w:r>
            <w:r>
              <w:rPr>
                <w:rStyle w:val="IndexLink"/>
                <w:rtl w:val="true"/>
              </w:rPr>
              <w:t>ابن قيم و سماع موتى</w:t>
            </w:r>
            <w:r>
              <w:rPr>
                <w:rStyle w:val="IndexLink"/>
                <w:rtl w:val="true"/>
              </w:rPr>
              <w:tab/>
            </w:r>
            <w:r>
              <w:rPr>
                <w:rStyle w:val="IndexLink"/>
              </w:rPr>
              <w:t>433</w:t>
            </w:r>
          </w:hyperlink>
        </w:p>
        <w:p>
          <w:pPr>
            <w:pStyle w:val="Contents5"/>
            <w:tabs>
              <w:tab w:val="clear" w:pos="7892"/>
              <w:tab w:val="right" w:pos="9026" w:leader="dot"/>
            </w:tabs>
            <w:rPr/>
          </w:pPr>
          <w:hyperlink w:anchor="__RefHeading___Toc8089348_2142443653">
            <w:r>
              <w:rPr>
                <w:webHidden/>
                <w:rStyle w:val="IndexLink"/>
              </w:rPr>
              <w:t>3</w:t>
            </w:r>
            <w:r>
              <w:rPr>
                <w:rStyle w:val="IndexLink"/>
                <w:rtl w:val="true"/>
              </w:rPr>
              <w:t>‏-‏</w:t>
            </w:r>
            <w:r>
              <w:rPr>
                <w:rStyle w:val="IndexLink"/>
              </w:rPr>
              <w:t>5</w:t>
            </w:r>
            <w:r>
              <w:rPr>
                <w:rStyle w:val="IndexLink"/>
                <w:rtl w:val="true"/>
              </w:rPr>
              <w:t xml:space="preserve"> - </w:t>
            </w:r>
            <w:r>
              <w:rPr>
                <w:rStyle w:val="IndexLink"/>
                <w:rtl w:val="true"/>
              </w:rPr>
              <w:t>ابن رجب حنبلى</w:t>
            </w:r>
            <w:r>
              <w:rPr>
                <w:rStyle w:val="IndexLink"/>
                <w:rtl w:val="true"/>
              </w:rPr>
              <w:tab/>
            </w:r>
            <w:r>
              <w:rPr>
                <w:rStyle w:val="IndexLink"/>
              </w:rPr>
              <w:t>435</w:t>
            </w:r>
          </w:hyperlink>
        </w:p>
        <w:p>
          <w:pPr>
            <w:pStyle w:val="Contents3"/>
            <w:tabs>
              <w:tab w:val="clear" w:pos="8459"/>
              <w:tab w:val="right" w:pos="9026" w:leader="dot"/>
            </w:tabs>
            <w:rPr/>
          </w:pPr>
          <w:hyperlink w:anchor="__RefHeading___Toc8089350_2142443653">
            <w:r>
              <w:rPr>
                <w:webHidden/>
                <w:rStyle w:val="IndexLink"/>
                <w:rtl w:val="true"/>
              </w:rPr>
              <w:t>نتيجه ى بخش چهارم</w:t>
            </w:r>
            <w:r>
              <w:rPr>
                <w:rStyle w:val="IndexLink"/>
                <w:rtl w:val="true"/>
              </w:rPr>
              <w:tab/>
            </w:r>
            <w:r>
              <w:rPr>
                <w:rStyle w:val="IndexLink"/>
              </w:rPr>
              <w:t>437</w:t>
            </w:r>
          </w:hyperlink>
        </w:p>
        <w:p>
          <w:pPr>
            <w:pStyle w:val="Contents2"/>
            <w:tabs>
              <w:tab w:val="clear" w:pos="8743"/>
              <w:tab w:val="right" w:pos="9026" w:leader="dot"/>
            </w:tabs>
            <w:rPr/>
          </w:pPr>
          <w:hyperlink w:anchor="__RefHeading___Toc8089352_2142443653">
            <w:r>
              <w:rPr>
                <w:webHidden/>
                <w:rStyle w:val="IndexLink"/>
                <w:rtl w:val="true"/>
              </w:rPr>
              <w:t>منابع و مآخذ</w:t>
            </w:r>
            <w:r>
              <w:rPr>
                <w:rStyle w:val="IndexLink"/>
                <w:rtl w:val="true"/>
              </w:rPr>
              <w:tab/>
            </w:r>
            <w:r>
              <w:rPr>
                <w:rStyle w:val="IndexLink"/>
              </w:rPr>
              <w:t>438</w:t>
            </w:r>
          </w:hyperlink>
        </w:p>
        <w:p>
          <w:pPr>
            <w:pStyle w:val="Contents3"/>
            <w:tabs>
              <w:tab w:val="clear" w:pos="8459"/>
              <w:tab w:val="right" w:pos="9026" w:leader="dot"/>
            </w:tabs>
            <w:rPr/>
          </w:pPr>
          <w:hyperlink w:anchor="__RefHeading___Toc8089354_2142443653">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8089356_2142443653">
            <w:r>
              <w:rPr>
                <w:webHidden/>
                <w:rStyle w:val="IndexLink"/>
              </w:rPr>
              <w:t>1</w:t>
            </w:r>
            <w:r>
              <w:rPr>
                <w:rStyle w:val="IndexLink"/>
                <w:rtl w:val="true"/>
              </w:rPr>
              <w:t xml:space="preserve"> - </w:t>
            </w:r>
            <w:r>
              <w:rPr>
                <w:rStyle w:val="IndexLink"/>
                <w:rtl w:val="true"/>
              </w:rPr>
              <w:t>كتاب هاى فارسى</w:t>
            </w:r>
            <w:r>
              <w:rPr>
                <w:rStyle w:val="IndexLink"/>
                <w:rtl w:val="true"/>
              </w:rPr>
              <w:tab/>
            </w:r>
            <w:r>
              <w:rPr>
                <w:rStyle w:val="IndexLink"/>
              </w:rPr>
              <w:t>439</w:t>
            </w:r>
          </w:hyperlink>
        </w:p>
        <w:p>
          <w:pPr>
            <w:pStyle w:val="Contents3"/>
            <w:tabs>
              <w:tab w:val="clear" w:pos="8459"/>
              <w:tab w:val="right" w:pos="9026" w:leader="dot"/>
            </w:tabs>
            <w:rPr/>
          </w:pPr>
          <w:hyperlink w:anchor="__RefHeading___Toc8089358_2142443653">
            <w:r>
              <w:rPr>
                <w:webHidden/>
                <w:rStyle w:val="IndexLink"/>
              </w:rPr>
              <w:t>2</w:t>
            </w:r>
            <w:r>
              <w:rPr>
                <w:rStyle w:val="IndexLink"/>
                <w:rtl w:val="true"/>
              </w:rPr>
              <w:t xml:space="preserve"> - </w:t>
            </w:r>
            <w:r>
              <w:rPr>
                <w:rStyle w:val="IndexLink"/>
                <w:rtl w:val="true"/>
              </w:rPr>
              <w:t>كتاب هاى عربى</w:t>
            </w:r>
            <w:r>
              <w:rPr>
                <w:rStyle w:val="IndexLink"/>
                <w:rtl w:val="true"/>
              </w:rPr>
              <w:tab/>
            </w:r>
            <w:r>
              <w:rPr>
                <w:rStyle w:val="IndexLink"/>
              </w:rPr>
              <w:t>441</w:t>
            </w:r>
          </w:hyperlink>
        </w:p>
        <w:p>
          <w:pPr>
            <w:pStyle w:val="Contents3"/>
            <w:tabs>
              <w:tab w:val="clear" w:pos="8459"/>
              <w:tab w:val="right" w:pos="9026" w:leader="dot"/>
            </w:tabs>
            <w:rPr/>
          </w:pPr>
          <w:hyperlink w:anchor="__RefHeading___Toc8089360_2142443653">
            <w:r>
              <w:rPr>
                <w:webHidden/>
                <w:rStyle w:val="IndexLink"/>
              </w:rPr>
              <w:t>3</w:t>
            </w:r>
            <w:r>
              <w:rPr>
                <w:rStyle w:val="IndexLink"/>
                <w:rtl w:val="true"/>
              </w:rPr>
              <w:t xml:space="preserve"> - </w:t>
            </w:r>
            <w:r>
              <w:rPr>
                <w:rStyle w:val="IndexLink"/>
                <w:rtl w:val="true"/>
              </w:rPr>
              <w:t>مقاله ها و نشريه ها</w:t>
            </w:r>
            <w:r>
              <w:rPr>
                <w:rStyle w:val="IndexLink"/>
                <w:rtl w:val="true"/>
              </w:rPr>
              <w:tab/>
            </w:r>
            <w:r>
              <w:rPr>
                <w:rStyle w:val="IndexLink"/>
              </w:rPr>
              <w:t>470</w:t>
            </w:r>
          </w:hyperlink>
        </w:p>
        <w:p>
          <w:pPr>
            <w:pStyle w:val="Contents3"/>
            <w:tabs>
              <w:tab w:val="clear" w:pos="8459"/>
              <w:tab w:val="right" w:pos="9026" w:leader="dot"/>
            </w:tabs>
            <w:rPr/>
          </w:pPr>
          <w:hyperlink w:anchor="__RefHeading___Toc8089362_2142443653">
            <w:r>
              <w:rPr>
                <w:webHidden/>
                <w:rStyle w:val="IndexLink"/>
              </w:rPr>
              <w:t>4</w:t>
            </w:r>
            <w:r>
              <w:rPr>
                <w:rStyle w:val="IndexLink"/>
                <w:rtl w:val="true"/>
              </w:rPr>
              <w:t xml:space="preserve"> - </w:t>
            </w:r>
            <w:r>
              <w:rPr>
                <w:rStyle w:val="IndexLink"/>
                <w:rtl w:val="true"/>
              </w:rPr>
              <w:t>درگاه هاى اينترنتى</w:t>
            </w:r>
            <w:r>
              <w:rPr>
                <w:rStyle w:val="IndexLink"/>
                <w:rtl w:val="true"/>
              </w:rPr>
              <w:tab/>
            </w:r>
            <w:r>
              <w:rPr>
                <w:rStyle w:val="IndexLink"/>
              </w:rPr>
              <w:t>471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02_176735"/>
      <w:bookmarkStart w:id="1" w:name="pg15502_176735"/>
      <w:bookmarkEnd w:id="1"/>
    </w:p>
    <w:p>
      <w:pPr>
        <w:pStyle w:val="Heading2"/>
        <w:numPr>
          <w:ilvl w:val="1"/>
          <w:numId w:val="1"/>
        </w:numPr>
        <w:rPr/>
      </w:pPr>
      <w:bookmarkStart w:id="2" w:name="pg15502_176735"/>
      <w:bookmarkStart w:id="3" w:name="__RefHeading___Toc808877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زاده موسوى، مهدى</w:t>
      </w:r>
    </w:p>
    <w:p>
      <w:pPr>
        <w:pStyle w:val="BookText"/>
        <w:rPr/>
      </w:pPr>
      <w:r>
        <w:rPr>
          <w:rFonts w:ascii="IRNazanin" w:hAnsi="IRNazanin" w:eastAsia="IRNazanin"/>
          <w:color w:val="111111"/>
          <w:sz w:val="28"/>
          <w:sz w:val="28"/>
          <w:szCs w:val="28"/>
          <w:rtl w:val="true"/>
          <w:lang w:bidi="fa-IR"/>
        </w:rPr>
        <w:t>عنوان و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 گرى و وهابيت؛ تبارشناسى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على زاده موسوى؛</w:t>
      </w:r>
    </w:p>
    <w:p>
      <w:pPr>
        <w:pStyle w:val="BookText"/>
        <w:rPr/>
      </w:pPr>
      <w:r>
        <w:rPr>
          <w:rFonts w:ascii="IRNazanin" w:hAnsi="IRNazanin" w:eastAsia="IRNazanin"/>
          <w:color w:val="111111"/>
          <w:sz w:val="28"/>
          <w:sz w:val="28"/>
          <w:szCs w:val="28"/>
          <w:rtl w:val="true"/>
          <w:lang w:bidi="fa-IR"/>
        </w:rPr>
        <w:t>تهيه و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 حوزه علميه قم، معاونت فرهنگى و تبليغى</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 ها و رديه 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 حوزه علميه قم، معاونت فرهنگى و تبليغى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297/527</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و وهابيت، جلد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على زاده موسوى</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جمشيد سرمستانى</w:t>
      </w:r>
    </w:p>
    <w:p>
      <w:pPr>
        <w:pStyle w:val="BookText"/>
        <w:rPr/>
      </w:pPr>
      <w:r>
        <w:rPr>
          <w:rFonts w:ascii="IRNazanin" w:hAnsi="IRNazanin" w:eastAsia="IRNazanin"/>
          <w:color w:val="111111"/>
          <w:sz w:val="28"/>
          <w:sz w:val="28"/>
          <w:szCs w:val="28"/>
          <w:rtl w:val="true"/>
          <w:lang w:bidi="fa-IR"/>
        </w:rPr>
        <w:t>ليتوگرافى، چاپ و 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دفتر تبليغات اسلامى</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همه ى حقوق اين اثر براى ناشر محفوظ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دورشهر، كوچه اول، جنب كلانترى، مركز آموزش هاى كاربردى دفتر تبليغات اسلامى، تلفكس</w:t>
      </w:r>
      <w:r>
        <w:rPr>
          <w:rFonts w:eastAsia="IRNazanin" w:cs="IRNazanin"/>
          <w:color w:val="111111"/>
          <w:sz w:val="28"/>
          <w:szCs w:val="28"/>
          <w:rtl w:val="true"/>
          <w:lang w:bidi="fa-IR"/>
        </w:rPr>
        <w:t xml:space="preserve">: </w:t>
      </w:r>
      <w:r>
        <w:rPr>
          <w:rFonts w:eastAsia="IRNazanin" w:cs="IRNazanin"/>
          <w:color w:val="111111"/>
          <w:sz w:val="28"/>
          <w:szCs w:val="28"/>
          <w:lang w:bidi="fa-IR"/>
        </w:rPr>
        <w:t>7747598</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88776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سلفى گرى و وهابيت</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مبانى اعتقادى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سيد مهدى على زاده موسوى</w:t>
      </w:r>
    </w:p>
    <w:p>
      <w:pPr>
        <w:pStyle w:val="BookText"/>
        <w:rPr/>
      </w:pPr>
      <w:r>
        <w:rPr>
          <w:rFonts w:ascii="Amiri" w:hAnsi="Amiri" w:eastAsia="Amiri" w:cs="Amiri"/>
          <w:color w:val="111111"/>
          <w:sz w:val="28"/>
          <w:sz w:val="28"/>
          <w:szCs w:val="28"/>
          <w:rtl w:val="true"/>
          <w:lang w:bidi="ar-SA"/>
        </w:rPr>
        <w:t>دفتر تبليغات اسلامى حوزه ى علميه ى قم</w:t>
      </w:r>
    </w:p>
    <w:p>
      <w:pPr>
        <w:pStyle w:val="BookText"/>
        <w:rPr/>
      </w:pPr>
      <w:r>
        <w:rPr>
          <w:rFonts w:ascii="IRNazanin" w:hAnsi="IRNazanin" w:eastAsia="IRNazanin"/>
          <w:color w:val="111111"/>
          <w:sz w:val="28"/>
          <w:sz w:val="28"/>
          <w:szCs w:val="28"/>
          <w:rtl w:val="true"/>
          <w:lang w:bidi="fa-IR"/>
        </w:rPr>
        <w:t>معاونت فرهنگى و تبليغى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Amiri" w:hAnsi="Amiri" w:eastAsia="Amiri" w:cs="Amiri"/>
          <w:color w:val="111111"/>
          <w:sz w:val="28"/>
          <w:sz w:val="28"/>
          <w:szCs w:val="28"/>
          <w:rtl w:val="true"/>
          <w:lang w:bidi="ar-SA"/>
        </w:rPr>
        <w:t>سر 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زاده موسوى، سيد مهدى</w:t>
      </w:r>
    </w:p>
    <w:p>
      <w:pPr>
        <w:pStyle w:val="BookText"/>
        <w:rPr/>
      </w:pPr>
      <w:r>
        <w:rPr>
          <w:rFonts w:ascii="IRNazanin" w:hAnsi="IRNazanin" w:eastAsia="IRNazanin"/>
          <w:color w:val="111111"/>
          <w:sz w:val="28"/>
          <w:sz w:val="28"/>
          <w:szCs w:val="28"/>
          <w:rtl w:val="true"/>
          <w:lang w:bidi="fa-IR"/>
        </w:rPr>
        <w:t>عنوان و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 گرى و وهابيت؛ مبانى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سيد مهدى على زاده موسوى؛</w:t>
      </w:r>
    </w:p>
    <w:p>
      <w:pPr>
        <w:pStyle w:val="BookText"/>
        <w:rPr/>
      </w:pPr>
      <w:r>
        <w:rPr>
          <w:rFonts w:ascii="IRNazanin" w:hAnsi="IRNazanin" w:eastAsia="IRNazanin"/>
          <w:color w:val="111111"/>
          <w:sz w:val="28"/>
          <w:sz w:val="28"/>
          <w:szCs w:val="28"/>
          <w:rtl w:val="true"/>
          <w:lang w:bidi="fa-IR"/>
        </w:rPr>
        <w:t>تهيه و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 حوزه علميه قم، معاونت فرهنگى و تبليغى</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نويسى بر اساس جلد دوم</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اعتقادى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 ها و رديه 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فرهنگى و تبليغى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6/238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297/527</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و وهابيت،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اعتقادى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على زاده موسوى</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جمشيد سرمستانى</w:t>
      </w:r>
    </w:p>
    <w:p>
      <w:pPr>
        <w:pStyle w:val="BookText"/>
        <w:rPr/>
      </w:pPr>
      <w:r>
        <w:rPr>
          <w:rFonts w:ascii="IRNazanin" w:hAnsi="IRNazanin" w:eastAsia="IRNazanin"/>
          <w:color w:val="111111"/>
          <w:sz w:val="28"/>
          <w:sz w:val="28"/>
          <w:szCs w:val="28"/>
          <w:rtl w:val="true"/>
          <w:lang w:bidi="fa-IR"/>
        </w:rPr>
        <w:t>ليتوگرافى، چاپ و 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دفتر تبليغات اسلامى</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همه ى حقوق اين اثر براى ناشر محفوظ است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دورشهر، كوچه اول، جنب كلانترى، مركز آموزش هاى كاربردى دفتر تبليغات اسلامى، تلفكس</w:t>
      </w:r>
      <w:r>
        <w:rPr>
          <w:rFonts w:eastAsia="IRNazanin" w:cs="IRNazanin"/>
          <w:color w:val="111111"/>
          <w:sz w:val="28"/>
          <w:szCs w:val="28"/>
          <w:rtl w:val="true"/>
          <w:lang w:bidi="fa-IR"/>
        </w:rPr>
        <w:t xml:space="preserve">: </w:t>
      </w:r>
      <w:r>
        <w:rPr>
          <w:rFonts w:eastAsia="IRNazanin" w:cs="IRNazanin"/>
          <w:color w:val="111111"/>
          <w:sz w:val="28"/>
          <w:szCs w:val="28"/>
          <w:lang w:bidi="fa-IR"/>
        </w:rPr>
        <w:t>7747598</w:t>
      </w:r>
      <w:r>
        <w:rPr>
          <w:rFonts w:eastAsia="IRNazanin" w:cs="IRNazanin"/>
          <w:color w:val="111111"/>
          <w:sz w:val="28"/>
          <w:szCs w:val="28"/>
          <w:rtl w:val="true"/>
          <w:lang w:bidi="fa-IR"/>
        </w:rPr>
        <w:t>-</w:t>
      </w:r>
      <w:r>
        <w:rPr>
          <w:rFonts w:eastAsia="IRNazanin" w:cs="IRNazanin"/>
          <w:color w:val="111111"/>
          <w:sz w:val="28"/>
          <w:szCs w:val="28"/>
          <w:lang w:bidi="fa-IR"/>
        </w:rPr>
        <w:t>0251</w:t>
      </w:r>
      <w:bookmarkStart w:id="7" w:name="pg15502_176743"/>
    </w:p>
    <w:p>
      <w:pPr>
        <w:pStyle w:val="Heading2"/>
        <w:numPr>
          <w:ilvl w:val="1"/>
          <w:numId w:val="1"/>
        </w:numPr>
        <w:rPr/>
      </w:pPr>
      <w:bookmarkStart w:id="8" w:name="__RefHeading___Toc8088778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كلام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شناس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مذاهب كلامى در اسلام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كلام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 شرك</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 مراحل توحيد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در لغت و اصطلاح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توحيد در آموزه هاى اسلامى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و فطرت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نظرى و توحيد عملى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اقسام توحيد نظرى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ذاتى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صفاتى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افعالى و انواع آن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در آفرينش </w:t>
      </w:r>
      <w:r>
        <w:rPr>
          <w:rFonts w:eastAsia="Amiri" w:cs="Amiri" w:ascii="Amiri" w:hAnsi="Amiri"/>
          <w:color w:val="111111"/>
          <w:sz w:val="28"/>
          <w:szCs w:val="28"/>
          <w:lang w:bidi="ar-SA"/>
        </w:rPr>
        <w:t>61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در ربوبيت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در قانون گذار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در حاكميت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اقسام توحيد عملى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در عبادت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در استعانت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در اطاعت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در مذاهب اسلامى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 مراحل شرك</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در لغت و اصطلاح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در قرآن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نظرى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اقسام شرك نظرى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در ذات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در صفات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افعالى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اقسام شرك عملى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جلى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خفى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گرايش به شرك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و نادانى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روى از شك و ترديد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 گرايى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ديگر </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صفاتى در انديشه 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صفاتى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خبرى </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تشبيهى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تنزيهى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بلاتكييف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صفات بدون كيفيت و تشبيه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تفويض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نظريه ى تأويل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مبانى نظرى تشبيه گرايى وهابيت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شناسى وهابيت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تفويض كيفيت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هستى شناسى وهابيت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مصاديق تجسيم در انديشه ى وهابيت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پيشينه ى توحيد ربوبى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ربوبى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lang w:bidi="fa-IR"/>
        </w:rPr>
        <w:t>138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رابطه ى توحيد ربوبى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شناسى رب و اله در قرآن و حديث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پيشينه ى يكتا پرستى در شبه جزيره ى عرب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و شرك ربوبى مشركان </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 پرستى مشركان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دلايل وهابيان </w:t>
      </w:r>
      <w:r>
        <w:rPr>
          <w:rFonts w:eastAsia="Amiri" w:cs="Amiri" w:ascii="Amiri" w:hAnsi="Amiri"/>
          <w:color w:val="111111"/>
          <w:sz w:val="28"/>
          <w:szCs w:val="28"/>
          <w:lang w:bidi="ar-SA"/>
        </w:rPr>
        <w:t>170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نداى هميشگى فطرت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شناسى توحيد الوهى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اله در قرآن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شناسى عبادت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شناسى وهابيت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الوهى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عبادى در انديشه ى اسلامى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201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توحيد عبادى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عبادى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سليمان بن عبدالوهاب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القبور و توحيد القصور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نوسلفيان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مرزهاى توحيد و شرك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نتيجه ى بخش اول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كفر</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در انديشه ى اسلامى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شناسى ايمان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در اصطلاح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در انديشه ى اسلامى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كلامى اهل سنت و مفهوم ايمان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ماتريديه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طحاويه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و متعلقات ايمان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رابطه ى ايمان و عمل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گستره ى عمل </w:t>
      </w:r>
      <w:r>
        <w:rPr>
          <w:rFonts w:eastAsia="IRNazanin" w:cs="IRNazanin"/>
          <w:color w:val="111111"/>
          <w:sz w:val="28"/>
          <w:szCs w:val="28"/>
          <w:lang w:bidi="fa-IR"/>
        </w:rPr>
        <w:t>247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مراتب و درجات ايمان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 ايمان و شرك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بدون ايمان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مقتضاى عمل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رابطه ى اسلام و ايمان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متعلقات ايمان </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 </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كفر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متعلقات كفر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اقسام كفر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سطوح كفر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انواع كافران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مراتب كفر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فرجام كافران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فتنه ى تكفير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انسان و مسلمان در انديشه ى اسلامى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انديشمندان اسلامى و مسأله ى تكفير </w:t>
      </w:r>
      <w:r>
        <w:rPr>
          <w:rFonts w:eastAsia="Amiri" w:cs="Amiri" w:ascii="Amiri" w:hAnsi="Amiri"/>
          <w:color w:val="111111"/>
          <w:sz w:val="28"/>
          <w:szCs w:val="28"/>
          <w:lang w:bidi="ar-SA"/>
        </w:rPr>
        <w:t>283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سلفى گرى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كلامى اهل سنت و مفهوم ايمان </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309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ماتريديه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طحاويه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تأسيس و تثبيت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عبدالوهاب </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عبدالوهاب و تكفير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فتنه ى تكفير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ى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اسلامى و وهابيت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عبدالوهاب از چشم برادر </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وهابيان </w:t>
      </w:r>
      <w:r>
        <w:rPr>
          <w:rFonts w:eastAsia="Amiri" w:cs="Amiri" w:ascii="Amiri" w:hAnsi="Amiri"/>
          <w:color w:val="111111"/>
          <w:sz w:val="28"/>
          <w:szCs w:val="28"/>
          <w:lang w:bidi="ar-SA"/>
        </w:rPr>
        <w:t>350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نتيجه ى بخش دوم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w:t>
      </w:r>
    </w:p>
    <w:p>
      <w:pPr>
        <w:pStyle w:val="BookText"/>
        <w:rPr/>
      </w:pPr>
      <w:r>
        <w:rPr>
          <w:rFonts w:ascii="Amiri" w:hAnsi="Amiri" w:eastAsia="Amiri" w:cs="Amiri"/>
          <w:color w:val="111111"/>
          <w:sz w:val="28"/>
          <w:sz w:val="28"/>
          <w:szCs w:val="28"/>
          <w:rtl w:val="true"/>
          <w:lang w:bidi="ar-SA"/>
        </w:rPr>
        <w:t>فصل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در انديشه ى اسلام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اصطلاحى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بدعت در برابر سنت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بدعت در قرآن </w:t>
      </w:r>
      <w:r>
        <w:rPr>
          <w:rFonts w:eastAsia="IRNazanin" w:cs="IRNazanin"/>
          <w:color w:val="111111"/>
          <w:sz w:val="28"/>
          <w:szCs w:val="28"/>
          <w:lang w:bidi="fa-IR"/>
        </w:rPr>
        <w:t>366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تشريع، فقط مخصوص خداست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نكوهش بدعت در قرآن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مصاديق بدعت در قرآن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بدعت در روايات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بدعت و مقتضيات زمان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اركان بدعت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تصرف در دين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فقدان نص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فصل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و قابليت تقسيم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بدعت و قابليت انقسام </w:t>
      </w:r>
      <w:r>
        <w:rPr>
          <w:rFonts w:eastAsia="Amiri" w:cs="Amiri" w:ascii="Amiri" w:hAnsi="Amiri"/>
          <w:color w:val="111111"/>
          <w:sz w:val="28"/>
          <w:szCs w:val="28"/>
          <w:lang w:bidi="ar-SA"/>
        </w:rPr>
        <w:t>383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بدعت خوب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تقسيم بدعت به احكام پنج گانه </w:t>
      </w:r>
      <w:r>
        <w:rPr>
          <w:rFonts w:eastAsia="IRNazanin" w:cs="IRNazanin"/>
          <w:color w:val="111111"/>
          <w:sz w:val="28"/>
          <w:szCs w:val="28"/>
          <w:lang w:bidi="fa-IR"/>
        </w:rPr>
        <w:t>388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بدعت حقيقى </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ديدگاه عدم تقسيم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فصل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در انديشه ى وهابيت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وهابيت </w:t>
      </w:r>
      <w:r>
        <w:rPr>
          <w:rFonts w:eastAsia="Amiri" w:cs="Amiri" w:ascii="Amiri" w:hAnsi="Amiri"/>
          <w:color w:val="111111"/>
          <w:sz w:val="28"/>
          <w:szCs w:val="28"/>
          <w:lang w:bidi="ar-SA"/>
        </w:rPr>
        <w:t>402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شناس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شناسى وهابى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منابع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در بدعت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بدعت از ديدگاه وهابيت </w:t>
      </w:r>
      <w:r>
        <w:rPr>
          <w:rFonts w:eastAsia="IRNazanin" w:cs="IRNazanin"/>
          <w:color w:val="111111"/>
          <w:sz w:val="28"/>
          <w:szCs w:val="28"/>
          <w:lang w:bidi="fa-IR"/>
        </w:rPr>
        <w:t>406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وهابيان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نتيجه ى بخش سوم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برزخى</w:t>
      </w:r>
    </w:p>
    <w:p>
      <w:pPr>
        <w:pStyle w:val="BookText"/>
        <w:rPr/>
      </w:pPr>
      <w:r>
        <w:rPr>
          <w:rFonts w:ascii="Amiri" w:hAnsi="Amiri" w:eastAsia="Amiri" w:cs="Amiri"/>
          <w:color w:val="111111"/>
          <w:sz w:val="28"/>
          <w:sz w:val="28"/>
          <w:szCs w:val="28"/>
          <w:rtl w:val="true"/>
          <w:lang w:bidi="ar-SA"/>
        </w:rPr>
        <w:t>فصل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برزخيدر انديشه ى اسلام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در عالم برزخ </w:t>
      </w:r>
      <w:r>
        <w:rPr>
          <w:rFonts w:eastAsia="IRNazanin" w:cs="IRNazanin"/>
          <w:color w:val="111111"/>
          <w:sz w:val="28"/>
          <w:szCs w:val="28"/>
          <w:lang w:bidi="fa-IR"/>
        </w:rPr>
        <w:t>422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و حيات برزخى </w:t>
      </w:r>
      <w:r>
        <w:rPr>
          <w:rFonts w:eastAsia="Amiri" w:cs="Amiri" w:ascii="Amiri" w:hAnsi="Amiri"/>
          <w:color w:val="111111"/>
          <w:sz w:val="28"/>
          <w:szCs w:val="28"/>
          <w:lang w:bidi="ar-SA"/>
        </w:rPr>
        <w:t>423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وگوى فرشتگان با صالحان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وگوى فرشتگان با بدكاران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خطابات قرآن </w:t>
      </w:r>
      <w:r>
        <w:rPr>
          <w:rFonts w:eastAsia="IRNazanin" w:cs="IRNazanin"/>
          <w:color w:val="111111"/>
          <w:sz w:val="28"/>
          <w:szCs w:val="28"/>
          <w:lang w:bidi="fa-IR"/>
        </w:rPr>
        <w:t>426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حيات و بهشت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حيات و دوزخ برزخى كافران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برزخ در روايات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شنيدن ارواح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 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ارواح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ارواح و بستگان </w:t>
      </w:r>
      <w:r>
        <w:rPr>
          <w:rFonts w:eastAsia="IRNazanin" w:cs="IRNazanin"/>
          <w:color w:val="111111"/>
          <w:sz w:val="28"/>
          <w:szCs w:val="28"/>
          <w:lang w:bidi="fa-IR"/>
        </w:rPr>
        <w:t>434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پيامبر گرامى اسلام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فصل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حيات برزخى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ى سماع موتى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ى سماع اهل قبور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به حديث انقطاع عمل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عايشه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قيم </w:t>
      </w:r>
      <w:r>
        <w:rPr>
          <w:rFonts w:eastAsia="Amiri" w:cs="Amiri" w:ascii="Amiri" w:hAnsi="Amiri"/>
          <w:color w:val="111111"/>
          <w:sz w:val="28"/>
          <w:szCs w:val="28"/>
          <w:lang w:bidi="ar-SA"/>
        </w:rPr>
        <w:t>460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رجب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نتيجه ى بخش چهارم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هاى فارسى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هاى عربى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مقاله ها و نشريه ها </w:t>
      </w:r>
      <w:r>
        <w:rPr>
          <w:rFonts w:eastAsia="Amiri" w:cs="Amiri" w:ascii="Amiri" w:hAnsi="Amiri"/>
          <w:color w:val="111111"/>
          <w:sz w:val="28"/>
          <w:szCs w:val="28"/>
          <w:lang w:bidi="ar-SA"/>
        </w:rPr>
        <w:t>497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درگاه هاى اينترنتى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فهرست نمايه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 </w:t>
      </w:r>
      <w:r>
        <w:rPr>
          <w:rFonts w:eastAsia="Amiri" w:cs="Amiri" w:ascii="Amiri" w:hAnsi="Amiri"/>
          <w:color w:val="111111"/>
          <w:sz w:val="28"/>
          <w:szCs w:val="28"/>
          <w:lang w:bidi="ar-SA"/>
        </w:rPr>
        <w:t>503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هاى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ها </w:t>
      </w:r>
      <w:r>
        <w:rPr>
          <w:rFonts w:eastAsia="IRNazanin" w:cs="IRNazanin"/>
          <w:color w:val="111111"/>
          <w:sz w:val="28"/>
          <w:szCs w:val="28"/>
          <w:lang w:bidi="fa-IR"/>
        </w:rPr>
        <w:t>514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 ها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ها </w:t>
      </w:r>
      <w:r>
        <w:rPr>
          <w:rFonts w:eastAsia="Amiri" w:cs="Amiri" w:ascii="Amiri" w:hAnsi="Amiri"/>
          <w:color w:val="111111"/>
          <w:sz w:val="28"/>
          <w:szCs w:val="28"/>
          <w:lang w:bidi="ar-SA"/>
        </w:rPr>
        <w:t>521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ها </w:t>
      </w:r>
      <w:r>
        <w:rPr>
          <w:rFonts w:eastAsia="IRNazanin" w:cs="IRNazanin"/>
          <w:color w:val="111111"/>
          <w:sz w:val="28"/>
          <w:szCs w:val="28"/>
          <w:lang w:bidi="fa-IR"/>
        </w:rPr>
        <w:t>531</w:t>
      </w:r>
      <w:bookmarkStart w:id="10" w:name="pg15502_176762"/>
    </w:p>
    <w:p>
      <w:pPr>
        <w:pStyle w:val="Heading2"/>
        <w:numPr>
          <w:ilvl w:val="1"/>
          <w:numId w:val="1"/>
        </w:numPr>
        <w:rPr/>
      </w:pPr>
      <w:bookmarkStart w:id="11" w:name="__RefHeading___Toc8088780_2142443653"/>
      <w:bookmarkStart w:id="12" w:name="_Toc4"/>
      <w:bookmarkEnd w:id="10"/>
      <w:bookmarkEnd w:id="11"/>
      <w:r>
        <w:rPr>
          <w:rtl w:val="true"/>
        </w:rPr>
        <w:t>سخن ناشر</w:t>
      </w:r>
      <w:bookmarkEnd w:id="12"/>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درخشش ارزش هاى ناب اسلامى، امدادهاى پى در پى خداوند متعال و داخل شدن دسته دسته مردم در دين الهى، كسانى را به طمع انداخت تا با راهزنى انديشه ها و بهره گيرى از چنين سرمايه هاى گران سنگ و بى بديلى، براى رسيدن به هوس هاى شيطانى خود، حيله ورزى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متون متين دينى و رهبران بزرگ اسلامى، همواره مخاطبان خود را به داشتن بصيرت، رشد، معرفت، زمان شناسى و پى روى نكردن از آن چه نمى دانند، فراخوانده و از چهره پليد بدعت گذاران و راهزنان پرده برداشته اند، ولى در هر زمان، برخى از مسلمانان</w:t>
      </w:r>
    </w:p>
    <w:p>
      <w:pPr>
        <w:pStyle w:val="BookText"/>
        <w:rPr/>
      </w:pPr>
      <w:r>
        <w:rPr>
          <w:rFonts w:ascii="IRNazanin" w:hAnsi="IRNazanin" w:eastAsia="IRNazanin"/>
          <w:color w:val="111111"/>
          <w:sz w:val="28"/>
          <w:sz w:val="28"/>
          <w:szCs w:val="28"/>
          <w:rtl w:val="true"/>
          <w:lang w:bidi="fa-IR"/>
        </w:rPr>
        <w:t>ضعيف در دام شبهات و فرقه هاى انحرافى گرفتار شده و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وظيفه خطير عالمان دين و مبلغان رسالات الهى است كه با ظهور بدعت ها، به اظهار علم خود بپردازند و همواره مرزبانى از انديشه هاى پيروان حق در برابر هجمه هاى شيطان و عفريته هاى او را برعهده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جريان هاى انحرافى و سخيفى كه دست پليد استعمار و هوس هاى شيطانى منحرفان، به وسيله آن بستر پاك و زلال انديشه اسلامى را مشوه ساخته و بر خاستگاه اصلى اسلام عزيز، حرمين شريفين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سايه شوم انداخته جريان سلفى گريى است كه نماد و</w:t>
      </w:r>
    </w:p>
    <w:p>
      <w:pPr>
        <w:pStyle w:val="BookText"/>
        <w:rPr/>
      </w:pPr>
      <w:r>
        <w:rPr>
          <w:rFonts w:ascii="IRNazanin" w:hAnsi="IRNazanin" w:eastAsia="IRNazanin"/>
          <w:color w:val="111111"/>
          <w:sz w:val="28"/>
          <w:sz w:val="28"/>
          <w:szCs w:val="28"/>
          <w:rtl w:val="true"/>
          <w:lang w:bidi="fa-IR"/>
        </w:rPr>
        <w:t xml:space="preserve">مصداق نامبارك آن با بدعتى شوم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كريه خود را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اى كه نه اهل سنت، بلكه اهل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حيات اين جريان درگرو قدرت سياسى آل سعود، و ادامه حكومت آل سعود بسته به وهابيت، و داعيه ناگفته آنان استيلا و رهبرى بر جهان اسلام است، همه قدرت و ثروت خود را براى ترويج اين آيين باطل به كار بسته و در اين ميان چون تنها مانع خود را آموزه هاى والاى شيعى و مكتب اهل بيت وكانون اصلى آن را ايران مى دانند، در سال هاى اخير از راه هاى گوناگون به شبهه افكنى، تكفير، تحريف متون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براى آگاه سازى مسلمانان</w:t>
      </w:r>
    </w:p>
    <w:p>
      <w:pPr>
        <w:pStyle w:val="BookText"/>
        <w:rPr/>
      </w:pPr>
      <w:r>
        <w:rPr>
          <w:rFonts w:ascii="IRNazanin" w:hAnsi="IRNazanin" w:eastAsia="IRNazanin"/>
          <w:color w:val="111111"/>
          <w:sz w:val="28"/>
          <w:sz w:val="28"/>
          <w:szCs w:val="28"/>
          <w:rtl w:val="true"/>
          <w:lang w:bidi="fa-IR"/>
        </w:rPr>
        <w:t>و خنثى سازى اين حركت پرحجم، اقدام هاى فراوانى مانند نگارش كتاب ها، مقاله ها وتلاش هاى تبليغى انجام شده، اما تاكنون اقدام نظام مند و فراگيرى در اين باره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دفتر تبليغات اسلامى حوزه علميه قم كه وظيفه خطير تبليغ و توانمندسازى مبلغان ارجمند را بر عهده دارد، همزمان با طراحى و اجراى دوره هاى آموزشى به روز براى مبلغان و عناصر تأثيرگذار فرهنگى، به تدوين مجموعه سه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اهتمام ورزيد و در سايه تلاش مجاهدانه و عالمانه استاد و پژوهشگر فرهيخته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والمسلمين آقاى دكتر عليزاده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ارزشمند به استادان و دانش پژوهان محترم ارايه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اين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فراوان علاقه مندان حوزه فرق و اديان روبرو شد و در فاصله كوتاهى پس از انتشار، چندين نوبت تجديد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اعتقادى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تطبيقى به بررسى و نقد مبانى اعتقادى وهابيت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تضادهاى آن با آموزه هاى اسلامى مى پردازد و جلد سوم نيز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مصداقى شبهات وارده از سوى وهابيت بر انديشه اسلامى را مورد نقد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تلاش هاى اين محقق ارزشمند و ساير همكاران به ويژه برادر ارجمند جناب آقاى دكتر محمدعلى سليمانى كه رياست مركز آموزش هاى كاربردى دفتر تبليغات اسلامى را به عهده دارند، صميمانه تشكر و قدردانى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معاونت فرهنگى و تبليغى</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دفتر تبليغات اسلامى حوزه علميه قم</w:t>
      </w:r>
      <w:bookmarkStart w:id="13" w:name="pg15502_176770"/>
    </w:p>
    <w:p>
      <w:pPr>
        <w:pStyle w:val="Heading2"/>
        <w:numPr>
          <w:ilvl w:val="1"/>
          <w:numId w:val="1"/>
        </w:numPr>
        <w:rPr/>
      </w:pPr>
      <w:bookmarkStart w:id="14" w:name="__RefHeading___Toc8088782_2142443653"/>
      <w:bookmarkStart w:id="15" w:name="_Toc5"/>
      <w:bookmarkEnd w:id="13"/>
      <w:bookmarkEnd w:id="14"/>
      <w:r>
        <w:rPr>
          <w:rtl w:val="true"/>
        </w:rPr>
        <w:t>پيش گفتار</w:t>
      </w:r>
      <w:bookmarkEnd w:id="15"/>
    </w:p>
    <w:p>
      <w:pPr>
        <w:pStyle w:val="BookText"/>
        <w:rPr/>
      </w:pPr>
      <w:r>
        <w:rPr>
          <w:rFonts w:ascii="IRNazanin" w:hAnsi="IRNazanin" w:eastAsia="IRNazanin"/>
          <w:color w:val="111111"/>
          <w:sz w:val="28"/>
          <w:sz w:val="28"/>
          <w:szCs w:val="28"/>
          <w:rtl w:val="true"/>
          <w:lang w:bidi="fa-IR"/>
        </w:rPr>
        <w:t xml:space="preserve">در جلد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 و 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و تبار وهابيت به تفصيل مورد بررسى قرار گرفت و ابعاد و زواياى تاريخى و پيوندهاى آن با گذشته، تبيين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نخست مشخص شد كه انديشه وهابى ريشه در انحرافى گسترده تر به نام سلفى گرى دارد و چهره هايى همانند ابن تيميه و ابن قيم، بنيانگذاران اين بدعت در جهان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بعد از تبارشناسى وهابيت، بررسى و نقد مبانى كلامى و اعتقادى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وهابيان با تكيه بر مبانى غير اسلامى خود، عقايد و آموزه هاى كلامى اسلامى را به چالش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با تغييرى بنيادين در برخى از مهمترين آموزه هاى اعتقادى اسلام، خون، مال و ناموس مسلمانان را مباح شمرده و آنان را گاه از مشركان قبل از اسلام بدتر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موضوع اصلى جلد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نقد مبانى اعتقادى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با نقد اين مبانى، اساس انديشه وهابيت با چالشى جدى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مهمترين اختلافات اساسى در حوزه عقايد وهابيت را مى توان در چهار محور خلاصه كرد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و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وهابيان با قرائتى كه از مفهوم توحيد ارايه مى دهند، تمامى مسلمانان را به سبب انجام امور مشروعى همانند توسل، طلب شفاعت، تبرك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 مى شمارند و رهبر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اين اعصار را از</w:t>
      </w:r>
    </w:p>
    <w:p>
      <w:pPr>
        <w:pStyle w:val="BookText"/>
        <w:rPr/>
      </w:pPr>
      <w:r>
        <w:rPr>
          <w:rFonts w:ascii="IRNazanin" w:hAnsi="IRNazanin" w:eastAsia="IRNazanin"/>
          <w:color w:val="111111"/>
          <w:sz w:val="28"/>
          <w:sz w:val="28"/>
          <w:szCs w:val="28"/>
          <w:rtl w:val="true"/>
          <w:lang w:bidi="fa-IR"/>
        </w:rPr>
        <w:t>مشركان قبل از اسلام بدتر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ضمن بيان ديدگاه وهابيان در حوزه توحيد و شرك تضادهاى آنان با عقايد اسلامى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ديگر وهابيان، قرائت آنان از مفهوم ايمان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تعريفى غير متعارف از ايمان و در نتيجه كافر شمردن مسلمانان، توجيه لازم را براى جنايات وهابيان فراهم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با تضييق دايره سنت و تعريف غير اسلامى از بدعت، بسيارى از امورى كه مطابق شريعت اسلامى و تحت عمومات قرار مى گيرد، را بدعت مى شمارند و مسلمانان را به همين سبب بدعت گذار معرفى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حيات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با تكيه بر مبناى هستى شناسى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مردگان را با دنياى زندگان، مقطوع مى شمارند و به همين سبب نيز زيارت رفتن و توسل جستن به اموات را امرى عبث، و لغو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حاضر كوشيده است تا ضمن بيان ديدگاه وهابيان در حوزه هاى فوق، تضادهاى عقايد آنان را با مسلمانان تبيين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ورود به مباحث، توجه به موارد زير ضرورى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كه در اين مجموعه بارها گفته شده است، عقايد وهابيت تنها در تضاد با عقايد شيعه نيست، بلكه اين عقايد با آموزه هاى اعتقادى تمامى مسلمانان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مبانى اعتقادى كه تمامى مسلمانان اجماع و اتفاق نظر دارند، وهابيان راه ديگرى را برگزيده اند و گام در مسير انحرافى نهاده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شبهاتى كه توسط وهابيان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مى شود، در دو سطح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وهابيان با تكيه بر مبانى خود، بسيارى از امور مانند توسل، زيارت، طلب شفاعت، مولد النبى،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شرك، كفر يا بدعت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اين مجموعه، متكفل اين سطح از بحث است كه صرف توسل و يا طلب شفاعت از اولياى الهى، موجب مشرك يا كافر شدن نمى شود و وهابيان با ديدگاه انحرافى خود به چنين</w:t>
      </w:r>
    </w:p>
    <w:p>
      <w:pPr>
        <w:pStyle w:val="BookText"/>
        <w:rPr/>
      </w:pPr>
      <w:r>
        <w:rPr>
          <w:rFonts w:ascii="IRNazanin" w:hAnsi="IRNazanin" w:eastAsia="IRNazanin"/>
          <w:color w:val="111111"/>
          <w:sz w:val="28"/>
          <w:sz w:val="28"/>
          <w:szCs w:val="28"/>
          <w:rtl w:val="true"/>
          <w:lang w:bidi="fa-IR"/>
        </w:rPr>
        <w:t>نتيجه اى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مشخص شد چنين اعمالى شرك، كفر يا بدعت نيست، نوبت به بيان مشروعيت و ممدوح بودن اين امور مى رسد كه در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ادله مشروعيت چنين اعمالى از كتاب، سنت، عقل و سيره مسلمانان، بيان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اين تحقيق بر اساس روش مقايسه اى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انديشه وهابيت با انديشه معيار اسلامى مورد بررسى قرار خواهد گرفت تا حدود و ثغور انحراف آن از آموزه هاى اسلامى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در موارد مورد نياز ديدگاه اسلام به تفصيل بيان گرديده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تحقيق سعى شده است جداى از بيان تضادهاى مبانى وهابيت</w:t>
      </w:r>
    </w:p>
    <w:p>
      <w:pPr>
        <w:pStyle w:val="BookText"/>
        <w:rPr/>
      </w:pPr>
      <w:r>
        <w:rPr>
          <w:rFonts w:ascii="IRNazanin" w:hAnsi="IRNazanin" w:eastAsia="IRNazanin"/>
          <w:color w:val="111111"/>
          <w:sz w:val="28"/>
          <w:sz w:val="28"/>
          <w:szCs w:val="28"/>
          <w:rtl w:val="true"/>
          <w:lang w:bidi="fa-IR"/>
        </w:rPr>
        <w:t>با مبانى اسلامى، نقدهايى كه از درون، مبانى وهابيت را نشانه رفته است، بيان شود، تا كاملا مشخص شود كه تضادهاى اين انديشه با انديشه اسلامى به حدى است كه برخى از افراد وابسته يا نزديك به اين جريان، اوج انحراف وهابيان را تاب نياورده و با آن مخالفت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در اين مسير مقدس، راهنمايى هاى انديشمندان، راهگشاى فعاليت هاى آينده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كه فرهيختگان اين حوزه با ارسال نظرات سازنده خود به آدرس </w:t>
      </w:r>
      <w:r>
        <w:rPr>
          <w:rFonts w:eastAsia="Times New Roman" w:cs="Times New Roman" w:ascii="Times New Roman" w:hAnsi="Times New Roman"/>
          <w:color w:val="111111"/>
          <w:sz w:val="28"/>
          <w:szCs w:val="28"/>
          <w:lang w:val="en-US" w:bidi="en-US"/>
        </w:rPr>
        <w:t>smamoosavi@gmail.com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 غناى اين مجموعه بيافزايند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مهدى عليزاده موسوى</w:t>
      </w:r>
    </w:p>
    <w:p>
      <w:pPr>
        <w:pStyle w:val="BookText"/>
        <w:rPr/>
      </w:pPr>
      <w:r>
        <w:rPr>
          <w:rFonts w:ascii="IRNazanin" w:hAnsi="IRNazanin" w:eastAsia="IRNazanin"/>
          <w:color w:val="111111"/>
          <w:sz w:val="28"/>
          <w:sz w:val="28"/>
          <w:szCs w:val="28"/>
          <w:rtl w:val="true"/>
          <w:lang w:bidi="fa-IR"/>
        </w:rPr>
        <w:t>قم المقدسه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مطابق با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bookmarkStart w:id="16" w:name="pg15502_176777"/>
    </w:p>
    <w:p>
      <w:pPr>
        <w:pStyle w:val="Heading2"/>
        <w:numPr>
          <w:ilvl w:val="1"/>
          <w:numId w:val="1"/>
        </w:numPr>
        <w:rPr/>
      </w:pPr>
      <w:bookmarkStart w:id="17" w:name="__RefHeading___Toc8088784_2142443653"/>
      <w:bookmarkStart w:id="18" w:name="_Toc6"/>
      <w:bookmarkEnd w:id="16"/>
      <w:bookmarkEnd w:id="17"/>
      <w:r>
        <w:rPr>
          <w:rtl w:val="true"/>
        </w:rPr>
        <w:t>فصل اول</w:t>
      </w:r>
      <w:r>
        <w:rPr>
          <w:rtl w:val="true"/>
        </w:rPr>
        <w:t xml:space="preserve">: </w:t>
      </w:r>
      <w:r>
        <w:rPr>
          <w:rtl w:val="true"/>
        </w:rPr>
        <w:t>كليات</w:t>
      </w:r>
      <w:bookmarkEnd w:id="1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8088786_2142443653"/>
      <w:bookmarkStart w:id="20" w:name="_Toc7"/>
      <w:bookmarkEnd w:id="19"/>
      <w:r>
        <w:rPr>
          <w:rtl w:val="true"/>
        </w:rPr>
        <w:t>اشاره</w:t>
      </w:r>
      <w:bookmarkStart w:id="21" w:name="pg15502_176781"/>
      <w:bookmarkEnd w:id="20"/>
    </w:p>
    <w:p>
      <w:pPr>
        <w:pStyle w:val="Heading3"/>
        <w:numPr>
          <w:ilvl w:val="2"/>
          <w:numId w:val="1"/>
        </w:numPr>
        <w:rPr/>
      </w:pPr>
      <w:bookmarkStart w:id="22" w:name="__RefHeading___Toc8088788_2142443653"/>
      <w:bookmarkStart w:id="23" w:name="_Toc8"/>
      <w:bookmarkEnd w:id="21"/>
      <w:bookmarkEnd w:id="22"/>
      <w:r>
        <w:rPr/>
        <w:t>1</w:t>
      </w:r>
      <w:r>
        <w:rPr>
          <w:rtl w:val="true"/>
        </w:rPr>
        <w:t xml:space="preserve"> - </w:t>
      </w:r>
      <w:r>
        <w:rPr>
          <w:rtl w:val="true"/>
        </w:rPr>
        <w:t>مقدمه</w:t>
      </w:r>
      <w:bookmarkEnd w:id="23"/>
    </w:p>
    <w:p>
      <w:pPr>
        <w:pStyle w:val="BookText"/>
        <w:rPr/>
      </w:pPr>
      <w:r>
        <w:rPr>
          <w:rFonts w:ascii="IRNazanin" w:hAnsi="IRNazanin" w:eastAsia="IRNazanin"/>
          <w:color w:val="111111"/>
          <w:sz w:val="28"/>
          <w:sz w:val="28"/>
          <w:szCs w:val="28"/>
          <w:rtl w:val="true"/>
          <w:lang w:bidi="fa-IR"/>
        </w:rPr>
        <w:t>براى فهم عقايد وهابيت، ناگزير بايد با مفاهيم و ادبياتى آشنا شد كه در درك مبانى وهابيت نقشى مستقيم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مفاهيم و كليات، كليدواژه هايى هستند كه زمينه را براى تبيين مبانى بنيادين و اعتقادى وهابيت آماده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ازآن جاكه محل بحث درباره ى اعتقادات وهابيت، علم كلام است و رويكرد وهابيت به اين علم، رويكردى سلبى است، بايد ديدگاه وهابيت درباره ى اين علم نيز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عهده دار تبيين و بررسى اين مفاهيم است و بى شك بدون فهم درست اين مفاهيم و كليات، نمى توان مبانى وهابيت را به خوبى شناخت</w:t>
      </w:r>
      <w:r>
        <w:rPr>
          <w:rFonts w:eastAsia="IRNazanin" w:cs="IRNazanin"/>
          <w:color w:val="111111"/>
          <w:sz w:val="28"/>
          <w:szCs w:val="28"/>
          <w:rtl w:val="true"/>
          <w:lang w:bidi="fa-IR"/>
        </w:rPr>
        <w:t>.</w:t>
      </w:r>
    </w:p>
    <w:p>
      <w:pPr>
        <w:pStyle w:val="Heading3"/>
        <w:numPr>
          <w:ilvl w:val="2"/>
          <w:numId w:val="1"/>
        </w:numPr>
        <w:rPr/>
      </w:pPr>
      <w:bookmarkStart w:id="24" w:name="__RefHeading___Toc8088790_2142443653"/>
      <w:bookmarkStart w:id="25" w:name="_Toc9"/>
      <w:bookmarkEnd w:id="24"/>
      <w:r>
        <w:rPr/>
        <w:t>2</w:t>
      </w:r>
      <w:r>
        <w:rPr>
          <w:rtl w:val="true"/>
        </w:rPr>
        <w:t xml:space="preserve"> - </w:t>
      </w:r>
      <w:r>
        <w:rPr>
          <w:rtl w:val="true"/>
        </w:rPr>
        <w:t>روش</w:t>
      </w:r>
      <w:bookmarkEnd w:id="2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w:t>
      </w:r>
      <w:r>
        <w:rPr>
          <w:rStyle w:val="FootnoteAnchor"/>
          <w:rtl w:val="true"/>
        </w:rPr>
        <w:footnoteReference w:id="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در بررسى و نقد يك انديشه نقشى راهبردى دارد و بدون درپيش گرفتن روشى مناسب كه با ماهيت و محتواى بحث هم آهنگ باشد، كاستى ها و شايستگى هاى يك انديشه، به صورت نظام مند و دقيق تبيين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هدف ها و غايت هاى هر پژوهش، روش هاى متفاوتى وجود دارد؛ براى نمونه، يكى از روش هاى</w:t>
      </w:r>
    </w:p>
    <w:p>
      <w:pPr>
        <w:pStyle w:val="BookText"/>
        <w:rPr/>
      </w:pPr>
      <w:r>
        <w:rPr>
          <w:rFonts w:ascii="Amiri" w:hAnsi="Amiri" w:eastAsia="Amiri" w:cs="Amiri"/>
          <w:color w:val="111111"/>
          <w:sz w:val="28"/>
          <w:sz w:val="28"/>
          <w:szCs w:val="28"/>
          <w:rtl w:val="true"/>
          <w:lang w:bidi="ar-SA"/>
        </w:rPr>
        <w:t>بررسى يك فكر، انديشه يا مذهب، روش توصيفى</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روش، حدود و ثغور و ويژگى هاى يك انديشه تبيين مى شود و ماهيتى توصيفى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هرچند ممكن است انديشه و يا مكتبى را به طور كامل و با همه ى ابعاد و زوايا معرفى كند، اما ازآن جاكه در پى ارزيابى يا داورى نيست، نمى تواند نقاط ضعف و مشكلات انديشه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نگاه اين روش به موضوع مورد مطالعه، نگاهى هنجارى نيست و صرفاً توصيفى، و نهايتاً توضيحى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ديگرى كه در بررسى انديشه مى توان به كار برد، روش تحليلى</w:t>
      </w:r>
      <w:r>
        <w:rPr>
          <w:rStyle w:val="FootnoteAnchor"/>
          <w:rtl w:val="true"/>
        </w:rPr>
        <w:footnoteReference w:id="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روش تحليلى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به آن انتقادى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نيز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 وكاستى هاى يك انديشه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چنان كه از نام آن پيداست، بيش تر نگاه نقادانه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تحليلى، هرچند روشى موفق است، اما چون شاخص ومعيارى براى سنجش آن ارائه نمى شود،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مقايسه اى يا تطبيقى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روش ديگرى است كه در آن، انديشه و يا آموزه هاى يك مكتب، در مقايسه با انديشه يا انديشه هاى ديگر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روش اين است كه انديشه در مقايسه با ديگر انديشه ها، بهتر فهميده شده و ميزان انحراف يك مكتب از انديشه ى معيار و يا دوگانگى با آن،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پيش رو، بر پايه ى الگوى مقايسه اى سامان يافته و كوشيده است تا با اين روش، تضادهاى انديشه ى وهاب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 انديشه ى اسلام برنماياند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لازم، از روش هاى توصيفى و تحليل نيز استفاده شده است؛ اما روح حاكم بر اين پژوهش، همان روش مقايسه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 با تكيه بر مشتركات همه ى مذاهب اسلامى، اعم از شيعه و سنى، انحراف هاى انديشه ى وهاب را از مذاهب اسلامى نشان مى دهد</w:t>
      </w:r>
      <w:r>
        <w:rPr>
          <w:rFonts w:eastAsia="IRNazanin" w:cs="IRNazanin"/>
          <w:color w:val="111111"/>
          <w:sz w:val="28"/>
          <w:szCs w:val="28"/>
          <w:rtl w:val="true"/>
          <w:lang w:bidi="fa-IR"/>
        </w:rPr>
        <w:t>.</w:t>
      </w:r>
      <w:bookmarkStart w:id="26" w:name="pg15502_176785"/>
    </w:p>
    <w:p>
      <w:pPr>
        <w:pStyle w:val="BookText"/>
        <w:rPr/>
      </w:pPr>
      <w:bookmarkEnd w:id="26"/>
      <w:r>
        <w:rPr>
          <w:rFonts w:ascii="IRNazanin" w:hAnsi="IRNazanin" w:eastAsia="IRNazanin"/>
          <w:color w:val="111111"/>
          <w:sz w:val="28"/>
          <w:sz w:val="28"/>
          <w:szCs w:val="28"/>
          <w:rtl w:val="true"/>
          <w:lang w:bidi="fa-IR"/>
        </w:rPr>
        <w:t>البته شكى نيست كه مذاهب اسلامى نيز خود قابل بررسى مقايسه اى هستند و تفاوت هاى بسيارى با يك ديگر دارند؛ اما آن چه پيش فرض اين بحث است، دوگانگى و تفاوت ماهوى انديشه ى وهاب با همه ى مذاهب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گردآورى مطالب در محتواى اين مجموعه، افزون بر روش كتابخانه اى، روش ميدانى</w:t>
      </w:r>
    </w:p>
    <w:p>
      <w:pPr>
        <w:pStyle w:val="BookText"/>
        <w:rPr/>
      </w:pPr>
      <w:r>
        <w:rPr>
          <w:rFonts w:ascii="IRNazanin" w:hAnsi="IRNazanin" w:eastAsia="IRNazanin"/>
          <w:color w:val="111111"/>
          <w:sz w:val="28"/>
          <w:sz w:val="28"/>
          <w:szCs w:val="28"/>
          <w:rtl w:val="true"/>
          <w:lang w:bidi="fa-IR"/>
        </w:rPr>
        <w:t>است؛ بدين معنى كه براى آشنايى با ديدگاه هاى دانشمندان معاصر وهابى، ديدارهايى با رهبران اين مكتب نيز انجام شده است و محتواى اين اثر، متأثر از اين گفت وگوهاست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فضايى موجب شده است كه اين پژوهش از متنى صرفاً تاريخى و كتاب خانه اى خارج شده و ديدگاه هاى جديد دانشمندان وهابى نيز در آن لحاظ شود</w:t>
      </w:r>
      <w:r>
        <w:rPr>
          <w:rFonts w:eastAsia="IRNazanin" w:cs="IRNazanin"/>
          <w:color w:val="111111"/>
          <w:sz w:val="28"/>
          <w:szCs w:val="28"/>
          <w:rtl w:val="true"/>
          <w:lang w:bidi="fa-IR"/>
        </w:rPr>
        <w:t>.</w:t>
      </w:r>
    </w:p>
    <w:p>
      <w:pPr>
        <w:pStyle w:val="Heading3"/>
        <w:numPr>
          <w:ilvl w:val="2"/>
          <w:numId w:val="1"/>
        </w:numPr>
        <w:rPr/>
      </w:pPr>
      <w:bookmarkStart w:id="27" w:name="__RefHeading___Toc8088792_2142443653"/>
      <w:bookmarkStart w:id="28" w:name="_Toc10"/>
      <w:bookmarkEnd w:id="27"/>
      <w:r>
        <w:rPr/>
        <w:t>3</w:t>
      </w:r>
      <w:r>
        <w:rPr>
          <w:rtl w:val="true"/>
        </w:rPr>
        <w:t xml:space="preserve"> - </w:t>
      </w:r>
      <w:r>
        <w:rPr>
          <w:rtl w:val="true"/>
        </w:rPr>
        <w:t>وهابيت و مذاهب اسلامى</w:t>
      </w:r>
      <w:bookmarkEnd w:id="28"/>
    </w:p>
    <w:p>
      <w:pPr>
        <w:pStyle w:val="BookText"/>
        <w:rPr/>
      </w:pPr>
      <w:r>
        <w:rPr>
          <w:rFonts w:ascii="IRNazanin" w:hAnsi="IRNazanin" w:eastAsia="IRNazanin"/>
          <w:color w:val="111111"/>
          <w:sz w:val="28"/>
          <w:sz w:val="28"/>
          <w:szCs w:val="28"/>
          <w:rtl w:val="true"/>
          <w:lang w:bidi="fa-IR"/>
        </w:rPr>
        <w:t>نخستين گام در بررسى و نقد انديشه ى وهابيت، تبيين نقطه ى انحراف اين نحله از جامعه 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آيا وهابيت فرقه اى فقهى در كنار ديگر فرقه هاى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شافعى، مالكى و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 مى توان وهابيت را يكى از مذاهب كلامى اهل سنت، در كنار مذاهبى همچون اشعريه، ماتريديه و معتزله دانست‌؟ پيش از پاسخ به اين پرسش ها، بايد به اين نكته اشاره كرد كه شكى نيست آن چه به وهابيت</w:t>
      </w:r>
    </w:p>
    <w:p>
      <w:pPr>
        <w:pStyle w:val="BookText"/>
        <w:rPr/>
      </w:pPr>
      <w:r>
        <w:rPr>
          <w:rFonts w:ascii="IRNazanin" w:hAnsi="IRNazanin" w:eastAsia="IRNazanin"/>
          <w:color w:val="111111"/>
          <w:sz w:val="28"/>
          <w:sz w:val="28"/>
          <w:szCs w:val="28"/>
          <w:rtl w:val="true"/>
          <w:lang w:bidi="fa-IR"/>
        </w:rPr>
        <w:t>تشخص مى دهد، ديدگاه هاى كلامى و اعتقادى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تفاوت هاى وهابيت با ديگر مذاهب اسلامى را بايد در دل مباحث كلامى و اعتقادى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وهابيت نيز پيش فرض هاى اعتقادى دارد و هرچند گاهى در قالب گزاره هاى فقهى مانند احكام حلال و حرام بيان شده است، اما ريشه يابى آن ها در عرصه ى فقه و ديگر علوم اسلامى، به بى راهه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ماهيت اعتقادى وهابيت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هرگز نمى توان آن را مكتبى در كنار ديگر مكاتب كلامى اهل سنت قرار داد؛ زيرا هنگامى يك مكتب در كنار مكاتب ديگر قرار مى گيرد كه در مبانى و اصول، قدر مشتركى داشته باشند؛ اما اگر مكتبى پيروان ديگر</w:t>
      </w:r>
    </w:p>
    <w:p>
      <w:pPr>
        <w:pStyle w:val="BookText"/>
        <w:rPr/>
      </w:pPr>
      <w:r>
        <w:rPr>
          <w:rFonts w:ascii="IRNazanin" w:hAnsi="IRNazanin" w:eastAsia="IRNazanin"/>
          <w:color w:val="111111"/>
          <w:sz w:val="28"/>
          <w:sz w:val="28"/>
          <w:szCs w:val="28"/>
          <w:rtl w:val="true"/>
          <w:lang w:bidi="fa-IR"/>
        </w:rPr>
        <w:t>مكاتب را كافر و مشرك بداند و بر اساس آن، جان و مال و نواميس آن ها را مباح بشمارد، ديگر قدر مشتركى براى گفت وگو و تعامل ميان آن انديشه و ديگر مذاهب يك دين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وهابى، قدر مشتركى را براى گفت وگو با ديگر مذاهب اسلامى باقى نگذاشته و با شمشير تكفير، آن ها را از قلمرو دين خارج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بنيان گذار وهابيت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حكم به كفر را منوط به قدرت تبيين و علم بالا مى داند و وهابيان را از نظر علمى مناسب حكم تكفير نمى شمارد،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كسانى را تكفير مى كنيد كه به يگانگى خدا و رسالت پيامبر گرامى اسلام شهادت مى دهند؛ نماز به پا مى دارند؛ زكات مى پردازند و در رمضان روزه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به خدا، ملائكه و كتب آسمانى و پيامبران الهى ايمان دارند و حج به جا مى آورند، شما آنان را كافر مى پنداريد و سرزمين هاى آنان را دارالحرب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شماريد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اين در حالى است كه ديگر مذاهب اسلامى، پيروان مذاهب ديگر را به كفر</w:t>
      </w:r>
    </w:p>
    <w:p>
      <w:pPr>
        <w:pStyle w:val="BookText"/>
        <w:rPr/>
      </w:pPr>
      <w:r>
        <w:rPr>
          <w:rFonts w:ascii="IRNazanin" w:hAnsi="IRNazanin" w:eastAsia="IRNazanin"/>
          <w:color w:val="111111"/>
          <w:sz w:val="28"/>
          <w:sz w:val="28"/>
          <w:szCs w:val="28"/>
          <w:rtl w:val="true"/>
          <w:lang w:bidi="fa-IR"/>
        </w:rPr>
        <w:t>و ارتداد نرانده اند و پس از آن، به اباحه ى خون و مال و ناموس آنان حكم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امامان مذاهب اسلامى، هرگز چنين چيزى ديده نمى شود و اين نگرش، تنها به خوارج و وهابيت اختصاص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وهابيت، در طول تاريخ اسلام، تنها خوارج بودند كه چنين رويكردى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هرچند ابتدا چون غده اى در جهان اسلام رشد كرد، اما پس از چندى رو به افول نهاد و هرگز توسط ديگر مذاهب اسلامى به منزله ى يك مذهب اسلامى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انديشه ى خوارج دوام نياورد و شاخه ى اصلى آن در همان سده هاى نخستين اسلام از ميان رفت، مكتب سلفى گر نيز چنين سرنوشتى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ميان مسلمانان، تا پيش از فتنه ى وهابيت، پيروى نداشت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امروز نيز پيوند ميان دين و قدرت، وهابيت را زنده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وهابيت هرگز نتوانسته است جاى خود را در ميان مسلمانان باز كند و تنها شبهات وهابيت است كه توسط رسانه ها و بر بال امواج ماهواره اى و با دلارهاى نفتى و استفاده ى ابزارى از حرمين شريفين و حمايت هاى استعمار، ذهن مسلمانان را آشفته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وهابيت، مردم هيچ يك از مناطق زير سلطه ى اين فرقه، با اشتياق و در پى دعوت وهابيت، به اين آيين نگرويده اند و تنها قدرت شمشير، آنان را به اطاعت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جنگ ميان درعيه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پايتخت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رياض كه تنها هفت كيلومتر با آن فاصله داشت و فتح آن پس از به جاى گذاشتن چهار هزار قربانى، نشانه ى چنين وضعيتى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انحراف اصلى وهابيت ازنظراعتقادى، تصرف وتحريف دربرخى ازآموزه هاى اعتقادى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باتحريف دراين مفاهيم اسلامى، بسيارى ازاعمال مقبول مسلمانان را مصداق شرك، كفر و بدعت دانسته است و در پى آن، حكم به كفر و شرك مسلمانان و اهل قبله داده و همانند خوارج، خون و مال و نواميس آنان را مباح شمرده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نقطه ى عزيمت نقد و بررسى انديشه ى وهابى، نقد و بررسى تحريف ها و تصرفاتى است كه اين مكتب در مفاهيم كلامى مسلمانان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ناگزير</w:t>
      </w:r>
      <w:bookmarkStart w:id="29" w:name="pg15502_176790"/>
    </w:p>
    <w:p>
      <w:pPr>
        <w:pStyle w:val="BookText"/>
        <w:rPr/>
      </w:pPr>
      <w:bookmarkEnd w:id="29"/>
      <w:r>
        <w:rPr>
          <w:rFonts w:ascii="IRNazanin" w:hAnsi="IRNazanin" w:eastAsia="IRNazanin"/>
          <w:color w:val="111111"/>
          <w:sz w:val="28"/>
          <w:sz w:val="28"/>
          <w:szCs w:val="28"/>
          <w:rtl w:val="true"/>
          <w:lang w:bidi="fa-IR"/>
        </w:rPr>
        <w:t>مبحث را بايد در حوزه ى كلام و عقايد پى گرفت و با نگاهى تطبيقى، جنبه هاى انحرافى اين مكتب را آشكار ساخت</w:t>
      </w:r>
      <w:r>
        <w:rPr>
          <w:rFonts w:eastAsia="IRNazanin" w:cs="IRNazanin"/>
          <w:color w:val="111111"/>
          <w:sz w:val="28"/>
          <w:szCs w:val="28"/>
          <w:rtl w:val="true"/>
          <w:lang w:bidi="fa-IR"/>
        </w:rPr>
        <w:t>.</w:t>
      </w:r>
    </w:p>
    <w:p>
      <w:pPr>
        <w:pStyle w:val="Heading3"/>
        <w:numPr>
          <w:ilvl w:val="2"/>
          <w:numId w:val="1"/>
        </w:numPr>
        <w:rPr/>
      </w:pPr>
      <w:bookmarkStart w:id="30" w:name="__RefHeading___Toc8088794_2142443653"/>
      <w:bookmarkStart w:id="31" w:name="_Toc11"/>
      <w:bookmarkEnd w:id="30"/>
      <w:r>
        <w:rPr/>
        <w:t>4</w:t>
      </w:r>
      <w:r>
        <w:rPr>
          <w:rtl w:val="true"/>
        </w:rPr>
        <w:t xml:space="preserve"> - </w:t>
      </w:r>
      <w:r>
        <w:rPr>
          <w:rtl w:val="true"/>
        </w:rPr>
        <w:t>علم كلام</w:t>
      </w:r>
      <w:bookmarkEnd w:id="31"/>
    </w:p>
    <w:p>
      <w:pPr>
        <w:pStyle w:val="Heading4"/>
        <w:numPr>
          <w:ilvl w:val="3"/>
          <w:numId w:val="1"/>
        </w:numPr>
        <w:rPr/>
      </w:pPr>
      <w:bookmarkStart w:id="32" w:name="__RefHeading___Toc8088796_2142443653"/>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همان گونه كه گفته شد، ريشه هاى انحراف وهابيت را بايد در اعتقادات و مباحث كلامى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 چه راه وهابيت را از مسلمانان جدا مى كند، انحرافات اعتقادى و كلامى آن است؛ ازاين رو نخست بايد علم كلام شناخته شده و حدود و ثغور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تعريف هر علمى، تعريفى است كه دربردارنده ى موضوع، روش و اهداف آن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مطهرى در تعريف علم كلام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كلام، علمى است كه درباره ى عقايد اسلامى، يعنى آن چه از نظر اسلام بايد بدان معتقد بود و ايمان داشت، بحث مى كند؛ به اين نحو كه آن ها را توضيح مى دهد، درباره ى آن ها استدلال مى كند و از آن ها دفاع مى كند</w:t>
      </w:r>
      <w:r>
        <w:rPr>
          <w:rFonts w:eastAsia="IRNazanin" w:cs="IRNazanin"/>
          <w:color w:val="111111"/>
          <w:sz w:val="28"/>
          <w:szCs w:val="28"/>
          <w:rtl w:val="true"/>
          <w:lang w:bidi="fa-IR"/>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علم كلام در تعريف شهيد مطهرى، عقايد اسلامى يا معتقدات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معتقد است كه وحدت مسائل علم كلام، اعتبارى است؛ بنابراين علم كلام مى تواند موضوعات گوناگون و متباينى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محقق طوسى جامع مسائل متعدد علم كلام را به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امرى ذاتى است منتسب دانسته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اما به هرحال، ميان انديشمندان پيرامون موضوع علم كلام، اجماعى وجود ندارد و ديدگاه ها در اين زمينه مختلف است</w:t>
      </w:r>
      <w:r>
        <w:rPr>
          <w:rFonts w:eastAsia="IRNazanin" w:cs="IRNazanin"/>
          <w:color w:val="111111"/>
          <w:sz w:val="28"/>
          <w:szCs w:val="28"/>
          <w:rtl w:val="true"/>
          <w:lang w:bidi="fa-IR"/>
        </w:rPr>
        <w:t>.</w:t>
      </w:r>
      <w:r>
        <w:rPr>
          <w:rStyle w:val="FootnoteAnchor"/>
          <w:rtl w:val="true"/>
        </w:rPr>
        <w:footnoteReference w:id="11"/>
      </w:r>
      <w:bookmarkStart w:id="34" w:name="pg15502_176792"/>
    </w:p>
    <w:p>
      <w:pPr>
        <w:pStyle w:val="BookText"/>
        <w:rPr/>
      </w:pPr>
      <w:bookmarkEnd w:id="34"/>
      <w:r>
        <w:rPr>
          <w:rFonts w:ascii="Amiri" w:hAnsi="Amiri" w:eastAsia="Amiri" w:cs="Amiri"/>
          <w:color w:val="111111"/>
          <w:sz w:val="28"/>
          <w:sz w:val="28"/>
          <w:szCs w:val="28"/>
          <w:rtl w:val="true"/>
          <w:lang w:bidi="ar-SA"/>
        </w:rPr>
        <w:t>با توجه به تعريف يادشده، اهداف علم كلام در سه محور خلاصه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عقايد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براى اثبات عقايد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عقايد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مى بينيم، شهيد مطهرى اهداف سه گانه اى را براى علم كلام يادآور مى شود كه هر يك مكمل ديگرى است؛ اما آن چه در تعريف ايشان مغفول مانده است، روش علم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علم كلام در توضيح، اثبات و يا دفاع از آموزه هاى خود، از چه روش يا روش هايى استفاده مى كند؟ ازآن جاكه بحث روش شناسى در مباحث وهابيت نقش كليدى دارد، بجاست بحث روش با تفصيل بيش ترى بررسى شود</w:t>
      </w:r>
      <w:r>
        <w:rPr>
          <w:rFonts w:eastAsia="IRNazanin" w:cs="IRNazanin"/>
          <w:color w:val="111111"/>
          <w:sz w:val="28"/>
          <w:szCs w:val="28"/>
          <w:rtl w:val="true"/>
          <w:lang w:bidi="fa-IR"/>
        </w:rPr>
        <w:t>.</w:t>
      </w:r>
    </w:p>
    <w:p>
      <w:pPr>
        <w:pStyle w:val="Heading4"/>
        <w:numPr>
          <w:ilvl w:val="3"/>
          <w:numId w:val="1"/>
        </w:numPr>
        <w:rPr/>
      </w:pPr>
      <w:bookmarkStart w:id="35" w:name="__RefHeading___Toc8088798_2142443653"/>
      <w:bookmarkStart w:id="36" w:name="_Toc13"/>
      <w:bookmarkEnd w:id="35"/>
      <w:r>
        <w:rPr/>
        <w:t>1</w:t>
      </w:r>
      <w:r>
        <w:rPr>
          <w:rtl w:val="true"/>
        </w:rPr>
        <w:t>‏-‏</w:t>
      </w:r>
      <w:r>
        <w:rPr/>
        <w:t>4</w:t>
      </w:r>
      <w:r>
        <w:rPr>
          <w:rtl w:val="true"/>
        </w:rPr>
        <w:t xml:space="preserve"> - </w:t>
      </w:r>
      <w:r>
        <w:rPr>
          <w:rtl w:val="true"/>
        </w:rPr>
        <w:t>روش شناسى در علم كلام</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شناسى علم كلام، بايد سطوح مختلف تحليل را از يك ديگر تفكيك كرده و در توضيح و استدلال پيرامون عقايد اسلامى از روش هاى يقين آورى همانند برهان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رساله هاى توضيح المسائل درباره ى جايز نبودن تقليد در مسائل اعتقادى آمده، ناظر به همين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اصولى همانند اثبات وجود خدا و توحيد، اثبات رسالت پيامبر صلى الله عليه و آله و امامت، و اثبات اصل قيامت، به برهان عقلى و مطمئن نياز دارد؛ درحالى كه مسائل ديگر مانند ويژگى هاى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مرتبه ى بعدى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اخبار و روايات پيامبر صلى الله عليه و آله يا امامانى كه رسالت يا امامت ايشان عقلاً ثابت شده است، اثبات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محور سوم كه همان دفاع از عقايد اسلامى است، روش هاى ديگر، مانند تمثيل، جدل و خطابه نيز به كار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محور سوم كه بحث دفاع از عقايد اسلامى در برابر مخالفان است، بهره بردارى از هر روشى كه بتواند دشمن را مجاب كند و يا دست كم وى را در موضع شكست قرار دهد،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تبيين روش دعوت به يكتاپرستى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آيه ى شريفه سه روش استخراج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موعظه ى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جدال احسن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طباطبايى در تفسير اين آيه ى شريفه، نكات ارزشمندى دارد كه به اجمال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از آيه ى مزبور استفاده مى شود كه روش هاى سه گانه ى حكمت، موعظه و مجادله از شيوه هاى بحث و گفت وگو مى باشند و پيامبر صلى الله عليه و آله مأموريت يافته است تا در طريق دعوت به آيين الهى، از تمام روش هاى مزبور بهره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دريافت حق بر پايه ى علم و انديشه تفسير شده است، و 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خليل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يادآورى امور پسنديده به گونه اى دل نشين، و 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گفت وگو بر سبيل منازعه و غلبه يافتن بر خصم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معانى يادشده، بيانگر اين مطلب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دليلى است كه به گونه اى استوار و ترديدناپذير و دور از ابهام، حق را افاده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پندآموزى است كه چون بيانگر مصالح و مفاسد، و سود و زيان شنونده مى باشد، موجب لينت نفس و رقت قلب او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دليلى است كه هدف از به كارگيرى آن افاده ى حق نيست؛ بلكه مقصود، غلبه يافتن بر رقيب در مباحثه و گفت وگوست و براى دست يافتن به اين هدف، از قضاياى مورد قبول عموم مردم يا آن چه مورد قبول خصم مى باشد، استفاده مى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اصطلاح حكمت، موعظه و جدال كه در كلام الهى آمده است، بر اصطلاح برهان، خطابه و جدل در فن منطق منطبق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استفاده مى شودكه همه ى مصاديق روش حكمت و برهان نيكوست؛ ولى روش خطابه به دو قسم نيكو و غيرنيكو تقسيم مى گردد، و تنها به كارگيرى قسم نخست مطلوب است؛ و روش جدل داراى سه قسم غيرنيكو، نيكو و نيكوتر است، و تنها قسم اخير مطلوب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راجع به كاربرد روش هاى مزبور در دعوت به يكتاپرستى و اين كه روش هاى يادشده را در مورد چه كسانى بايد به كار گرفت، سخنى نيامده است و ملاك در اين باره، حسن تأثير و دست يابى 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برخى از موارد، استعمال همه ى طرق يادشده جايز خواهد بود و در مواردى، به كارگيرى دو طريق و احياناً فقط به كارگيرى يك طريق جايز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 جدال به احسن، از طرق دعوت نبوده و غرض از آن، چيزى جز الزام و افهام نيست و به همين جهت در آيه، موعظه ى حسنه برحكمت عطف گرديده؛ ولى در مورد جدال، سياق آيه تغيير كرده و فعل و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إِلىٰ سَبِيلِ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گرديده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جداى از اين روش ها، مرحوم مطهرى كلام را به دو بخش نقلى و عقلى تقسيم مى كند كه خود به نوعى نمايانگر روش به كارگرفته در استنباط مى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كلام، در عين اينكه يك علم استدلالى و قياسى است، از نظر مقدمات و مبادى اى كه در استدلالات خود به كار مى برد، مشتمل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عقلى و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عقلى كلام، مسائلى است كه مقدمات آن صرفاً از عقل گرفته شده است و اگر فرضاً به نقل استناد شود، به عنوان ارشاد و تأييد حكم عقل است؛ مثل مسائل مربوط به توحيد و نبوت و برخى از مسائل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مسائل، استناد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صرفاً از عقل بايد استمداد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نقلى كلام، مسائلى است كه هرچند از اصول دين است و بايد به آن ها مؤمن و معتقد بود،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 كه اين مسائل فرع بر نبوت است، نه مقدم بر نبوت و نه عين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از طريق</w:t>
      </w:r>
      <w:bookmarkStart w:id="37" w:name="pg15502_176799"/>
    </w:p>
    <w:p>
      <w:pPr>
        <w:pStyle w:val="BookText"/>
        <w:rPr/>
      </w:pPr>
      <w:bookmarkEnd w:id="37"/>
      <w:r>
        <w:rPr>
          <w:rFonts w:ascii="IRNazanin" w:hAnsi="IRNazanin" w:eastAsia="IRNazanin"/>
          <w:color w:val="111111"/>
          <w:sz w:val="28"/>
          <w:sz w:val="28"/>
          <w:szCs w:val="28"/>
          <w:rtl w:val="true"/>
          <w:lang w:bidi="fa-IR"/>
        </w:rPr>
        <w:t xml:space="preserve">وحى الهى يا سخن قطعى پيامبر گرامى اسلام صلى الله عليه و آله مطلب اثبات شود؛ مثل مسائل مربوط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عقيده ى شيعه كه امامت را از اصول دين اسلام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اكثر مسائل مربوط به معاد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البته همان گونه كه شهيد مطهرى هم به درستى اشاره كرده است، تقسيم مباحث به دو بخش عقلى و نقلى به اين معنى نيست كه نبايد از روش هاى نقلى در آموزه هاى عقلانى استفاده كرد و يا مباحث نقلى كلام را با دلايل عقلى بيان كرد؛ بلكه مراد، استفاده ى درست از روش هاى عقلى و نقلى در مباحث كلامى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استفاده ى صرف از يك روش خاص در مباحث علم كلام، نه تنها مورد تأييد قرآن نيست، بلكه ماهيت علم كلام نيز چنين اقتضايى ندارد</w:t>
      </w:r>
      <w:r>
        <w:rPr>
          <w:rFonts w:eastAsia="IRNazanin" w:cs="IRNazanin"/>
          <w:color w:val="111111"/>
          <w:sz w:val="28"/>
          <w:szCs w:val="28"/>
          <w:rtl w:val="true"/>
          <w:lang w:bidi="fa-IR"/>
        </w:rPr>
        <w:t>.</w:t>
      </w:r>
    </w:p>
    <w:p>
      <w:pPr>
        <w:pStyle w:val="Heading4"/>
        <w:numPr>
          <w:ilvl w:val="3"/>
          <w:numId w:val="1"/>
        </w:numPr>
        <w:rPr/>
      </w:pPr>
      <w:bookmarkStart w:id="38" w:name="__RefHeading___Toc8088800_2142443653"/>
      <w:bookmarkStart w:id="39" w:name="_Toc14"/>
      <w:bookmarkEnd w:id="38"/>
      <w:r>
        <w:rPr/>
        <w:t>2</w:t>
      </w:r>
      <w:r>
        <w:rPr>
          <w:rtl w:val="true"/>
        </w:rPr>
        <w:t>‏-‏</w:t>
      </w:r>
      <w:r>
        <w:rPr/>
        <w:t>4</w:t>
      </w:r>
      <w:r>
        <w:rPr>
          <w:rtl w:val="true"/>
        </w:rPr>
        <w:t xml:space="preserve"> - </w:t>
      </w:r>
      <w:r>
        <w:rPr>
          <w:rtl w:val="true"/>
        </w:rPr>
        <w:t>مذاهب كلامى در اسلام</w:t>
      </w:r>
      <w:bookmarkEnd w:id="39"/>
    </w:p>
    <w:p>
      <w:pPr>
        <w:pStyle w:val="BookText"/>
        <w:rPr/>
      </w:pPr>
      <w:r>
        <w:rPr>
          <w:rFonts w:ascii="IRNazanin" w:hAnsi="IRNazanin" w:eastAsia="IRNazanin"/>
          <w:color w:val="111111"/>
          <w:sz w:val="28"/>
          <w:sz w:val="28"/>
          <w:szCs w:val="28"/>
          <w:rtl w:val="true"/>
          <w:lang w:bidi="fa-IR"/>
        </w:rPr>
        <w:t>دين مبين اسلام در منطقه اى ظهور كرد كه عقايد و باورهاى مردم آن بسيار متنوع و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درتوضيح اوضاع و احوال دوره ى جاهليت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خداوند سبحان پيامبر گرامى اسلام صلى الله عليه و آله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آن روز داراى مذهب هاى متشتت و بدعت هاى زياد و رويّه هاى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خداوند را به خلقش تشبيه مى كردند؛ و برخى در اسم او تصرف مى نمودند؛ و جمعى به غير او اشاره مى كردند؛ پس خداوند به وسيله ى آن حضرت، مردم را از گمراهى رهايى داد و به سبب او آنان را از نادانى نجات داد</w:t>
      </w:r>
      <w:r>
        <w:rPr>
          <w:rFonts w:eastAsia="IRNazanin" w:cs="IRNazanin"/>
          <w:color w:val="111111"/>
          <w:sz w:val="28"/>
          <w:szCs w:val="28"/>
          <w:rtl w:val="true"/>
          <w:lang w:bidi="fa-IR"/>
        </w:rPr>
        <w:t>.»</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اسلام ظهور كرد و قرآن، نخستين متن كلامى است كه به تبيين، استدلال و دفاع از آموزه هاى اعتقادى مسلمانان مى پردازد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پيامبر گرامى اسلام صلى الله عليه و آله نيز ازيك سو بايد از آموزه هاى دينى در برابر مشركان و اديان ديگر مانند مسيحيت و يهود دفاع مى نمود و ازسوى ديگر، نومسلمانان را با مباحث علمى آشنا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به بسيارى از مناظرات پيامبر گرامى اسلام صلى الله عليه و آله با مجوس، يهوديان و مسيحيان اشاره كرده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بااين حال، ويژگى اين دوره، محوريت پيامبر گرامى اسلام صلى الله عليه و آله و مقبوليت عام حضرت در ميان مسلمانان بود؛ به گونه اى كه شبهات و مشكلات مردم با مراجعه به پيامبر گرامى اسلام صلى الله عليه و آله حل مى شد و مسلمانان نيز چون به نبوت آن حضرت ايمان داشتند، سخنانش را به گوش جان 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مسلمانان به سبب نزول تدريجى اسلام و معارف آن، هماره چشم به آينده و آموزه هاى جديد اسلامى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پيامبر گرامى اسلام صلى الله عليه و آله و گسترش جغرافيايى اسلام، مسلمانان با شرايط جديدى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ازيك سو بايد مردمان سرزمين هاى جديد را كه سال ها با فرهنگ و دين بومى خود خو گرفته بودند، با معارف اسلامى آشنا مى كردند و از سوى ديگر، با شبهات و عقايد باطلى كه به علت ارتباط فرهنگى با جوامع ديگر به جهان اسلام وارد مى شد، مقابله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دوره ى پس از پيامبر گرامى اسلام صلى الله عليه و آله جريان هاى انحرافى اعتقادى نيز جهان اسلام را از درون رنج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هاى خوارج و مرجئه ماهيتى اعتقادى داشتند و مبارزه با اين انديشه هاى انحرافى نياز به علم كلام را دوچندان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سبب شد ضرورت پيدايش علم كلام، به ويژه كاركرد استدلالى و دفاعى آن، در ميان مسلمانان به شدت احساس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ميان، نخستين شخصيتى كه ضرورت علم كلام را احساس كرد، اميرالمؤمنين على عليه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فرازهاى خطبه هاى آن حضرت، در زمينه ى توحيد،</w:t>
      </w:r>
    </w:p>
    <w:p>
      <w:pPr>
        <w:pStyle w:val="BookText"/>
        <w:rPr/>
      </w:pPr>
      <w:r>
        <w:rPr>
          <w:rFonts w:ascii="IRNazanin" w:hAnsi="IRNazanin" w:eastAsia="IRNazanin"/>
          <w:color w:val="111111"/>
          <w:sz w:val="28"/>
          <w:sz w:val="28"/>
          <w:szCs w:val="28"/>
          <w:rtl w:val="true"/>
          <w:lang w:bidi="fa-IR"/>
        </w:rPr>
        <w:t>صفات،</w:t>
      </w:r>
      <w:r>
        <w:rPr>
          <w:rStyle w:val="FootnoteAnchor"/>
          <w:rtl w:val="true"/>
        </w:rPr>
        <w:footnoteReference w:id="17"/>
      </w:r>
      <w:r>
        <w:rPr>
          <w:rFonts w:ascii="IRNazanin" w:hAnsi="IRNazanin" w:eastAsia="IRNazanin"/>
          <w:color w:val="111111"/>
          <w:sz w:val="28"/>
          <w:sz w:val="28"/>
          <w:szCs w:val="28"/>
          <w:rtl w:val="true"/>
          <w:lang w:bidi="fa-IR"/>
        </w:rPr>
        <w:t>جبر و اختيار، و ديگر آموزه هاى اعتقادى اسلامى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هم چنين مناظره هاى بسيارى ميان حضرت و مخالفان ايشان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 و گفت وگوهاى حضرت در زمينه ى مسأله ى خلافت نيز شايسته ى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همان زمان، افرادى همانند ابن عباس، عبدالله بن عمر و بسيارى از صحابه، در برابر مخالفان به بحث و گفت وگوهاى اعتقادى مشغول شدند؛ مباحثى كه در زمان پيامبر گرامى اسلام صلى الله عليه و آله سابقه نداشت و شرايط پيش آمده، صحابه و پس از ايشان، تابعين و تابعين تابعين را وامى داشت تا به اين مباحث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مناظره هاى صحابه و استدلال هاى كلامى آنان را آورده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هم چنين كتاب هاى بسيارى با عنوان ملل و نحل يا فرق و مذاهب، به جريان هاى موجود كلامى در سده هاى نخستين اسلامى اشاره كرده اند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مباحثى همچون صفات و اسما، قضا و قدر، جبر و اختيار، حدوث و قدم قرآن، دامنه ى نفوذ نقل و عقل، امامت و خلافت،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مباحثى بودند كه مسلمانان به طبع آزمايى در آن ها پرداختند و قرائت هاى مختلفى را شكل دادند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 //www.sunna.info/books/ilm_al_kalam_sunna_8</w:t>
      </w:r>
      <w:r>
        <w:rPr>
          <w:rFonts w:eastAsia="Times New Roman" w:cs="Times New Roman" w:ascii="Times New Roman" w:hAnsi="Times New Roman"/>
          <w:color w:val="111111"/>
          <w:sz w:val="28"/>
          <w:szCs w:val="28"/>
          <w:rtl w:val="true"/>
          <w:lang w:val="en-US" w:bidi="en-US"/>
        </w:rPr>
        <w:t>.</w:t>
      </w:r>
      <w:bookmarkStart w:id="40" w:name="pg15502_176805"/>
    </w:p>
    <w:p>
      <w:pPr>
        <w:pStyle w:val="BookText"/>
        <w:rPr/>
      </w:pPr>
      <w:bookmarkEnd w:id="40"/>
      <w:r>
        <w:rPr>
          <w:rFonts w:ascii="IRNazanin" w:hAnsi="IRNazanin" w:eastAsia="IRNazanin"/>
          <w:color w:val="111111"/>
          <w:sz w:val="28"/>
          <w:sz w:val="28"/>
          <w:szCs w:val="28"/>
          <w:rtl w:val="true"/>
          <w:lang w:bidi="fa-IR"/>
        </w:rPr>
        <w:t>با توجه به آن چه گفته شد، علم كلام پيشينه اى به بلنداى تاريخ اسلام دارد و هرگز نمى توان دوره اى را يافت كه مسلمانان به اين علم نپرداخته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همان گونه كه مذاهب اسلامى از نظر فقهى به فرقه هاى مختلفى مانند حنفى، شافعى، حنبلى، مالكى و شيعه تقسيم مى شوند، از نظر كلامى نيز مكاتب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كلامى در جهان سنى، به مكاتب اعتزال، اهل حديث، اشاعره، ماتريديه، طحاويه، و جريان هاى معاصر مانند نواشعريان و نومعتزليان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كلامى شيعيان نيز به اماميه يا عدليه معروف است كه دو فرقه ى زيديه و اسماعيليه نيز به آن انتساب دارند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1" w:name="__RefHeading___Toc8088802_2142443653"/>
      <w:bookmarkStart w:id="42" w:name="_Toc15"/>
      <w:bookmarkEnd w:id="41"/>
      <w:r>
        <w:rPr/>
        <w:t>3</w:t>
      </w:r>
      <w:r>
        <w:rPr>
          <w:rtl w:val="true"/>
        </w:rPr>
        <w:t>‏-‏</w:t>
      </w:r>
      <w:r>
        <w:rPr/>
        <w:t>4</w:t>
      </w:r>
      <w:r>
        <w:rPr>
          <w:rtl w:val="true"/>
        </w:rPr>
        <w:t xml:space="preserve"> - </w:t>
      </w:r>
      <w:r>
        <w:rPr>
          <w:rtl w:val="true"/>
        </w:rPr>
        <w:t>علم كلام و وهابيت</w:t>
      </w:r>
      <w:bookmarkEnd w:id="4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علم كلام يكى از باسابقه ترين علوم اسلامى است، وهابيان به شدت با آن مخالفند و آن را محكوم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مخالفت وهابيان با علم كلام، ريشه در انديشه هاى روش شناختى و معرفت شناسى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عاملى كه آنان را به مخالفت با علم كلام كشاند، نقل گرايى در حوزه ى روش شناسى، و حديث گرايى در حوزه ى معرفت شناسى بود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 عبارت ديگر، عقل بااين كه يكى از روش هاى اصلى در علم كلام است، در انديشه ى وهابى اعتبار ندارد و به همين دليل، علم كلام نيز پيرو ماهيت عقلانى آن، نزد وهابيت نكوهش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ى مخالفت با علم كلام، به دوران اهل حديث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هايى در مخالفت با علم كلام به احمدبن حنبل نسبت داده مى شود كه بيش تر ناظر به جدال هاى ميان معتزله و اهل حديث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ابن تيميه نيز متكلمان را متهم مى كند كه قول خَلَف را بر قول سلف برگزيده اند و اين امر موجب نادانى دوچندان آنان شده است؛</w:t>
      </w:r>
      <w:r>
        <w:rPr>
          <w:rStyle w:val="FootnoteAnchor"/>
          <w:rtl w:val="true"/>
        </w:rPr>
        <w:footnoteReference w:id="25"/>
      </w:r>
      <w:r>
        <w:rPr>
          <w:rFonts w:ascii="IRNazanin" w:hAnsi="IRNazanin" w:eastAsia="IRNazanin"/>
          <w:color w:val="111111"/>
          <w:sz w:val="28"/>
          <w:sz w:val="28"/>
          <w:szCs w:val="28"/>
          <w:rtl w:val="true"/>
          <w:lang w:bidi="fa-IR"/>
        </w:rPr>
        <w:t>غافل از اين كه خود سلف نيز با توجه به شرايط زمان خود، به علم كلام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 ترين مردم در هنگام مرگ، اصحاب كلام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اين در حالى است كه در جهان اسلام انديشمندان بزرگ كلامى بسيارى ظهور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الخوض فى علم الكلام</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xml:space="preserve">دارد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او سرشار از استدلال هاى كلامى و عقلى است؛ و تقريباً تمامى اهل سنت، پيرو مذهب اشعرى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اشعرى، ابومنصور ماتريدى و ابوجعفر طحاوى گام هاى بلندترى در تعديل ديدگاه اشعرى، و عقلانى كردن عقايد برداشتند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ابن حنبل هم كه مخالف با كلام بود، خود به نوعى درگير مباحث كلامى شد؛ براى نمونه، كتاب هاى او با عنوان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الزنادقة والجهمية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ماهيتى كلامى دارند؛ 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كتابى كلامى است كه شرح هاى بسيارى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شافعى نيز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اهل</w:t>
      </w:r>
    </w:p>
    <w:p>
      <w:pPr>
        <w:pStyle w:val="BookText"/>
        <w:rPr/>
      </w:pPr>
      <w:r>
        <w:rPr>
          <w:rFonts w:ascii="Amiri" w:hAnsi="Amiri" w:eastAsia="Amiri" w:cs="Amiri"/>
          <w:color w:val="111111"/>
          <w:sz w:val="28"/>
          <w:sz w:val="28"/>
          <w:szCs w:val="28"/>
          <w:rtl w:val="true"/>
          <w:lang w:bidi="ar-SA"/>
        </w:rPr>
        <w:t>الاهواء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شده كه به دست ما نرسيده است</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حتى بغدادى، ابوحنيفه و شافعى را نخستين متكلمان از ميان فقيهان مى داند</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به نظر مى رسد، هم عصرى افرادى مانند ابن حنبل با جريان هاى افراطى معتزله سبب موضع گيرى هاى آنان در برابر متكلمان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پيروان احمدبن حنبل، در سده هاى بعد نماينده ى چنين ديدگاهى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ابن قدامه ى حنبلى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تحريم النظر فى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اين گروه، تقليد در اصول اعتقادات را نيز جايز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الحرمين جوينى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در ميان مسلمانان قائل به تقليد نيست؛ به جز حنابله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امروزه وهابيان مهم ترين نماينده ى جريان نقل گرا، و در نتيجه، مخالف علم كلام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در خصوص تكفير متكلمان ادعاى اجماع مى كند</w:t>
      </w:r>
      <w:r>
        <w:rPr>
          <w:rStyle w:val="FootnoteAnchor"/>
          <w:rtl w:val="true"/>
        </w:rPr>
        <w:footnoteReference w:id="33"/>
      </w:r>
      <w:r>
        <w:rPr>
          <w:rFonts w:ascii="IRNazanin" w:hAnsi="IRNazanin" w:eastAsia="IRNazanin"/>
          <w:color w:val="111111"/>
          <w:sz w:val="28"/>
          <w:sz w:val="28"/>
          <w:szCs w:val="28"/>
          <w:rtl w:val="true"/>
          <w:lang w:bidi="fa-IR"/>
        </w:rPr>
        <w:t>و اين قول را به ذهبى، دارقطنى و بيهقى نسبت مى دهد؛ درحالى كه چنين نسبتى باطل است و ايشان خود از متكلمان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بسيارى از متكلمان را آورده و هيچ يك را تكفير نكرده است؛ هرچند با توجه به ديدگاه هاى خود، به نقد برخى از انديشه هاى آنان پرداخته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هرگونه رأى و نظر را در مسائل اعتقادى حرام مى دانند و در تفسير متون دينى، به ظواهر كتاب و سنت و عمل صحابه بسنده مى كنند و حتى پرسش درباره ى</w:t>
      </w:r>
    </w:p>
    <w:p>
      <w:pPr>
        <w:pStyle w:val="BookText"/>
        <w:rPr/>
      </w:pPr>
      <w:r>
        <w:rPr>
          <w:rFonts w:ascii="IRNazanin" w:hAnsi="IRNazanin" w:eastAsia="IRNazanin"/>
          <w:color w:val="111111"/>
          <w:sz w:val="28"/>
          <w:sz w:val="28"/>
          <w:szCs w:val="28"/>
          <w:rtl w:val="true"/>
          <w:lang w:bidi="fa-IR"/>
        </w:rPr>
        <w:t>مسائل اعتقادى را بدعت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ترين تلاش آنان تدوين احاديث مربوط به مسائل اعتقادى، تبويب آن ها، شرح واژه هاى مشكل و ذكر سند آن ها مى باشد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www.muhmmdkalo.jeeran.com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گفته شد، اين انديشه درنقل گرايى آن ها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گرايى نيز سلف گرايى ايشان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آنان، ازآن جاكه فهم سلف بهتر از فهم ماست، آن ها دين را از ما بهتر فهميده اند و ما بايد گام به گام به دنبال آن ها باشيم؛ هرجا آنان سكوت كرده اند، ما نيز بايد سكوت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گويا آنان سلف را يكى از منابع تشريع مى دانند و بر اين باورند كه سلف هرگز در علم كلام وارد نشده است و ما نيز نبايد وارد شويم؛ اما از اين نكته غافلند كه اولاً صحابه و تابعين، خود به مباحث كلامى پرداخته اند؛ ثانياً مباحث كلامى با توجه به شبهاتى كه در زمان هاى بعد وارد اسلام شد، تطور يافت و با توجه به بحران هاى به وجودآمده رشد كرد؛ چنان كه حتى افرادى همانند احمدبن حنبل نيز ناگزير به نظريه پردازى در اين زمينه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شيخ محمد كوثرى، علم كلام در پى تغيير اصول عقايد مسلمانان نيست؛ بلكه آن چه تغيير كرده است، روش هاى دفاع از اسلام است كه متناسب با دشمنان و شبهات جديد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ى ديگر اين كه صحابه، تابعين وتابعين 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وهابيان معتقدند در سه قرن نخست اسلامى مى زيسته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مختلفى داشتند؛ بنابراين، تمسك به سلف، با توجه به اختلافات و تنوع ديدگاه هاى ايشان در ابعاد مختلف، چه گونه ممكن است‌؟ سلف بر اساس احساس تكليف و وظيفه، و متناسب با فضاى اعتقادى و دينى خود به استدلال و دفاع، و پاسخ به شبهات پرداختند؛ امروزه نيز عالمان دين چنين رسالتى برعهده دارند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اين در حالى است كه صالح بن فوزان، از علماى هيأة الكبار العلماى عربستان، علم كلام را زاييده ى قرون متأخره مى شمارد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كلام در زمان قرون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 xml:space="preserve">وى فتواى تحريم علم كلام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حقيقت، علم عقايد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مى كند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 چنين خود سلفى ها، باوجود اعتقاد به حرمت ورود به علم كلام، در اين حوزه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هاى محمدبن عبدالوهاب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استنتاج هاى وى، رنگى كاملاً كلامى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شروحى كه بر كتاب هاى وى نگاشته شده است و توضيحات و تقسيماتى كه پيرامون مبانى اعتقادى وهابيت ارائه شده و اساساً انديشه ى نو و بدعت آميزى كه وهابيت شكل داده است، همه رنگى كلامى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قرضاوى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منكر علم كلام و مجادلات آن هستند؛ درحالى كه با گفته هاى خود، علم كلام جديدى را دامن مى زنند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ديگرى كه وجود دارد، عدم فهم آنان درباره ى ماهيت كلام است؛ چنان كه از برخى منابع آنان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گروهى از وهابيان، علم كلام، صرفاً استدلال هاى عقلى را هرچند با كتاب و سنت مخالف باشد، دربرمى گيرد؛</w:t>
      </w:r>
      <w:r>
        <w:rPr>
          <w:rStyle w:val="FootnoteAnchor"/>
          <w:rtl w:val="true"/>
        </w:rPr>
        <w:footnoteReference w:id="40"/>
      </w:r>
      <w:r>
        <w:rPr>
          <w:rFonts w:ascii="IRNazanin" w:hAnsi="IRNazanin" w:eastAsia="IRNazanin"/>
          <w:color w:val="111111"/>
          <w:sz w:val="28"/>
          <w:sz w:val="28"/>
          <w:szCs w:val="28"/>
          <w:rtl w:val="true"/>
          <w:lang w:bidi="fa-IR"/>
        </w:rPr>
        <w:t>درحالى كه گفته شد، علم كلام هرگز تك روشى نيست و از روش هاى مختلف براى اثبات گزاره هاى دينى استفاده مى كند و رسالت سنگين دفاع از عقايد و پاسخ به شبهات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آنان، گاه علم كلام را مترادف فلسفه مى دانند و ازآن جاكه به شدت با فلسفه مخالفند، علم كلام را نيز نكوهش مى كنند؛ درحالى كه ميان فلسفه و علم كلام، تفاوت هاى بنيادين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حال، هرگز نبايد فراموش كرد كه در جهان اسلام، صرفاً سلفيان افراطى هستند كه با علم كلام و مباحث اعتقادى مخالفند و ديگر مسلمانان در مقابله با شبهات و دفاع از دين و تبيين آموزه هاى آن، از اين علم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ايجى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فورك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نصيرالدين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هاى شناخته شده در اين عرصه هستند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www.sunna.info/books/ilm-al-kalam.php</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خروج عقل از حوزه ى عقايد و معارف كلامى، سبب مى شود كه حتى فرد پژوهشگر نيز ايمان خود را بر يقينى جوشيده از عقلى كه خداوند در نهاد انسان به وديعت نهاده است، استوار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آمدهاى ناگوار به كار نبردن عقل در مباحثى مانند صفات خبرى، سبب مى شود كه خداوند تا حد يك جسم و موجود مادى تنزل يابد؛ درحالى كه چنين وضعيتى با ساحت كبريايى حضرت حق كاملاً در تضاد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با اين حال، ماهيت ادعاهاى اين مكتب، با وجود همه ى مخالفت هاى آن با علم كلام، رنگى كلامى دارد و ناگزير بايد در همين فضا به نقد و بررسى آن ها پرداخت</w:t>
      </w:r>
      <w:r>
        <w:rPr>
          <w:rFonts w:eastAsia="IRNazanin" w:cs="IRNazanin"/>
          <w:color w:val="111111"/>
          <w:sz w:val="28"/>
          <w:szCs w:val="28"/>
          <w:rtl w:val="true"/>
          <w:lang w:bidi="fa-IR"/>
        </w:rPr>
        <w:t>.</w:t>
      </w:r>
      <w:bookmarkStart w:id="43" w:name="pg15502_176817"/>
    </w:p>
    <w:p>
      <w:pPr>
        <w:pStyle w:val="Heading2"/>
        <w:numPr>
          <w:ilvl w:val="1"/>
          <w:numId w:val="1"/>
        </w:numPr>
        <w:rPr/>
      </w:pPr>
      <w:bookmarkStart w:id="44" w:name="__RefHeading___Toc8088804_2142443653"/>
      <w:bookmarkStart w:id="45" w:name="_Toc16"/>
      <w:bookmarkEnd w:id="43"/>
      <w:bookmarkEnd w:id="44"/>
      <w:r>
        <w:rPr>
          <w:rtl w:val="true"/>
        </w:rPr>
        <w:t>بخش اول</w:t>
      </w:r>
      <w:r>
        <w:rPr>
          <w:rtl w:val="true"/>
        </w:rPr>
        <w:t xml:space="preserve">: </w:t>
      </w:r>
      <w:r>
        <w:rPr>
          <w:rtl w:val="true"/>
        </w:rPr>
        <w:t>توحيد و شرك</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8088806_2142443653"/>
      <w:bookmarkStart w:id="47" w:name="_Toc17"/>
      <w:bookmarkEnd w:id="46"/>
      <w:r>
        <w:rPr>
          <w:rtl w:val="true"/>
        </w:rPr>
        <w:t>اشاره</w:t>
      </w:r>
      <w:bookmarkEnd w:id="4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 با تغيير و تصرف در مفهوم كليدى توحيد، بسيارى از آموزه هاى اسلامى را نادرست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افراطى و تحريف آميز از توحيد، موجب شده است كه وهابيان تمامى مسلمانان را به دليل اعتقاد به مسائلى مانند توسل، شفاعت و زيارت، مشرك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برخى از اعتقادات آنان در اين حوزه، كه ريشه در ظاهرگرايى ايشان دارد، سبب شده است راه تاريك تجسيم و تشبيه خداوند به موجودات مادى را درپيش گيرند و حتى كسانى را كه قائل به تأويل در صفات خبرى هستند، كافر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براى شناخت عقايد وهابيت و مرزهاى آن با انديشه ى مسلمانان، ناگزير بايد سخن را از مهم ترين ركن اسلام كه همان توحيد است،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و چند فصل آينده، ابتدا پيرامون مفهوم و انواع توحيد سخن گفته، سپس قرائت بدعت آميز وهابيت از توحيد و شرك بررسى و نقد خواهد شد</w:t>
      </w:r>
      <w:r>
        <w:rPr>
          <w:rFonts w:eastAsia="IRNazanin" w:cs="IRNazanin"/>
          <w:color w:val="111111"/>
          <w:sz w:val="28"/>
          <w:szCs w:val="28"/>
          <w:rtl w:val="true"/>
          <w:lang w:bidi="fa-IR"/>
        </w:rPr>
        <w:t>.</w:t>
      </w:r>
      <w:bookmarkStart w:id="48" w:name="pg15502_176824"/>
    </w:p>
    <w:p>
      <w:pPr>
        <w:pStyle w:val="Heading3"/>
        <w:numPr>
          <w:ilvl w:val="2"/>
          <w:numId w:val="1"/>
        </w:numPr>
        <w:rPr/>
      </w:pPr>
      <w:bookmarkStart w:id="49" w:name="__RefHeading___Toc8088808_2142443653"/>
      <w:bookmarkStart w:id="50" w:name="_Toc18"/>
      <w:bookmarkEnd w:id="48"/>
      <w:bookmarkEnd w:id="49"/>
      <w:r>
        <w:rPr>
          <w:rtl w:val="true"/>
        </w:rPr>
        <w:t>فصل دوم</w:t>
      </w:r>
      <w:r>
        <w:rPr>
          <w:rtl w:val="true"/>
        </w:rPr>
        <w:t xml:space="preserve">: </w:t>
      </w:r>
      <w:r>
        <w:rPr>
          <w:rtl w:val="true"/>
        </w:rPr>
        <w:t>مفهوم و مراحل توحيد</w:t>
      </w:r>
      <w:bookmarkEnd w:id="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8088810_2142443653"/>
      <w:bookmarkStart w:id="52" w:name="_Toc19"/>
      <w:bookmarkEnd w:id="51"/>
      <w:r>
        <w:rPr>
          <w:rtl w:val="true"/>
        </w:rPr>
        <w:t>اشاره</w:t>
      </w:r>
      <w:bookmarkStart w:id="53" w:name="pg15502_176828"/>
      <w:bookmarkEnd w:id="52"/>
    </w:p>
    <w:p>
      <w:pPr>
        <w:pStyle w:val="Heading4"/>
        <w:numPr>
          <w:ilvl w:val="3"/>
          <w:numId w:val="1"/>
        </w:numPr>
        <w:rPr/>
      </w:pPr>
      <w:bookmarkStart w:id="54" w:name="__RefHeading___Toc8088812_2142443653"/>
      <w:bookmarkStart w:id="55" w:name="_Toc20"/>
      <w:bookmarkEnd w:id="53"/>
      <w:bookmarkEnd w:id="54"/>
      <w:r>
        <w:rPr/>
        <w:t>1</w:t>
      </w:r>
      <w:r>
        <w:rPr>
          <w:rtl w:val="true"/>
        </w:rPr>
        <w:t xml:space="preserve"> - </w:t>
      </w:r>
      <w:r>
        <w:rPr>
          <w:rtl w:val="true"/>
        </w:rPr>
        <w:t>مقدمه</w:t>
      </w:r>
      <w:bookmarkEnd w:id="55"/>
    </w:p>
    <w:p>
      <w:pPr>
        <w:pStyle w:val="BookText"/>
        <w:rPr/>
      </w:pPr>
      <w:r>
        <w:rPr>
          <w:rFonts w:ascii="IRNazanin" w:hAnsi="IRNazanin" w:eastAsia="IRNazanin"/>
          <w:color w:val="111111"/>
          <w:sz w:val="28"/>
          <w:sz w:val="28"/>
          <w:szCs w:val="28"/>
          <w:rtl w:val="true"/>
          <w:lang w:bidi="fa-IR"/>
        </w:rPr>
        <w:t>براى فهم مفهوم توحيد در انديشه ى وهابى، ناگزير بايد ابتدا توحيد و ابعاد مختلف آن از نگاه مذاهب اسلامى تبيين شود؛ زيرا در سايه ى مقايسه ى اين آموزه در انديشه ى اسلامى و وهابيت، مى توان به تصوير روشنى از تضادهاى بنيادين قرائت وهابى با قرائت اسلامى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نخست به تفصيل ديدگاه مذاهب اسلامى درباره ى توحيد و ابعاد آن تبيين مى گردد و سپس قرائت وهابى بررسى و نقد خواهد شد</w:t>
      </w:r>
      <w:r>
        <w:rPr>
          <w:rFonts w:eastAsia="IRNazanin" w:cs="IRNazanin"/>
          <w:color w:val="111111"/>
          <w:sz w:val="28"/>
          <w:szCs w:val="28"/>
          <w:rtl w:val="true"/>
          <w:lang w:bidi="fa-IR"/>
        </w:rPr>
        <w:t>.</w:t>
      </w:r>
    </w:p>
    <w:p>
      <w:pPr>
        <w:pStyle w:val="Heading4"/>
        <w:numPr>
          <w:ilvl w:val="3"/>
          <w:numId w:val="1"/>
        </w:numPr>
        <w:rPr/>
      </w:pPr>
      <w:bookmarkStart w:id="56" w:name="__RefHeading___Toc8088814_2142443653"/>
      <w:bookmarkStart w:id="57" w:name="_Toc21"/>
      <w:bookmarkEnd w:id="56"/>
      <w:r>
        <w:rPr/>
        <w:t>2</w:t>
      </w:r>
      <w:r>
        <w:rPr>
          <w:rtl w:val="true"/>
        </w:rPr>
        <w:t xml:space="preserve"> - </w:t>
      </w:r>
      <w:r>
        <w:rPr>
          <w:rtl w:val="true"/>
        </w:rPr>
        <w:t>توحيد در لغت و اصطلاح</w:t>
      </w:r>
      <w:bookmarkEnd w:id="57"/>
    </w:p>
    <w:p>
      <w:pPr>
        <w:pStyle w:val="BookText"/>
        <w:rPr/>
      </w:pPr>
      <w:r>
        <w:rPr>
          <w:rFonts w:ascii="IRNazanin" w:hAnsi="IRNazanin" w:eastAsia="IRNazanin"/>
          <w:color w:val="111111"/>
          <w:sz w:val="28"/>
          <w:sz w:val="28"/>
          <w:szCs w:val="28"/>
          <w:rtl w:val="true"/>
          <w:lang w:bidi="fa-IR"/>
        </w:rPr>
        <w:t xml:space="preserve">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يگانه دانستن به كار رفته است؛ به گونه اى كه در مفهوم آن، انفراد و يگانگى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ى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مشتق مى شود و به معنى انفراد است؛ ازاين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جزء ندارد</w:t>
      </w:r>
      <w:r>
        <w:rPr>
          <w:rStyle w:val="FootnoteAnchor"/>
          <w:rtl w:val="true"/>
        </w:rPr>
        <w:footnoteReference w:id="43"/>
      </w:r>
      <w:r>
        <w:rPr>
          <w:rFonts w:ascii="Amiri" w:hAnsi="Amiri" w:eastAsia="Amiri" w:cs="Amiri"/>
          <w:color w:val="111111"/>
          <w:sz w:val="28"/>
          <w:sz w:val="28"/>
          <w:szCs w:val="28"/>
          <w:rtl w:val="true"/>
          <w:lang w:bidi="ar-SA"/>
        </w:rPr>
        <w:t>و با توجه به همين معنى، توحيد، يعنى تنها قرار دادن</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 در اصطلاح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توحيد همان اعتقاد به يگانگى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توحيد و مشتقاتش، مانند مُوَحِّد و مُتَوَحِّد، در قرآن نيامده است؛ اما مشتقاتى مانند أَحَد و واحِد، چندين بار و بيش تر درباره ى خدا به كار رفته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فقط درباره ى خدا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وصف براى خدا ذكر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كه تنها دو مورد آن درباره ى خداست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اميرالمؤمنين على عليه السلام زيباترين تعبير را درباره ى معنى يگانگى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فردى از آن حضرت پيرامون مفهوم يكى بودن خداوند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حضرت برآشفتند كه در معركه ى جنگ چه جاى اين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ياران را آرام فرمود و به دليل اهميت موضوع، چنين پاسخ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چهار گونه است كه دو گونه ى آن غلط، و دو وجه ديگرش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گونه اى كه جايز نيست بر خدا اطلاق شود، يكى اين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واحد است؛ و مقصودش از واحد، واحد عددى باشد و اين صحيح نيست؛ زيرا چيزى كه دوم برايش نيست، داخل در اعداد نمى شود؛ و لذا مى بينيد كه قرآن مجيد گويندگان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كافر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يكى از همين مردم است و مرادش اين باشد كه خداوند نوعى از اين جنس است؛ اين نيز باطل است؛ چون خدا را به خلق تشبيه كرده است و پروردگار ما بزرگ تر از آن است كه براى او شبيهى باشد؛ اما آن دو گونه يگانگى كه براى خدا ثابت است، يكى اين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است و در اشياء عالم مانندى ندارد و اين درست است؛ چون پروردگار همين طور است؛ ديگر اين كه گفته شود خداوند، اَحدى المعنى است؛ يعنى نه در خارج و نه در عقل و نه در وهم، قابل هيچ گونه انقسامى نيست؛ اين هم درست است؛ زيرا خداوند ما همين طور است</w:t>
      </w:r>
      <w:r>
        <w:rPr>
          <w:rFonts w:eastAsia="IRNazanin" w:cs="IRNazanin"/>
          <w:color w:val="111111"/>
          <w:sz w:val="28"/>
          <w:szCs w:val="28"/>
          <w:rtl w:val="true"/>
          <w:lang w:bidi="fa-IR"/>
        </w:rPr>
        <w:t>.»</w:t>
      </w:r>
      <w:r>
        <w:rPr>
          <w:rStyle w:val="FootnoteAnchor"/>
          <w:rtl w:val="true"/>
        </w:rPr>
        <w:footnoteReference w:id="46"/>
      </w:r>
      <w:bookmarkStart w:id="58" w:name="pg15502_176832"/>
    </w:p>
    <w:p>
      <w:pPr>
        <w:pStyle w:val="BookText"/>
        <w:rPr/>
      </w:pPr>
      <w:bookmarkEnd w:id="58"/>
      <w:r>
        <w:rPr>
          <w:rFonts w:ascii="IRNazanin" w:hAnsi="IRNazanin" w:eastAsia="IRNazanin"/>
          <w:color w:val="111111"/>
          <w:sz w:val="28"/>
          <w:sz w:val="28"/>
          <w:szCs w:val="28"/>
          <w:rtl w:val="true"/>
          <w:lang w:bidi="fa-IR"/>
        </w:rPr>
        <w:t>پس بنا بر فرمايش اميرالمؤمنين على عليه السلام، براى واحد چهار معنى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عددى؛ واحد نوعى؛ واحد به معنى بى نظير؛ و واحد به معنى تجزيه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معنى نخست، درباره ى ذات حق درست نيست؛ زيرا خداوند، نه تكثر و تعدد مى پذيرد و نه هم جنس و هم نوع دارد؛ اما دو معنى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نظير و تجزيه ناپذير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قابل اثبات است</w:t>
      </w:r>
      <w:r>
        <w:rPr>
          <w:rFonts w:eastAsia="IRNazanin" w:cs="IRNazanin"/>
          <w:color w:val="111111"/>
          <w:sz w:val="28"/>
          <w:szCs w:val="28"/>
          <w:rtl w:val="true"/>
          <w:lang w:bidi="fa-IR"/>
        </w:rPr>
        <w:t>.</w:t>
      </w:r>
    </w:p>
    <w:p>
      <w:pPr>
        <w:pStyle w:val="Heading4"/>
        <w:numPr>
          <w:ilvl w:val="3"/>
          <w:numId w:val="1"/>
        </w:numPr>
        <w:rPr/>
      </w:pPr>
      <w:bookmarkStart w:id="59" w:name="__RefHeading___Toc8088816_2142443653"/>
      <w:bookmarkStart w:id="60" w:name="_Toc22"/>
      <w:bookmarkEnd w:id="59"/>
      <w:r>
        <w:rPr/>
        <w:t>3</w:t>
      </w:r>
      <w:r>
        <w:rPr>
          <w:rtl w:val="true"/>
        </w:rPr>
        <w:t xml:space="preserve"> - </w:t>
      </w:r>
      <w:r>
        <w:rPr>
          <w:rtl w:val="true"/>
        </w:rPr>
        <w:t>جايگاه توحيد در آموزه هاى اسلامى</w:t>
      </w:r>
      <w:bookmarkEnd w:id="60"/>
    </w:p>
    <w:p>
      <w:pPr>
        <w:pStyle w:val="BookText"/>
        <w:rPr/>
      </w:pPr>
      <w:r>
        <w:rPr>
          <w:rFonts w:ascii="IRNazanin" w:hAnsi="IRNazanin" w:eastAsia="IRNazanin"/>
          <w:color w:val="111111"/>
          <w:sz w:val="28"/>
          <w:sz w:val="28"/>
          <w:szCs w:val="28"/>
          <w:rtl w:val="true"/>
          <w:lang w:bidi="fa-IR"/>
        </w:rPr>
        <w:t>هيچ يك از آموزه هاى اسلامى، از نظر اهميت به توحيد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گام ورود به آيين زندگى بخش اسلام، شهادت به يگانگى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الدِّينِ مَعْرِفَتُهُ‌، وَكَمالُ مَعْرِفَتِهِ التَّصْدِيقُ بِهِ وَكَمالُ الْتَصْديقِ بِهِ 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دين، شناخت خداوند است و كمال شناخت او، تصديق وجود اوست، و كمال تصديق وجود او، يكتا و يگانه دانستن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توحيد، مرز ورود به اسلام شمرده شده و از اسلام، به آيين يكتاپرستى و توحيدى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ديگر، شرك گناهى نابخشودنى است و كسى كه مرتكب شرك و دوگانه پرستى شود، از دايره ى اسلام خارج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اِفْتَرىٰ إِثْماً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را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پايين تر از آن را براى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كسى كه براى خدا شريكى قرار دهد، گناه بزرگى مرتكب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همه ى پيامبران پيشين وحى شده كه اگر مشرك شوى، تمام اعمالت تباه مى شود و از زيان كاران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بسيارى از آيات شريف، به صورت مستقيم و يا غير مستقيم به اثبات و تبيين وحدانيت خداوند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لاٰ إِلٰهَ إِلاّٰ هُوَ لَهُ اَلْحَمْدُ فِي اَلْأُولىٰ وَ اَلْآخِرَةِ وَ لَهُ اَلْحُكْمُ وَ 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خدايى است كه معبودى جز او نيست؛ ستايش براى اوست، در اين جهان و در جهان ديگر؛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 همه ى شما به سوى او بازگردانده مى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ايجاد نظام واحد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دهد كه معبودى جز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إِلٰهَكُمْ 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شك خداى شما يكى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اُعْبُدُوا اَللّٰهَ مٰا لَكُمْ مِنْ إِلٰهٍ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پرستش كنيد، كه معبودى جز او براى شما نيست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به آيات قرآنى مى بينيم كه دعوت به توحيد، نه تنها مهم ترين ركن دين مبين اسلام است؛ بلكه همه ى پيامبران الهى، در طول تاريخ هماره در نخستين گام، مردم را به توحيد فراخوانده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إِلاّٰ نُوحِي إِلَيْهِ أَنَّهُ لاٰ إِلٰهَ إِلاّٰ أَنَا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 از تو هيچ پيامبرى را نفرستاديم مگر اين كه 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من نيست، پس تنها مرا پرستش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خداوند متعال پايه و اساس گفت وگو با اديان ديگر را توحيد مى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به سوى سخنى كه ميان ما و شما يكسان است، كه جز خداوند يگانه را نپرستيم و چيزى را همتاى او قرار ندهيم، و بعضى از ما، بعضى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زنند،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خدا و مفهوم توحيد، در آموزه هاى اسلامى امرى كاملاً بديهى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استدلال ها و برهان هايى كه براى اثبات توحيد ارائه مى شود، تنها به علت توجه انسان به اين اصل مهم و فراموش نكردن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امرى فطرى است و به همين سبب روح تعاليم پيامبران درباره ى اصول دين، همان توجه دادن به فطرت انسانى است؛ نه تعليم اصول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كن؛ كه تو يادآور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ى بزرگان دين، همانند امام باقر و امام صادق عليهما السلام، انسان بر اساس فطرت توحيد آفريده شده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قرآن حتى ترديد در وجود خالق يكتا را بى معنى مى داند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 فِي اَللّٰهِ شَكٌّ فٰاطِرِ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61" w:name="pg15502_176838"/>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خدا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آسمان ها و زمين را آفريده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خداوند فطرت توحيدى را در دل ها مستقر كرده است؛ ازاين رو رابطه ى توحيد با قلب انسان، رابطه ى عرض و معروض نيست؛ بلكه قلب انسان، عارف و موحد آفريده شده است؛ به گونه اى كه اگر عرفان و توحيد از او زدوده شود، حقيقت قلب آدمى عوض مى شود و از مقام انسانيت تنزل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خداوند در توصيف كافران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همچون چهارپايانند؛ بلكه گمراه ترند</w:t>
      </w:r>
      <w:r>
        <w:rPr>
          <w:rFonts w:eastAsia="IRNazanin" w:cs="IRNazanin"/>
          <w:color w:val="111111"/>
          <w:sz w:val="28"/>
          <w:szCs w:val="28"/>
          <w:rtl w:val="true"/>
          <w:lang w:bidi="fa-IR"/>
        </w:rPr>
        <w:t>.»</w:t>
      </w:r>
    </w:p>
    <w:p>
      <w:pPr>
        <w:pStyle w:val="Heading4"/>
        <w:numPr>
          <w:ilvl w:val="3"/>
          <w:numId w:val="1"/>
        </w:numPr>
        <w:rPr/>
      </w:pPr>
      <w:bookmarkStart w:id="62" w:name="__RefHeading___Toc8088818_2142443653"/>
      <w:bookmarkStart w:id="63" w:name="_Toc23"/>
      <w:bookmarkEnd w:id="62"/>
      <w:r>
        <w:rPr/>
        <w:t>4</w:t>
      </w:r>
      <w:r>
        <w:rPr>
          <w:rtl w:val="true"/>
        </w:rPr>
        <w:t xml:space="preserve"> - </w:t>
      </w:r>
      <w:r>
        <w:rPr>
          <w:rtl w:val="true"/>
        </w:rPr>
        <w:t>توحيد و فطرت</w:t>
      </w:r>
      <w:bookmarkEnd w:id="63"/>
    </w:p>
    <w:p>
      <w:pPr>
        <w:pStyle w:val="BookText"/>
        <w:rPr/>
      </w:pPr>
      <w:r>
        <w:rPr>
          <w:rFonts w:ascii="IRNazanin" w:hAnsi="IRNazanin" w:eastAsia="IRNazanin"/>
          <w:color w:val="111111"/>
          <w:sz w:val="28"/>
          <w:sz w:val="28"/>
          <w:szCs w:val="28"/>
          <w:rtl w:val="true"/>
          <w:lang w:bidi="fa-IR"/>
        </w:rPr>
        <w:t>شكى نيست كه توحيد در وجود انسان ريشه دارد و گرايش به آن در قلب انسان به وديعت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امرى تنها به انسان اختصاص ندارد؛ بلكه بنا به فرموده ى قرآن، تمامى موجودات، در مسير خود به سوى خداوند 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آياتى كه به تسبيح موجودات، آسمان و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نشانگر ميل و گرايش هستى به توحيد بارى تعالى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دِينِ اَللّٰهِ يَبْغُونَ وَ لَهُ أَسْلَمَ مَنْ فِي اَلسَّمٰاوٰاتِ وَ اَلْأَرْضِ طَوْعاً وَ كَرْهاً وَ إِلَيْهِ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يهوديان و مسيحيان آيينى غير از آيين خدا را مى جويند كه در برابر خدا تسليم نمى شوند و آيين تو را تأييد نمى كنند؟ درحالى كه همه ى كسانى كه در آسمان ها و زمين اند، خواه ناخواه در برابر او تسليم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گونه از آيين خدا روى برمى تابند، بااين كه سرانجام به سوى او بازگردانده مى 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قرآن همه ى آسمان و زمين و موجودات آن را در حال تسبيح و تنزيه خدا معرفى مى كند و اين امر نشانگر حركت ذاتى عالم آفرينش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w:t>
      </w:r>
    </w:p>
    <w:p>
      <w:pPr>
        <w:pStyle w:val="BookText"/>
        <w:rPr/>
      </w:pPr>
      <w:r>
        <w:rPr>
          <w:rFonts w:ascii="IRNazanin" w:hAnsi="IRNazanin" w:eastAsia="IRNazanin"/>
          <w:color w:val="111111"/>
          <w:sz w:val="28"/>
          <w:sz w:val="28"/>
          <w:szCs w:val="28"/>
          <w:rtl w:val="true"/>
          <w:lang w:bidi="fa-IR"/>
        </w:rPr>
        <w:t xml:space="preserve">آيات با واژگانى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واقعيت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هاى هفت گانه و زمين و هر كه در آن هاست، او را تسبيح مى گويند و هيچ چيزى نيست، مگر اين كه خدا را همراه با ستايش او تسبيح مى گويد؛ ولى شما تسبيح آن ها را درنمى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 در كيفر منكران بردبار، و براى توبه كنندگان آمرزگار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نيز از سير عالم هستى مستثنا نيست و در ذات او گرايش به توحيد و يكتاپرستى به وديعت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ى قرآن، خداوند متعال پيش از آفرينش انسان از او پيمان گرفته است كه به پروردگارى خداوند شهادت دهد و انسان نيز بدان شهادت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يادآور زمانى را كه پروردگارت از فرزندان آدم، از پشتشان، ذريه ى آنان را گرفت و آنان را بر خودشان گواه ساخت كه 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تويى پروردگار ما و ما حقيقتى جز اين كه مملوك تو باشيم، نداريم؛ ما اين را ديده ايم و بر آن گواهيم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كرديم تا روز قيامت نگوييد ما از اين حقيقت بى خبر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ى شريفه كه به آيه ى ميثاق معروف است، نشانگر اقرار انسان به ربوبيت و الوهيت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ديگر، گرايش به خدا و توحيد، در وجود انسان امرى فطرى و ذاتى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64" w:name="pg15502_176842"/>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كه روشن شد آفرينش و تدبير در اختيار خداوند است و او هيچ گونه شريكى ندارد و كسانى كه از وى روى گردانده اند، در قيامت راه نجاتى ندارند، پس روى خود را به سوى اين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و بى آن كه به راست يا چپ گرايش يابى، تنها به آن چشم بدوز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دين پايدار باش؛ دينى كه فطرت خدادادى تو را به آن گرايش مى دهد؛ همان فطرتى كه خداوند همه ى انسان ها را بر آن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خدا دگرگونى ندارد و با اختلاف افراد، زمان ها و مكان ها، تغيير و تبديل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دين استوار؛ ولى بيش تر مردم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توحيد با فطرت و ذات انسان سازگارى دارد، چه گونه است كه شرك و مظاهر آن، دل هاى بسيارى از انسان ها را فرامى گيرد؟ اين پرسش در فصل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مراحل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خواهد شد</w:t>
      </w:r>
      <w:r>
        <w:rPr>
          <w:rFonts w:eastAsia="IRNazanin" w:cs="IRNazanin"/>
          <w:color w:val="111111"/>
          <w:sz w:val="28"/>
          <w:szCs w:val="28"/>
          <w:rtl w:val="true"/>
          <w:lang w:bidi="fa-IR"/>
        </w:rPr>
        <w:t>.</w:t>
      </w:r>
    </w:p>
    <w:p>
      <w:pPr>
        <w:pStyle w:val="Heading4"/>
        <w:numPr>
          <w:ilvl w:val="3"/>
          <w:numId w:val="1"/>
        </w:numPr>
        <w:rPr/>
      </w:pPr>
      <w:bookmarkStart w:id="65" w:name="__RefHeading___Toc8088820_2142443653"/>
      <w:bookmarkStart w:id="66" w:name="_Toc24"/>
      <w:bookmarkEnd w:id="65"/>
      <w:r>
        <w:rPr/>
        <w:t>5</w:t>
      </w:r>
      <w:r>
        <w:rPr>
          <w:rtl w:val="true"/>
        </w:rPr>
        <w:t xml:space="preserve"> - </w:t>
      </w:r>
      <w:r>
        <w:rPr>
          <w:rtl w:val="true"/>
        </w:rPr>
        <w:t>توحيد نظرى و توحيد عملى</w:t>
      </w:r>
      <w:bookmarkEnd w:id="66"/>
    </w:p>
    <w:p>
      <w:pPr>
        <w:pStyle w:val="Heading5"/>
        <w:numPr>
          <w:ilvl w:val="4"/>
          <w:numId w:val="1"/>
        </w:numPr>
        <w:rPr/>
      </w:pPr>
      <w:bookmarkStart w:id="67" w:name="__RefHeading___Toc8088822_2142443653"/>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تقسيمات متعددى براى توحيد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توحيد در سطح كلان، به دو شاخه ى اصلىِ نظرى و عملى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نظرى در حوزه ى شناخت خداست و انسان در اين مرحله، خدا و ويژگى هاى او را مى شناسد؛ اما توحيد عملى همان گونه كه از نامش پيداست، به حوزه ى عمل انسان بازمى گردد؛ به اين معنى كه انسان در مقام عمل نيز بايد موحد بوده و اعمالش رنگ توحيدى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شهيد مطهرى در تعريف اين دو نوع توحيد مى گويد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دو توحيد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و عملى؛ توحيد نظرى مربوط به عالم شناخت و انديشه است؛ يعنى خدا را به يگانگى شناختن؛ و توحيد عملى يعنى خود را در عمل يگانه و يك جهت و در جهت ذات يگانه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توحيد نظرى يعنى شناخت يگانه بودن خدا؛ و توحيد عملى يعنى يگانه شدن انسان</w:t>
      </w:r>
      <w:r>
        <w:rPr>
          <w:rFonts w:eastAsia="IRNazanin" w:cs="IRNazanin"/>
          <w:color w:val="111111"/>
          <w:sz w:val="28"/>
          <w:szCs w:val="28"/>
          <w:rtl w:val="true"/>
          <w:lang w:bidi="fa-IR"/>
        </w:rPr>
        <w:t>.»</w:t>
      </w:r>
      <w:r>
        <w:rPr>
          <w:rStyle w:val="FootnoteAnchor"/>
          <w:rtl w:val="true"/>
        </w:rPr>
        <w:footnoteReference w:id="52"/>
      </w:r>
      <w:bookmarkStart w:id="69" w:name="pg15502_176844"/>
    </w:p>
    <w:p>
      <w:pPr>
        <w:pStyle w:val="BookText"/>
        <w:rPr/>
      </w:pPr>
      <w:bookmarkEnd w:id="69"/>
      <w:r>
        <w:rPr>
          <w:rFonts w:ascii="IRNazanin" w:hAnsi="IRNazanin" w:eastAsia="IRNazanin"/>
          <w:color w:val="111111"/>
          <w:sz w:val="28"/>
          <w:sz w:val="28"/>
          <w:szCs w:val="28"/>
          <w:rtl w:val="true"/>
          <w:lang w:bidi="fa-IR"/>
        </w:rPr>
        <w:t>وى به درستى اشاره مى كند كه چه گونه سوره ى حمد با وجود كوچكى، دربردارنده ى هر دو نوع توحيد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سوره ى حمد تا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توحيد نظرى است كه ويژگى ها و صفات الهى را بيان مى كند؛ و از اين آيه ى شريفه به بعد، به تشريح توحيد عملى مى پردازد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سوى ديگر، توحيد نظرى از نظر رتبه، مقدم بر توحيد عملى است؛ به اين معنى كه همواره شناخت، مقدم بر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چيزى را نشناسد، نمى تواند در ارتباط با آن، تعامل مناسبى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شناخت مناسبى از ذات احديت نداشته باشد، در حوزه ى توحيد عملى به بى راهه مى رود؛ بنابراين هنگامى كه ذات خدا، عظمت و صفات وى، و حوزه ى قدرت و اقتدار او را شناخت، مى تواند در تعامل با او، چنان كه شايسته ى اوست عمل كند</w:t>
      </w:r>
      <w:r>
        <w:rPr>
          <w:rFonts w:eastAsia="IRNazanin" w:cs="IRNazanin"/>
          <w:color w:val="111111"/>
          <w:sz w:val="28"/>
          <w:szCs w:val="28"/>
          <w:rtl w:val="true"/>
          <w:lang w:bidi="fa-IR"/>
        </w:rPr>
        <w:t>.</w:t>
      </w:r>
    </w:p>
    <w:p>
      <w:pPr>
        <w:pStyle w:val="Heading5"/>
        <w:numPr>
          <w:ilvl w:val="4"/>
          <w:numId w:val="1"/>
        </w:numPr>
        <w:rPr/>
      </w:pPr>
      <w:bookmarkStart w:id="70" w:name="__RefHeading___Toc8088824_2142443653"/>
      <w:bookmarkStart w:id="71" w:name="_Toc26"/>
      <w:bookmarkEnd w:id="70"/>
      <w:r>
        <w:rPr/>
        <w:t>1</w:t>
      </w:r>
      <w:r>
        <w:rPr>
          <w:rtl w:val="true"/>
        </w:rPr>
        <w:t>‏-‏</w:t>
      </w:r>
      <w:r>
        <w:rPr/>
        <w:t>5</w:t>
      </w:r>
      <w:r>
        <w:rPr>
          <w:rtl w:val="true"/>
        </w:rPr>
        <w:t xml:space="preserve"> - </w:t>
      </w:r>
      <w:r>
        <w:rPr>
          <w:rtl w:val="true"/>
        </w:rPr>
        <w:t>اقسام توحيد نظرى</w:t>
      </w:r>
      <w:bookmarkEnd w:id="71"/>
    </w:p>
    <w:p>
      <w:pPr>
        <w:pStyle w:val="Heading6"/>
        <w:numPr>
          <w:ilvl w:val="5"/>
          <w:numId w:val="1"/>
        </w:numPr>
        <w:rPr/>
      </w:pPr>
      <w:bookmarkStart w:id="72" w:name="__RefHeading___Toc8088826_2142443653"/>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توحيد در حوزه 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گونه هاى مختلفى تقسيم مى شود و هر يك، متولى بخشى از معرفت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توحيد نظرى را به سه گونه ى ذاتى، صفاتى و افعالى تقسيم كرده اند</w:t>
      </w:r>
      <w:r>
        <w:rPr>
          <w:rFonts w:eastAsia="IRNazanin" w:cs="IRNazanin"/>
          <w:color w:val="111111"/>
          <w:sz w:val="28"/>
          <w:szCs w:val="28"/>
          <w:rtl w:val="true"/>
          <w:lang w:bidi="fa-IR"/>
        </w:rPr>
        <w:t>.</w:t>
      </w:r>
    </w:p>
    <w:p>
      <w:pPr>
        <w:pStyle w:val="Heading6"/>
        <w:numPr>
          <w:ilvl w:val="5"/>
          <w:numId w:val="1"/>
        </w:numPr>
        <w:rPr/>
      </w:pPr>
      <w:bookmarkStart w:id="74" w:name="__RefHeading___Toc8088828_2142443653"/>
      <w:bookmarkStart w:id="75" w:name="_Toc28"/>
      <w:bookmarkEnd w:id="74"/>
      <w:r>
        <w:rPr/>
        <w:t>1</w:t>
      </w:r>
      <w:r>
        <w:rPr>
          <w:rtl w:val="true"/>
        </w:rPr>
        <w:t>‏-‏</w:t>
      </w:r>
      <w:r>
        <w:rPr/>
        <w:t>1</w:t>
      </w:r>
      <w:r>
        <w:rPr>
          <w:rtl w:val="true"/>
        </w:rPr>
        <w:t>‏-‏</w:t>
      </w:r>
      <w:r>
        <w:rPr/>
        <w:t>5</w:t>
      </w:r>
      <w:r>
        <w:rPr>
          <w:rtl w:val="true"/>
        </w:rPr>
        <w:t xml:space="preserve"> - </w:t>
      </w:r>
      <w:r>
        <w:rPr>
          <w:rtl w:val="true"/>
        </w:rPr>
        <w:t>توحيد ذاتى</w:t>
      </w:r>
      <w:bookmarkEnd w:id="7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توحيد ذاتى نخستين گام در توحيد 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ذاتى از نظر رتبه بر ديگر اقسام توحيد تقدم دارد؛ در اين قسم، درباره ى يگانگى و يكتايى خداوند بحث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توحيد ذاتى دو معنى لحاظ مى شود</w:t>
      </w:r>
      <w:r>
        <w:rPr>
          <w:rFonts w:eastAsia="IRNazanin" w:cs="IRNazanin"/>
          <w:color w:val="111111"/>
          <w:sz w:val="28"/>
          <w:szCs w:val="28"/>
          <w:rtl w:val="true"/>
          <w:lang w:bidi="fa-IR"/>
        </w:rPr>
        <w:t>:</w:t>
      </w:r>
    </w:p>
    <w:p>
      <w:pPr>
        <w:pStyle w:val="BookText"/>
        <w:rPr/>
      </w:pPr>
      <w:r>
        <w:rPr>
          <w:rStyle w:val="FootnoteAnchor"/>
          <w:rtl w:val="true"/>
        </w:rPr>
        <w:footnoteReference w:id="54"/>
      </w:r>
      <w:r>
        <w:rPr>
          <w:rFonts w:ascii="IRNazanin" w:hAnsi="IRNazanin" w:eastAsia="IRNazanin"/>
          <w:color w:val="111111"/>
          <w:sz w:val="28"/>
          <w:sz w:val="28"/>
          <w:szCs w:val="28"/>
          <w:rtl w:val="true"/>
          <w:lang w:bidi="fa-IR"/>
        </w:rPr>
        <w:t>خدا يكى است و شبيه، مانند، همتا و جاى گزين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توحيد ذاتى اشاره دارد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ذات خداوند داراى اجزا نيست و از هرگونه كثرت و تعدد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نيز از ميان چهار معنايى كه ذكر فرمود، دو معنى آخر، يعنى بى نظير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تجزيه ناپذير بودن را در معنى توحيد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تقسيم، برخى نفى تركيب از خدا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يكى بودن خداوند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ذاتى نخستين مرز ميان مشركان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گرامى اسلام صلى الله عليه و آله مشركان را به توحيد فرامى خواند، مشركان مى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 اَلْآلِهَةَ إِلٰهاً وٰاحِداً إِنَّ هٰذٰا لَشَيْ‌ءٌ 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همه ى خدايان را يك خدا گردانيده است‌؟ سخن بسيار عجيبى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پيش از اسلام بتان بسيارى داشتند كه آنان را در كنار خدا مى پرستيدند و چنان كه از آيات استفاده مى شود، آنان را 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شمردند؛ به همين دليل، هنگامى كه پيامبر گرامى اسلام صلى الله عليه و آله به پيامبرى رسيد، نخستين پيام وى در كنار كوه صفا اين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أدعوكم على شهادة أن لا إله إلاّ اللّه وخلع الأنداد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وحدانيت خدا مى خوانم كه بگوييد الهى غير از الله نيست و الهه هاى غير از خدا را كنار بگذاريد</w:t>
      </w:r>
      <w:r>
        <w:rPr>
          <w:rFonts w:eastAsia="IRNazanin" w:cs="IRNazanin"/>
          <w:color w:val="111111"/>
          <w:sz w:val="28"/>
          <w:szCs w:val="28"/>
          <w:rtl w:val="true"/>
          <w:lang w:bidi="fa-IR"/>
        </w:rPr>
        <w:t>».</w:t>
      </w:r>
      <w:bookmarkStart w:id="76" w:name="pg15502_176848"/>
    </w:p>
    <w:p>
      <w:pPr>
        <w:pStyle w:val="BookText"/>
        <w:rPr/>
      </w:pPr>
      <w:bookmarkEnd w:id="76"/>
      <w:r>
        <w:rPr>
          <w:rFonts w:ascii="IRNazanin" w:hAnsi="IRNazanin" w:eastAsia="IRNazanin"/>
          <w:color w:val="111111"/>
          <w:sz w:val="28"/>
          <w:sz w:val="28"/>
          <w:szCs w:val="28"/>
          <w:rtl w:val="true"/>
          <w:lang w:bidi="fa-IR"/>
        </w:rPr>
        <w:t xml:space="preserve">هم چنين عقيده ى 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با توحيد ذاتى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اعتقاد به اقانيم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اقنوم ذات، اقنوم كلمه، و اقنوم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پسر 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دايره ى توحيد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 وَ مٰا مِنْ إِلٰهٍ إِلاّٰ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گفتند خدا سومىِ سه تاست، كافر شده اند؛ جز خداى يكتا خدايى نيست</w:t>
      </w:r>
      <w:r>
        <w:rPr>
          <w:rFonts w:eastAsia="IRNazanin" w:cs="IRNazanin"/>
          <w:color w:val="111111"/>
          <w:sz w:val="28"/>
          <w:szCs w:val="28"/>
          <w:rtl w:val="true"/>
          <w:lang w:bidi="fa-IR"/>
        </w:rPr>
        <w:t>».</w:t>
      </w:r>
    </w:p>
    <w:p>
      <w:pPr>
        <w:pStyle w:val="Heading6"/>
        <w:numPr>
          <w:ilvl w:val="5"/>
          <w:numId w:val="1"/>
        </w:numPr>
        <w:rPr/>
      </w:pPr>
      <w:bookmarkStart w:id="77" w:name="__RefHeading___Toc8088830_2142443653"/>
      <w:bookmarkStart w:id="78" w:name="_Toc29"/>
      <w:bookmarkEnd w:id="77"/>
      <w:r>
        <w:rPr/>
        <w:t>2</w:t>
      </w:r>
      <w:r>
        <w:rPr>
          <w:rtl w:val="true"/>
        </w:rPr>
        <w:t>‏-‏</w:t>
      </w:r>
      <w:r>
        <w:rPr/>
        <w:t>1</w:t>
      </w:r>
      <w:r>
        <w:rPr>
          <w:rtl w:val="true"/>
        </w:rPr>
        <w:t>‏-‏</w:t>
      </w:r>
      <w:r>
        <w:rPr/>
        <w:t>5</w:t>
      </w:r>
      <w:r>
        <w:rPr>
          <w:rtl w:val="true"/>
        </w:rPr>
        <w:t xml:space="preserve"> - </w:t>
      </w:r>
      <w:r>
        <w:rPr>
          <w:rtl w:val="true"/>
        </w:rPr>
        <w:t>توحيد صفاتى</w:t>
      </w:r>
      <w:bookmarkEnd w:id="78"/>
    </w:p>
    <w:p>
      <w:pPr>
        <w:pStyle w:val="BookText"/>
        <w:rPr/>
      </w:pPr>
      <w:r>
        <w:rPr>
          <w:rFonts w:ascii="IRNazanin" w:hAnsi="IRNazanin" w:eastAsia="IRNazanin"/>
          <w:color w:val="111111"/>
          <w:sz w:val="28"/>
          <w:sz w:val="28"/>
          <w:szCs w:val="28"/>
          <w:rtl w:val="true"/>
          <w:lang w:bidi="fa-IR"/>
        </w:rPr>
        <w:t>توحيد صفاتى به شناخت ماهيت و كيفيت صفات و ويژگى هاى خداوند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صفاتى نيز در دو معنى تجلى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صفات خود بى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صفاتى را كه به خداوند نسبت مى دهيم، مانند قدرت، علم و حيات، به موجودات ديگر مانند انسان نيز مى توانيم نسبت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توحيد صفاتى به معنى اول اين است كه اطلاق قدرت يا علم بر خدا، با آن چه بر بندگان اطلاق مى شود، ذاتاً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علم و قدرت خدا اكتسابى نيست؛ بلكه منشأ تمامى اين اوصاف، خود اوست؛ ازسوى ديگر، درحالى كه علم يا قدرت انسان پايانى دارد و محدود است، علم و قدرت خداوند متعال نهايتى ندارد و بى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مفهومى ملازم با واجب الوجود بودن خدا و ممكن الوجود بودن انسان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اوصاف از نظر مفهومى با يك ديگر تفاوت دارند، درباره ى خداوند از نظر مصداقى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صفات الهى عين ذات او هستند، نه زايد بر ذات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درباره ى انسان مصداق پيدا نمى كند؛ چنان كه انسان ابتدا عالم نيست و سپس عالم مى شود؛ حيات ندارد و سپس زنده</w:t>
      </w:r>
      <w:bookmarkStart w:id="79" w:name="pg15502_176850"/>
    </w:p>
    <w:p>
      <w:pPr>
        <w:pStyle w:val="BookText"/>
        <w:rPr/>
      </w:pPr>
      <w:bookmarkEnd w:id="79"/>
      <w:r>
        <w:rPr>
          <w:rFonts w:ascii="IRNazanin" w:hAnsi="IRNazanin" w:eastAsia="IRNazanin"/>
          <w:color w:val="111111"/>
          <w:sz w:val="28"/>
          <w:sz w:val="28"/>
          <w:szCs w:val="28"/>
          <w:rtl w:val="true"/>
          <w:lang w:bidi="fa-IR"/>
        </w:rPr>
        <w:t>مى شود؛ و چون حيات عين ذات انسان نيست، از او جدا مى شود؛ و اين، همان مفهوم جدايى صفت از ذات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0" w:name="__RefHeading___Toc8088832_2142443653"/>
      <w:bookmarkStart w:id="81" w:name="_Toc30"/>
      <w:bookmarkEnd w:id="80"/>
      <w:r>
        <w:rPr/>
        <w:t>3</w:t>
      </w:r>
      <w:r>
        <w:rPr>
          <w:rtl w:val="true"/>
        </w:rPr>
        <w:t>‏-‏</w:t>
      </w:r>
      <w:r>
        <w:rPr/>
        <w:t>1</w:t>
      </w:r>
      <w:r>
        <w:rPr>
          <w:rtl w:val="true"/>
        </w:rPr>
        <w:t>‏-‏</w:t>
      </w:r>
      <w:r>
        <w:rPr/>
        <w:t>5</w:t>
      </w:r>
      <w:r>
        <w:rPr>
          <w:rtl w:val="true"/>
        </w:rPr>
        <w:t xml:space="preserve"> - </w:t>
      </w:r>
      <w:r>
        <w:rPr>
          <w:rtl w:val="true"/>
        </w:rPr>
        <w:t>توحيد افعالى و انواع آن</w:t>
      </w:r>
      <w:bookmarkEnd w:id="81"/>
    </w:p>
    <w:p>
      <w:pPr>
        <w:pStyle w:val="Heading6"/>
        <w:numPr>
          <w:ilvl w:val="5"/>
          <w:numId w:val="1"/>
        </w:numPr>
        <w:rPr/>
      </w:pPr>
      <w:bookmarkStart w:id="82" w:name="__RefHeading___Toc8088834_2142443653"/>
      <w:bookmarkStart w:id="83" w:name="_Toc31"/>
      <w:bookmarkEnd w:id="82"/>
      <w:r>
        <w:rPr>
          <w:rtl w:val="true"/>
        </w:rPr>
        <w:t>اشاره</w:t>
      </w:r>
      <w:bookmarkEnd w:id="8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افعالى يعنى همه ى كارها در اراده و مشيت خداوند ريشه دارد و او فاعل همه ى افعال و امور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درك بهتر مفهوم توحيد افعالى، مى توان آن را در دو معنى به كار برد</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خداوند متعال فاعل همه ى تحولات، كارها، نظام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گاهى خلق و فاعليت به ديگر موجودات نسبت داده مى شود، اما در نهايت، سرمنشأ تمامى امور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خداوند خالق همه ى افعال و نظام هستى است؛ چنان كه در تسبيح مبارك نيز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خداوند در انجام همه ى افعال، واحد است و هيچ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موجودات عالم چنان كه در ذات خود، استقلال وجودى از خدا ندارند، در مقام تأثير و عليّت نيز استقلال ندارند و در نتيجه، خداوند همان گونه كه در ذات خود شريك ندارد، در فاعليّت نيز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فاعل و سببى، حقيقت خود و تأثير و فاعليّت خويش را از او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فيلسوفان از اين بُعد توحيد افعالى، با عنوان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فِي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اميرالمؤمنين على عليه السلام نيز مى فرمايد</w:t>
      </w:r>
      <w:r>
        <w:rPr>
          <w:rFonts w:eastAsia="Amiri" w:cs="Amiri" w:ascii="Amiri" w:hAnsi="Amiri"/>
          <w:color w:val="111111"/>
          <w:sz w:val="28"/>
          <w:szCs w:val="28"/>
          <w:rtl w:val="true"/>
          <w:lang w:bidi="ar-SA"/>
        </w:rPr>
        <w:t>:</w:t>
      </w:r>
      <w:bookmarkStart w:id="84" w:name="pg15502_176852"/>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ولاشريك له اعانه على ابتداع عجائب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شريكى ندارد كه در آفرينش شگفتى هاى جهان او را يارى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تر شدن مفهوم توحيد افعالى، مى توان آن را به قسمت هاى ديگرى تقسيم كرد</w:t>
      </w:r>
      <w:r>
        <w:rPr>
          <w:rFonts w:eastAsia="IRNazanin" w:cs="IRNazanin"/>
          <w:color w:val="111111"/>
          <w:sz w:val="28"/>
          <w:szCs w:val="28"/>
          <w:rtl w:val="true"/>
          <w:lang w:bidi="fa-IR"/>
        </w:rPr>
        <w:t>:</w:t>
      </w:r>
    </w:p>
    <w:p>
      <w:pPr>
        <w:pStyle w:val="Heading6"/>
        <w:numPr>
          <w:ilvl w:val="5"/>
          <w:numId w:val="1"/>
        </w:numPr>
        <w:rPr/>
      </w:pPr>
      <w:bookmarkStart w:id="85" w:name="__RefHeading___Toc8088836_2142443653"/>
      <w:bookmarkStart w:id="86" w:name="_Toc32"/>
      <w:bookmarkEnd w:id="85"/>
      <w:r>
        <w:rPr/>
        <w:t>1</w:t>
      </w:r>
      <w:r>
        <w:rPr>
          <w:rtl w:val="true"/>
        </w:rPr>
        <w:t>‏-‏</w:t>
      </w:r>
      <w:r>
        <w:rPr/>
        <w:t>3</w:t>
      </w:r>
      <w:r>
        <w:rPr>
          <w:rtl w:val="true"/>
        </w:rPr>
        <w:t>‏-‏</w:t>
      </w:r>
      <w:r>
        <w:rPr/>
        <w:t>1</w:t>
      </w:r>
      <w:r>
        <w:rPr>
          <w:rtl w:val="true"/>
        </w:rPr>
        <w:t>‏-‏</w:t>
      </w:r>
      <w:r>
        <w:rPr/>
        <w:t>5</w:t>
      </w:r>
      <w:r>
        <w:rPr>
          <w:rtl w:val="true"/>
        </w:rPr>
        <w:t xml:space="preserve"> - </w:t>
      </w:r>
      <w:r>
        <w:rPr>
          <w:rtl w:val="true"/>
        </w:rPr>
        <w:t>توحيد در آفرينش</w:t>
      </w:r>
      <w:bookmarkEnd w:id="86"/>
    </w:p>
    <w:p>
      <w:pPr>
        <w:pStyle w:val="BookText"/>
        <w:rPr/>
      </w:pPr>
      <w:r>
        <w:rPr>
          <w:rFonts w:ascii="IRNazanin" w:hAnsi="IRNazanin" w:eastAsia="IRNazanin"/>
          <w:color w:val="111111"/>
          <w:sz w:val="28"/>
          <w:sz w:val="28"/>
          <w:szCs w:val="28"/>
          <w:rtl w:val="true"/>
          <w:lang w:bidi="fa-IR"/>
        </w:rPr>
        <w:t>خداوند، آفريدگار جهان و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آيات بسيارى وجود دارد؛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 وَ هُوَ عَلىٰ كُلِّ شَيْ‌ءٍ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آفريننده ى همه ى چيزهاست و او بر هر چيزى نگاهبان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البته مراد از آفرينش در اين جا، آفرينش حقيقى است؛ يعنى آفرينشى كه مستقل و بدون كمك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امكان دارد كه ديگران نيز چيزى را بسازند يا كارى را انجام دهند؛ اما همه ى اين كارها، سرانجام به خداوند منتسب مى شود و از او نشأت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آفرينندگى را خداوند به موجودات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خداوند متعال خود را بهترين آفرينندگان در قرآن معرفى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بزرگ است خدايى كه بهترين آفرينندگان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غير از خداوند نيز آفرينندگانى همانند انسان ها هستند؛ اما او بهترين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آفرينندگى خدا، ذاتى است؛ ولى آفرينندگى ديگران، اكتسابى است</w:t>
      </w:r>
      <w:r>
        <w:rPr>
          <w:rFonts w:eastAsia="IRNazanin" w:cs="IRNazanin"/>
          <w:color w:val="111111"/>
          <w:sz w:val="28"/>
          <w:szCs w:val="28"/>
          <w:rtl w:val="true"/>
          <w:lang w:bidi="fa-IR"/>
        </w:rPr>
        <w:t>.</w:t>
      </w:r>
      <w:bookmarkStart w:id="87" w:name="pg15502_176854"/>
    </w:p>
    <w:p>
      <w:pPr>
        <w:pStyle w:val="Heading6"/>
        <w:numPr>
          <w:ilvl w:val="5"/>
          <w:numId w:val="1"/>
        </w:numPr>
        <w:rPr/>
      </w:pPr>
      <w:bookmarkStart w:id="88" w:name="__RefHeading___Toc8088838_2142443653"/>
      <w:bookmarkStart w:id="89" w:name="_Toc33"/>
      <w:bookmarkEnd w:id="87"/>
      <w:bookmarkEnd w:id="88"/>
      <w:r>
        <w:rPr/>
        <w:t>2</w:t>
      </w:r>
      <w:r>
        <w:rPr>
          <w:rtl w:val="true"/>
        </w:rPr>
        <w:t>‏-‏</w:t>
      </w:r>
      <w:r>
        <w:rPr/>
        <w:t>3</w:t>
      </w:r>
      <w:r>
        <w:rPr>
          <w:rtl w:val="true"/>
        </w:rPr>
        <w:t>‏-‏</w:t>
      </w:r>
      <w:r>
        <w:rPr/>
        <w:t>1</w:t>
      </w:r>
      <w:r>
        <w:rPr>
          <w:rtl w:val="true"/>
        </w:rPr>
        <w:t>‏-‏</w:t>
      </w:r>
      <w:r>
        <w:rPr/>
        <w:t>5</w:t>
      </w:r>
      <w:r>
        <w:rPr>
          <w:rtl w:val="true"/>
        </w:rPr>
        <w:t xml:space="preserve"> - </w:t>
      </w:r>
      <w:r>
        <w:rPr>
          <w:rtl w:val="true"/>
        </w:rPr>
        <w:t>توحيد در ربوبيت</w:t>
      </w:r>
      <w:bookmarkEnd w:id="89"/>
    </w:p>
    <w:p>
      <w:pPr>
        <w:pStyle w:val="BookText"/>
        <w:rPr/>
      </w:pPr>
      <w:r>
        <w:rPr>
          <w:rFonts w:ascii="IRNazanin" w:hAnsi="IRNazanin" w:eastAsia="IRNazanin"/>
          <w:color w:val="111111"/>
          <w:sz w:val="28"/>
          <w:sz w:val="28"/>
          <w:szCs w:val="28"/>
          <w:rtl w:val="true"/>
          <w:lang w:bidi="fa-IR"/>
        </w:rPr>
        <w:t>توحيد در ربوبيت به معنى كارگزارى و كارگردانى خداوند است؛ بدين معنى كه افزون بر آفرينندگى، تدبير امور نظام آفرينش نيز تنها در دست خداوند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جوامع مشرك گذشته، گروه هايى بوده اند كه توحيد در آفرينش داشته اند؛ اما در ربوبيت گرفتار شرك شده و به بى 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معتقد بودند كه خداوند، جهان را آفريده و سپس اداره و تدبير آن را به ديگران وانهاده است؛ چنان كه مشركان عصر حضرت ابراهيم عليه السلام چنين ديدگاهى داشتند و خورشيد، ماه و ستارگان را مدبر امور مى دانستند و حضرت ابراهيم عليه السلام با دليلى عقلى با آنان به مبارزه پرداخت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حضرت يوسف عليه السلام در واكنش به اين اعتقاد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أَرْبٰابٌ مُتَفَرِّقُونَ خَيْرٌ أَمِ اَللّٰهُ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پروردگاران پراكنده بهتر است، يا خداى يكتاى غالب و قدرتمند؟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گروهى از مشركان پيش از اسلام، بت هاى خود را مظاهر مختلفى از نيروهاى طبيعى مى دانستند و براى بهره مندى از آن نيروها و يا مصون ماندن از خطر و زيانشان، آن ها را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مظهر روح، چشمه ها و آب هاى زيرزمينى مى انگاشتند و</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خداوند، خدايان ديگرى را برگزيدند تا مايه ى عزت آن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افزون بر آفرينش، تدبير و كارگردانى جهان نيز با خداوند متعال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0" w:name="pg15502_176856"/>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كسى است كه آسمان ها را بدون ستون هايى كه ببينيد برافراشت؛ سپس بر عرش استيلا يافت و خورشيد و ماه را مسخر ساخت كه هر كدام تا زمان معينى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او تدبير مى كند؛ آيات را براى شما تشريح مى كند؛ باشد كه به ديدار پروردگارتان يقين كنيد</w:t>
      </w:r>
      <w:r>
        <w:rPr>
          <w:rFonts w:eastAsia="IRNazanin" w:cs="IRNazanin"/>
          <w:color w:val="111111"/>
          <w:sz w:val="28"/>
          <w:szCs w:val="28"/>
          <w:rtl w:val="true"/>
          <w:lang w:bidi="fa-IR"/>
        </w:rPr>
        <w:t>».</w:t>
      </w:r>
    </w:p>
    <w:p>
      <w:pPr>
        <w:pStyle w:val="Heading6"/>
        <w:numPr>
          <w:ilvl w:val="5"/>
          <w:numId w:val="1"/>
        </w:numPr>
        <w:rPr/>
      </w:pPr>
      <w:bookmarkStart w:id="91" w:name="__RefHeading___Toc8088840_2142443653"/>
      <w:bookmarkStart w:id="92" w:name="_Toc34"/>
      <w:bookmarkEnd w:id="91"/>
      <w:r>
        <w:rPr/>
        <w:t>3</w:t>
      </w:r>
      <w:r>
        <w:rPr>
          <w:rtl w:val="true"/>
        </w:rPr>
        <w:t>‏-‏</w:t>
      </w:r>
      <w:r>
        <w:rPr/>
        <w:t>3</w:t>
      </w:r>
      <w:r>
        <w:rPr>
          <w:rtl w:val="true"/>
        </w:rPr>
        <w:t>‏-‏</w:t>
      </w:r>
      <w:r>
        <w:rPr/>
        <w:t>1</w:t>
      </w:r>
      <w:r>
        <w:rPr>
          <w:rtl w:val="true"/>
        </w:rPr>
        <w:t>‏-‏</w:t>
      </w:r>
      <w:r>
        <w:rPr/>
        <w:t>5</w:t>
      </w:r>
      <w:r>
        <w:rPr>
          <w:rtl w:val="true"/>
        </w:rPr>
        <w:t xml:space="preserve"> - </w:t>
      </w:r>
      <w:r>
        <w:rPr>
          <w:rtl w:val="true"/>
        </w:rPr>
        <w:t>توحيد در قانون گذارى</w:t>
      </w:r>
      <w:bookmarkEnd w:id="92"/>
    </w:p>
    <w:p>
      <w:pPr>
        <w:pStyle w:val="BookText"/>
        <w:rPr/>
      </w:pPr>
      <w:r>
        <w:rPr>
          <w:rFonts w:ascii="IRNazanin" w:hAnsi="IRNazanin" w:eastAsia="IRNazanin"/>
          <w:color w:val="111111"/>
          <w:sz w:val="28"/>
          <w:sz w:val="28"/>
          <w:szCs w:val="28"/>
          <w:rtl w:val="true"/>
          <w:lang w:bidi="fa-IR"/>
        </w:rPr>
        <w:t>تنها، خداوند حق قانون گذارى دارد و ديگران در پرتو اجازه ى او مى توانند چنين كارى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تنها از آن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حاكميت در اين آيه، حاكميت در بُعد تشريعى و قانون گذارى است؛ يعنى با توجه به اين كه قانون گذارى، ولايت بر مردم و تصرف در شئون آن هاست، كسى جز خداوند حق قانون گذارى و تعيين حقوق و تكاليف ديگران را ندارد و آن چه انسان ها در عرصه ى قانون گذارى در مجالس شورا انجام مى دهند، بايد بر مبناى دستورهاى الهى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به احكام و قوانينى كه خدا نازل كرده است، حكم نكند، كافر است</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8088842_2142443653"/>
      <w:bookmarkStart w:id="94" w:name="_Toc35"/>
      <w:bookmarkEnd w:id="93"/>
      <w:r>
        <w:rPr/>
        <w:t>4</w:t>
      </w:r>
      <w:r>
        <w:rPr>
          <w:rtl w:val="true"/>
        </w:rPr>
        <w:t>‏-‏</w:t>
      </w:r>
      <w:r>
        <w:rPr/>
        <w:t>3</w:t>
      </w:r>
      <w:r>
        <w:rPr>
          <w:rtl w:val="true"/>
        </w:rPr>
        <w:t>‏-‏</w:t>
      </w:r>
      <w:r>
        <w:rPr/>
        <w:t>1</w:t>
      </w:r>
      <w:r>
        <w:rPr>
          <w:rtl w:val="true"/>
        </w:rPr>
        <w:t>‏-‏</w:t>
      </w:r>
      <w:r>
        <w:rPr/>
        <w:t>5</w:t>
      </w:r>
      <w:r>
        <w:rPr>
          <w:rtl w:val="true"/>
        </w:rPr>
        <w:t xml:space="preserve"> - </w:t>
      </w:r>
      <w:r>
        <w:rPr>
          <w:rtl w:val="true"/>
        </w:rPr>
        <w:t>توحيد در حاكميت</w:t>
      </w:r>
      <w:bookmarkEnd w:id="94"/>
    </w:p>
    <w:p>
      <w:pPr>
        <w:pStyle w:val="BookText"/>
        <w:rPr/>
      </w:pPr>
      <w:r>
        <w:rPr>
          <w:rFonts w:ascii="IRNazanin" w:hAnsi="IRNazanin" w:eastAsia="IRNazanin"/>
          <w:color w:val="111111"/>
          <w:sz w:val="28"/>
          <w:sz w:val="28"/>
          <w:szCs w:val="28"/>
          <w:rtl w:val="true"/>
          <w:lang w:bidi="fa-IR"/>
        </w:rPr>
        <w:t>تنها، خداوند شايسته ى فرمانروايى و حكومت است و بدون اجازه ى او هيچ كس حق تشكيل حكومت و حكم رانى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 أَنَّ اَللّٰهَ لَهُ مُلْكُ اَلسَّمٰاوٰاتِ وَ اَلْأَرْضِ وَ مٰا لَكُمْ مِنْ دُونِ اَللّٰهِ مِنْ وَلِيٍّ وَ لاٰ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bookmarkStart w:id="95" w:name="pg15502_176858"/>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كه حكومت آسمان ها و زمين از آن خداست و جز خدا سرپرست و ياورى براى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و امامان عليهم السلام نيز در راستاى اجازه ى الهى، رهبران انسان هايند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مالك حكومت ها تويى؛ تو هستى كه به هركس بخواهى حكومت مى بخشى و از هر كسى بخواهى، حكومت را مى گيرى؛ هركس را بخواهى عزت مى دهى و به هركس بخواهى ذلت؛ تمام خوبى ها به دست توست؛ زيرا تو بر هر چيزى قادرى</w:t>
      </w:r>
      <w:r>
        <w:rPr>
          <w:rFonts w:eastAsia="IRNazanin" w:cs="IRNazanin"/>
          <w:color w:val="111111"/>
          <w:sz w:val="28"/>
          <w:szCs w:val="28"/>
          <w:rtl w:val="true"/>
          <w:lang w:bidi="fa-IR"/>
        </w:rPr>
        <w:t>».</w:t>
      </w:r>
    </w:p>
    <w:p>
      <w:pPr>
        <w:pStyle w:val="Heading5"/>
        <w:numPr>
          <w:ilvl w:val="4"/>
          <w:numId w:val="1"/>
        </w:numPr>
        <w:rPr/>
      </w:pPr>
      <w:bookmarkStart w:id="96" w:name="__RefHeading___Toc8088844_2142443653"/>
      <w:bookmarkStart w:id="97" w:name="_Toc36"/>
      <w:bookmarkEnd w:id="96"/>
      <w:r>
        <w:rPr/>
        <w:t>2</w:t>
      </w:r>
      <w:r>
        <w:rPr>
          <w:rtl w:val="true"/>
        </w:rPr>
        <w:t>‏-‏</w:t>
      </w:r>
      <w:r>
        <w:rPr/>
        <w:t>5</w:t>
      </w:r>
      <w:r>
        <w:rPr>
          <w:rtl w:val="true"/>
        </w:rPr>
        <w:t xml:space="preserve"> - </w:t>
      </w:r>
      <w:r>
        <w:rPr>
          <w:rtl w:val="true"/>
        </w:rPr>
        <w:t>اقسام توحيد عملى</w:t>
      </w:r>
      <w:bookmarkEnd w:id="97"/>
    </w:p>
    <w:p>
      <w:pPr>
        <w:pStyle w:val="Heading6"/>
        <w:numPr>
          <w:ilvl w:val="5"/>
          <w:numId w:val="1"/>
        </w:numPr>
        <w:rPr/>
      </w:pPr>
      <w:bookmarkStart w:id="98" w:name="__RefHeading___Toc8088846_2142443653"/>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همان گونه كه گفته شد، توحيد عملى در رتبه ى پس از توحيد نظرى قرار دارد؛ يعنى انسان با توجه به شناختى كه درباره ى بارى تعالى پيدا مى كند، اعمال و رفتار خود را با خالق خود همسو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شفاف شدن مفهوم توحيد عملى، اين نوع توحيد را نيز مى توان به اقسام زير تقسيم كرد</w:t>
      </w:r>
      <w:r>
        <w:rPr>
          <w:rFonts w:eastAsia="IRNazanin" w:cs="IRNazanin"/>
          <w:color w:val="111111"/>
          <w:sz w:val="28"/>
          <w:szCs w:val="28"/>
          <w:rtl w:val="true"/>
          <w:lang w:bidi="fa-IR"/>
        </w:rPr>
        <w:t>:</w:t>
      </w:r>
    </w:p>
    <w:p>
      <w:pPr>
        <w:pStyle w:val="Heading6"/>
        <w:numPr>
          <w:ilvl w:val="5"/>
          <w:numId w:val="1"/>
        </w:numPr>
        <w:rPr/>
      </w:pPr>
      <w:bookmarkStart w:id="100" w:name="__RefHeading___Toc8088848_2142443653"/>
      <w:bookmarkStart w:id="101" w:name="_Toc38"/>
      <w:bookmarkEnd w:id="100"/>
      <w:r>
        <w:rPr/>
        <w:t>1</w:t>
      </w:r>
      <w:r>
        <w:rPr>
          <w:rtl w:val="true"/>
        </w:rPr>
        <w:t>‏-‏</w:t>
      </w:r>
      <w:r>
        <w:rPr/>
        <w:t>2</w:t>
      </w:r>
      <w:r>
        <w:rPr>
          <w:rtl w:val="true"/>
        </w:rPr>
        <w:t>‏-‏</w:t>
      </w:r>
      <w:r>
        <w:rPr/>
        <w:t>5</w:t>
      </w:r>
      <w:r>
        <w:rPr>
          <w:rtl w:val="true"/>
        </w:rPr>
        <w:t xml:space="preserve"> - </w:t>
      </w:r>
      <w:r>
        <w:rPr>
          <w:rtl w:val="true"/>
        </w:rPr>
        <w:t>توحيد در عبادت</w:t>
      </w:r>
      <w:bookmarkEnd w:id="101"/>
    </w:p>
    <w:p>
      <w:pPr>
        <w:pStyle w:val="BookText"/>
        <w:rPr/>
      </w:pPr>
      <w:r>
        <w:rPr>
          <w:rFonts w:ascii="IRNazanin" w:hAnsi="IRNazanin" w:eastAsia="IRNazanin"/>
          <w:color w:val="111111"/>
          <w:sz w:val="28"/>
          <w:sz w:val="28"/>
          <w:szCs w:val="28"/>
          <w:rtl w:val="true"/>
          <w:lang w:bidi="fa-IR"/>
        </w:rPr>
        <w:t>توحيد در عبادت، يعنى اين كه پرستش مخصوص خداست و غير او شايسته ى عبوديت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عبادت يا همان توحيد عبادى، بسيار مورد تأكيد قرآن است؛ تاآن جاكه خداوند در قرآن، هدف از ارسال پيامبران را دعوت به توحيد عبادى بيان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امتى پيامبرانى را مبعوث كرديم تا مردم را به عبادت خدا و دورى از طاغوت دعوت كنند</w:t>
      </w:r>
      <w:r>
        <w:rPr>
          <w:rFonts w:eastAsia="IRNazanin" w:cs="IRNazanin"/>
          <w:color w:val="111111"/>
          <w:sz w:val="28"/>
          <w:szCs w:val="28"/>
          <w:rtl w:val="true"/>
          <w:lang w:bidi="fa-IR"/>
        </w:rPr>
        <w:t>».</w:t>
      </w:r>
      <w:bookmarkStart w:id="102" w:name="pg15502_176860"/>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إِلٰهاً وٰاحِداً لاٰ إِلٰهَ إِلاّٰ هُوَ سُبْحٰانَهُ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دستور نداشتند جز خداوند يكتايى را كه معبودى جز او نيست، بپرستند؛ او پاك و منزه است از آن چه همتايش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 جاكه اختلاف اصلى ما با وهابيت، در مفهوم و معنى توحيد عبادى است، در جاى خود به تفصيل پيرامون توحيد عبادى توضيح داده خواهد شد</w:t>
      </w:r>
      <w:r>
        <w:rPr>
          <w:rFonts w:eastAsia="IRNazanin" w:cs="IRNazanin"/>
          <w:color w:val="111111"/>
          <w:sz w:val="28"/>
          <w:szCs w:val="28"/>
          <w:rtl w:val="true"/>
          <w:lang w:bidi="fa-IR"/>
        </w:rPr>
        <w:t>.</w:t>
      </w:r>
    </w:p>
    <w:p>
      <w:pPr>
        <w:pStyle w:val="Heading6"/>
        <w:numPr>
          <w:ilvl w:val="5"/>
          <w:numId w:val="1"/>
        </w:numPr>
        <w:rPr/>
      </w:pPr>
      <w:bookmarkStart w:id="103" w:name="__RefHeading___Toc8088850_2142443653"/>
      <w:bookmarkStart w:id="104" w:name="_Toc39"/>
      <w:bookmarkEnd w:id="103"/>
      <w:r>
        <w:rPr/>
        <w:t>2</w:t>
      </w:r>
      <w:r>
        <w:rPr>
          <w:rtl w:val="true"/>
        </w:rPr>
        <w:t>‏-‏</w:t>
      </w:r>
      <w:r>
        <w:rPr/>
        <w:t>2</w:t>
      </w:r>
      <w:r>
        <w:rPr>
          <w:rtl w:val="true"/>
        </w:rPr>
        <w:t>‏-‏</w:t>
      </w:r>
      <w:r>
        <w:rPr/>
        <w:t>5</w:t>
      </w:r>
      <w:r>
        <w:rPr>
          <w:rtl w:val="true"/>
        </w:rPr>
        <w:t xml:space="preserve"> - </w:t>
      </w:r>
      <w:r>
        <w:rPr>
          <w:rtl w:val="true"/>
        </w:rPr>
        <w:t>توحيد در استعانت</w:t>
      </w:r>
      <w:bookmarkEnd w:id="104"/>
    </w:p>
    <w:p>
      <w:pPr>
        <w:pStyle w:val="BookText"/>
        <w:rPr/>
      </w:pPr>
      <w:r>
        <w:rPr>
          <w:rFonts w:ascii="IRNazanin" w:hAnsi="IRNazanin" w:eastAsia="IRNazanin"/>
          <w:color w:val="111111"/>
          <w:sz w:val="28"/>
          <w:sz w:val="28"/>
          <w:szCs w:val="28"/>
          <w:rtl w:val="true"/>
          <w:lang w:bidi="fa-IR"/>
        </w:rPr>
        <w:t>يكى ديگر از جلوه هاى توحيد عملى، توحيد در استعانت و مدد جستن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كه مى تواند انسان را يارى كند و انسان نيز تنها بايد از او يارى جويد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مى پرستيم و از تو يارى مى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توسل به اولياى الهى، اگر به اذن خداوند باشد، با توحيد در استعانت هيچ تضادى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هاى آينده، اين مفهوم بيش تر بررسى خواهد شد</w:t>
      </w:r>
      <w:r>
        <w:rPr>
          <w:rFonts w:eastAsia="IRNazanin" w:cs="IRNazanin"/>
          <w:color w:val="111111"/>
          <w:sz w:val="28"/>
          <w:szCs w:val="28"/>
          <w:rtl w:val="true"/>
          <w:lang w:bidi="fa-IR"/>
        </w:rPr>
        <w:t>.</w:t>
      </w:r>
    </w:p>
    <w:p>
      <w:pPr>
        <w:pStyle w:val="Heading6"/>
        <w:numPr>
          <w:ilvl w:val="5"/>
          <w:numId w:val="1"/>
        </w:numPr>
        <w:rPr/>
      </w:pPr>
      <w:bookmarkStart w:id="105" w:name="__RefHeading___Toc8088852_2142443653"/>
      <w:bookmarkStart w:id="106" w:name="_Toc40"/>
      <w:bookmarkEnd w:id="105"/>
      <w:r>
        <w:rPr/>
        <w:t>3</w:t>
      </w:r>
      <w:r>
        <w:rPr>
          <w:rtl w:val="true"/>
        </w:rPr>
        <w:t>‏-‏</w:t>
      </w:r>
      <w:r>
        <w:rPr/>
        <w:t>2</w:t>
      </w:r>
      <w:r>
        <w:rPr>
          <w:rtl w:val="true"/>
        </w:rPr>
        <w:t>‏-‏</w:t>
      </w:r>
      <w:r>
        <w:rPr/>
        <w:t>5</w:t>
      </w:r>
      <w:r>
        <w:rPr>
          <w:rtl w:val="true"/>
        </w:rPr>
        <w:t xml:space="preserve"> - </w:t>
      </w:r>
      <w:r>
        <w:rPr>
          <w:rtl w:val="true"/>
        </w:rPr>
        <w:t>توحيد در اطاعت</w:t>
      </w:r>
      <w:bookmarkEnd w:id="106"/>
    </w:p>
    <w:p>
      <w:pPr>
        <w:pStyle w:val="BookText"/>
        <w:rPr/>
      </w:pPr>
      <w:r>
        <w:rPr>
          <w:rFonts w:ascii="Amiri" w:hAnsi="Amiri" w:eastAsia="Amiri" w:cs="Amiri"/>
          <w:color w:val="111111"/>
          <w:sz w:val="28"/>
          <w:sz w:val="28"/>
          <w:szCs w:val="28"/>
          <w:rtl w:val="true"/>
          <w:lang w:bidi="ar-SA"/>
        </w:rPr>
        <w:t>توحيد در اطاعت يعنى اين كه انسان تنها از خداوند اطاعت كند و مطيع دستورهاى او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 لاٰ تَتَّبِعُوا مِنْ دُونِهِ أَوْلِيٰاءَ قَلِيلاً مٰا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 كه از طرف پروردگارتان بر شما نازل شده، پى 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اوليا و معبودهاى ديگر جز او، پى 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 تر متذكر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نيز اگر اطاعت از غير، به اذن و اجازه ى خداوند باشد، چون در طول اطاعت الهى است، با توحيد منافاتى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107" w:name="pg15502_176862"/>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آورديد از خدا وپيامبر و و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ى دو قسم اخير توحيد عملى، در بخش هاى آينده به تفصيل سخن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نبايد فراموش كرد، اين است كه تقسيم توحيد به انواع و اقسام يادشده فقط براى تبيين ابعاد و زواياى مختلف توحيد بيان شده است؛ وگرنه توحيد، همان يگانگى محض است كه در تمامى ابعاد و زوايا فقط مخصوص خداست</w:t>
      </w:r>
      <w:r>
        <w:rPr>
          <w:rFonts w:eastAsia="IRNazanin" w:cs="IRNazanin"/>
          <w:color w:val="111111"/>
          <w:sz w:val="28"/>
          <w:szCs w:val="28"/>
          <w:rtl w:val="true"/>
          <w:lang w:bidi="fa-IR"/>
        </w:rPr>
        <w:t>.</w:t>
      </w:r>
    </w:p>
    <w:p>
      <w:pPr>
        <w:pStyle w:val="Heading4"/>
        <w:numPr>
          <w:ilvl w:val="3"/>
          <w:numId w:val="1"/>
        </w:numPr>
        <w:rPr/>
      </w:pPr>
      <w:bookmarkStart w:id="108" w:name="__RefHeading___Toc8088854_2142443653"/>
      <w:bookmarkStart w:id="109" w:name="_Toc41"/>
      <w:bookmarkEnd w:id="108"/>
      <w:r>
        <w:rPr/>
        <w:t>6</w:t>
      </w:r>
      <w:r>
        <w:rPr>
          <w:rtl w:val="true"/>
        </w:rPr>
        <w:t xml:space="preserve"> - </w:t>
      </w:r>
      <w:r>
        <w:rPr>
          <w:rtl w:val="true"/>
        </w:rPr>
        <w:t>توحيد در مذاهب اسلامى</w:t>
      </w:r>
      <w:bookmarkEnd w:id="1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در مذاهب اسلامى</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ميان اصول اعتقادى اسلام، توحيد مهم ترين اصل شمرده مى شود و مى تواند مبناى گفت وگو ميان مذاهب اسلامى و نزديكى آن ها به يك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مشتركى كه تبلور جلوه ى محسوس آن، هرساله در ايام حج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مذاهب و قوميت هاى مختلف، از بيش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اسلامى، بر محور توحيد گرد هم آمده، با كمال آرامش و به دور از هرگونه تنش، مراسم حج را به جا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نشانگر ظرفيت توحيد در تعامل و گفت وگوى ميان مذاهب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توحيد كانون تقريب ميان مذاهب اسلامى است، بلكه مى تواند در گفت وگوى ميان اسلام و ديگر اديان نيز، نقطه ى آغازين باشد</w:t>
      </w:r>
      <w:r>
        <w:rPr>
          <w:rFonts w:eastAsia="IRNazanin" w:cs="IRNazanin"/>
          <w:color w:val="111111"/>
          <w:sz w:val="28"/>
          <w:szCs w:val="28"/>
          <w:rtl w:val="true"/>
          <w:lang w:bidi="fa-IR"/>
        </w:rPr>
        <w:t>.</w:t>
      </w:r>
      <w:r>
        <w:rPr>
          <w:rStyle w:val="FootnoteAnchor"/>
          <w:rtl w:val="true"/>
        </w:rPr>
        <w:footnoteReference w:id="6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يك از مذاهب اسلامى، باوجود پذيرش اصل توحيد، بر حوزه ى خاصى از مباحث توحيد تمركز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هاى خاص آنان نيز ريشه در روش استنباط و نظام فكرى آن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w:t>
      </w:r>
      <w:r>
        <w:rPr>
          <w:rStyle w:val="FootnoteAnchor"/>
          <w:rtl w:val="true"/>
        </w:rPr>
        <w:footnoteReference w:id="65"/>
      </w:r>
      <w:r>
        <w:rPr>
          <w:rFonts w:ascii="IRNazanin" w:hAnsi="IRNazanin" w:eastAsia="IRNazanin"/>
          <w:color w:val="111111"/>
          <w:sz w:val="28"/>
          <w:sz w:val="28"/>
          <w:szCs w:val="28"/>
          <w:rtl w:val="true"/>
          <w:lang w:bidi="fa-IR"/>
        </w:rPr>
        <w:t>، بيش تر در مباحث اعتقادى، از جمله توحيد، روش عقلى را برگزيدند و كوشيدند تا توحيد و مباحث مربوط به آن را با عقل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 نيز معتزليان بيش تر بر مباحث توحيد صفاتى و عينيت صفات با ذات تأكيد داشتند و به همين دليل، قاضى عبدالجبار از دانشمندان معتزلى، توحيد را به دو قسم ذاتى و صفاتى تقسيم مى كند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درمقابل، اشعريان</w:t>
      </w:r>
      <w:r>
        <w:rPr>
          <w:rStyle w:val="FootnoteAnchor"/>
          <w:rtl w:val="true"/>
        </w:rPr>
        <w:footnoteReference w:id="67"/>
      </w:r>
      <w:r>
        <w:rPr>
          <w:rFonts w:ascii="IRNazanin" w:hAnsi="IRNazanin" w:eastAsia="IRNazanin"/>
          <w:color w:val="111111"/>
          <w:sz w:val="28"/>
          <w:sz w:val="28"/>
          <w:szCs w:val="28"/>
          <w:rtl w:val="true"/>
          <w:lang w:bidi="fa-IR"/>
        </w:rPr>
        <w:t xml:space="preserve">كه امروزه انديشه ى آنان بر جهان سنى غالب است، روش نقل گرايى را پذيرفتند؛ البته نه به آن شدتى كه ابن حنبل به آن معتقد بود؛ همان گونه كه گفته شد،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اشعرى، كتابى كاملاً عقل گرايانه است؛ هرچند بيش تر به 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 عن اصول الديانة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ماهيتى نقل گرايانه و نزديك به ديدگاه هاى اهل حديث دارد،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اشعريان در بحث محتوا، بيش تر بر توحيد افعالى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آنان از توحيد افعالى بدين گونه است كه خدا خالق افعال بندگان است و انسان در انجام افعال خود هيچ اختيارى ندارد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اين ديدگاه جبرگرايانه، كه انسان در آن مجبور فرض شده است، افزون بر از ميان بردن نظام سبب و مسبب، موجب مى شود</w:t>
      </w:r>
    </w:p>
    <w:p>
      <w:pPr>
        <w:pStyle w:val="BookText"/>
        <w:rPr/>
      </w:pPr>
      <w:r>
        <w:rPr>
          <w:rFonts w:ascii="IRNazanin" w:hAnsi="IRNazanin" w:eastAsia="IRNazanin"/>
          <w:color w:val="111111"/>
          <w:sz w:val="28"/>
          <w:sz w:val="28"/>
          <w:szCs w:val="28"/>
          <w:rtl w:val="true"/>
          <w:lang w:bidi="fa-IR"/>
        </w:rPr>
        <w:t>انسان براى عملى كه خود فاعل آن نيست و اختيارى در انجام آن ندارد، كيفر يا پاداش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هم از نظر معتزله و هم از نظر شيعه پذيرفته نيست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انديشه ى ماتريدى،</w:t>
      </w:r>
      <w:r>
        <w:rPr>
          <w:rStyle w:val="FootnoteAnchor"/>
          <w:rtl w:val="true"/>
        </w:rPr>
        <w:footnoteReference w:id="70"/>
      </w:r>
      <w:r>
        <w:rPr>
          <w:rFonts w:ascii="IRNazanin" w:hAnsi="IRNazanin" w:eastAsia="IRNazanin"/>
          <w:color w:val="111111"/>
          <w:sz w:val="28"/>
          <w:sz w:val="28"/>
          <w:szCs w:val="28"/>
          <w:rtl w:val="true"/>
          <w:lang w:bidi="fa-IR"/>
        </w:rPr>
        <w:t>در اصول و كليات، نزديك به انديشه ى اشعرى است؛ اما عقل گراتر از آن است و مى توان آن را ميانه ى انديشه ى نقل گراى اشعرى و عقل گراى معتزله شمرد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توحيد، نزد ابومنصور ماتريدى اهميت زيادى داشت و وى كتاب نسبتاً مفصلى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به صراحت بيان مى كند كه در اصول اعتقادات، تقليد جايز نيست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شيعه نيز در بحث توحيد، ديدگاه هاى ويژه ى خود را دارد كه مرحوم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تفصيل پيرامون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نه همانند معتزله كاملاً جانب عقل را گرفته و نقل را رها كرده است و نه همانند اشاعره و اهل حديث، نقل گراى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مباحث توحيد، ازيك سو قائل به عينيت صفات با ذات است و معتقد است كه صفات الهى زايد بر ذات وى نيستند؛ و از سوى ديگر، در توحيد افعالى نيز نه همانند معتزله قائل به تفويض كامل است و نه همانند اشاعره، قائل به جبر كامل؛ بلكه همان گونه كه در روايات آمده، معتقد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بين الامرين، لا جبر ولا تفويض</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اين ميان، سلفيان و وهابيان، برخلاف سه نحله ى گذشته، هرچند از توحيد ربوبى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برند، معنى اصلى توحيد را صرفاً در توحيد عبادى تفسير مى كنند؛ تاآن جاكه گويى توحيد، مترادف با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در تعريف توحيد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عبادت خداوند يكتاست</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 آن چه راه وهابيان را از ديگر فرقه هاى اسلامى جدا مى كند، اين واقعيت است كه ايشان به بهانه ى قرائتى كه از توحيد دارند، همه ى مسلمانان را مشرك مى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اعمالى را كه مردم در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الحسين عليه السلام در مصر و يا كارهايى كه بعضى حجاج نزد قبر رسول خدا صلى الله عليه و آله انجام مى دهند، همگى عبادت غير خدا به شمار مى رود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وهابيان در پى اين قرائت، همانند خوارج كه مسلمانانِ مخالف خود را مشرك و مهدور الدم مى شمردند، همه ى مسلمانان را مشرك، و مال و جان و ناموس آنان را مباح شمردند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ديگرى از توحيد كه آنان ذكر مى كنند، توحيد اسما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آنان از توحيد اسما و صفات، پى آمد ناگوارى براى آنان به دنبال دارد كه همان مسأله ى تشبيه خداوند به مخلوقات، و بحث تجسيم است كه در فصول آينده به تفصيل پيرامون آن سخن خواهيم گفت</w:t>
      </w:r>
      <w:r>
        <w:rPr>
          <w:rFonts w:eastAsia="IRNazanin" w:cs="IRNazanin"/>
          <w:color w:val="111111"/>
          <w:sz w:val="28"/>
          <w:szCs w:val="28"/>
          <w:rtl w:val="true"/>
          <w:lang w:bidi="fa-IR"/>
        </w:rPr>
        <w:t>.</w:t>
      </w:r>
      <w:bookmarkStart w:id="110" w:name="pg15502_176872"/>
    </w:p>
    <w:p>
      <w:pPr>
        <w:pStyle w:val="Heading3"/>
        <w:numPr>
          <w:ilvl w:val="2"/>
          <w:numId w:val="1"/>
        </w:numPr>
        <w:rPr/>
      </w:pPr>
      <w:bookmarkStart w:id="111" w:name="__RefHeading___Toc8088856_2142443653"/>
      <w:bookmarkStart w:id="112" w:name="_Toc42"/>
      <w:bookmarkEnd w:id="110"/>
      <w:bookmarkEnd w:id="111"/>
      <w:r>
        <w:rPr>
          <w:rtl w:val="true"/>
        </w:rPr>
        <w:t>فصل سوم</w:t>
      </w:r>
      <w:r>
        <w:rPr>
          <w:rtl w:val="true"/>
        </w:rPr>
        <w:t xml:space="preserve">: </w:t>
      </w:r>
      <w:r>
        <w:rPr>
          <w:rtl w:val="true"/>
        </w:rPr>
        <w:t>مفهوم و مراحل شرك</w:t>
      </w:r>
      <w:bookmarkEnd w:id="11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8088858_2142443653"/>
      <w:bookmarkStart w:id="114" w:name="_Toc43"/>
      <w:bookmarkEnd w:id="113"/>
      <w:r>
        <w:rPr>
          <w:rtl w:val="true"/>
        </w:rPr>
        <w:t>اشاره</w:t>
      </w:r>
      <w:bookmarkStart w:id="115" w:name="pg15502_176876"/>
      <w:bookmarkEnd w:id="114"/>
    </w:p>
    <w:p>
      <w:pPr>
        <w:pStyle w:val="Heading4"/>
        <w:numPr>
          <w:ilvl w:val="3"/>
          <w:numId w:val="1"/>
        </w:numPr>
        <w:rPr/>
      </w:pPr>
      <w:bookmarkStart w:id="116" w:name="__RefHeading___Toc8088860_2142443653"/>
      <w:bookmarkStart w:id="117" w:name="_Toc44"/>
      <w:bookmarkEnd w:id="115"/>
      <w:bookmarkEnd w:id="116"/>
      <w:r>
        <w:rPr/>
        <w:t>1</w:t>
      </w:r>
      <w:r>
        <w:rPr>
          <w:rtl w:val="true"/>
        </w:rPr>
        <w:t xml:space="preserve"> - </w:t>
      </w:r>
      <w:r>
        <w:rPr>
          <w:rtl w:val="true"/>
        </w:rPr>
        <w:t>مقدمه</w:t>
      </w:r>
      <w:bookmarkEnd w:id="117"/>
    </w:p>
    <w:p>
      <w:pPr>
        <w:pStyle w:val="BookText"/>
        <w:rPr/>
      </w:pPr>
      <w:r>
        <w:rPr>
          <w:rFonts w:ascii="IRNazanin" w:hAnsi="IRNazanin" w:eastAsia="IRNazanin"/>
          <w:color w:val="111111"/>
          <w:sz w:val="28"/>
          <w:sz w:val="28"/>
          <w:szCs w:val="28"/>
          <w:rtl w:val="true"/>
          <w:lang w:bidi="fa-IR"/>
        </w:rPr>
        <w:t>واژه ى شرك، در كنار واژه ى كفر، از مشهورترين و رايج ترين واژه هايى است كه وهابيان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قرائتى كه از توحيد ارائه مى كنند، همه ى مسلمانان را مشرك مى دانند؛ به همين سبب، هرگونه تجاوز و جنايت را براى دعوت مسلمانان به توحيد و نجات آن ها از شركِ توهمى خود، جايز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آشنايى با مفهوم شرك و مراحل آن، پيش از نقد و ارزيابى توحيد از ديدگاه وهابيت، ضرورى است</w:t>
      </w:r>
      <w:r>
        <w:rPr>
          <w:rFonts w:eastAsia="IRNazanin" w:cs="IRNazanin"/>
          <w:color w:val="111111"/>
          <w:sz w:val="28"/>
          <w:szCs w:val="28"/>
          <w:rtl w:val="true"/>
          <w:lang w:bidi="fa-IR"/>
        </w:rPr>
        <w:t>.</w:t>
      </w:r>
    </w:p>
    <w:p>
      <w:pPr>
        <w:pStyle w:val="Heading4"/>
        <w:numPr>
          <w:ilvl w:val="3"/>
          <w:numId w:val="1"/>
        </w:numPr>
        <w:rPr/>
      </w:pPr>
      <w:bookmarkStart w:id="118" w:name="__RefHeading___Toc8088862_2142443653"/>
      <w:bookmarkStart w:id="119" w:name="_Toc45"/>
      <w:bookmarkEnd w:id="118"/>
      <w:r>
        <w:rPr/>
        <w:t>2</w:t>
      </w:r>
      <w:r>
        <w:rPr>
          <w:rtl w:val="true"/>
        </w:rPr>
        <w:t xml:space="preserve"> - </w:t>
      </w:r>
      <w:r>
        <w:rPr>
          <w:rtl w:val="true"/>
        </w:rPr>
        <w:t>شرك در لغت و اصطلاح</w:t>
      </w:r>
      <w:bookmarkEnd w:id="119"/>
    </w:p>
    <w:p>
      <w:pPr>
        <w:pStyle w:val="BookText"/>
        <w:rPr/>
      </w:pPr>
      <w:r>
        <w:rPr>
          <w:rFonts w:ascii="Amiri" w:hAnsi="Amiri" w:eastAsia="Amiri" w:cs="Amiri"/>
          <w:color w:val="111111"/>
          <w:sz w:val="28"/>
          <w:sz w:val="28"/>
          <w:szCs w:val="28"/>
          <w:rtl w:val="true"/>
          <w:lang w:bidi="ar-SA"/>
        </w:rPr>
        <w:t>شرك در لغت به معنى قسمت و نصيب است</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به گفته ى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الشِّركة و الشُركة به معنى مشاركت و شريك شدن دو يا چند نفر با يك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وى مشاركت كردم، يعنى شريك او شدم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ابن فارس نيز شرك را به معنى همكارى و مقارنت در كار يا چيزى گرفته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تعريف هاى لغوى، اين واژه گاه به معنى شركت در چيزى است؛ يعنى دو نفر صاحب چيزى باشند؛ 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 اَلْحَمْدُ لِلّٰهِ بَلْ أَكْثَرُهُمْ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مردى را مَثَل زده است كه چند مالك با او شريكند؛ مالكانى بدخو و ناسازگار كه در كار او به نزاع و كشمكش مى پردازند؛ و مردى كه تنها در اختيار يك نفر و تسليم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نخست، مَثَلِ فردى است مشرك كه خدايانى چند را كه طبعاً باهم ناسازگارند مى پرستد؛ يكى او را به كارى فرمان مى دهد و ديگرى او را از آن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دوم، مَثَلِ فردى است يكتاپرست كه خدايى يگانه او را امر و نهى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مرد يكسان اند و حالتى برابر دارند؟ ستايش، همه از آنِ خداست؛ ولى بيش تر مردم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شرك گاه به معنى شراكت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بدين معنى كه دو نفر در انجام كارى سهيم باشند؛ مانند اين كه دو فرد در ساختن عمارت يا بنايى با يك ديگر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شريك، شركاء يا اشراك است و همان گونه كه گفته شد، به معنى سهيم شدن فرد در چيزى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شرك در اصطلاح، به معنى همتا و شريك قرار دادن براى خداست؛ بدين معنى كه چيزهاى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بت، افراد و نيروهاى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شئون خداوندى، اعم از نظرى و عملى، شريك و همتاى خداوند قرار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فصل هاى گذشته گفته شد، قلب انسان، موحد آفريده شده و شرك عرضى است كه بر اثر عدم شناخت و فراموشى بر قلب انسان عارض مى شود</w:t>
      </w:r>
      <w:r>
        <w:rPr>
          <w:rFonts w:eastAsia="IRNazanin" w:cs="IRNazanin"/>
          <w:color w:val="111111"/>
          <w:sz w:val="28"/>
          <w:szCs w:val="28"/>
          <w:rtl w:val="true"/>
          <w:lang w:bidi="fa-IR"/>
        </w:rPr>
        <w:t>.</w:t>
      </w:r>
      <w:r>
        <w:rPr>
          <w:rStyle w:val="FootnoteAnchor"/>
          <w:rtl w:val="true"/>
        </w:rPr>
        <w:footnoteReference w:id="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 جاكه يكى از راه هاى شناخت چيزى، معرفى آن به وسيله ى ضد آن است،</w:t>
      </w:r>
      <w:r>
        <w:rPr>
          <w:rStyle w:val="FootnoteAnchor"/>
          <w:rtl w:val="true"/>
        </w:rPr>
        <w:footnoteReference w:id="82"/>
      </w:r>
      <w:r>
        <w:rPr>
          <w:rFonts w:ascii="IRNazanin" w:hAnsi="IRNazanin" w:eastAsia="IRNazanin"/>
          <w:color w:val="111111"/>
          <w:sz w:val="28"/>
          <w:sz w:val="28"/>
          <w:szCs w:val="28"/>
          <w:rtl w:val="true"/>
          <w:lang w:bidi="fa-IR"/>
        </w:rPr>
        <w:t>قرآن نيز در بسيارى از آيات به ابعاد، زمينه ها و پى آمدهاى شرك اشاره مى كند تا مفهوم توحيد در حوزه هاى مختلف، بيش از پيش روشن شود</w:t>
      </w:r>
      <w:r>
        <w:rPr>
          <w:rFonts w:eastAsia="IRNazanin" w:cs="IRNazanin"/>
          <w:color w:val="111111"/>
          <w:sz w:val="28"/>
          <w:szCs w:val="28"/>
          <w:rtl w:val="true"/>
          <w:lang w:bidi="fa-IR"/>
        </w:rPr>
        <w:t>.</w:t>
      </w:r>
      <w:bookmarkStart w:id="120" w:name="pg15502_176880"/>
    </w:p>
    <w:p>
      <w:pPr>
        <w:pStyle w:val="Heading4"/>
        <w:numPr>
          <w:ilvl w:val="3"/>
          <w:numId w:val="1"/>
        </w:numPr>
        <w:rPr/>
      </w:pPr>
      <w:bookmarkStart w:id="121" w:name="__RefHeading___Toc8088864_2142443653"/>
      <w:bookmarkStart w:id="122" w:name="_Toc46"/>
      <w:bookmarkEnd w:id="120"/>
      <w:bookmarkEnd w:id="121"/>
      <w:r>
        <w:rPr/>
        <w:t>3</w:t>
      </w:r>
      <w:r>
        <w:rPr>
          <w:rtl w:val="true"/>
        </w:rPr>
        <w:t xml:space="preserve"> - </w:t>
      </w:r>
      <w:r>
        <w:rPr>
          <w:rtl w:val="true"/>
        </w:rPr>
        <w:t>شرك در قرآن</w:t>
      </w:r>
      <w:bookmarkEnd w:id="122"/>
    </w:p>
    <w:p>
      <w:pPr>
        <w:pStyle w:val="BookText"/>
        <w:rPr/>
      </w:pPr>
      <w:r>
        <w:rPr>
          <w:rFonts w:ascii="IRNazanin" w:hAnsi="IRNazanin" w:eastAsia="IRNazanin"/>
          <w:color w:val="111111"/>
          <w:sz w:val="28"/>
          <w:sz w:val="28"/>
          <w:szCs w:val="28"/>
          <w:rtl w:val="true"/>
          <w:lang w:bidi="fa-IR"/>
        </w:rPr>
        <w:t>نخستين مفهومى كه پيامبران مردم را به آن دعوت كرده اند،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الهى آمده اند تا مردم را از شرك به خدا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شرك در قرآن ستمى بزرگ و نابخشودنى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نصايح خود به فرزندش،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شرك نورز، كه به يقين شرك ستمى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قرآن، شرك چنان گناه بزرگى است كه آمرزيدنى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ضَلَّ ضَلاٰلاً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اين گناه را كه به او شرك ورزيده شود، نمى آمرزد و كم تر از آن را براى هر كه بخواهد، مى آمرزد؛ و هركس به خدا شرك ورزد، به يقين در بى راهه اى خواهد افتاد كه با حق فاصله اى دور و دراز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ى قرآن، كسى كه به خدا شرك ورزد، هرگز بهشت را نخواهد ديد و جايگاهش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يُشْرِكْ بِاللّٰهِ فَقَدْ حَرَّمَ اَللّٰهُ عَلَيْهِ اَلْجَنَّةَ وَ مَأْوٰاهُ اَلنّٰارُ وَ مٰا لِلظّٰالِمِينَ مِنْ 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اين است كه هركس به خدا شرك ورزد، به يقين خداوند بهشت را بر او حرام مى كند و جايگاهش آتش است، و ستم كاران ياورانى ندارند كه آنان را از آتش رهايى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قرآن مشركان را در كنار يهود، به منزله ى بدترين و سرسخت ترين دشمن مسلمانان معرفى مى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 اَلَّذِينَ أَشْرَكُوا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سرسخت ترين مردم را در دشمنى با كسانى كه ايمان آورده اند، يهوديان و مشركان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انديشه ى قرآن، شرك چنان مذموم است كه موجب مى شود مشركان نجس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اَلْمُشْرِكُونَ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مشركان پليدند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 فتح جيم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نجس العين بودن مشركان دارد و اين، نهايت خوارى و پستى آن ها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گرفتار شرك شود، از جايگاه انسانيت نزول مى كند و به حضيض ذلت گرفتار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براى خدا شريك قرار دهد، از مرتبه ى انسانيّت ساقط مى شود و شيطان او را شكار خويش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مَثَل مانند اين است كه از آسمان فرو افتد و پرندگان شكارى او را بربايند؛ يا باد او را به مكانى دوردست بيفكند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هيچ يك از گناهان به پايه ى شرك به خدا نمى رسد و همان گونه كه زندگى توحيدى مى تواند انسان را به سعادت دنيا و آخرت رهنمون كند، زندگى شرك آلود، انسان را بسيار بى ارزش و پست مى كند؛ تا آن جاكه از حيوانات پست تر مى شود</w:t>
      </w:r>
      <w:r>
        <w:rPr>
          <w:rFonts w:eastAsia="IRNazanin" w:cs="IRNazanin"/>
          <w:color w:val="111111"/>
          <w:sz w:val="28"/>
          <w:szCs w:val="28"/>
          <w:rtl w:val="true"/>
          <w:lang w:bidi="fa-IR"/>
        </w:rPr>
        <w:t>.</w:t>
      </w:r>
      <w:r>
        <w:rPr>
          <w:rStyle w:val="FootnoteAnchor"/>
          <w:rtl w:val="true"/>
        </w:rPr>
        <w:footnoteReference w:id="83"/>
      </w:r>
      <w:bookmarkStart w:id="123" w:name="pg15502_176884"/>
    </w:p>
    <w:p>
      <w:pPr>
        <w:pStyle w:val="Heading4"/>
        <w:numPr>
          <w:ilvl w:val="3"/>
          <w:numId w:val="1"/>
        </w:numPr>
        <w:rPr/>
      </w:pPr>
      <w:bookmarkStart w:id="124" w:name="__RefHeading___Toc8088866_2142443653"/>
      <w:bookmarkStart w:id="125" w:name="_Toc47"/>
      <w:bookmarkEnd w:id="123"/>
      <w:bookmarkEnd w:id="124"/>
      <w:r>
        <w:rPr/>
        <w:t>4</w:t>
      </w:r>
      <w:r>
        <w:rPr>
          <w:rtl w:val="true"/>
        </w:rPr>
        <w:t xml:space="preserve"> - </w:t>
      </w:r>
      <w:r>
        <w:rPr>
          <w:rtl w:val="true"/>
        </w:rPr>
        <w:t>شرك نظرى و شرك عملى</w:t>
      </w:r>
      <w:bookmarkEnd w:id="125"/>
    </w:p>
    <w:p>
      <w:pPr>
        <w:pStyle w:val="Heading5"/>
        <w:numPr>
          <w:ilvl w:val="4"/>
          <w:numId w:val="1"/>
        </w:numPr>
        <w:rPr/>
      </w:pPr>
      <w:bookmarkStart w:id="126" w:name="__RefHeading___Toc8088868_2142443653"/>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همان گونه كه توحيد، دو قسم نظرى و عملى دارد، شرك نيز در تقسيمى، به نظرى و عملى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متعلق شرك گاهى عقيده ى انسان است؛ يعنى انسان در عقيده گرفتار شرك مى شود؛ و گاهى عمل است؛ يعنى انسان در مقام عبادت، اطاعت و استعانت، گرفتار شرك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شرك اگر عقيده باشد، شرك نظرى، و اگر عمل باشد، شرك عملى است</w:t>
      </w:r>
      <w:r>
        <w:rPr>
          <w:rFonts w:eastAsia="IRNazanin" w:cs="IRNazanin"/>
          <w:color w:val="111111"/>
          <w:sz w:val="28"/>
          <w:szCs w:val="28"/>
          <w:rtl w:val="true"/>
          <w:lang w:bidi="fa-IR"/>
        </w:rPr>
        <w:t>.</w:t>
      </w:r>
    </w:p>
    <w:p>
      <w:pPr>
        <w:pStyle w:val="Heading5"/>
        <w:numPr>
          <w:ilvl w:val="4"/>
          <w:numId w:val="1"/>
        </w:numPr>
        <w:rPr/>
      </w:pPr>
      <w:bookmarkStart w:id="128" w:name="__RefHeading___Toc8088870_2142443653"/>
      <w:bookmarkStart w:id="129" w:name="_Toc49"/>
      <w:bookmarkEnd w:id="128"/>
      <w:r>
        <w:rPr/>
        <w:t>1</w:t>
      </w:r>
      <w:r>
        <w:rPr>
          <w:rtl w:val="true"/>
        </w:rPr>
        <w:t>‏-‏</w:t>
      </w:r>
      <w:r>
        <w:rPr/>
        <w:t>4</w:t>
      </w:r>
      <w:r>
        <w:rPr>
          <w:rtl w:val="true"/>
        </w:rPr>
        <w:t xml:space="preserve"> - </w:t>
      </w:r>
      <w:r>
        <w:rPr>
          <w:rtl w:val="true"/>
        </w:rPr>
        <w:t>اقسام شرك نظرى</w:t>
      </w:r>
      <w:bookmarkEnd w:id="129"/>
    </w:p>
    <w:p>
      <w:pPr>
        <w:pStyle w:val="Heading6"/>
        <w:numPr>
          <w:ilvl w:val="5"/>
          <w:numId w:val="1"/>
        </w:numPr>
        <w:rPr/>
      </w:pPr>
      <w:bookmarkStart w:id="130" w:name="__RefHeading___Toc8088872_2142443653"/>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شرك نظرى، خود به گونه هاى مختلفى تقسيم مى شود</w:t>
      </w:r>
      <w:r>
        <w:rPr>
          <w:rFonts w:eastAsia="IRNazanin" w:cs="IRNazanin"/>
          <w:color w:val="111111"/>
          <w:sz w:val="28"/>
          <w:szCs w:val="28"/>
          <w:rtl w:val="true"/>
          <w:lang w:bidi="fa-IR"/>
        </w:rPr>
        <w:t>:</w:t>
      </w:r>
    </w:p>
    <w:p>
      <w:pPr>
        <w:pStyle w:val="Heading6"/>
        <w:numPr>
          <w:ilvl w:val="5"/>
          <w:numId w:val="1"/>
        </w:numPr>
        <w:rPr/>
      </w:pPr>
      <w:bookmarkStart w:id="132" w:name="__RefHeading___Toc8088874_2142443653"/>
      <w:bookmarkStart w:id="133" w:name="_Toc51"/>
      <w:bookmarkEnd w:id="132"/>
      <w:r>
        <w:rPr/>
        <w:t>1</w:t>
      </w:r>
      <w:r>
        <w:rPr>
          <w:rtl w:val="true"/>
        </w:rPr>
        <w:t>‏-‏</w:t>
      </w:r>
      <w:r>
        <w:rPr/>
        <w:t>1</w:t>
      </w:r>
      <w:r>
        <w:rPr>
          <w:rtl w:val="true"/>
        </w:rPr>
        <w:t>‏-‏</w:t>
      </w:r>
      <w:r>
        <w:rPr/>
        <w:t>4</w:t>
      </w:r>
      <w:r>
        <w:rPr>
          <w:rtl w:val="true"/>
        </w:rPr>
        <w:t xml:space="preserve"> - </w:t>
      </w:r>
      <w:r>
        <w:rPr>
          <w:rtl w:val="true"/>
        </w:rPr>
        <w:t>شرك در ذات</w:t>
      </w:r>
      <w:bookmarkEnd w:id="133"/>
    </w:p>
    <w:p>
      <w:pPr>
        <w:pStyle w:val="BookText"/>
        <w:rPr/>
      </w:pPr>
      <w:r>
        <w:rPr>
          <w:rFonts w:ascii="IRNazanin" w:hAnsi="IRNazanin" w:eastAsia="IRNazanin"/>
          <w:color w:val="111111"/>
          <w:sz w:val="28"/>
          <w:sz w:val="28"/>
          <w:szCs w:val="28"/>
          <w:rtl w:val="true"/>
          <w:lang w:bidi="fa-IR"/>
        </w:rPr>
        <w:t>شرك در ذات، در دو معنى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انسان ذات خداوند را مركب بداند و قائل به اعضا و جوارح براى خداوند باشد؛ چنان كه در انديشه ى وهابيت ديده مى شود؛</w:t>
      </w:r>
      <w:r>
        <w:rPr>
          <w:rStyle w:val="FootnoteAnchor"/>
          <w:rtl w:val="true"/>
        </w:rPr>
        <w:footnoteReference w:id="84"/>
      </w:r>
      <w:r>
        <w:rPr>
          <w:rFonts w:ascii="IRNazanin" w:hAnsi="IRNazanin" w:eastAsia="IRNazanin"/>
          <w:color w:val="111111"/>
          <w:sz w:val="28"/>
          <w:sz w:val="28"/>
          <w:szCs w:val="28"/>
          <w:rtl w:val="true"/>
          <w:lang w:bidi="fa-IR"/>
        </w:rPr>
        <w:t>دوم آن كه در عرض خداوند، به صورت مستقل به خدايان ديگرى اعتقاد داشته باشد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چنين وضعيتى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اديان گذشته، انواع مختلفى از تثليث و ثنويت نقل شده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خداوند درباره ى مسيحيان كه به اقنوم سه گانه ى پدر، پسر و روح القدس معتقد بودند، مى فرمايد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 وَ مٰا مِنْ إِلٰهٍ إِلاّٰ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134" w:name="pg15502_176886"/>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هم كه گفتند خدا يكى از سه اُقنوم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قطعاً كافر شده اند؛ و جز خداى يگانه خدايى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ثنويت نيز در ميان اقوام مختلف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مسلك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چينى، و نيز نظريه هاى هراكليتوس و امپدوكلس، دو فيلسوف يونانى پيش از سقراط، از اين گونه باورها و نظريه ها هستند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هرچند واژه ى ثنويت در قرآن به صورت مستقيم به كار نرفته است، بسيارى از آيات به چنين شركى اشاره دارند؛ براى نمونه، مفسران در تفسير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لِلّٰهِ شُرَكٰاءَ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مخاطب آيه را مجوس و ثنويانى دانسته اند كه به دو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يزدان و اهريمن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برخى مفسران، مقصود از جن در اين آيه،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باور ثنويان، خالق شُرور و موجودات آسيب رسان و شرّند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هم چنين مخاطب اصلى آياتى كه خداوند در آن ها از برهان تمانع استفاده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خدا بود، زمين و آسمان فاسد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ثنويان هستند</w:t>
      </w:r>
      <w:r>
        <w:rPr>
          <w:rFonts w:eastAsia="IRNazanin" w:cs="IRNazanin"/>
          <w:color w:val="111111"/>
          <w:sz w:val="28"/>
          <w:szCs w:val="28"/>
          <w:rtl w:val="true"/>
          <w:lang w:bidi="fa-IR"/>
        </w:rPr>
        <w:t>.</w:t>
      </w:r>
      <w:r>
        <w:rPr>
          <w:rStyle w:val="FootnoteAnchor"/>
          <w:rtl w:val="true"/>
        </w:rPr>
        <w:footnoteReference w:id="92"/>
      </w:r>
    </w:p>
    <w:p>
      <w:pPr>
        <w:pStyle w:val="Heading6"/>
        <w:numPr>
          <w:ilvl w:val="5"/>
          <w:numId w:val="1"/>
        </w:numPr>
        <w:rPr/>
      </w:pPr>
      <w:bookmarkStart w:id="135" w:name="__RefHeading___Toc8088876_2142443653"/>
      <w:bookmarkStart w:id="136" w:name="_Toc52"/>
      <w:bookmarkEnd w:id="135"/>
      <w:r>
        <w:rPr/>
        <w:t>2</w:t>
      </w:r>
      <w:r>
        <w:rPr>
          <w:rtl w:val="true"/>
        </w:rPr>
        <w:t>‏-‏</w:t>
      </w:r>
      <w:r>
        <w:rPr/>
        <w:t>1</w:t>
      </w:r>
      <w:r>
        <w:rPr>
          <w:rtl w:val="true"/>
        </w:rPr>
        <w:t>‏-‏</w:t>
      </w:r>
      <w:r>
        <w:rPr/>
        <w:t>4</w:t>
      </w:r>
      <w:r>
        <w:rPr>
          <w:rtl w:val="true"/>
        </w:rPr>
        <w:t xml:space="preserve"> - </w:t>
      </w:r>
      <w:r>
        <w:rPr>
          <w:rtl w:val="true"/>
        </w:rPr>
        <w:t>شرك در صفات</w:t>
      </w:r>
      <w:bookmarkEnd w:id="13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در صفات نيز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فرد به وجود صفاتى زايد بر ذات اعتقاد داشته باشد؛ به گونه اى كه موجب اعتقاد به وجود دو شىء قديم در عرض هم، يا</w:t>
      </w:r>
      <w:bookmarkStart w:id="137" w:name="pg15502_176888"/>
    </w:p>
    <w:p>
      <w:pPr>
        <w:pStyle w:val="BookText"/>
        <w:rPr/>
      </w:pPr>
      <w:bookmarkEnd w:id="137"/>
      <w:r>
        <w:rPr>
          <w:rFonts w:ascii="IRNazanin" w:hAnsi="IRNazanin" w:eastAsia="IRNazanin"/>
          <w:color w:val="111111"/>
          <w:sz w:val="28"/>
          <w:sz w:val="28"/>
          <w:szCs w:val="28"/>
          <w:rtl w:val="true"/>
          <w:lang w:bidi="fa-IR"/>
        </w:rPr>
        <w:t>عارض شدن صفت بر خداوند مى شود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ازسوى ديگر، يكى از لغزشگاه ها در حوزه ى صفات، صفات خبرى است</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برخى مانند جهميه، رسماً منكر صفات الهى شده اند و برخى همانند مقاتليه و وهابيت، به ورطه ى تجسيم و تشبيه افتاده اند، كه هر دو شرك است</w:t>
      </w:r>
      <w:r>
        <w:rPr>
          <w:rFonts w:eastAsia="Amiri" w:cs="Amiri" w:ascii="Amiri" w:hAnsi="Amiri"/>
          <w:color w:val="111111"/>
          <w:sz w:val="28"/>
          <w:szCs w:val="28"/>
          <w:rtl w:val="true"/>
          <w:lang w:bidi="ar-SA"/>
        </w:rPr>
        <w:t>.</w:t>
      </w:r>
      <w:r>
        <w:rPr>
          <w:rStyle w:val="FootnoteAnchor"/>
          <w:rtl w:val="true"/>
        </w:rPr>
        <w:footnoteReference w:id="95"/>
      </w:r>
    </w:p>
    <w:p>
      <w:pPr>
        <w:pStyle w:val="Heading6"/>
        <w:numPr>
          <w:ilvl w:val="5"/>
          <w:numId w:val="1"/>
        </w:numPr>
        <w:rPr/>
      </w:pPr>
      <w:bookmarkStart w:id="138" w:name="__RefHeading___Toc8088878_2142443653"/>
      <w:bookmarkStart w:id="139" w:name="_Toc53"/>
      <w:bookmarkEnd w:id="138"/>
      <w:r>
        <w:rPr/>
        <w:t>3</w:t>
      </w:r>
      <w:r>
        <w:rPr>
          <w:rtl w:val="true"/>
        </w:rPr>
        <w:t>‏-‏</w:t>
      </w:r>
      <w:r>
        <w:rPr/>
        <w:t>1</w:t>
      </w:r>
      <w:r>
        <w:rPr>
          <w:rtl w:val="true"/>
        </w:rPr>
        <w:t>‏-‏</w:t>
      </w:r>
      <w:r>
        <w:rPr/>
        <w:t>4</w:t>
      </w:r>
      <w:r>
        <w:rPr>
          <w:rtl w:val="true"/>
        </w:rPr>
        <w:t xml:space="preserve"> - </w:t>
      </w:r>
      <w:r>
        <w:rPr>
          <w:rtl w:val="true"/>
        </w:rPr>
        <w:t>شرك افعالى</w:t>
      </w:r>
      <w:bookmarkEnd w:id="13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افعالى، به شرك در خالقيت، رازقيت، تدبير، قانون گذارى و حاكميت تقسيم مى شود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حوزه ى شرك نظرى، بيش ترين مصاديق شرك، در شرك افعالى نمود مى يابد؛ چنان كه مشركان معمولاً در حوزه ى توحيد افعالى با چالش جدى روبه رو بودند و بت ها و ستارگان را در كنار خداوند، خالق، رازق و مدبر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مناظره هاى پيامبران كه در قرآن آمده است، براى هدايت مردم به توحيد افعالى و بازداشتن آنان از شرك افعالى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ريشه ى شرك در عمل بت پرستان نيز در اين بود كه آنان براى بت ها قدرتى فرابشرى قائل بودند</w:t>
      </w:r>
      <w:r>
        <w:rPr>
          <w:rFonts w:eastAsia="IRNazanin" w:cs="IRNazanin"/>
          <w:color w:val="111111"/>
          <w:sz w:val="28"/>
          <w:szCs w:val="28"/>
          <w:rtl w:val="true"/>
          <w:lang w:bidi="fa-IR"/>
        </w:rPr>
        <w:t>.</w:t>
      </w:r>
      <w:bookmarkStart w:id="140" w:name="pg15502_176890"/>
    </w:p>
    <w:p>
      <w:pPr>
        <w:pStyle w:val="Heading5"/>
        <w:numPr>
          <w:ilvl w:val="4"/>
          <w:numId w:val="1"/>
        </w:numPr>
        <w:rPr/>
      </w:pPr>
      <w:bookmarkStart w:id="141" w:name="__RefHeading___Toc8088880_2142443653"/>
      <w:bookmarkStart w:id="142" w:name="_Toc54"/>
      <w:bookmarkEnd w:id="140"/>
      <w:bookmarkEnd w:id="141"/>
      <w:r>
        <w:rPr/>
        <w:t>2</w:t>
      </w:r>
      <w:r>
        <w:rPr>
          <w:rtl w:val="true"/>
        </w:rPr>
        <w:t>‏-‏</w:t>
      </w:r>
      <w:r>
        <w:rPr/>
        <w:t>4</w:t>
      </w:r>
      <w:r>
        <w:rPr>
          <w:rtl w:val="true"/>
        </w:rPr>
        <w:t xml:space="preserve"> - </w:t>
      </w:r>
      <w:r>
        <w:rPr>
          <w:rtl w:val="true"/>
        </w:rPr>
        <w:t>اقسام شرك عملى</w:t>
      </w:r>
      <w:bookmarkEnd w:id="142"/>
    </w:p>
    <w:p>
      <w:pPr>
        <w:pStyle w:val="Heading6"/>
        <w:numPr>
          <w:ilvl w:val="5"/>
          <w:numId w:val="1"/>
        </w:numPr>
        <w:rPr/>
      </w:pPr>
      <w:bookmarkStart w:id="143" w:name="__RefHeading___Toc8088882_2142443653"/>
      <w:bookmarkStart w:id="144" w:name="_Toc55"/>
      <w:bookmarkEnd w:id="143"/>
      <w:r>
        <w:rPr>
          <w:rtl w:val="true"/>
        </w:rPr>
        <w:t>اشاره</w:t>
      </w:r>
      <w:bookmarkEnd w:id="1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اقسام شرك عملى</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شرك عملى، دربرابر توحيدعملى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نام اين نوع شرك مشخص است، شرك عملى در حوزه ى عمل واجرا بروز وظهور دارد؛ بدين معنى كه انسان، شىء، فرد يا موجود ديگرى جز خدا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اطاعت از غير خدا و يارى جستن از غير او نيز در رديف شرك عملى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توحيد عملى كه امرى بسيط است، شرك در حوزه ى عمل داراى دو 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جلى</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خفى</w:t>
      </w:r>
      <w:r>
        <w:rPr>
          <w:rFonts w:eastAsia="Amiri" w:cs="Amiri" w:ascii="Amiri" w:hAnsi="Amiri"/>
          <w:color w:val="111111"/>
          <w:sz w:val="28"/>
          <w:szCs w:val="28"/>
          <w:rtl w:val="true"/>
          <w:lang w:bidi="ar-SA"/>
        </w:rPr>
        <w:t>».</w:t>
      </w:r>
      <w:r>
        <w:rPr>
          <w:rStyle w:val="FootnoteAnchor"/>
          <w:rtl w:val="true"/>
        </w:rPr>
        <w:footnoteReference w:id="100"/>
      </w:r>
    </w:p>
    <w:p>
      <w:pPr>
        <w:pStyle w:val="Heading6"/>
        <w:numPr>
          <w:ilvl w:val="5"/>
          <w:numId w:val="1"/>
        </w:numPr>
        <w:rPr/>
      </w:pPr>
      <w:bookmarkStart w:id="145" w:name="__RefHeading___Toc8088884_2142443653"/>
      <w:bookmarkStart w:id="146" w:name="_Toc56"/>
      <w:bookmarkEnd w:id="145"/>
      <w:r>
        <w:rPr/>
        <w:t>1</w:t>
      </w:r>
      <w:r>
        <w:rPr>
          <w:rtl w:val="true"/>
        </w:rPr>
        <w:t>‏-‏</w:t>
      </w:r>
      <w:r>
        <w:rPr/>
        <w:t>2</w:t>
      </w:r>
      <w:r>
        <w:rPr>
          <w:rtl w:val="true"/>
        </w:rPr>
        <w:t>‏-‏</w:t>
      </w:r>
      <w:r>
        <w:rPr/>
        <w:t>4</w:t>
      </w:r>
      <w:r>
        <w:rPr>
          <w:rtl w:val="true"/>
        </w:rPr>
        <w:t xml:space="preserve"> - </w:t>
      </w:r>
      <w:r>
        <w:rPr>
          <w:rtl w:val="true"/>
        </w:rPr>
        <w:t>شرك جلى</w:t>
      </w:r>
      <w:bookmarkEnd w:id="146"/>
    </w:p>
    <w:p>
      <w:pPr>
        <w:pStyle w:val="BookText"/>
        <w:rPr/>
      </w:pPr>
      <w:r>
        <w:rPr>
          <w:rFonts w:ascii="IRNazanin" w:hAnsi="IRNazanin" w:eastAsia="IRNazanin"/>
          <w:color w:val="111111"/>
          <w:sz w:val="28"/>
          <w:sz w:val="28"/>
          <w:szCs w:val="28"/>
          <w:rtl w:val="true"/>
          <w:lang w:bidi="fa-IR"/>
        </w:rPr>
        <w:t>شرك جلى، شرك در عبادت و طاعت است؛ به گونه اى كه فرد رسماً در كنار خداوند، شىء يا موجود ديگرى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مختص خداست و هيچ موجودى نبايد در عرصه ى عبادت، در كنار خداوند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بت پرستان گرفتار شرك جلى بودند و رسماً به جاى خداوند و يا در كنار او، اشيا يا افراد ديگرى را مى پرستيدند</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شرك جلى موجب خروج فرد از دين مى شود و محل بحث درباره ى آن، حوزه ى عقايد و علم كلام است</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8088886_2142443653"/>
      <w:bookmarkStart w:id="148" w:name="_Toc57"/>
      <w:bookmarkEnd w:id="147"/>
      <w:r>
        <w:rPr/>
        <w:t>2</w:t>
      </w:r>
      <w:r>
        <w:rPr>
          <w:rtl w:val="true"/>
        </w:rPr>
        <w:t>‏-‏</w:t>
      </w:r>
      <w:r>
        <w:rPr/>
        <w:t>2</w:t>
      </w:r>
      <w:r>
        <w:rPr>
          <w:rtl w:val="true"/>
        </w:rPr>
        <w:t>‏-‏</w:t>
      </w:r>
      <w:r>
        <w:rPr/>
        <w:t>4</w:t>
      </w:r>
      <w:r>
        <w:rPr>
          <w:rtl w:val="true"/>
        </w:rPr>
        <w:t xml:space="preserve"> - </w:t>
      </w:r>
      <w:r>
        <w:rPr>
          <w:rtl w:val="true"/>
        </w:rPr>
        <w:t>شرك خفى</w:t>
      </w:r>
      <w:bookmarkEnd w:id="14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خفى بيش تر در حوزه ى اخلاق بررسى مى شود و موجب خروج از دين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جاكه هرگونه اطاعت، استعانت و عبادت مخصوص خداست، گاه اتفاق</w:t>
      </w:r>
    </w:p>
    <w:p>
      <w:pPr>
        <w:pStyle w:val="BookText"/>
        <w:rPr/>
      </w:pPr>
      <w:r>
        <w:rPr>
          <w:rFonts w:ascii="IRNazanin" w:hAnsi="IRNazanin" w:eastAsia="IRNazanin"/>
          <w:color w:val="111111"/>
          <w:sz w:val="28"/>
          <w:sz w:val="28"/>
          <w:szCs w:val="28"/>
          <w:rtl w:val="true"/>
          <w:lang w:bidi="fa-IR"/>
        </w:rPr>
        <w:t>مى افتد كه انسان باوجود عبادت خدا، به سبب غفلت، چشم يارى به غير خدا دارد و يا در عبادت خود، گرفتار ريا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در روايات، به شرك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گونه كه گفته شد، اين نوع از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خفى و مراتب آن، ارتباط مستقيمى با درجه ى ايمان دارد؛ هرچه ايمان ضعيف تر باشد، زمينه ى فرورفتن در شرك بيش تر مى شود؛ ازسوى ديگر، پرهيز از شرك خفى نيازمند دقت و هوشيارى در برابر وسوسه 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شرك در ميان امت من، از راه رفتن مورچه ى سياه بر روى سنگى صاف در شبى ظلمانى، مخفى تر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اين حديث نشانگر مرز باريك ميان شرك و توحيد است و اگر انسان اعمال و رفتار خود را به دقت كنترل نكند، گرفتار شرك خفى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جاى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خطرناك ترين چيزى كه از آن بر شما مى ترسم، شرك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شرك اصغر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رياكارى؛ روز قيامت هنگامى كه مردم با اعمال خود در پيشگاه خدا حاضر مى شوند، پروردگار به آن ها كه در دنيا ريا كردند،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كسانى كه به خاطر آن ها ريا كرديد برويد، ببينيد پاداشى نزد آن ها مى يابيد؟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پژوهش، مراد از شرك، شرك جلى است و در اين زمينه بحث مى شود كه مرزهاى آن كجاست و به چه كسى مى توان مشرك گفت؛ به گونه اى كه خون و مال او مباح شود</w:t>
      </w:r>
      <w:r>
        <w:rPr>
          <w:rFonts w:eastAsia="IRNazanin" w:cs="IRNazanin"/>
          <w:color w:val="111111"/>
          <w:sz w:val="28"/>
          <w:szCs w:val="28"/>
          <w:rtl w:val="true"/>
          <w:lang w:bidi="fa-IR"/>
        </w:rPr>
        <w:t>.</w:t>
      </w:r>
      <w:bookmarkStart w:id="149" w:name="pg15502_176894"/>
    </w:p>
    <w:p>
      <w:pPr>
        <w:pStyle w:val="Heading4"/>
        <w:numPr>
          <w:ilvl w:val="3"/>
          <w:numId w:val="1"/>
        </w:numPr>
        <w:rPr/>
      </w:pPr>
      <w:bookmarkStart w:id="150" w:name="__RefHeading___Toc8088888_2142443653"/>
      <w:bookmarkStart w:id="151" w:name="_Toc58"/>
      <w:bookmarkEnd w:id="149"/>
      <w:bookmarkEnd w:id="150"/>
      <w:r>
        <w:rPr/>
        <w:t>5</w:t>
      </w:r>
      <w:r>
        <w:rPr>
          <w:rtl w:val="true"/>
        </w:rPr>
        <w:t xml:space="preserve"> - </w:t>
      </w:r>
      <w:r>
        <w:rPr>
          <w:rtl w:val="true"/>
        </w:rPr>
        <w:t>علل گرايش به شرك</w:t>
      </w:r>
      <w:bookmarkEnd w:id="151"/>
    </w:p>
    <w:p>
      <w:pPr>
        <w:pStyle w:val="Heading5"/>
        <w:numPr>
          <w:ilvl w:val="4"/>
          <w:numId w:val="1"/>
        </w:numPr>
        <w:rPr/>
      </w:pPr>
      <w:bookmarkStart w:id="152" w:name="__RefHeading___Toc8088890_2142443653"/>
      <w:bookmarkStart w:id="153" w:name="_Toc59"/>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همان گونه كه در فصل گذشته گفته شد، توحيد امرى است فطرى و در وجود انسان به وديعت گذاشته شده است؛ و شرك امرى عاريتى است كه بر قلب انسان عارض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كه در اين صورت، چه عواملى سبب خاموشى فروغ فطرت شده و انسان را در غرقاب شرك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روى آورى انسان به شرك، عوامل و علل مختلفى را ذكر كرده است كه همه ى آن ها از نظر اهميت در يك سطح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عوامل نقش بيش ترى در گرايش به شرك دارند؛ درحالى كه برخى ديگر از نظر اهميت در رتبه ى پايين ترى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برخى از عوامل گرايش به شرك از نگاه قرآن عبارتند از</w:t>
      </w:r>
      <w:r>
        <w:rPr>
          <w:rFonts w:eastAsia="IRNazanin" w:cs="IRNazanin"/>
          <w:color w:val="111111"/>
          <w:sz w:val="28"/>
          <w:szCs w:val="28"/>
          <w:rtl w:val="true"/>
          <w:lang w:bidi="fa-IR"/>
        </w:rPr>
        <w:t>:</w:t>
      </w:r>
    </w:p>
    <w:p>
      <w:pPr>
        <w:pStyle w:val="Heading5"/>
        <w:numPr>
          <w:ilvl w:val="4"/>
          <w:numId w:val="1"/>
        </w:numPr>
        <w:rPr/>
      </w:pPr>
      <w:bookmarkStart w:id="154" w:name="__RefHeading___Toc8088892_2142443653"/>
      <w:bookmarkStart w:id="155" w:name="_Toc60"/>
      <w:bookmarkEnd w:id="154"/>
      <w:r>
        <w:rPr/>
        <w:t>1</w:t>
      </w:r>
      <w:r>
        <w:rPr>
          <w:rtl w:val="true"/>
        </w:rPr>
        <w:t>‏-‏</w:t>
      </w:r>
      <w:r>
        <w:rPr/>
        <w:t>5</w:t>
      </w:r>
      <w:r>
        <w:rPr>
          <w:rtl w:val="true"/>
        </w:rPr>
        <w:t xml:space="preserve"> - </w:t>
      </w:r>
      <w:r>
        <w:rPr>
          <w:rtl w:val="true"/>
        </w:rPr>
        <w:t>جهل و نادانى</w:t>
      </w:r>
      <w:bookmarkEnd w:id="155"/>
    </w:p>
    <w:p>
      <w:pPr>
        <w:pStyle w:val="BookText"/>
        <w:rPr/>
      </w:pPr>
      <w:r>
        <w:rPr>
          <w:rFonts w:ascii="IRNazanin" w:hAnsi="IRNazanin" w:eastAsia="IRNazanin"/>
          <w:color w:val="111111"/>
          <w:sz w:val="28"/>
          <w:sz w:val="28"/>
          <w:szCs w:val="28"/>
          <w:rtl w:val="true"/>
          <w:lang w:bidi="fa-IR"/>
        </w:rPr>
        <w:t>با توجه به آيات قرآن، شايد مهم ترين عامل شرك، عدم شناخت و آگاهى به ذات، اوصاف و ويژگى هاى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جايگاه و عظمت خداوند تحليلى دقيق نداشته باشد و در جهان بينى و هستى شناسى خود، بر اثر جهل به بى راهه رود، زمينه هاى گرايش به شرك، در وجود وى تقويت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ى زمر، پس از آن كه به قدرت و عظمت خود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فَغَيْرَ اَللّٰهِ تَأْمُرُونِّي أَعْبُدُ أَيُّهَا اَلْجٰاهِلُونَ‌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بى 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باوجود اين كه پرستش تنها شايسته ى اوست، از من مى خواهيد غير خدا را بپرستم‌؟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درسوره ى بقره، جهل ونادانى، علت انحراف از راه راست معرفى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لَيْسَتِ اَلنَّصٰارىٰ عَلىٰ شَيْ‌ءٍ وَ قٰالَتِ اَلنَّصٰارىٰ لَيْسَتِ اَلْيَهُودُ عَلىٰ شَيْ‌ءٍ وَ هُمْ يَتْلُونَ اَلْكِتٰابَ كَذٰلِكَ قٰالَ اَلَّذِينَ لاٰ يَعْلَمُونَ مِثْلَ قَوْلِهِمْ فَاللّٰهُ يَحْكُمُ بَيْنَهُمْ يَوْمَ اَلْقِيٰامَةِ فِيمٰا كٰانُوا فِيهِ يَخْتَلِفُونَ‌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بر چيزى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شان بى پايه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مسيحيان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بر چيزى نيستند؛ اين در حالى است كه هر دو گروه كتاب آسمانى خود را مى خوانند و مى دانند كه به حكم كتابشان اين داورى،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هم كه دانشى ندارند، مانند سخن اهل كتاب را بر زبان مى آورند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و مسيحيان بر چيزى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روز قيامت ميان آنان درباره ى آن چه بر سرش اختلاف كرده اند، داورى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ى مائده، خداوند از زبان مشركان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نپذيرفتن دين، پى روى از نياكانشان را بهانه كردند؛ درحالى كه نياكان آنان هيچ چيزى نمى دانستند</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در سوره ى مائده نيز قراردادن فرزند براى خدا و افتادن در دام شرك، به نادانى و جهل آنان نسبت داده شده است</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هم چنين در سوره ى انعام</w:t>
      </w:r>
      <w:r>
        <w:rPr>
          <w:rStyle w:val="FootnoteAnchor"/>
          <w:rtl w:val="true"/>
        </w:rPr>
        <w:footnoteReference w:id="106"/>
      </w:r>
      <w:r>
        <w:rPr>
          <w:rFonts w:ascii="IRNazanin" w:hAnsi="IRNazanin" w:eastAsia="IRNazanin"/>
          <w:color w:val="111111"/>
          <w:sz w:val="28"/>
          <w:sz w:val="28"/>
          <w:szCs w:val="28"/>
          <w:rtl w:val="true"/>
          <w:lang w:bidi="fa-IR"/>
        </w:rPr>
        <w:t>و آيات ديگر، ناآگاهى از عظمت خداوند و نقش او در تدبير هستى، عامل اصلى در شرك جلى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آيه 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صافات، جهل و ناآگاهى درباره ى تدبير خداوند را مايه ى شرك ورزى آدمى دانسته و با اشاره به ربوبيت خداوند در همه ى امور جهانيان، از كوچك و بزرگ و ريز و درشت، به آدمى مى فهماند خداوند است كه پروردگارى جهانيان را برعهده دارد و ديگران نقشى در ربوبيت ندارند و اگر براى چيزى نقشى است، در طول ربوبيت و به اذن اوست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كنار جهل و نادانى، عواملى مانند صاعقه، طوفان، زلزله، خسوف و كسوف، موجب تحريك احساسات و عواطف انسان شوند، زمينه هاى گرايش به شرك، در زندگى انسان، قوت مى يابد</w:t>
      </w:r>
      <w:r>
        <w:rPr>
          <w:rFonts w:eastAsia="IRNazanin" w:cs="IRNazanin"/>
          <w:color w:val="111111"/>
          <w:sz w:val="28"/>
          <w:szCs w:val="28"/>
          <w:rtl w:val="true"/>
          <w:lang w:bidi="fa-IR"/>
        </w:rPr>
        <w:t>.</w:t>
      </w:r>
      <w:bookmarkStart w:id="156" w:name="pg15502_176898"/>
    </w:p>
    <w:p>
      <w:pPr>
        <w:pStyle w:val="Heading5"/>
        <w:numPr>
          <w:ilvl w:val="4"/>
          <w:numId w:val="1"/>
        </w:numPr>
        <w:rPr/>
      </w:pPr>
      <w:bookmarkStart w:id="157" w:name="__RefHeading___Toc8088894_2142443653"/>
      <w:bookmarkStart w:id="158" w:name="_Toc61"/>
      <w:bookmarkEnd w:id="156"/>
      <w:bookmarkEnd w:id="157"/>
      <w:r>
        <w:rPr/>
        <w:t>2</w:t>
      </w:r>
      <w:r>
        <w:rPr>
          <w:rtl w:val="true"/>
        </w:rPr>
        <w:t>‏-‏</w:t>
      </w:r>
      <w:r>
        <w:rPr/>
        <w:t>5</w:t>
      </w:r>
      <w:r>
        <w:rPr>
          <w:rtl w:val="true"/>
        </w:rPr>
        <w:t xml:space="preserve"> - </w:t>
      </w:r>
      <w:r>
        <w:rPr>
          <w:rtl w:val="true"/>
        </w:rPr>
        <w:t>پى روى از شك و ترديد</w:t>
      </w:r>
      <w:bookmarkEnd w:id="158"/>
    </w:p>
    <w:p>
      <w:pPr>
        <w:pStyle w:val="BookText"/>
        <w:rPr/>
      </w:pPr>
      <w:r>
        <w:rPr>
          <w:rFonts w:ascii="IRNazanin" w:hAnsi="IRNazanin" w:eastAsia="IRNazanin"/>
          <w:color w:val="111111"/>
          <w:sz w:val="28"/>
          <w:sz w:val="28"/>
          <w:szCs w:val="28"/>
          <w:rtl w:val="true"/>
          <w:lang w:bidi="fa-IR"/>
        </w:rPr>
        <w:t>با عنايت به آيات قرآن، يكى از دامگاه هاى ديگر شرك، مسأله ى شك و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بسيارى از آيات، جهل و نادانى عامل شرك شمرده شده است، آيات فراوانى، فروغلتيدن در مرداب شك و ترديد و پى روى از آن را يكى ديگر از عوامل شرك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ى هود، شك و ترديد در گفته هاى پيامبران را عامل گرايش به شرك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صٰالِحُ قَدْ كُنْتَ فِينٰا مَرْجُوًّا قَبْلَ هٰذٰا أَ تَنْهٰانٰا أَنْ نَعْبُدَ مٰا يَعْبُدُ آبٰاؤُنٰا وَ إِنَّنٰا لَفِي شَكٍّ مِمّٰا تَدْعُونٰا إِلَيْهِ مُرِيبٍ‌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كه ما را به توحيد فراخوانى، در ميان ما مايه ى اميد بودى و دل بسته بوديم كه ما را به راه ترقى درآورى؛ ولى اينك نوميد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از پرستش آن چه پدرانمان مى پرستند، بازمى دارى‌؟ ما در آن چه تو ما را بدان فرا مى خوانى، ترديد داريم و دعوت تو مايه ى بدگمانى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قيامت، مشركان را خطاب قرار مى دهد كه كجايند شريكانى كه شما مى پنداشتيد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به فرموده ى خداوند، مشركان در معارف دينى و شرك به خداوند، جز از ظن و گمان پى روى نمى كنند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 چنين خداوند در سوره ى يونس، خطاب به مشركان مى فرمايد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ازآن جاكه همواره از ظن و پندار پى روى مى كنيد، گرفتار شرك شده ايد</w:t>
      </w:r>
      <w:r>
        <w:rPr>
          <w:rFonts w:eastAsia="IRNazanin" w:cs="IRNazanin"/>
          <w:color w:val="111111"/>
          <w:sz w:val="28"/>
          <w:szCs w:val="28"/>
          <w:rtl w:val="true"/>
          <w:lang w:bidi="fa-IR"/>
        </w:rPr>
        <w:t>».</w:t>
      </w:r>
      <w:r>
        <w:rPr>
          <w:rStyle w:val="FootnoteAnchor"/>
          <w:rtl w:val="true"/>
        </w:rPr>
        <w:footnoteReference w:id="109"/>
      </w:r>
      <w:bookmarkStart w:id="159" w:name="pg15502_176900"/>
    </w:p>
    <w:p>
      <w:pPr>
        <w:pStyle w:val="Heading5"/>
        <w:numPr>
          <w:ilvl w:val="4"/>
          <w:numId w:val="1"/>
        </w:numPr>
        <w:rPr/>
      </w:pPr>
      <w:bookmarkStart w:id="160" w:name="__RefHeading___Toc8088896_2142443653"/>
      <w:bookmarkStart w:id="161" w:name="_Toc62"/>
      <w:bookmarkEnd w:id="159"/>
      <w:bookmarkEnd w:id="160"/>
      <w:r>
        <w:rPr/>
        <w:t>3</w:t>
      </w:r>
      <w:r>
        <w:rPr>
          <w:rtl w:val="true"/>
        </w:rPr>
        <w:t>‏-‏</w:t>
      </w:r>
      <w:r>
        <w:rPr/>
        <w:t>5</w:t>
      </w:r>
      <w:r>
        <w:rPr>
          <w:rtl w:val="true"/>
        </w:rPr>
        <w:t xml:space="preserve"> - </w:t>
      </w:r>
      <w:r>
        <w:rPr>
          <w:rtl w:val="true"/>
        </w:rPr>
        <w:t>حس گرايى</w:t>
      </w:r>
      <w:bookmarkEnd w:id="161"/>
    </w:p>
    <w:p>
      <w:pPr>
        <w:pStyle w:val="BookText"/>
        <w:rPr/>
      </w:pPr>
      <w:r>
        <w:rPr>
          <w:rFonts w:ascii="IRNazanin" w:hAnsi="IRNazanin" w:eastAsia="IRNazanin"/>
          <w:color w:val="111111"/>
          <w:sz w:val="28"/>
          <w:sz w:val="28"/>
          <w:szCs w:val="28"/>
          <w:rtl w:val="true"/>
          <w:lang w:bidi="fa-IR"/>
        </w:rPr>
        <w:t>حس در لغت به معنى درك كردن و فهميدن است كه از طريق قواى حسى پنج گانه حاصل مى شود</w:t>
      </w:r>
      <w:r>
        <w:rPr>
          <w:rStyle w:val="FootnoteAnchor"/>
          <w:rtl w:val="true"/>
        </w:rPr>
        <w:footnoteReference w:id="110"/>
      </w:r>
      <w:r>
        <w:rPr>
          <w:rFonts w:ascii="IRNazanin" w:hAnsi="IRNazanin" w:eastAsia="IRNazanin"/>
          <w:color w:val="111111"/>
          <w:sz w:val="28"/>
          <w:sz w:val="28"/>
          <w:szCs w:val="28"/>
          <w:rtl w:val="true"/>
          <w:lang w:bidi="fa-IR"/>
        </w:rPr>
        <w:t>و در اصطلاح مفسران، منحصر دانستن راه هاى درك و فهم در ماده و طبيعت را حس گرايى مى نامند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انسان به سبب ويژگى هاى مادى اش، به حس گرايى بسيار تمايل دارد و به همين دليل، قرآن در بسيارى از براهين خود، از همين ويژگى انسان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به نگرش در آسمان ها و زمين و موجودات اشاره دارد، بر همين ويژگى انسان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حس گرايى در وجود انسان چنان تقويت مى شود كه او را گرفتار تجسيم كرده و يا به پرستش موجودات مشاهده پذير و محسوس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به همين دليل، از منظر هستى شناسانه، يكى از عوامل مهم روى آورى انسان به شرك در حوزه ى نظر و عمل، حس گرايى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ديدگاه دهريون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ريشه در حس گرايى آنان دارد، اشاره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هِيَ إِلاّٰ حَيٰاتُنَا اَلدُّنْيٰا نَمُوتُ وَ نَحْيٰا وَ مٰا يُهْلِكُنٰا إِلاَّ اَلدَّهْرُ وَ مٰا لَهُمْ بِذٰلِكَ مِنْ عِلْمٍ إِنْ هُمْ إِلاّٰ يَظُنُّونَ‌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همين زندگى دنياى ما در كار نيست؛ گروهى از ما مى ميرند و گروهى جاى آن ها را مى گيرند؛ و جز طبيعت و روزگار، ما را هلاك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سخن كه مى گويند، علمى ندارند؛ بلكه تنها حدس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به فرموده ى قرآن، قوم بنى اسرائيل ايمان خود را به خداوند، مشروط به ديدن او با چشم سر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يٰا مُوسىٰ لَنْ نُؤْمِنَ لَكَ حَتّٰى نَرَى 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ايمان نخواهيم آورد، مگر اين كه خدا را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بنى اسرائيل از دريا مى گذشتند، به مردمى برخوردند كه بت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پس از ديدن آن ها به حضرت موسى عليه السلام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اِجْعَلْ لَنٰا إِلٰهاً كَمٰا لَهُمْ آلِهَةٌ قٰالَ إِنَّكُمْ قَوْمٌ تَجْهَلُونَ‌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نيز معبودى قرار ده؛ همان گونه كه براى آنان معبودانى قابل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شما مردمى هستيد كه نادانى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روحيه ى حس گرايى بنى اسرائيل سبب شد كه پس از رفتن حضرت موسى عليه السلام به كوه طور، سامرى با زيورآلات بنى اسرائيل، گوساله اى ساخت و يهوديان به عبادت آن پرداختند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لَهُمْ عِجْلاً جَسَداً لَهُ خُوٰارٌ فَقٰالُوا هٰذٰا إِلٰهُكُمْ وَ إِلٰهُ مُوسىٰ فَنَسِيَ‌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آنان تنديس گوساله اى را كه صداى گوساله داشت، پديد آورد؛ سپس او و 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معبود شما و معبود موسى عليه السلام است كه موسى عليه السلام آن را فراموش كرده و در كوه طور به جست وجوى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نيز به سبب حس گرايى، منكر آخرت و رسالت پيامبر خود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حَيٰاتُنَا اَلدُّنْيٰا نَمُوتُ وَ نَحْيٰا وَ مٰا نَحْنُ بِمَبْعُوثِينَ إِنْ هُوَ إِلاّٰ رَجُلٌ اِفْتَرىٰ عَلَى اَللّٰهِ كَذِباً وَ مٰا نَحْنُ لَهُ بِمُؤْمِنِينَ‌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غير از اين زندگى دنياى ما چيزى در كار نيست؛ پيوسته گروهى از ما مى ميريم و نسل ديگرى جاى ما را مى گيرد و ما هرگز برانگيخته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مردى دروغ گوست كه بر خدا افترا بسته است و ما هرگز به او ايمان نخواهيم آورد</w:t>
      </w:r>
      <w:r>
        <w:rPr>
          <w:rFonts w:eastAsia="IRNazanin" w:cs="IRNazanin"/>
          <w:color w:val="111111"/>
          <w:sz w:val="28"/>
          <w:szCs w:val="28"/>
          <w:rtl w:val="true"/>
          <w:lang w:bidi="fa-IR"/>
        </w:rPr>
        <w:t>!»</w:t>
      </w:r>
      <w:bookmarkStart w:id="162" w:name="pg15502_176904"/>
    </w:p>
    <w:p>
      <w:pPr>
        <w:pStyle w:val="Heading5"/>
        <w:numPr>
          <w:ilvl w:val="4"/>
          <w:numId w:val="1"/>
        </w:numPr>
        <w:rPr/>
      </w:pPr>
      <w:bookmarkStart w:id="163" w:name="__RefHeading___Toc8088898_2142443653"/>
      <w:bookmarkStart w:id="164" w:name="_Toc63"/>
      <w:bookmarkEnd w:id="162"/>
      <w:bookmarkEnd w:id="163"/>
      <w:r>
        <w:rPr/>
        <w:t>4</w:t>
      </w:r>
      <w:r>
        <w:rPr>
          <w:rtl w:val="true"/>
        </w:rPr>
        <w:t>‏-‏</w:t>
      </w:r>
      <w:r>
        <w:rPr/>
        <w:t>5</w:t>
      </w:r>
      <w:r>
        <w:rPr>
          <w:rtl w:val="true"/>
        </w:rPr>
        <w:t xml:space="preserve"> - </w:t>
      </w:r>
      <w:r>
        <w:rPr>
          <w:rtl w:val="true"/>
        </w:rPr>
        <w:t>عوامل ديگر</w:t>
      </w:r>
      <w:bookmarkEnd w:id="164"/>
    </w:p>
    <w:p>
      <w:pPr>
        <w:pStyle w:val="BookText"/>
        <w:rPr/>
      </w:pPr>
      <w:r>
        <w:rPr>
          <w:rFonts w:ascii="IRNazanin" w:hAnsi="IRNazanin" w:eastAsia="IRNazanin"/>
          <w:color w:val="111111"/>
          <w:sz w:val="28"/>
          <w:sz w:val="28"/>
          <w:szCs w:val="28"/>
          <w:rtl w:val="true"/>
          <w:lang w:bidi="fa-IR"/>
        </w:rPr>
        <w:t>قرآن در كنار عواملى كه ذكر شد، عوامل ديگرى را نيز به منزله ى زمينه هاى گرايش به شرك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 توان به محبت دنيا،</w:t>
      </w:r>
      <w:r>
        <w:rPr>
          <w:rStyle w:val="FootnoteAnchor"/>
          <w:rtl w:val="true"/>
        </w:rPr>
        <w:footnoteReference w:id="113"/>
      </w:r>
      <w:r>
        <w:rPr>
          <w:rFonts w:ascii="IRNazanin" w:hAnsi="IRNazanin" w:eastAsia="IRNazanin"/>
          <w:color w:val="111111"/>
          <w:sz w:val="28"/>
          <w:sz w:val="28"/>
          <w:szCs w:val="28"/>
          <w:rtl w:val="true"/>
          <w:lang w:bidi="fa-IR"/>
        </w:rPr>
        <w:t>هواپرستى،</w:t>
      </w:r>
      <w:r>
        <w:rPr>
          <w:rStyle w:val="FootnoteAnchor"/>
          <w:rtl w:val="true"/>
        </w:rPr>
        <w:footnoteReference w:id="114"/>
      </w:r>
      <w:r>
        <w:rPr>
          <w:rFonts w:ascii="IRNazanin" w:hAnsi="IRNazanin" w:eastAsia="IRNazanin"/>
          <w:color w:val="111111"/>
          <w:sz w:val="28"/>
          <w:sz w:val="28"/>
          <w:szCs w:val="28"/>
          <w:rtl w:val="true"/>
          <w:lang w:bidi="fa-IR"/>
        </w:rPr>
        <w:t>فراموشى خدا،</w:t>
      </w:r>
      <w:r>
        <w:rPr>
          <w:rStyle w:val="FootnoteAnchor"/>
          <w:rtl w:val="true"/>
        </w:rPr>
        <w:footnoteReference w:id="115"/>
      </w:r>
      <w:r>
        <w:rPr>
          <w:rFonts w:ascii="IRNazanin" w:hAnsi="IRNazanin" w:eastAsia="IRNazanin"/>
          <w:color w:val="111111"/>
          <w:sz w:val="28"/>
          <w:sz w:val="28"/>
          <w:szCs w:val="28"/>
          <w:rtl w:val="true"/>
          <w:lang w:bidi="fa-IR"/>
        </w:rPr>
        <w:t>غلو و گزافه گويى درباره ى شخصيت هاى دينى و قرار دادن آن ها در كنار خدا،</w:t>
      </w:r>
      <w:r>
        <w:rPr>
          <w:rStyle w:val="FootnoteAnchor"/>
          <w:rtl w:val="true"/>
        </w:rPr>
        <w:footnoteReference w:id="116"/>
      </w:r>
      <w:r>
        <w:rPr>
          <w:rFonts w:ascii="IRNazanin" w:hAnsi="IRNazanin" w:eastAsia="IRNazanin"/>
          <w:color w:val="111111"/>
          <w:sz w:val="28"/>
          <w:sz w:val="28"/>
          <w:szCs w:val="28"/>
          <w:rtl w:val="true"/>
          <w:lang w:bidi="fa-IR"/>
        </w:rPr>
        <w:t>سوءاستفاده از مقدسات،</w:t>
      </w:r>
      <w:r>
        <w:rPr>
          <w:rStyle w:val="FootnoteAnchor"/>
          <w:rtl w:val="true"/>
        </w:rPr>
        <w:footnoteReference w:id="117"/>
      </w:r>
      <w:r>
        <w:rPr>
          <w:rFonts w:ascii="Amiri" w:hAnsi="Amiri" w:eastAsia="Amiri" w:cs="Amiri"/>
          <w:color w:val="111111"/>
          <w:sz w:val="28"/>
          <w:sz w:val="28"/>
          <w:szCs w:val="28"/>
          <w:rtl w:val="true"/>
          <w:lang w:bidi="ar-SA"/>
        </w:rPr>
        <w:t>سفاهت و كم عقلى،</w:t>
      </w:r>
      <w:r>
        <w:rPr>
          <w:rStyle w:val="FootnoteAnchor"/>
          <w:rtl w:val="true"/>
        </w:rPr>
        <w:footnoteReference w:id="118"/>
      </w:r>
      <w:r>
        <w:rPr>
          <w:rFonts w:ascii="Amiri" w:hAnsi="Amiri" w:eastAsia="Amiri" w:cs="Amiri"/>
          <w:color w:val="111111"/>
          <w:sz w:val="28"/>
          <w:sz w:val="28"/>
          <w:szCs w:val="28"/>
          <w:rtl w:val="true"/>
          <w:lang w:bidi="ar-SA"/>
        </w:rPr>
        <w:t>حكومت هاى فاسد،</w:t>
      </w:r>
      <w:r>
        <w:rPr>
          <w:rStyle w:val="FootnoteAnchor"/>
          <w:rtl w:val="true"/>
        </w:rPr>
        <w:footnoteReference w:id="119"/>
      </w:r>
      <w:r>
        <w:rPr>
          <w:rFonts w:ascii="Amiri" w:hAnsi="Amiri" w:eastAsia="Amiri" w:cs="Amiri"/>
          <w:color w:val="111111"/>
          <w:sz w:val="28"/>
          <w:sz w:val="28"/>
          <w:szCs w:val="28"/>
          <w:rtl w:val="true"/>
          <w:lang w:bidi="ar-SA"/>
        </w:rPr>
        <w:t>احساسات و عواطف نابجا مانند ترس يا اميد بى جا،</w:t>
      </w:r>
      <w:r>
        <w:rPr>
          <w:rStyle w:val="FootnoteAnchor"/>
          <w:rtl w:val="true"/>
        </w:rPr>
        <w:footnoteReference w:id="120"/>
      </w:r>
      <w:r>
        <w:rPr>
          <w:rFonts w:ascii="IRNazanin" w:hAnsi="IRNazanin" w:eastAsia="IRNazanin"/>
          <w:color w:val="111111"/>
          <w:sz w:val="28"/>
          <w:sz w:val="28"/>
          <w:szCs w:val="28"/>
          <w:rtl w:val="true"/>
          <w:lang w:bidi="fa-IR"/>
        </w:rPr>
        <w:t>رفاه و خوش گذرانى افراطى،</w:t>
      </w:r>
      <w:r>
        <w:rPr>
          <w:rStyle w:val="FootnoteAnchor"/>
          <w:rtl w:val="true"/>
        </w:rPr>
        <w:footnoteReference w:id="121"/>
      </w:r>
      <w:r>
        <w:rPr>
          <w:rFonts w:ascii="Amiri" w:hAnsi="Amiri" w:eastAsia="Amiri" w:cs="Amiri"/>
          <w:color w:val="111111"/>
          <w:sz w:val="28"/>
          <w:sz w:val="28"/>
          <w:szCs w:val="28"/>
          <w:rtl w:val="true"/>
          <w:lang w:bidi="ar-SA"/>
        </w:rPr>
        <w:t>تقليد كوركورانه،</w:t>
      </w:r>
      <w:r>
        <w:rPr>
          <w:rStyle w:val="FootnoteAnchor"/>
          <w:rtl w:val="true"/>
        </w:rPr>
        <w:footnoteReference w:id="122"/>
      </w:r>
      <w:r>
        <w:rPr>
          <w:rFonts w:ascii="IRNazanin" w:hAnsi="IRNazanin" w:eastAsia="IRNazanin"/>
          <w:color w:val="111111"/>
          <w:sz w:val="28"/>
          <w:sz w:val="28"/>
          <w:szCs w:val="28"/>
          <w:rtl w:val="true"/>
          <w:lang w:bidi="fa-IR"/>
        </w:rPr>
        <w:t>و بى تقوايى در خصوص پسنديده هاى عقلى، عقلايى و شرعى</w:t>
      </w:r>
      <w:r>
        <w:rPr>
          <w:rStyle w:val="FootnoteAnchor"/>
          <w:rtl w:val="true"/>
        </w:rPr>
        <w:footnoteReference w:id="123"/>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8088900_2142443653"/>
      <w:bookmarkStart w:id="166" w:name="_Toc64"/>
      <w:bookmarkEnd w:id="165"/>
      <w:r>
        <w:rPr/>
        <w:t>6</w:t>
      </w:r>
      <w:r>
        <w:rPr>
          <w:rtl w:val="true"/>
        </w:rPr>
        <w:t xml:space="preserve"> - </w:t>
      </w:r>
      <w:r>
        <w:rPr>
          <w:rtl w:val="true"/>
        </w:rPr>
        <w:t>وهابيت و شرك</w:t>
      </w:r>
      <w:bookmarkEnd w:id="16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گفته شد، يكى از رايج ترين واژه هايى كه وهابيان به كار مى برند، واژه 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گسترش مفهوم شرك، نه تنها مشركان، بلكه مسلمانان را نيز مشرك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آن چه در اين فصل بيان شد، خلاصه ى</w:t>
      </w:r>
    </w:p>
    <w:p>
      <w:pPr>
        <w:pStyle w:val="BookText"/>
        <w:rPr/>
      </w:pPr>
      <w:r>
        <w:rPr>
          <w:rFonts w:ascii="IRNazanin" w:hAnsi="IRNazanin" w:eastAsia="IRNazanin"/>
          <w:color w:val="111111"/>
          <w:sz w:val="28"/>
          <w:sz w:val="28"/>
          <w:szCs w:val="28"/>
          <w:rtl w:val="true"/>
          <w:lang w:bidi="fa-IR"/>
        </w:rPr>
        <w:t>عقيده ى مسلمانان در زمينه 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ديده مى شود، عامه ى مسلمانان در حوزه ى نظر و عمل، به توحيد و نفى شرك اعتقاد دارند و آن چه بيش تر در جوامع اسلامى ديده مى شود، شرك خفى است كه هرگز نمى توان بر اساس آن، فردى را مشرك، و جان و مال او را مباح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نافع سؤال شد كه نظر عبدالله بن عمر در مورد حروريه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نافع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ها را از بدترين مخلوقات خدا مى دانست؛ چراكه آنان آياتى كه در مورد كفار نازل شده بود را در مورد مؤمنين به كار مى بردند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هاى آينده، به تفصيل مشخص خواهد شد كه نه تنها مسلمانان در حوزه ى توحيد، مشرك نيستند، بلكه خود وهابيان در توحيد نظرى، رسماً گرفتار شرك شده اند</w:t>
      </w:r>
      <w:r>
        <w:rPr>
          <w:rFonts w:eastAsia="IRNazanin" w:cs="IRNazanin"/>
          <w:color w:val="111111"/>
          <w:sz w:val="28"/>
          <w:szCs w:val="28"/>
          <w:rtl w:val="true"/>
          <w:lang w:bidi="fa-IR"/>
        </w:rPr>
        <w:t>.</w:t>
      </w:r>
      <w:bookmarkStart w:id="167" w:name="pg15502_176908"/>
    </w:p>
    <w:p>
      <w:pPr>
        <w:pStyle w:val="Heading3"/>
        <w:numPr>
          <w:ilvl w:val="2"/>
          <w:numId w:val="1"/>
        </w:numPr>
        <w:rPr/>
      </w:pPr>
      <w:bookmarkStart w:id="168" w:name="__RefHeading___Toc8088902_2142443653"/>
      <w:bookmarkStart w:id="169" w:name="_Toc65"/>
      <w:bookmarkEnd w:id="167"/>
      <w:bookmarkEnd w:id="168"/>
      <w:r>
        <w:rPr>
          <w:rtl w:val="true"/>
        </w:rPr>
        <w:t>فصل چهارم</w:t>
      </w:r>
      <w:r>
        <w:rPr>
          <w:rtl w:val="true"/>
        </w:rPr>
        <w:t xml:space="preserve">: </w:t>
      </w:r>
      <w:r>
        <w:rPr>
          <w:rtl w:val="true"/>
        </w:rPr>
        <w:t xml:space="preserve">توحيد صفاتى در انديشه ى اسلامى </w:t>
      </w:r>
      <w:r>
        <w:rPr>
          <w:rtl w:val="true"/>
        </w:rPr>
        <w:t>(</w:t>
      </w:r>
      <w:r>
        <w:rPr>
          <w:rtl w:val="true"/>
        </w:rPr>
        <w:t>صفات خبرى</w:t>
      </w:r>
      <w:r>
        <w:rPr>
          <w:rtl w:val="true"/>
        </w:rPr>
        <w:t>)</w:t>
      </w:r>
      <w:bookmarkEnd w:id="16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0" w:name="__RefHeading___Toc8088904_2142443653"/>
      <w:bookmarkStart w:id="171" w:name="_Toc66"/>
      <w:bookmarkEnd w:id="170"/>
      <w:r>
        <w:rPr>
          <w:rtl w:val="true"/>
        </w:rPr>
        <w:t>اشاره</w:t>
      </w:r>
      <w:bookmarkStart w:id="172" w:name="pg15502_176911"/>
      <w:bookmarkEnd w:id="171"/>
    </w:p>
    <w:p>
      <w:pPr>
        <w:pStyle w:val="Heading4"/>
        <w:numPr>
          <w:ilvl w:val="3"/>
          <w:numId w:val="1"/>
        </w:numPr>
        <w:rPr/>
      </w:pPr>
      <w:bookmarkStart w:id="173" w:name="__RefHeading___Toc8088906_2142443653"/>
      <w:bookmarkStart w:id="174" w:name="_Toc67"/>
      <w:bookmarkEnd w:id="172"/>
      <w:bookmarkEnd w:id="173"/>
      <w:r>
        <w:rPr/>
        <w:t>1</w:t>
      </w:r>
      <w:r>
        <w:rPr>
          <w:rtl w:val="true"/>
        </w:rPr>
        <w:t xml:space="preserve"> - </w:t>
      </w:r>
      <w:r>
        <w:rPr>
          <w:rtl w:val="true"/>
        </w:rPr>
        <w:t>مقدمه</w:t>
      </w:r>
      <w:bookmarkEnd w:id="174"/>
    </w:p>
    <w:p>
      <w:pPr>
        <w:pStyle w:val="BookText"/>
        <w:rPr/>
      </w:pPr>
      <w:r>
        <w:rPr>
          <w:rFonts w:ascii="IRNazanin" w:hAnsi="IRNazanin" w:eastAsia="IRNazanin"/>
          <w:color w:val="111111"/>
          <w:sz w:val="28"/>
          <w:sz w:val="28"/>
          <w:szCs w:val="28"/>
          <w:rtl w:val="true"/>
          <w:lang w:bidi="fa-IR"/>
        </w:rPr>
        <w:t>همان گونه كه گفته شد، توحيد نقطه ى آغازين و مهم ترين انديشه ى كلامى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اسلامى، باوجود تفاهم بر اصل توحيد، پيرامون انواع و كيفيت آن اختلافاتى دارند؛ اما اين اختلاف ديدگاه سبب نشده است كه هيچ يك از فرقه هاى اسلامى، پيروان ديگر مذاهب را كافر و خارج از اسلام بدانند و خون و مالشان را مباح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جهان اسلام، وهابيت به پى روى از ابن تيميه، تقسيم سه گانه اى از توحيد ارائه كرده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ربوبى، توحيد الوهى و توحيد اسما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وهابيت به مسأله ى توحيد و مواضعى كه گرفته است، دست كم در دو زمينه نتايج بسيار ناگوارى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زمينه ى توحيد اسما و صفات و انگاره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دوم در عرصه ى توحيد ربوبى و الوهى و انگاره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 ى نخست، وهابيت را گرفتار تشبيه و تجسيم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وهابى از توحيد عبادى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همه ى مسلمانان را از دين اسلام خارج و آنان را مشرك قلمداد مى كند و در نتيجه، خون و مال آنان را مباح مى شمارد</w:t>
      </w:r>
      <w:r>
        <w:rPr>
          <w:rFonts w:eastAsia="IRNazanin" w:cs="IRNazanin"/>
          <w:color w:val="111111"/>
          <w:sz w:val="28"/>
          <w:szCs w:val="28"/>
          <w:rtl w:val="true"/>
          <w:lang w:bidi="fa-IR"/>
        </w:rPr>
        <w:t>.</w:t>
      </w:r>
    </w:p>
    <w:p>
      <w:pPr>
        <w:pStyle w:val="Heading4"/>
        <w:numPr>
          <w:ilvl w:val="3"/>
          <w:numId w:val="1"/>
        </w:numPr>
        <w:rPr/>
      </w:pPr>
      <w:bookmarkStart w:id="175" w:name="__RefHeading___Toc8088908_2142443653"/>
      <w:bookmarkStart w:id="176" w:name="_Toc68"/>
      <w:bookmarkEnd w:id="175"/>
      <w:r>
        <w:rPr/>
        <w:t>2</w:t>
      </w:r>
      <w:r>
        <w:rPr>
          <w:rtl w:val="true"/>
        </w:rPr>
        <w:t xml:space="preserve"> - </w:t>
      </w:r>
      <w:r>
        <w:rPr>
          <w:rtl w:val="true"/>
        </w:rPr>
        <w:t>توحيد صفاتى در نگاه مذاهب اسلامى</w:t>
      </w:r>
      <w:bookmarkEnd w:id="17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صفاتى و معانى آن، در فصل دوم، به اجمال بررسى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صفاتى در مفهوم اول آن،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همتايى خداوند در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مورد اتفاق تمامى</w:t>
      </w:r>
    </w:p>
    <w:p>
      <w:pPr>
        <w:pStyle w:val="BookText"/>
        <w:rPr/>
      </w:pPr>
      <w:r>
        <w:rPr>
          <w:rFonts w:ascii="IRNazanin" w:hAnsi="IRNazanin" w:eastAsia="IRNazanin"/>
          <w:color w:val="111111"/>
          <w:sz w:val="28"/>
          <w:sz w:val="28"/>
          <w:szCs w:val="28"/>
          <w:rtl w:val="true"/>
          <w:lang w:bidi="fa-IR"/>
        </w:rPr>
        <w:t>مذاهب اسلامى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همه ى مسلمانان معتقدند كه خداوند در صفات خود بى همتاست و هيچ موجودى، در صفات الهى همانند وى نيست؛ اما در معنى دوم كه رابطه ى ميان ذات و صفات است، ديدگاه هاى مختلفى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ى اختلاف ديدگاه ها، در اين است كه از يك سو سلب صفات كمال از خداوند برخلاف اعتقادات دينى و ناپذيرفتنى است؛ از سوى ديگر، اثبات اين صفات براى خداوند بدان گونه كه براى موجودات ديگر اثبات مى شود، پذيرفته نيست؛ زيرا خداوند، واحد و بسيط است كه نه در خارج شريكى دارد و نه از اجزايى تركيب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صفات غير ذات، با توحيد ذات ناسازگار است و به دوگانگى مى انجامد؛ انكار صفات نيز با دلايل فراوان عقلى و نقلى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صفات خداوند چه گونه به ذات نسبت داده مى شود؟</w:t>
      </w:r>
    </w:p>
    <w:p>
      <w:pPr>
        <w:pStyle w:val="BookText"/>
        <w:rPr/>
      </w:pPr>
      <w:r>
        <w:rPr>
          <w:rFonts w:ascii="IRNazanin" w:hAnsi="IRNazanin" w:eastAsia="IRNazanin"/>
          <w:color w:val="111111"/>
          <w:sz w:val="28"/>
          <w:sz w:val="28"/>
          <w:szCs w:val="28"/>
          <w:rtl w:val="true"/>
          <w:lang w:bidi="fa-IR"/>
        </w:rPr>
        <w:t>شيعه، معتزله و گروهى از اشاعره معتقدند كه صفات الهى، عين ذات اوست و هرگز نمى توان ميان ذات و صفات تفكيك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تعبير پيرامون توحيد صفاتى، از وجود مقدس اميرالمؤمنين على عليه السلام نقل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توحيده الاخلاص له، وكمال الاخلاص له نفى الصفات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بالاترين مرتبه ى توحيد، اخلاص براى اوست، و بالاترين مرحله ى اخلاص، نفى صفات از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نفى صفات در كلام اميرالمؤمنين على عليه السلام نفى صفات زائد بر ذات است، نه واقعيت صفات؛ زيرا نفى صفات كمال از خداوند، محال است و خود حضرت نيز در بسيارى از سخنانش خداوند را به صفات كمال ستوده اند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على عليه السلام در اين زمينه بيش تر توضيح مى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وصف الله سبحانه فقد قرنه ومن قرنه فقد ثناه ومن ثناه فقد جزاه ومن جزاه فقد جهله ومن جهله فقد اشار اليه ومن اشار اليه فقد حده ومن حده فقد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خداوند را به صفاتى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مغاير با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كند، براى او قرين قائل شده است؛ و آن كس كه براى او قرين قائل شود، او را دوگانه دانسته است؛ آن كه به دوگانگى او قائل شود، ذات خداوند را تجزيه پذير دانسته؛ و آن كس كه چنين باورى داشته باشد، به خداوند جهل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ازسوى ديگر، اگر صفات غير از ذات باشند، خداوند شبيه موجودات ديگر مى شود؛ يعنى ذات بايد پيش از صفات باشد و سپس صفات بر ذات عارض شوند؛ مثلاً انسان، زمانى عالم نيست، سپس عالم مى شود؛ و يا اين كه قدرت ندارد، سپس قادر مى شود؛ اما خداوند هميشه بوده است و هرگز نمى توان زمانى را تصور كرد كه خداوند قدرت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صفات او عين ذات اوست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البته در عالم ذهن، صفت و ذات ممكن است جداگانه تصور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علامه طباطبايى، در عالم خارج و واقع، صفات عين ذات اند؛ هرچند به حسب مفهوم و در ذهن، جداى از هم تصور مى شوند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حال، اشاعره و گروه هايى از اهل سنت، صفات را جداى از ذات مى دانند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در اصطلاح، به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 شود</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البته انديشمندان بعدى اشعرى،</w:t>
      </w:r>
      <w:bookmarkStart w:id="177" w:name="pg15502_176918"/>
    </w:p>
    <w:p>
      <w:pPr>
        <w:pStyle w:val="BookText"/>
        <w:rPr/>
      </w:pPr>
      <w:bookmarkEnd w:id="177"/>
      <w:r>
        <w:rPr>
          <w:rFonts w:ascii="IRNazanin" w:hAnsi="IRNazanin" w:eastAsia="IRNazanin"/>
          <w:color w:val="111111"/>
          <w:sz w:val="28"/>
          <w:sz w:val="28"/>
          <w:szCs w:val="28"/>
          <w:rtl w:val="true"/>
          <w:lang w:bidi="fa-IR"/>
        </w:rPr>
        <w:t>ديدگاه ابوالحسن اشعرى را نقد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عضدالدين ايجى، از دانشمندان بزرگ اشعرى كه در تحكيم آراى اشعرى نقش بسزايى داشت، دلايل گوناگون اشاعره را براى اثبات زيادت صفات بر ذات، ناتمام دانسته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78" w:name="__RefHeading___Toc8088910_2142443653"/>
      <w:bookmarkStart w:id="179" w:name="_Toc69"/>
      <w:bookmarkEnd w:id="178"/>
      <w:r>
        <w:rPr/>
        <w:t>3</w:t>
      </w:r>
      <w:r>
        <w:rPr>
          <w:rtl w:val="true"/>
        </w:rPr>
        <w:t xml:space="preserve"> - </w:t>
      </w:r>
      <w:r>
        <w:rPr>
          <w:rtl w:val="true"/>
        </w:rPr>
        <w:t>صفات خبرى</w:t>
      </w:r>
      <w:bookmarkEnd w:id="179"/>
    </w:p>
    <w:p>
      <w:pPr>
        <w:pStyle w:val="Heading5"/>
        <w:numPr>
          <w:ilvl w:val="4"/>
          <w:numId w:val="1"/>
        </w:numPr>
        <w:rPr/>
      </w:pPr>
      <w:bookmarkStart w:id="180" w:name="__RefHeading___Toc8088912_2142443653"/>
      <w:bookmarkStart w:id="181" w:name="_Toc70"/>
      <w:bookmarkEnd w:id="180"/>
      <w:r>
        <w:rPr>
          <w:rtl w:val="true"/>
        </w:rPr>
        <w:t>اشاره</w:t>
      </w:r>
      <w:bookmarkEnd w:id="18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خداوند در تقسيمى، به دو بخش صفات كمال و صفات خبرى تقسيم مى شود</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صفات كمال، همه ى صفاتى است كه شايسته و متناسب با شأن و جايگاه الهى است و عقل نيز آن ها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رازقيت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صفاتى هستند كه همه ى مسلمانان بدون هيچ شبهه اى به خداوند نسبت مى دهند؛ اما صفات خبرى صفاتى هستند كه مستندى جز نقل ندارند و در كتاب و سنت، براى خداوند ذكر شده اند؛ اما در نگاه اول، انتساب چنين صفاتى به خداوند، از نظر عقلى دون شأن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را مى توان به دو بخش تقسيم كرد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صفاتى مانند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كه در برخى از آيات و روايات به خداوند نسبت داده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يَبْقىٰ وَجْهُ رَبِّكَ ذُو اَلْجَلاٰلِ وَ اَلْإِكْرٰامِ‌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bookmarkStart w:id="182" w:name="pg15502_176920"/>
    </w:p>
    <w:p>
      <w:pPr>
        <w:pStyle w:val="BookText"/>
        <w:rPr/>
      </w:pPr>
      <w:bookmarkEnd w:id="182"/>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كه به كار ويژه اى اشاره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مجىء، و استوا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ديده مى شود، نسبت دادن دست، پا و چشم به خداوند، با ساحت وجودى او در تعارض است؛ زيرا خداوند جسم نيست كه دست، پا و يا چشم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واكنش به اين مشكل، دو ديدگاه نسبتاً كلان وجود دارد</w:t>
      </w:r>
      <w:r>
        <w:rPr>
          <w:rFonts w:eastAsia="IRNazanin" w:cs="IRNazanin"/>
          <w:color w:val="111111"/>
          <w:sz w:val="28"/>
          <w:szCs w:val="28"/>
          <w:rtl w:val="true"/>
          <w:lang w:bidi="fa-IR"/>
        </w:rPr>
        <w:t>:</w:t>
      </w:r>
    </w:p>
    <w:p>
      <w:pPr>
        <w:pStyle w:val="Heading5"/>
        <w:numPr>
          <w:ilvl w:val="4"/>
          <w:numId w:val="1"/>
        </w:numPr>
        <w:rPr/>
      </w:pPr>
      <w:bookmarkStart w:id="183" w:name="__RefHeading___Toc8088914_2142443653"/>
      <w:bookmarkStart w:id="184" w:name="_Toc71"/>
      <w:bookmarkEnd w:id="183"/>
      <w:r>
        <w:rPr/>
        <w:t>1</w:t>
      </w:r>
      <w:r>
        <w:rPr>
          <w:rtl w:val="true"/>
        </w:rPr>
        <w:t>‏-‏</w:t>
      </w:r>
      <w:r>
        <w:rPr/>
        <w:t>3</w:t>
      </w:r>
      <w:r>
        <w:rPr>
          <w:rtl w:val="true"/>
        </w:rPr>
        <w:t xml:space="preserve"> - </w:t>
      </w:r>
      <w:r>
        <w:rPr>
          <w:rtl w:val="true"/>
        </w:rPr>
        <w:t>نظريات تشبيهى</w:t>
      </w:r>
      <w:bookmarkEnd w:id="1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نظريات تشبيهى، ديدگاه هايى هستند كه صفات خبرى را بر معنى ظاهرى شان حمل مى كنند و معتقدند همان گونه كه در روايات و آيات آمده است، خداوند داراى پا، چشم، مو،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پيامبر گرامى اسلام صلى الله عليه و آله انديشه هاى تشبيهى هرگز نتوانست در ميان مسلمانان رشد كند؛ زيرا حضور شخص پيامبر گرامى اسلام صلى الله عليه و آله در جامعه ى اسلامى و محوريت ايشان، اجازه ى رشد به چنين انديشه هاى انحرافى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جغرافيايى اسلام، رفته رفته باورها و انديشه هاى مختلف به جهان اسلام راه يافت و فكر و ذهن مسلمانان را به خود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نقطه ى آغازين انديشه هاى تشبيهى را بايد در دهه ى سوم هجرى و هم زمان با آغاز فتوحات اسلامى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بسيارى، از عايشه پيرامون رؤيت خداوند توسط پيامبر گرامى اسلام صلى الله عليه و آله پرسيده شده است و وى با استناد به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 هُوَ يُدْرِكُ اَلْأَبْصٰارَ وَ 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با چنين انديشه هايى مقابله مى كرد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مهم ترين عامل نفوذ انديشه هاى تشبيهى، خرافات يهوديان بود كه در قالب اسرائيليات به جهان اسلام وارد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عقايد را افرادى كه به ظاهر اسلام آورده بودند، اما هنوز دل در گرو عقايد يهود داشتند، به مجموعه ى احاديث اسلامى وارد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تأثيرپذيرى از محتواى انحرافى تورات، رواياتى درباره ى اعضا و جوارح خداوند جعل كردند و به نام حديث پيامبر گرامى اسلام صلى الله عليه و آله در مجامع حديثى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افراد، كعب الاحبار بود كه بخش عمده اى از اسرائيليات را به انديشه ى اسلامى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ى 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با اصحاب پيامبر گرامى اسلام صلى الله عليه و آله مجالست مى كرد و براى آنان از كتب يهوديان سخن مى گفت و عجايب و غرايب را حفظ داشت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اين ميان، ارتباط برخى از راويان پركار مانند ابوهريره با وى، سبب شد كه چنين احاديثى بيش ازپيش در ميان مسلمانان رواج يابد و به مجامع حديثى اهل سنت راه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احمدبن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 و كعب با هم مى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از پيامبر گرامى اسلام صلى الله عليه و آله براى كعب حديث مى گفت و كعب از كتبش براى وى حديث مى آورد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چنين وضعيتى سبب شد كه رفته رفته احاديث جعلىِ تشبيه، به پيامبر گرامى اسلام صلى الله عليه و آله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ابن كثير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بسربن سعيد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از حديث محافظت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با ابوهريره مى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ما از پيامبر گرامى اسلام صلى الله عليه و آله و هم چنين از كعب الاحبار حديث نقل مى كرد؛ سپس برمى خاست و نزد ديگران حديث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w:t>
      </w:r>
    </w:p>
    <w:p>
      <w:pPr>
        <w:pStyle w:val="BookText"/>
        <w:rPr/>
      </w:pPr>
      <w:r>
        <w:rPr>
          <w:rFonts w:ascii="IRNazanin" w:hAnsi="IRNazanin" w:eastAsia="IRNazanin"/>
          <w:color w:val="111111"/>
          <w:sz w:val="28"/>
          <w:sz w:val="28"/>
          <w:szCs w:val="28"/>
          <w:rtl w:val="true"/>
          <w:lang w:bidi="fa-IR"/>
        </w:rPr>
        <w:t>حديث پيامبر گرامى اسلام صلى الله عليه و آله را به كعب، و قسمتى از حديث كعب را به پيامبر گرامى اسلام صلى الله عليه و آله نسبت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كردن، آن چه كعب گفته 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داد، و آن چه پيامبر گرامى اسلام صلى الله عليه و آله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از حديث محافظت كنيد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سده هاى بعد، به دليل چنين وضعيتى، دو جبهه ى كاملاً متضاد در برابر يك ديگر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اى كه براى پرهيز از افتادن در دامن تشبيه، تمامى صفات الهى را نفى كرد و اين نفى، گاه تا مرز نفى ذات الهى پيش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اين گروه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ابومحرز جهم بن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پيروان وى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در برابر اين گروه، گروه ديگرى قرار داشت كه كاملاً در ورطه ى تجسيم و تشبيه افتادند و با استناد به روايات جعلى و اسرائيليات، و به سبب نقل گرايى مفرط و عقل ستيزى، رسماً براى خداوند اندامى مانند دست، پا و چشم، و حركاتى هم چون نشستن، برخاستن و راه رفتن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اين گروه را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برعهده داشت كه بعدها پيروان 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كسى است كه در ميان اهل حديث به تجسيم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ابوحنيفه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اتانا من المشرق رأيان خبيثان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 معطل ومقاتل مشبه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ابوالحسن اشعرى نيز در معرفى انديشه ى مقاتل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عقيده داشت كه خداوند جسم و بدن دارد، و به صورت انسان است كه گوشت، پوست و مو دارد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آن چه در اين جا گفتنى است، اين واقعيت است كه زمينه هاى تشبيه گرايى در ميان اهل حديث بيش از ديگر گروه هاى اسلامى بوده است؛ زيرا نقل گرايى، حديث گرايى و عقل ستيزى، زمينه ى پى روى و پذيرش هرگونه حديث را براى آن ها فراهم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حديث، حتى روايات موجود در كتب ديگر اديان را به منزله ى احاديث اهل كتاب مى پذيرفتند، كه بخش عمده اى از آن ها عقايد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شهرستانى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دروغ و ساختگى را در دين زياد كردند و آن ها را به پيامبر گرامى اسلام صلى الله عليه و آله نسبت دادند كه بيش تر آن ها از يهود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در ميان يهود امرى طبيعى بود؛ تاآن جاكه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خداوند به درد آمد و ملائكه به عيادت او رفتند؛ و بر طوفان نوح گريست تا آن كه چشم درد گرفت؛ و هنگامى كه خداوند بر عرش قرار مى گيرد، به سبب سنگينى وى، ناله اى همانند ناله ى بچه شتر از آن شنيده مى شود؛ و خداوند عرش را پر مى كند؛ درحالى كه از هر طرف، چهار انگشت اضافه مى آيد</w:t>
      </w:r>
      <w:r>
        <w:rPr>
          <w:rFonts w:eastAsia="IRNazanin" w:cs="IRNazanin"/>
          <w:color w:val="111111"/>
          <w:sz w:val="28"/>
          <w:szCs w:val="28"/>
          <w:rtl w:val="true"/>
          <w:lang w:bidi="fa-IR"/>
        </w:rPr>
        <w:t>».</w:t>
      </w:r>
      <w:r>
        <w:rPr>
          <w:rStyle w:val="FootnoteAnchor"/>
          <w:rtl w:val="true"/>
        </w:rPr>
        <w:footnoteReference w:id="14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به كتاب هايى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يا رديه هايى كه اهل حديث بر مخالفان نوشته اند، مانند رديه هايى بر ضد جهميه، چنين وضعيتى به خوبى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ها، مسائلى هم چون نزول جسمانى خداوند بر زمين،</w:t>
      </w:r>
      <w:r>
        <w:rPr>
          <w:rStyle w:val="FootnoteAnchor"/>
          <w:rtl w:val="true"/>
        </w:rPr>
        <w:footnoteReference w:id="143"/>
      </w:r>
      <w:r>
        <w:rPr>
          <w:rFonts w:ascii="Amiri" w:hAnsi="Amiri" w:eastAsia="Amiri" w:cs="Amiri"/>
          <w:color w:val="111111"/>
          <w:sz w:val="28"/>
          <w:sz w:val="28"/>
          <w:szCs w:val="28"/>
          <w:rtl w:val="true"/>
          <w:lang w:bidi="ar-SA"/>
        </w:rPr>
        <w:t>سكونت خداوند در آسمان،</w:t>
      </w:r>
      <w:r>
        <w:rPr>
          <w:rStyle w:val="FootnoteAnchor"/>
          <w:rtl w:val="true"/>
        </w:rPr>
        <w:footnoteReference w:id="144"/>
      </w:r>
      <w:r>
        <w:rPr>
          <w:rFonts w:ascii="IRNazanin" w:hAnsi="IRNazanin" w:eastAsia="IRNazanin"/>
          <w:color w:val="111111"/>
          <w:sz w:val="28"/>
          <w:sz w:val="28"/>
          <w:szCs w:val="28"/>
          <w:rtl w:val="true"/>
          <w:lang w:bidi="fa-IR"/>
        </w:rPr>
        <w:t>جسمانيت خدا و قرار داشتن پاهاى او بر كرسى،</w:t>
      </w:r>
      <w:r>
        <w:rPr>
          <w:rStyle w:val="FootnoteAnchor"/>
          <w:rtl w:val="true"/>
        </w:rPr>
        <w:footnoteReference w:id="145"/>
      </w:r>
      <w:r>
        <w:rPr>
          <w:rFonts w:ascii="Amiri" w:hAnsi="Amiri" w:eastAsia="Amiri" w:cs="Amiri"/>
          <w:color w:val="111111"/>
          <w:sz w:val="28"/>
          <w:sz w:val="28"/>
          <w:szCs w:val="28"/>
          <w:rtl w:val="true"/>
          <w:lang w:bidi="ar-SA"/>
        </w:rPr>
        <w:t>ناليدن</w:t>
      </w:r>
    </w:p>
    <w:p>
      <w:pPr>
        <w:pStyle w:val="BookText"/>
        <w:rPr/>
      </w:pPr>
      <w:r>
        <w:rPr>
          <w:rFonts w:ascii="IRNazanin" w:hAnsi="IRNazanin" w:eastAsia="IRNazanin"/>
          <w:color w:val="111111"/>
          <w:sz w:val="28"/>
          <w:sz w:val="28"/>
          <w:szCs w:val="28"/>
          <w:rtl w:val="true"/>
          <w:lang w:bidi="fa-IR"/>
        </w:rPr>
        <w:t>عرش از سنگينى خداوند همانند بچه شترى كه تازه سوار آن مى شوند،</w:t>
      </w:r>
      <w:r>
        <w:rPr>
          <w:rStyle w:val="FootnoteAnchor"/>
          <w:rtl w:val="true"/>
        </w:rPr>
        <w:footnoteReference w:id="146"/>
      </w:r>
      <w:r>
        <w:rPr>
          <w:rFonts w:ascii="IRNazanin" w:hAnsi="IRNazanin" w:eastAsia="IRNazanin"/>
          <w:color w:val="111111"/>
          <w:sz w:val="28"/>
          <w:sz w:val="28"/>
          <w:szCs w:val="28"/>
          <w:rtl w:val="true"/>
          <w:lang w:bidi="fa-IR"/>
        </w:rPr>
        <w:t>و نشستن پيامبر گرامى اسلام صلى الله عليه و آله بر كرسى در طرف راست خداوند،</w:t>
      </w:r>
      <w:r>
        <w:rPr>
          <w:rStyle w:val="FootnoteAnchor"/>
          <w:rtl w:val="true"/>
        </w:rPr>
        <w:footnoteReference w:id="147"/>
      </w:r>
      <w:r>
        <w:rPr>
          <w:rFonts w:ascii="IRNazanin" w:hAnsi="IRNazanin" w:eastAsia="IRNazanin"/>
          <w:color w:val="111111"/>
          <w:sz w:val="28"/>
          <w:sz w:val="28"/>
          <w:szCs w:val="28"/>
          <w:rtl w:val="true"/>
          <w:lang w:bidi="fa-IR"/>
        </w:rPr>
        <w:t>بسيار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چنين سخنانى نشانگر حضور اسرائيليات و عقايد انحرافى يهود در انديشه ى اسلامى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انديشه ى تجسيم پس از مقاتل،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محمدبن الكرام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يافت و به تشكيل فرقه 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كراميه پس از مرگ عبدالله نيز ادامه يافت و به شاخه هاى مختلفى تقسيم شد</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xml:space="preserve">درحالى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شهرستانى،</w:t>
      </w:r>
      <w:r>
        <w:rPr>
          <w:rStyle w:val="FootnoteAnchor"/>
          <w:rtl w:val="true"/>
        </w:rPr>
        <w:footnoteReference w:id="149"/>
      </w:r>
      <w:r>
        <w:rPr>
          <w:rFonts w:ascii="IRNazanin" w:hAnsi="IRNazanin" w:eastAsia="IRNazanin"/>
          <w:color w:val="111111"/>
          <w:sz w:val="28"/>
          <w:sz w:val="28"/>
          <w:szCs w:val="28"/>
          <w:rtl w:val="true"/>
          <w:lang w:bidi="fa-IR"/>
        </w:rPr>
        <w:t>بغدادى</w:t>
      </w:r>
      <w:r>
        <w:rPr>
          <w:rStyle w:val="FootnoteAnchor"/>
          <w:rtl w:val="true"/>
        </w:rPr>
        <w:footnoteReference w:id="150"/>
      </w:r>
      <w:r>
        <w:rPr>
          <w:rFonts w:ascii="IRNazanin" w:hAnsi="IRNazanin" w:eastAsia="IRNazanin"/>
          <w:color w:val="111111"/>
          <w:sz w:val="28"/>
          <w:sz w:val="28"/>
          <w:szCs w:val="28"/>
          <w:rtl w:val="true"/>
          <w:lang w:bidi="fa-IR"/>
        </w:rPr>
        <w:t>و بسيارى از دانشمندان اهل سنت، كراميه و پيروان آن را در رديف مجسمه قرار داده اند و به قتل او حكم داده اند، ابن خزيمه</w:t>
      </w:r>
      <w:r>
        <w:rPr>
          <w:rStyle w:val="FootnoteAnchor"/>
          <w:rtl w:val="true"/>
        </w:rPr>
        <w:footnoteReference w:id="151"/>
      </w:r>
      <w:r>
        <w:rPr>
          <w:rFonts w:ascii="IRNazanin" w:hAnsi="IRNazanin" w:eastAsia="IRNazanin"/>
          <w:color w:val="111111"/>
          <w:sz w:val="28"/>
          <w:sz w:val="28"/>
          <w:szCs w:val="28"/>
          <w:rtl w:val="true"/>
          <w:lang w:bidi="fa-IR"/>
        </w:rPr>
        <w:t>مدح وى را مى گويد و مخالفانش را به كفر متهم مى كند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ابن تيميه نيز كوشيده است از وى رفع اتهام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ى تجسيم در سده هاى بعد نيز هم چنان با افت وخيزهاى مختلف، در ميان نحله هايى از مسلمانان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آثارى كه سرشار از تشبيه اند،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عثمان بن سعيد على المريسى العنيد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نوشته ى عثمان بن سعيد الدارمى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در كتاب نخست، احاديث ساختگى بسيارى وجود دارد كه بيانگر انديشه ى تشبيهى است؛ سخنان پوچى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ناليدن عرش از سنگينى خدا؛ فرود آمدن خدا به خانه ى خود در بهشت؛ زندگى خدا در بهشت به همراه صديقين، پيامبران و شهدا؛ و رفت وآمد خدا ميان عرش و 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در اين كتاب فصلى را به تكفير جهميه و كشتن آن ها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زمان دارمى، جهم بن صفوان از دنيا رفته بود و مذهب وى نيز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دارمى از جهميه در اين كلام،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دركتاب دوم نيز حركت، حد، لمس، نشستن، قدرت خدا براى نشستن بر پشت پشه، سنگينى بيش تر خداوند هنگامى كه خشمگين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كتاب نزد ابن تيميه و ابن قيم به شدت احترام دارد و ايشان به اين دو كتاب بسيار استناد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باور ابن قيم اين دو كتاب، بهترين كتاب هايى هستند كه درباره ى سنت تأليف شده اند و ابن تيميه بسيار به آن سفارش مى كرد</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ى ابن ابى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ديگرى است كه روايات تشبيهى در آن بسيار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ذهبى، ابن ابى عاصم در معنى شناسى، ظاهرگرا بوده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در كتاب او مطالبى مانند آفرينش آدم توسط خداوند به شكل خودش، ناليدن عرش، نشستن پيامبر گرامى اسلام صلى الله عليه و آله كنار خداوند در عرش، و نشستن مؤمنان در بهشت در كنار خدا، ديده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نوشته ى ابوبكر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نيز درون مايه ى تشبيهى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شاگردان احمدبن حنبل بوده است نيز در كتاب خود چنين مطالبى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ديگرى كه سرشار از مطالب تشبيه آميز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ازحاكم، گويا ابن خزيمه با محمدبن كرام روابط تنگاتنگى داشته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ابن خزيمه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و پا را براى خدا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ديگر پيروان مكتب تجسيم، معتقد است كه كرسى جاى پاى خداست؛ عرش در زير خداوند به سبب سنگينى او ناله مى كند؛ خدا از عرش بالا و پايين مى رود و به آسمان زمين مى آيد؛ بهشت خانه ى اوست و پيامبر صلى الله عليه و آله او را در باغ سبز ديد كه در زير او فرشى از طلا گسترده بود و چهار ملك آن را حمل مى كردند؛ و</w:t>
      </w:r>
      <w:r>
        <w:rPr>
          <w:rFonts w:eastAsia="IRNazanin" w:cs="IRNazanin"/>
          <w:color w:val="111111"/>
          <w:sz w:val="28"/>
          <w:szCs w:val="28"/>
          <w:rtl w:val="true"/>
          <w:lang w:bidi="fa-IR"/>
        </w:rPr>
        <w:t>...</w:t>
      </w:r>
      <w:r>
        <w:rPr>
          <w:rStyle w:val="FootnoteAnchor"/>
          <w:rtl w:val="true"/>
        </w:rPr>
        <w:footnoteReference w:id="16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از اين آثار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ى ابوالحسن على بن عمر دار 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ى ابن منده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وما روى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ى محمدبن عثمان بن ابى شيبه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فى دلائل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نوشته ى اسماعيل عبدالله بن محمد الهروى</w:t>
      </w:r>
      <w:r>
        <w:rPr>
          <w:rFonts w:eastAsia="Amiri" w:cs="Amiri" w:ascii="Amiri" w:hAnsi="Amiri"/>
          <w:color w:val="111111"/>
          <w:sz w:val="28"/>
          <w:szCs w:val="28"/>
          <w:rtl w:val="true"/>
          <w:lang w:bidi="ar-SA"/>
        </w:rPr>
        <w:t>.</w:t>
      </w:r>
      <w:r>
        <w:rPr>
          <w:rStyle w:val="FootnoteAnchor"/>
          <w:rtl w:val="true"/>
        </w:rPr>
        <w:footnoteReference w:id="162"/>
      </w:r>
      <w:bookmarkStart w:id="185" w:name="pg15502_176934"/>
    </w:p>
    <w:p>
      <w:pPr>
        <w:pStyle w:val="BookText"/>
        <w:rPr/>
      </w:pPr>
      <w:bookmarkEnd w:id="185"/>
      <w:r>
        <w:rPr>
          <w:rFonts w:ascii="IRNazanin" w:hAnsi="IRNazanin" w:eastAsia="IRNazanin"/>
          <w:color w:val="111111"/>
          <w:sz w:val="28"/>
          <w:sz w:val="28"/>
          <w:szCs w:val="28"/>
          <w:rtl w:val="true"/>
          <w:lang w:bidi="fa-IR"/>
        </w:rPr>
        <w:t>با بررسى آثار يادشده، به نظر مى رسد كه روايات در اين آثار، معمولاً بدون توجه به بررسى و ارزيابى سند، گاه هم پايه ى قرآن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ديگر آن كه هرچه نقل گرايى و حديث گرايى در انديشه ى فرد قوى تر باشد، روايات را هرچند مخالف عقل سليم باشد، مى پذيرد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ازسوى ديگر، با نگاهى به محتواى اين آثار، هرگز نمى توان آن ها را كتاب هايى پيرامون توحيد دانست؛ بلكه همه، كتاب هاى شرك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تشبيه گرايى را در سده هاى بعد، ابن تيميه و در دوران معاصر، وهابيت نمايندگى كرده اند كه به آن اشاره خواهد شد</w:t>
      </w:r>
      <w:r>
        <w:rPr>
          <w:rFonts w:eastAsia="IRNazanin" w:cs="IRNazanin"/>
          <w:color w:val="111111"/>
          <w:sz w:val="28"/>
          <w:szCs w:val="28"/>
          <w:rtl w:val="true"/>
          <w:lang w:bidi="fa-IR"/>
        </w:rPr>
        <w:t>.</w:t>
      </w:r>
    </w:p>
    <w:p>
      <w:pPr>
        <w:pStyle w:val="Heading5"/>
        <w:numPr>
          <w:ilvl w:val="4"/>
          <w:numId w:val="1"/>
        </w:numPr>
        <w:rPr/>
      </w:pPr>
      <w:bookmarkStart w:id="186" w:name="__RefHeading___Toc8088916_2142443653"/>
      <w:bookmarkStart w:id="187" w:name="_Toc72"/>
      <w:bookmarkEnd w:id="186"/>
      <w:r>
        <w:rPr/>
        <w:t>2</w:t>
      </w:r>
      <w:r>
        <w:rPr>
          <w:rtl w:val="true"/>
        </w:rPr>
        <w:t>‏-‏</w:t>
      </w:r>
      <w:r>
        <w:rPr/>
        <w:t>3</w:t>
      </w:r>
      <w:r>
        <w:rPr>
          <w:rtl w:val="true"/>
        </w:rPr>
        <w:t xml:space="preserve"> - </w:t>
      </w:r>
      <w:r>
        <w:rPr>
          <w:rtl w:val="true"/>
        </w:rPr>
        <w:t>نظريات تنزيهى</w:t>
      </w:r>
      <w:bookmarkEnd w:id="187"/>
    </w:p>
    <w:p>
      <w:pPr>
        <w:pStyle w:val="Heading6"/>
        <w:numPr>
          <w:ilvl w:val="5"/>
          <w:numId w:val="1"/>
        </w:numPr>
        <w:rPr/>
      </w:pPr>
      <w:bookmarkStart w:id="188" w:name="__RefHeading___Toc8088918_2142443653"/>
      <w:bookmarkStart w:id="189" w:name="_Toc73"/>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نظريات تنزيهى كه فضاى غالب را در ميان مذاهب اسلامى رقم زده است، بارى تعالى را از تشبيه و تجسيم منزه دانسته و شأن خداوند را بالاتر از آن مى داند كه وى را به مخلوقاتش تشبيه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اين ديدگاه ها، خود با مشكلات اساسى روبه رو هستند؛ اما به هرحال، نشانگر تلاش رهبران مذاهب براى فرار از تشبيه و تجسيم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ديدگاه هاى گونه ى دوم عبارتند از</w:t>
      </w:r>
      <w:r>
        <w:rPr>
          <w:rFonts w:eastAsia="IRNazanin" w:cs="IRNazanin"/>
          <w:color w:val="111111"/>
          <w:sz w:val="28"/>
          <w:szCs w:val="28"/>
          <w:rtl w:val="true"/>
          <w:lang w:bidi="fa-IR"/>
        </w:rPr>
        <w:t>:</w:t>
      </w:r>
    </w:p>
    <w:p>
      <w:pPr>
        <w:pStyle w:val="Heading6"/>
        <w:numPr>
          <w:ilvl w:val="5"/>
          <w:numId w:val="1"/>
        </w:numPr>
        <w:rPr/>
      </w:pPr>
      <w:bookmarkStart w:id="190" w:name="__RefHeading___Toc8088920_2142443653"/>
      <w:bookmarkStart w:id="191" w:name="_Toc74"/>
      <w:bookmarkEnd w:id="190"/>
      <w:r>
        <w:rPr/>
        <w:t>1</w:t>
      </w:r>
      <w:r>
        <w:rPr>
          <w:rtl w:val="true"/>
        </w:rPr>
        <w:t>‏-‏</w:t>
      </w:r>
      <w:r>
        <w:rPr/>
        <w:t>2</w:t>
      </w:r>
      <w:r>
        <w:rPr>
          <w:rtl w:val="true"/>
        </w:rPr>
        <w:t>‏-‏</w:t>
      </w:r>
      <w:r>
        <w:rPr/>
        <w:t>3</w:t>
      </w:r>
      <w:r>
        <w:rPr>
          <w:rtl w:val="true"/>
        </w:rPr>
        <w:t xml:space="preserve"> - </w:t>
      </w:r>
      <w:r>
        <w:rPr>
          <w:rtl w:val="true"/>
        </w:rPr>
        <w:t>اثبات بلاتكييف</w:t>
      </w:r>
      <w:r>
        <w:rPr>
          <w:rtl w:val="true"/>
        </w:rPr>
        <w:t xml:space="preserve">: </w:t>
      </w:r>
      <w:r>
        <w:rPr>
          <w:rtl w:val="true"/>
        </w:rPr>
        <w:t>اثبات صفات بدون كيفيت و تشبيه</w:t>
      </w:r>
      <w:bookmarkEnd w:id="191"/>
    </w:p>
    <w:p>
      <w:pPr>
        <w:pStyle w:val="Heading6"/>
        <w:numPr>
          <w:ilvl w:val="5"/>
          <w:numId w:val="1"/>
        </w:numPr>
        <w:rPr/>
      </w:pPr>
      <w:bookmarkStart w:id="192" w:name="__RefHeading___Toc8088922_2142443653"/>
      <w:bookmarkStart w:id="193" w:name="_Toc75"/>
      <w:bookmarkEnd w:id="192"/>
      <w:r>
        <w:rPr>
          <w:rtl w:val="true"/>
        </w:rPr>
        <w:t>اشاره</w:t>
      </w:r>
      <w:bookmarkEnd w:id="19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اشعرى صفات خبرى را بر معنى ظاهرى حمل مى كند و قائل به تأويل و معنى ديگرى درباره ى اين صفات نيست؛ اما براى فرار از تشبيه، قيدى با عنوان بلاكيف و بلاتشبيه به آن افزوده است؛ يعنى خداوند داراى دست است؛ اما كيفيتى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او</w:t>
      </w:r>
      <w:r>
        <w:rPr>
          <w:rFonts w:eastAsia="IRNazanin" w:cs="IRNazanin"/>
          <w:color w:val="111111"/>
          <w:sz w:val="28"/>
          <w:szCs w:val="28"/>
          <w:rtl w:val="true"/>
          <w:lang w:bidi="fa-IR"/>
        </w:rPr>
        <w:t>:</w:t>
      </w:r>
      <w:bookmarkStart w:id="194" w:name="pg15502_176936"/>
    </w:p>
    <w:p>
      <w:pPr>
        <w:pStyle w:val="BookText"/>
        <w:rPr/>
      </w:pPr>
      <w:bookmarkEnd w:id="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سبحانه وجهاً بلا كيف، وإنّ له يدين بلا كيف</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چنين ديدگاهى، هرچند كوشيده است كه از تجسيم فرار كند، گرفتار ابهام و اجمال در نظريه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داراى انگشت، مچ، ساعد، بازو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چون چيزى مانند چشم اين موارد را ندارد، هرگز به آن دست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فعل نيز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پايين، هنگامى مفهوم دارد كه با چيزى سنجيده شود؛ يعنى صعود هنگامى معنى مى يابد كه با چيزى سنجيده شود؛ وگرنه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اشعرى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خبرى بر همان معنى حقيقى حمل مى شود، اما كيفيت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مادى را ندارد، كه ديگر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 شود؛ و يا اين كه هم چنان داراى ويژگى هاى دست است كه بار ديگر، مشكل تجسيم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پس از ابوالحسن اشعرى، متكلمان بزرگ اين مكتب، همانند فخرالدين رازى و قاضى عضدالدين ايجى، به تأويل صفات خبرى پرداختند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كردند، كه به آن ها اشاره خواهد شد</w:t>
      </w:r>
      <w:r>
        <w:rPr>
          <w:rFonts w:eastAsia="IRNazanin" w:cs="IRNazanin"/>
          <w:color w:val="111111"/>
          <w:sz w:val="28"/>
          <w:szCs w:val="28"/>
          <w:rtl w:val="true"/>
          <w:lang w:bidi="fa-IR"/>
        </w:rPr>
        <w:t>.</w:t>
      </w:r>
      <w:r>
        <w:rPr>
          <w:rStyle w:val="FootnoteAnchor"/>
          <w:rtl w:val="true"/>
        </w:rPr>
        <w:footnoteReference w:id="165"/>
      </w:r>
    </w:p>
    <w:p>
      <w:pPr>
        <w:pStyle w:val="Heading6"/>
        <w:numPr>
          <w:ilvl w:val="5"/>
          <w:numId w:val="1"/>
        </w:numPr>
        <w:rPr/>
      </w:pPr>
      <w:bookmarkStart w:id="195" w:name="__RefHeading___Toc8088924_2142443653"/>
      <w:bookmarkStart w:id="196" w:name="_Toc76"/>
      <w:bookmarkEnd w:id="195"/>
      <w:r>
        <w:rPr/>
        <w:t>1</w:t>
      </w:r>
      <w:r>
        <w:rPr>
          <w:rtl w:val="true"/>
        </w:rPr>
        <w:t>‏-‏</w:t>
      </w:r>
      <w:r>
        <w:rPr/>
        <w:t>1</w:t>
      </w:r>
      <w:r>
        <w:rPr>
          <w:rtl w:val="true"/>
        </w:rPr>
        <w:t>‏-‏</w:t>
      </w:r>
      <w:r>
        <w:rPr/>
        <w:t>2</w:t>
      </w:r>
      <w:r>
        <w:rPr>
          <w:rtl w:val="true"/>
        </w:rPr>
        <w:t>‏-‏</w:t>
      </w:r>
      <w:r>
        <w:rPr/>
        <w:t>3</w:t>
      </w:r>
      <w:r>
        <w:rPr>
          <w:rtl w:val="true"/>
        </w:rPr>
        <w:t xml:space="preserve"> - </w:t>
      </w:r>
      <w:r>
        <w:rPr>
          <w:rtl w:val="true"/>
        </w:rPr>
        <w:t>تفويض</w:t>
      </w:r>
      <w:bookmarkEnd w:id="19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ى تفويض راهكار ديگرى است كه به گفته ى شهرستانى، گروهى از سلف،</w:t>
      </w:r>
      <w:r>
        <w:rPr>
          <w:rStyle w:val="FootnoteAnchor"/>
          <w:rtl w:val="true"/>
        </w:rPr>
        <w:footnoteReference w:id="166"/>
      </w:r>
      <w:r>
        <w:rPr>
          <w:rFonts w:ascii="IRNazanin" w:hAnsi="IRNazanin" w:eastAsia="IRNazanin"/>
          <w:color w:val="111111"/>
          <w:sz w:val="28"/>
          <w:sz w:val="28"/>
          <w:szCs w:val="28"/>
          <w:rtl w:val="true"/>
          <w:lang w:bidi="fa-IR"/>
        </w:rPr>
        <w:t>آن را به كار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در لغت به معنى واگذار كردن و سپردن چيزى به ديگرى است</w:t>
      </w:r>
      <w:r>
        <w:rPr>
          <w:rStyle w:val="FootnoteAnchor"/>
          <w:rtl w:val="true"/>
        </w:rPr>
        <w:footnoteReference w:id="167"/>
      </w:r>
      <w:r>
        <w:rPr>
          <w:rFonts w:ascii="IRNazanin" w:hAnsi="IRNazanin" w:eastAsia="IRNazanin"/>
          <w:color w:val="111111"/>
          <w:sz w:val="28"/>
          <w:sz w:val="28"/>
          <w:szCs w:val="28"/>
          <w:rtl w:val="true"/>
          <w:lang w:bidi="fa-IR"/>
        </w:rPr>
        <w:t>و در اصطلاح، به معنى ايمان به هر چيزى است كه خدا و پيامبر گرامى اسلام صلى الله عليه و آله</w:t>
      </w:r>
    </w:p>
    <w:p>
      <w:pPr>
        <w:pStyle w:val="BookText"/>
        <w:rPr/>
      </w:pPr>
      <w:r>
        <w:rPr>
          <w:rFonts w:ascii="IRNazanin" w:hAnsi="IRNazanin" w:eastAsia="IRNazanin"/>
          <w:color w:val="111111"/>
          <w:sz w:val="28"/>
          <w:sz w:val="28"/>
          <w:szCs w:val="28"/>
          <w:rtl w:val="true"/>
          <w:lang w:bidi="fa-IR"/>
        </w:rPr>
        <w:t>بيان كرده اند؛ صرف نظر از معنى ظاهرى، و واگذاشتن معنى آن به خداوند تعالى</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بر اساس اين ديدگاه، وظيفه ى ما تفسير و شناخت اين آيات و روايات نيست؛ بلكه اعتقاد به اين است كه خدا شريكى ندارد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به گفته ى شهرستانى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سلف، گروهى قائل به توقف در تأويل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عقل مى دانيم كه چيزى همانند خدا نيست و قطع داريم هيچ يك از موجودات شبيه او نيستند و او نيز شبيه هيچ موجودى نيست؛ اما ما معانى واژه هايى را كه وارد شده است، نمى دانيم؛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نيز مكلف به فهم تفسير اين آيات و تأويل آن ها نيستيم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هرچند در ميان انديمشندان ماتريدى، ديدگاه هايى ميان اثبات صفات بلاكيف و تأويل ديده مى شود، اما انديشه ى خود ماتريدى به نظريه ى تفويض نزديك تر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حالى كه بسيارى از دانشمندان اهل سنت اين مسلك را به سلف نسبت داده اند، ابن تيميه به شدت به آن مى تازد و از روش علمى خارج شده،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 كه گفته ى اهل تفويض كه مى پندارند از پيروان اهل سنت و سلف هستند، از بدترين گفته هاى اهل بدعت و الحاد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هم چنين اهل تفويض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تجهيل</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كه، هرچند ابن تيميه ادعا مى كند سلف چنين ديدگاهى نداشته اند، خود وى در جاى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به هيچ روى درباره ى صفات، تفسير و تأويل نمى كرده اند؛ بلكه توقف كرده و علم آن را به خدا ارجاع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اين عقيده نيز ادعاى اجماع مى كند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وهابيت معاصر نيز به پى روى از ابن تيميه، چنين ديدگاهى را درباره ى اهل تفويض درپيش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عثيمين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از بدترين نظريات اهل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آن تأمل كردم، آن را تكذيب بر قرآن و تجهيل بر پيامبر گرامى اسلام صلى الله عليه و آله يافتم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هم چنين به اعتقاد وهابيان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ى تفويض جز ترفند شيطان نيست كه به همراه ديدگاه تأويل مى كوشد صفات خداوند را تعطيل كند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تفويض در ميان انديشه هاى تنزيهى، پاك كردن صورت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قرار دادن دسته ى بزرگى از آيات در رديف آيات متشابه و تدبر نكردن در آن ها، راهى نيست كه قرآن مسلمانان را به آن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ساده ترين روشى است كه مى توان در برابر صفات خبرى به كار گرفت</w:t>
      </w:r>
      <w:r>
        <w:rPr>
          <w:rFonts w:eastAsia="IRNazanin" w:cs="IRNazanin"/>
          <w:color w:val="111111"/>
          <w:sz w:val="28"/>
          <w:szCs w:val="28"/>
          <w:rtl w:val="true"/>
          <w:lang w:bidi="fa-IR"/>
        </w:rPr>
        <w:t>.</w:t>
      </w:r>
      <w:bookmarkStart w:id="197" w:name="pg15502_176943"/>
    </w:p>
    <w:p>
      <w:pPr>
        <w:pStyle w:val="Heading6"/>
        <w:numPr>
          <w:ilvl w:val="5"/>
          <w:numId w:val="1"/>
        </w:numPr>
        <w:rPr/>
      </w:pPr>
      <w:bookmarkStart w:id="198" w:name="__RefHeading___Toc8088926_2142443653"/>
      <w:bookmarkStart w:id="199" w:name="_Toc77"/>
      <w:bookmarkEnd w:id="197"/>
      <w:bookmarkEnd w:id="198"/>
      <w:r>
        <w:rPr/>
        <w:t>2</w:t>
      </w:r>
      <w:r>
        <w:rPr>
          <w:rtl w:val="true"/>
        </w:rPr>
        <w:t>‏-‏</w:t>
      </w:r>
      <w:r>
        <w:rPr/>
        <w:t>1</w:t>
      </w:r>
      <w:r>
        <w:rPr>
          <w:rtl w:val="true"/>
        </w:rPr>
        <w:t>‏-‏</w:t>
      </w:r>
      <w:r>
        <w:rPr/>
        <w:t>2</w:t>
      </w:r>
      <w:r>
        <w:rPr>
          <w:rtl w:val="true"/>
        </w:rPr>
        <w:t>‏-‏</w:t>
      </w:r>
      <w:r>
        <w:rPr/>
        <w:t>3</w:t>
      </w:r>
      <w:r>
        <w:rPr>
          <w:rtl w:val="true"/>
        </w:rPr>
        <w:t xml:space="preserve"> - </w:t>
      </w:r>
      <w:r>
        <w:rPr>
          <w:rtl w:val="true"/>
        </w:rPr>
        <w:t>نظريه ى تأويل</w:t>
      </w:r>
      <w:bookmarkEnd w:id="199"/>
    </w:p>
    <w:p>
      <w:pPr>
        <w:pStyle w:val="BookText"/>
        <w:rPr/>
      </w:pPr>
      <w:r>
        <w:rPr>
          <w:rFonts w:ascii="IRNazanin" w:hAnsi="IRNazanin" w:eastAsia="IRNazanin"/>
          <w:color w:val="111111"/>
          <w:sz w:val="28"/>
          <w:sz w:val="28"/>
          <w:szCs w:val="28"/>
          <w:rtl w:val="true"/>
          <w:lang w:bidi="fa-IR"/>
        </w:rPr>
        <w:t>تأويل در لغت به معنى بازگشت به يك مرجع و مأخذ است</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در اصطلاح نيز به معنى حمل لفظ بر معنى خلاف ظاهر در قرآن و روايات است</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تأويل در جايى به كار مى رود كه در لفظ و جمله هاى گوينده، قرائنى وجود داشته باشد كه نشان دهد گوينده، معنى ظاهرى لفظ را اراده نكرده؛ بلكه معنى ديگرى در نظر داشته است كه بايد با توجه به همان قرائن، به مراد اصلى گوينده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جولانگاه هاى تأويل، صفات خبرى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w:t>
      </w:r>
      <w:r>
        <w:rPr>
          <w:rStyle w:val="FootnoteAnchor"/>
          <w:rtl w:val="true"/>
        </w:rPr>
        <w:footnoteReference w:id="183"/>
      </w:r>
      <w:r>
        <w:rPr>
          <w:rFonts w:ascii="IRNazanin" w:hAnsi="IRNazanin" w:eastAsia="IRNazanin"/>
          <w:color w:val="111111"/>
          <w:sz w:val="28"/>
          <w:sz w:val="28"/>
          <w:szCs w:val="28"/>
          <w:rtl w:val="true"/>
          <w:lang w:bidi="fa-IR"/>
        </w:rPr>
        <w:t>با توجه به اين آيات و آيات مشابه، خداوند هرگز مانند ديگر موجودات نيست كه دست يا پا داشته باشد؛ بلكه هيچ موجودى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چه گونه مى توان صفات خبرى را توجيه كرد؟ بنا بر نظريه ى تأويل، صفات خبرى نمى توانند بر معنى ظاهرى حمل شوند؛ بلكه معنى ديگرى در وراى اين معانى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دشمنان تأويل، ابن تيميه و وهابيان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تيميه اين انديشه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جعدبن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جهميه نسبت مى دهد</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به عقيده ى وى تأويل، از تشبيه و تعطيلِ صفات، بدتر و طاغوت اكبر است؛</w:t>
      </w:r>
      <w:r>
        <w:rPr>
          <w:rStyle w:val="FootnoteAnchor"/>
          <w:rtl w:val="true"/>
        </w:rPr>
        <w:footnoteReference w:id="185"/>
      </w:r>
      <w:r>
        <w:rPr>
          <w:rFonts w:ascii="IRNazanin" w:hAnsi="IRNazanin" w:eastAsia="IRNazanin"/>
          <w:color w:val="111111"/>
          <w:sz w:val="28"/>
          <w:sz w:val="28"/>
          <w:szCs w:val="28"/>
          <w:rtl w:val="true"/>
          <w:lang w:bidi="fa-IR"/>
        </w:rPr>
        <w:t>اما خود اين گروه در بسيارى از موارد به تأويل متوسل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بسيارى از سلف نيز روش تأويل را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كشف از شدت و ترس تأويل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حافظ بيهقى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احمدبن حنبل آيه ى شريفه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آمدن ثواب خدا تأويل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بيهقى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اين كلام به احمد، هيچ شكى وجود ندارد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اين در حالى است كه وهابيان هنگامى كه اين نظريه را مخالف ديدگاه خود مى بينند، آن را تضعيف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فوزان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بيهقى به امام احمد نسبت مى دهد، از وى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بيهقى قابل اعتماد نيست؛ چون او تا حدودى به تأويل صفات معتقد بوده و در اين زمينه به قول او اعتمادى نيست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نظر مى رسد در نظر وهابيان، هر نظريه اى كه با ديدگاه آنان مخالف باشد، ضعيف است؛ هرچند دانشمندان بزرگ اسلامى آن را ارائه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در بسيارى از موارد، دانشمندان بزرگ اهل سنت را سرزنش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فوزان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خنده ى خدا را بر رضايت او تأويل كرده است؛ چون وى متأثر از مذهب اشاعره بوده، هيچ اعتبارى به گفته ى او نيست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هم چنين به گفته ى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خطابى از كسانى است كه صفات را تأويل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هاى او اعتبارى ندارد و رأيش حجت نيست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شايد امثال فوزان افرادى همانند ابن حجر و ذهبى را بتوانند تضعيف كنند، اما درباره ى افرادى همانند بخارى چه مى گويند؟ بخارى خنده را به رحمت تأويل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وى از سفيان ثورى نقل مى كند كه در تفسير معنى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خود بخارى در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را به ملك تأويل مى كند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روش تأويل را متكلمان شيعه، معتزله، گروهى از متكلمان اشعرى و ماتريدى،</w:t>
      </w:r>
      <w:r>
        <w:rPr>
          <w:rStyle w:val="FootnoteAnchor"/>
          <w:rtl w:val="true"/>
        </w:rPr>
        <w:footnoteReference w:id="192"/>
      </w:r>
      <w:r>
        <w:rPr>
          <w:rFonts w:ascii="IRNazanin" w:hAnsi="IRNazanin" w:eastAsia="IRNazanin"/>
          <w:color w:val="111111"/>
          <w:sz w:val="28"/>
          <w:sz w:val="28"/>
          <w:szCs w:val="28"/>
          <w:rtl w:val="true"/>
          <w:lang w:bidi="fa-IR"/>
        </w:rPr>
        <w:t>و متكلمانى از ديگر مذاهب اسلامى پذيرفته اند؛ اما نبايد فراموش كرد كه تأويل نيز شرايط و ضوابطى دارد كه به اجمال عبارتند از</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صورتى تأويل درست است كه دليل قاطعى بر محال بودن حمل لفظ بر معنى ظاهرى باشد؛ مانند گفته ى پيامبر گرامى اسلام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المومن بين اصبعين من اصابع الرحمن</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به گفته ى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اين سخن بر معنى ظاهرى، غيرممكن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قلب مؤمن را بشكافيم، نشانه اى از انگشت در آن</w:t>
      </w:r>
    </w:p>
    <w:p>
      <w:pPr>
        <w:pStyle w:val="BookText"/>
        <w:rPr/>
      </w:pPr>
      <w:r>
        <w:rPr>
          <w:rFonts w:ascii="IRNazanin" w:hAnsi="IRNazanin" w:eastAsia="IRNazanin"/>
          <w:color w:val="111111"/>
          <w:sz w:val="28"/>
          <w:sz w:val="28"/>
          <w:szCs w:val="28"/>
          <w:rtl w:val="true"/>
          <w:lang w:bidi="fa-IR"/>
        </w:rPr>
        <w:t>نمى يابيم؛ پس مشخص مى شود كه مراد، قدرت است كه راز انگشتان است و انگشتان، كنايه از قدرت است؛ چون بهترين واژه در فهم تمام اقتدار و قدرت، انگشتان است</w:t>
      </w:r>
      <w:r>
        <w:rPr>
          <w:rFonts w:eastAsia="IRNazanin" w:cs="IRNazanin"/>
          <w:color w:val="111111"/>
          <w:sz w:val="28"/>
          <w:szCs w:val="28"/>
          <w:rtl w:val="true"/>
          <w:lang w:bidi="fa-IR"/>
        </w:rPr>
        <w:t>».</w:t>
      </w:r>
      <w:r>
        <w:rPr>
          <w:rStyle w:val="FootnoteAnchor"/>
          <w:rtl w:val="true"/>
        </w:rPr>
        <w:footnoteReference w:id="194"/>
      </w:r>
      <w:r>
        <w:rPr>
          <w:rStyle w:val="FootnoteAnchor"/>
          <w:rtl w:val="true"/>
        </w:rPr>
        <w:footnoteReference w:id="195"/>
      </w:r>
      <w:r>
        <w:rPr>
          <w:rFonts w:ascii="IRNazanin" w:hAnsi="IRNazanin" w:eastAsia="IRNazanin"/>
          <w:color w:val="111111"/>
          <w:sz w:val="28"/>
          <w:sz w:val="28"/>
          <w:szCs w:val="28"/>
          <w:rtl w:val="true"/>
          <w:lang w:bidi="fa-IR"/>
        </w:rPr>
        <w:t>به دلايل قطعى ثابت شده است كه خداوند داراى جهت، مكان، تركيب و جسمانيت نيست و تشبيه به مخلوق در او 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ظواهر ظنيه اى وجود داشت كه با اين عقايد قطعيه در تعارض و تضاد بود، واجب است كه به نص شرعى اخذ شود و ظواهر تأويل شود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يكى از شرايط تأويل، هم خوانى آن با قواعد لغت و زبان عربى است؛ به گونه اى كه عرف نيز تأويل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تأويل برخلاف قواعد و فهم عرف باشد، درست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نبايد با اصل ثابت شده اى در شرع مخالف باشد؛ براى نمونه، ابن قتيبه استوا را بر استقرار تأويل مى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درحالى كه استقرار با اصل عدم تشبيه به مخلوق در تعارض است؛ به همين سبب نيز اين تأويل درست نيست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مرحوم علامه طباطبايى در فلسفه ى تأويل،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مراد از ظهور افرادى، معنايى است كه از تك تك كلمات يك جمله به دست مى آيد؛ اما ظهور تركيبى، معنايى است كه هميشه پس از تكميل جمله و پس از بيان تمامى قرائنى كه در شكل گيرى معنى اين جمله نقش دارد،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لزومى ندارد كه همه ى قرائن در همان جمله بيان شود؛ بلكه ممكن است برخى از قرائن قبلاً و به مناسبت ديگرى بيان شده باشد و يا اين كه قرائن حاليه و قرائن عقلى يا نقلى ديگرى وجود داشته باشد كه در فهم اين ظهور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فردا پرواز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افرادى، معنايى است كه</w:t>
      </w:r>
    </w:p>
    <w:p>
      <w:pPr>
        <w:pStyle w:val="BookText"/>
        <w:rPr/>
      </w:pPr>
      <w:r>
        <w:rPr>
          <w:rFonts w:ascii="IRNazanin" w:hAnsi="IRNazanin" w:eastAsia="IRNazanin"/>
          <w:color w:val="111111"/>
          <w:sz w:val="28"/>
          <w:sz w:val="28"/>
          <w:szCs w:val="28"/>
          <w:rtl w:val="true"/>
          <w:lang w:bidi="fa-IR"/>
        </w:rPr>
        <w:t>تك تك كلمات دارند، كه همان معنى ظاهرى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معانى ظاهرى ويژه ى خود هستند؛ اما معنى تركيبى، خلاف معنى ظاهر است؛ چون شنونده به خوبى مى داند كه گوينده همانند پرندگان، بال براى پرواز ندارد؛ بلكه مرادش پرواز با هواپيماست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صورت، در خصوص آياتى كه صفات خبرى را بيان مى كنند، نه مجازيم كه معنى افرادى كلمات را در نظر بگيريم؛ چون آياتى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عقل، چنين ظهورى را برنمى تابند؛ و نه مى توانيم ظهور تركيبى را بدون تناسب با قرائن به معنى ديگرى حمل كنيم؛ بلكه بايد با توجه به قرائن موجود، معانى غير ظاهرى صفات خبرى را دريابيم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بنابراين در آيه ى شريفه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مراد آن است كه همه چيز فناپذيرند، به جز ذات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نماد ذات و هويت خداست؛ چنان كه براى تشخيص هويت و ذات افراد، از چهره ى آنان استفاده مى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ى يد يا يدين، كنايه از قدرت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اين است كه قدرت الهى بر همه ى قدرت ها برترى دارد؛ نه اين كه خداوند دستى دارد كه بالاى ديگر دست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صفات خبرى نيز همين گونه اند؛ مانند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w:t>
      </w:r>
      <w:r>
        <w:rPr>
          <w:rStyle w:val="FootnoteAnchor"/>
          <w:rtl w:val="true"/>
        </w:rPr>
        <w:footnoteReference w:id="200"/>
      </w:r>
      <w:r>
        <w:rPr>
          <w:rFonts w:ascii="Amiri" w:hAnsi="Amiri" w:eastAsia="Amiri" w:cs="Amiri"/>
          <w:color w:val="111111"/>
          <w:sz w:val="28"/>
          <w:sz w:val="28"/>
          <w:szCs w:val="28"/>
          <w:rtl w:val="true"/>
          <w:lang w:bidi="ar-SA"/>
        </w:rPr>
        <w:t>استوا در اين آيه ى شريفه به معنى استيلا و سيطره ى خداوند بر تدبير جهان است</w:t>
      </w:r>
      <w:r>
        <w:rPr>
          <w:rFonts w:eastAsia="Amiri" w:cs="Amiri" w:ascii="Amiri" w:hAnsi="Amiri"/>
          <w:color w:val="111111"/>
          <w:sz w:val="28"/>
          <w:szCs w:val="28"/>
          <w:rtl w:val="true"/>
          <w:lang w:bidi="ar-SA"/>
        </w:rPr>
        <w:t>.</w:t>
      </w:r>
      <w:bookmarkStart w:id="200" w:name="pg15502_176954"/>
    </w:p>
    <w:p>
      <w:pPr>
        <w:pStyle w:val="Heading3"/>
        <w:numPr>
          <w:ilvl w:val="2"/>
          <w:numId w:val="1"/>
        </w:numPr>
        <w:rPr/>
      </w:pPr>
      <w:bookmarkStart w:id="201" w:name="__RefHeading___Toc8088928_2142443653"/>
      <w:bookmarkStart w:id="202" w:name="_Toc78"/>
      <w:bookmarkEnd w:id="200"/>
      <w:bookmarkEnd w:id="201"/>
      <w:r>
        <w:rPr>
          <w:rtl w:val="true"/>
        </w:rPr>
        <w:t>فصل پنجم</w:t>
      </w:r>
      <w:r>
        <w:rPr>
          <w:rtl w:val="true"/>
        </w:rPr>
        <w:t xml:space="preserve">: </w:t>
      </w:r>
      <w:r>
        <w:rPr>
          <w:rtl w:val="true"/>
        </w:rPr>
        <w:t>وهابيت، مكتب تشبيه</w:t>
      </w:r>
      <w:bookmarkEnd w:id="20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3" w:name="__RefHeading___Toc8088930_2142443653"/>
      <w:bookmarkStart w:id="204" w:name="_Toc79"/>
      <w:bookmarkEnd w:id="203"/>
      <w:r>
        <w:rPr>
          <w:rtl w:val="true"/>
        </w:rPr>
        <w:t>اشاره</w:t>
      </w:r>
      <w:bookmarkStart w:id="205" w:name="pg15502_176958"/>
      <w:bookmarkEnd w:id="204"/>
    </w:p>
    <w:p>
      <w:pPr>
        <w:pStyle w:val="Heading4"/>
        <w:numPr>
          <w:ilvl w:val="3"/>
          <w:numId w:val="1"/>
        </w:numPr>
        <w:rPr/>
      </w:pPr>
      <w:bookmarkStart w:id="206" w:name="__RefHeading___Toc8088932_2142443653"/>
      <w:bookmarkStart w:id="207" w:name="_Toc80"/>
      <w:bookmarkEnd w:id="205"/>
      <w:bookmarkEnd w:id="206"/>
      <w:r>
        <w:rPr/>
        <w:t>1</w:t>
      </w:r>
      <w:r>
        <w:rPr>
          <w:rtl w:val="true"/>
        </w:rPr>
        <w:t xml:space="preserve"> - </w:t>
      </w:r>
      <w:r>
        <w:rPr>
          <w:rtl w:val="true"/>
        </w:rPr>
        <w:t>مقدمه</w:t>
      </w:r>
      <w:bookmarkEnd w:id="207"/>
    </w:p>
    <w:p>
      <w:pPr>
        <w:pStyle w:val="BookText"/>
        <w:rPr/>
      </w:pPr>
      <w:r>
        <w:rPr>
          <w:rFonts w:ascii="IRNazanin" w:hAnsi="IRNazanin" w:eastAsia="IRNazanin"/>
          <w:color w:val="111111"/>
          <w:sz w:val="28"/>
          <w:sz w:val="28"/>
          <w:szCs w:val="28"/>
          <w:rtl w:val="true"/>
          <w:lang w:bidi="fa-IR"/>
        </w:rPr>
        <w:t xml:space="preserve">انديشه ى تشبيه گرايى، در قرن هفتم توسط ابن تيميه احيا گرديد؛ ولى همانند ديگر افكار او، پس از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فعاليت شاگردانش، همانند ابن 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بوته ى فراموشى سپرده شد؛ اما بار ديگر، در قرن دوازدهم توسط محمدبن عبدالوهاب و شاگردان او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هرگز سخن جديدى جز آن چه ابن تيميه گفته بود، بر انديشه هاى تشبيه گرايانه ى او نيفزودند و صرفاً با ترويج و گسترش گفته هاى ابن تيميه و احياى آثار تشبيهى سده هاى نخستين اسلام، بار ديگر اين انديشه ى سخيف را زنده كردند</w:t>
      </w:r>
      <w:r>
        <w:rPr>
          <w:rFonts w:eastAsia="IRNazanin" w:cs="IRNazanin"/>
          <w:color w:val="111111"/>
          <w:sz w:val="28"/>
          <w:szCs w:val="28"/>
          <w:rtl w:val="true"/>
          <w:lang w:bidi="fa-IR"/>
        </w:rPr>
        <w:t>.</w:t>
      </w:r>
    </w:p>
    <w:p>
      <w:pPr>
        <w:pStyle w:val="Heading4"/>
        <w:numPr>
          <w:ilvl w:val="3"/>
          <w:numId w:val="1"/>
        </w:numPr>
        <w:rPr/>
      </w:pPr>
      <w:bookmarkStart w:id="208" w:name="__RefHeading___Toc8088934_2142443653"/>
      <w:bookmarkStart w:id="209" w:name="_Toc81"/>
      <w:bookmarkEnd w:id="208"/>
      <w:r>
        <w:rPr/>
        <w:t>2</w:t>
      </w:r>
      <w:r>
        <w:rPr>
          <w:rtl w:val="true"/>
        </w:rPr>
        <w:t xml:space="preserve"> - </w:t>
      </w:r>
      <w:r>
        <w:rPr>
          <w:rtl w:val="true"/>
        </w:rPr>
        <w:t>وهابيت و توحيد اسماء و صفات</w:t>
      </w:r>
      <w:bookmarkEnd w:id="209"/>
    </w:p>
    <w:p>
      <w:pPr>
        <w:pStyle w:val="BookText"/>
        <w:rPr/>
      </w:pPr>
      <w:r>
        <w:rPr>
          <w:rFonts w:ascii="IRNazanin" w:hAnsi="IRNazanin" w:eastAsia="IRNazanin"/>
          <w:color w:val="111111"/>
          <w:sz w:val="28"/>
          <w:sz w:val="28"/>
          <w:szCs w:val="28"/>
          <w:rtl w:val="true"/>
          <w:lang w:bidi="fa-IR"/>
        </w:rPr>
        <w:t xml:space="preserve">همان گونه كه گفته شد، وهابيان به پى روى از ابن تيميه، توحيد را به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هاى تشبيهى وهابيت، در مباحث توحيد اسماء و صفات آن ها مطرح مى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فهم ديدگاه وهابيت درباره ى صفات خبرى و انديشه هاى تشبيه گرايانه شان، مى توان مباحث را در در دو محور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مبانى نظرى وهابيت در زمينه ى صفات خبرى كه به تشبيه و تجسيم مى انجامد؛ دوم، مصاديق تشبيه و تجسيم گرايى در آثار و منابع وهابيت</w:t>
      </w:r>
      <w:r>
        <w:rPr>
          <w:rFonts w:eastAsia="IRNazanin" w:cs="IRNazanin"/>
          <w:color w:val="111111"/>
          <w:sz w:val="28"/>
          <w:szCs w:val="28"/>
          <w:rtl w:val="true"/>
          <w:lang w:bidi="fa-IR"/>
        </w:rPr>
        <w:t>.</w:t>
      </w:r>
      <w:bookmarkStart w:id="210" w:name="pg15502_176960"/>
    </w:p>
    <w:p>
      <w:pPr>
        <w:pStyle w:val="Heading4"/>
        <w:numPr>
          <w:ilvl w:val="3"/>
          <w:numId w:val="1"/>
        </w:numPr>
        <w:rPr/>
      </w:pPr>
      <w:bookmarkStart w:id="211" w:name="__RefHeading___Toc8088936_2142443653"/>
      <w:bookmarkStart w:id="212" w:name="_Toc82"/>
      <w:bookmarkEnd w:id="210"/>
      <w:bookmarkEnd w:id="211"/>
      <w:r>
        <w:rPr/>
        <w:t>3</w:t>
      </w:r>
      <w:r>
        <w:rPr>
          <w:rtl w:val="true"/>
        </w:rPr>
        <w:t xml:space="preserve"> - </w:t>
      </w:r>
      <w:r>
        <w:rPr>
          <w:rtl w:val="true"/>
        </w:rPr>
        <w:t>مبانى نظرى تشبيه گرايى وهابيت</w:t>
      </w:r>
      <w:bookmarkEnd w:id="212"/>
    </w:p>
    <w:p>
      <w:pPr>
        <w:pStyle w:val="Heading5"/>
        <w:numPr>
          <w:ilvl w:val="4"/>
          <w:numId w:val="1"/>
        </w:numPr>
        <w:rPr/>
      </w:pPr>
      <w:bookmarkStart w:id="213" w:name="__RefHeading___Toc8088938_2142443653"/>
      <w:bookmarkStart w:id="214" w:name="_Toc83"/>
      <w:bookmarkEnd w:id="213"/>
      <w:r>
        <w:rPr/>
        <w:t>1</w:t>
      </w:r>
      <w:r>
        <w:rPr>
          <w:rtl w:val="true"/>
        </w:rPr>
        <w:t>‏-‏</w:t>
      </w:r>
      <w:r>
        <w:rPr/>
        <w:t>3</w:t>
      </w:r>
      <w:r>
        <w:rPr>
          <w:rtl w:val="true"/>
        </w:rPr>
        <w:t xml:space="preserve"> - </w:t>
      </w:r>
      <w:r>
        <w:rPr>
          <w:rtl w:val="true"/>
        </w:rPr>
        <w:t>معنى شناسى وهابيت</w:t>
      </w:r>
      <w:r>
        <w:rPr>
          <w:rtl w:val="true"/>
        </w:rPr>
        <w:t xml:space="preserve">: </w:t>
      </w:r>
      <w:r>
        <w:rPr>
          <w:rtl w:val="true"/>
        </w:rPr>
        <w:t>ظاهرگرايى</w:t>
      </w:r>
      <w:bookmarkEnd w:id="214"/>
    </w:p>
    <w:p>
      <w:pPr>
        <w:pStyle w:val="Heading6"/>
        <w:numPr>
          <w:ilvl w:val="5"/>
          <w:numId w:val="1"/>
        </w:numPr>
        <w:rPr/>
      </w:pPr>
      <w:bookmarkStart w:id="215" w:name="__RefHeading___Toc8088940_2142443653"/>
      <w:bookmarkStart w:id="216" w:name="_Toc84"/>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معنى شناسى، بررسى رابطه ى لفظ و معنى در متون مقدس است كه به ويژه در صفات خبرى، اهميت بسيارى مى يابد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پرسش اصلى در معنى شناسى در حوزه ى صفات خبرى اين است كه آيا صفات ذات مانند يد، رجل و وجه، و يا صفات فعل مانند استوا، نزول و صعود، در كتاب و سنت بر معنى ظاهرى خود حمل مى شوند، يا اين كه بايد آن ها را تأويل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ظاهر در اين جا، معنايى است كه ذهن مخاطب به مجرد شنيدن واژه و بدون نياز به قرينه يا تأمل، متوجه آن مى شود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ابن جوزى درباره ى رابطه ى ظاهرگرايى و صفات خبرى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ظاهرگرايان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از متشابهاتى است كه علمش تنها نزد خداست؛ سپس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معنى ظاهرى شان حمل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چيزى كه علمش نزد خداست، داراى معنى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معنى ظاهرى استوا، غير از نشستن است‌؟ و ظاهر نزول، غير از انتقال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به گفته ى شيخ محمدزاهد كوثرى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اقسام نظم را از نظر وضوح و خفا مى شناسد و اقرار دارد كه آيات و اخبار صفات، از متشابهاتند، چه گونه به معنى ظاهرى تمسك مى جويد و متشابه را بر آن حمل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اين است كه متشابه در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قول محكم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گونه مى توان براى متشابه، ظهورى را تصور كرد؟ ظاهر، در برابر خفى قرار دارد و تا هنگامى كه مدلول واضح نيست، عقلانى نيست كه معنى ظاهرى به كار گرفته شود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اين ميان، همان گونه كه گفته شد، براى فهم معنى واقعى اخبار و آيات صفات، بايد از قرائن خارجى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نيز هرگز شنيده نشده است كه چنين الفاظى براى خداوند به كار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واژگانى مانند يد، ساق و رِجل، اسامى برخى از اعضا و جوارحند؛ بنابراين هنگامى مى توان آن ها را به منزله ى صفت به كار برد كه به قرائن خارجى در استفاده از اين الفاظ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خبرى، با توجه به قرائنى چون جلالت خداوند و محال بودن نسبت دادن اعضا و جوارح به خداوند، حمل بر معنى غير ظاهر، امرى بديهى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نخستين دامگاه تجسيم، اعتقاد به معنى ظاهرى صفات خبرى است، كه متأسفانه چنين گرايشى در ميان وهابيان به شدت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ى صالح بن فوزان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خداوند خود را بدان وصف كرده و يا پيامبر گرامى اسلام صلى الله عليه و آله خداوند را به آن وصف كرده است، همان معنى ظاهرى اش درست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وى سپس تأكيد مى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خداوند خود را به آن وصف كرده و يا پيامبر گرامى اسلام صلى الله عليه و آله درباره ى خداوند بيان كرده است، حق است و بر معنى ظاهرى اش حمل مى شود و هيچ گونه ابهام و پيچيدگى در آن وجود ندارد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وى سپس به غلط چنين عقيده اى را به همه ى اهل سنت نسبت مى دهد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اهل سنت اين صفات و معانى ظاهرى آن ها را اثبات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و رسول وى درباره ى صفات الهى آورده اند، از متشابهات نيست كه نياز به تفويض معنى آن به خدا باشد؛ زيرا اگر چنين باشد، نصوص صفات از امورى مى شود كه معنى آن فهم نمى شود؛ درحالى كه خداوند ما را به تدبر تمام قرآن امر كرده و تعقل در آيات و فهم آن ها را از ما خواسته است و اگر معنى نصوص صفات فهميدنى نباشد، پس خداوند ما را به تدبر و تفهم چيزى امر كرده است كه قابل تدبر و فهم نيست و به اعتقاد به چيزى فرمان داده است كه براى ما واضح نيست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كلمات ابن فوزان، تشبيه گرايى به خوبى ديده مى شود؛ چنان كه وى صفات خبرى را نه تنها ظاهرگرايانه معنى مى كند، بلكه رسماً اعتقاد دارد هيچ ابهام و پيچيدگى در رابطه ى ميان لفظ و معنى وجود ندارد و معنى آن كاملاً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البانى، از علماى وهابيت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تجربه دريافته ام كه بسيارى از برادران موحد و سلفى، همانند ما اعتقاد دارند كه خداوند بدون تأويل و بدون كيفيت، بر عرش نشسته است؛ اما هنگامى كه با معتزلى ها و يا جهمى مذهبان معاصر يا ماتريدى ها و اشعرى ها روبه رو مى شوند، آن ها شبهاتى را بر ظواهر آيات وارد مى كنند كه انسانِ اهل وسواس معنى اش را نمى فهمد؛ بنابراين در عقيده گرفتار شك و ترديد و گمراهى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عقيده ى صحيح را از سرچشمه نگرفته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عقيده ى توحيد با همه ى لوازم آن براى بسيارى از كسانى كه به عقيده ى سلفيه ايمان آورده اند، روشن نيست؛ چه رسد به ديگرانى كه از عقايد اشعريه، ماتريديه و جهميه پى روى مى كنند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اما اگر معنى ظاهرى ملاك باشد و اين معنى نيز كاملاً واضح باشد،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جز يكى از اعضا و جوارح انسان پيدا مى كند؟</w:t>
      </w:r>
    </w:p>
    <w:p>
      <w:pPr>
        <w:pStyle w:val="BookText"/>
        <w:rPr/>
      </w:pPr>
      <w:r>
        <w:rPr>
          <w:rFonts w:ascii="Amiri" w:hAnsi="Amiri" w:eastAsia="Amiri" w:cs="Amiri"/>
          <w:color w:val="111111"/>
          <w:sz w:val="28"/>
          <w:sz w:val="28"/>
          <w:szCs w:val="28"/>
          <w:rtl w:val="true"/>
          <w:lang w:bidi="ar-SA"/>
        </w:rPr>
        <w:t>به عقيده ى ابن باز، تنها به كسانى مى توان اهل سنت و جماعت اطلاق كرد كه صفات خبرى مانند دست، صورت، ساق و استوا را بر معنى ظاهرى حمل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سبب، جهميه، معتزله و اشاعره، اهل بدعت در دين هستند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اين ميان، برخى از سخنان ظاهرگرايان، اعم از ابن تيميه و معاصران وهابى، در اين زمينه شنيدنى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جايى بيان مى كند كه ظاهر كتاب و سنت در نزد عامه ى مسلمانان، موهم تجسيم نيست و مى پندارد معنى فاسدى كه در آن، حدوث و نقص وجود دارد، در معنى ظاهرى آيات وجود ندارد؛ اما ازآن جاكه دل هاى برخى از متأخرين منحرف شده است، اين معانى فاسد براى آن ها معنى ظاهرى شده است؛ اما ديگر مسلمانان، از سلف و خلف، بنا بر فطرت سالم خود، هيچ يك از اين نصوص را بر معنى فاسدى كه ظاهر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اصل، ظاهر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نمى كنند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پيروان وى از وهابيان نيز همين عقيده را 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 الهى چيزى وجود ندارد كه ظاهر آن مستلزم تجسيم و تشبيه باشد و چنين فهمى به جاهلان و گمراهان اختصاص دارد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بنا بر اين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آمده اند، معنايى غير از عضو بدن يا پايين آمدن در ظاهر دارند كه مردم نفهميده اند؛ بلكه معنى ظاهرى آن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ديده مى شود، چنين نظريه اى حتى از اصل ظاهرگرايى سخيف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خود ابن تيميه در جاى ديگر اعتراف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قرآن آياتى كه ظاهرش نشانگر تجسيم است، بسيار وجود دارد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به علاوه، روايات بسيارى هست كه سلف، ظاهر آيات صفات را تشبيه گونه خوانده 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چنان كه آمد، صالح بن فوزان مسلك ظاهرگرايى در صفات خبرى را به عامه ى اهل سنت نسبت مى دهد و بيان مى كند كه عموم اهل سنت ظاهرگرا هستند و تنها جريان هاى انحرافى به تفويض يا تأويل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از قول منحرفان، شعرى را ذكر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نص اوهم التشبيها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 او فوض ورم تنزيها</w:t>
      </w:r>
    </w:p>
    <w:p>
      <w:pPr>
        <w:pStyle w:val="BookText"/>
        <w:rPr/>
      </w:pPr>
      <w:r>
        <w:rPr>
          <w:rFonts w:ascii="IRNazanin" w:hAnsi="IRNazanin" w:eastAsia="IRNazanin"/>
          <w:color w:val="111111"/>
          <w:sz w:val="28"/>
          <w:sz w:val="28"/>
          <w:szCs w:val="28"/>
          <w:rtl w:val="true"/>
          <w:lang w:bidi="fa-IR"/>
        </w:rPr>
        <w:t>صالح بن فوزان پس از رد اين دو روش،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تفويض و تأويل از ياوه گويى هاى جهميه، معتزله، اشاعره و ماتريديه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پرسش اصلى اين است كه اگر اشاعره و ماتريديه كه در حال حاضر تقريباً همه ى اهل سنت را تشكيل مى دهند، در زمينه ى صفات الهى گمراه هستند، مراد از عامه ى اهل سنتى كه صالح بن فوزان ادعا مى كند، كيان اند؟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ناصرالدين البانى نيز علماى الازهر را كه يكى از مهم ترين مراكز علمى در جهان اهل سنت است، خطاب قرار مى دهد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از بزرگان شيوخ الازهر بپرسى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كجاست،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اين عصر را عصرى مى شمارد كه با ديدگاه هاى نادرست، به نجاست كشيده شده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هم چنين هنگامى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الدائمة للبحوث العلمية والافتاء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گونه بايد به كسانى كه خداوند را در همه جا حاضر مى دانند پاسخ داد؟ و حكم كسى كه قائل به آن باشد،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فتوا چنين پاسخ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عقيده ى اهل سنت و جماعت اين است كه خداوند بر عرش خود نشسته و داخل در عالم نيست؛ بلكه خارج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ثانياً، كسى كه اعتقاد داشته باشد خداوند در همه جا هست،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پذيرفت كه خداوند بر عرش نشسته و خارج از عالم است، مسلمان، وگرنه كافر و مرتد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چنان كه ديده مى شود، در نگاه البانى و دانشمندان وهابى، همه ى مسلمانانى كه استوا را بر استيلا، و حضور خداوند را در همه جاى عالم ثابت مى دانند، كافرند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البانى نيز به آن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ابن فوزان ديدگاه تجسيم را به سلف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ادعايى را از ابن تيميه به ارث برده است؛ چنان كه ابن تيميه نيز در رد تأويل مى 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تفاسير نقل شده از صحابه و احاديث روايت شده از پيامبر گرامى اسلام صلى الله عليه و آله را مطالعه و بيش از صد تفسير بزرگ و كوچك را بررسى كردم؛ تا اين ساعت هيچ يك از صحابه را نديدم كه چيزى از آيات يا احاديث صفات را برخلاف معنى ظاهرى شان تأويل كرده باشند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اين در حالى است كه طبرى در تفسير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نظر ابن تيميه بهترين تفسير است و در آن، بدعت و يا روايت ضعيفى وجود ندارد </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در تفسير آيه ى شريفه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تأويل، در معنى كرسى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ها گفته اند كه مراد از كرسى،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با سند معتبر، ابن عباس را صاحب اين ديدگاه معرفى مى كند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آن گاه به اقوال تشبيه آميز اشاره مى كند؛ مانند رواياتى كه كرسى را جاى پاى خدا مى شمارند و يا بيان مى كنند كه هنگام نشستن خدا بر روى عرش، به سبب سنگينى او، عرش ناله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پايان، ديدگاه ابن عباس را مبنى بر اين كه تأويل كرسى به علم خداست،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 چنين ضمن برشمردن ديدگاه هاى مختلف درباره 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اَلْعَلِيُّ اَلْعَظِيمُ‌</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كه مراد از علو، بالا بودن مكانى است، كه با تجسيم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قولى از سلف اشاره مى كند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خداوند، برتر از نظير و شبيه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با توجه به آن چه گفته شد، به نظر مى رسد جز خود ابن تيميه و پيروانش در قرن هفتم و سپس وهابيان، در ميان مسلمانان كسى قائل به ظاهرگرايى نيست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وهابيت كوشيده است كه خود را از تشبيه و تجسيم پاك كند و براى فرار از آن، به گفته هايى مانند اين كه كيفيت دست خداوند و يا راه رفتن او براى ما روشن نيست، متوسل شده است، اما اعتقاد به معنى ظاهرى، ناگزير آنان را به دام تشبيه مى اندازد؛ به ويژه با تصريحاتى كه در گفته هاى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همان گونه كه</w:t>
      </w:r>
      <w:bookmarkStart w:id="217" w:name="pg15502_176975"/>
    </w:p>
    <w:p>
      <w:pPr>
        <w:pStyle w:val="BookText"/>
        <w:rPr/>
      </w:pPr>
      <w:bookmarkEnd w:id="217"/>
      <w:r>
        <w:rPr>
          <w:rFonts w:ascii="IRNazanin" w:hAnsi="IRNazanin" w:eastAsia="IRNazanin"/>
          <w:color w:val="111111"/>
          <w:sz w:val="28"/>
          <w:sz w:val="28"/>
          <w:szCs w:val="28"/>
          <w:rtl w:val="true"/>
          <w:lang w:bidi="fa-IR"/>
        </w:rPr>
        <w:t>اشاره خواهد شد، پاى بندى به روايات ضعيف و اسرائيليات در اين زمينه، گرايش هاى تجسيمى آنان را كاملاً آشكار مى كند</w:t>
      </w:r>
      <w:r>
        <w:rPr>
          <w:rFonts w:eastAsia="IRNazanin" w:cs="IRNazanin"/>
          <w:color w:val="111111"/>
          <w:sz w:val="28"/>
          <w:szCs w:val="28"/>
          <w:rtl w:val="true"/>
          <w:lang w:bidi="fa-IR"/>
        </w:rPr>
        <w:t>.</w:t>
      </w:r>
    </w:p>
    <w:p>
      <w:pPr>
        <w:pStyle w:val="Heading6"/>
        <w:numPr>
          <w:ilvl w:val="5"/>
          <w:numId w:val="1"/>
        </w:numPr>
        <w:rPr/>
      </w:pPr>
      <w:bookmarkStart w:id="218" w:name="__RefHeading___Toc8088942_2142443653"/>
      <w:bookmarkStart w:id="219" w:name="_Toc85"/>
      <w:bookmarkEnd w:id="218"/>
      <w:r>
        <w:rPr/>
        <w:t>1</w:t>
      </w:r>
      <w:r>
        <w:rPr>
          <w:rtl w:val="true"/>
        </w:rPr>
        <w:t>‏-‏</w:t>
      </w:r>
      <w:r>
        <w:rPr/>
        <w:t>1</w:t>
      </w:r>
      <w:r>
        <w:rPr>
          <w:rtl w:val="true"/>
        </w:rPr>
        <w:t>‏-‏</w:t>
      </w:r>
      <w:r>
        <w:rPr/>
        <w:t>3</w:t>
      </w:r>
      <w:r>
        <w:rPr>
          <w:rtl w:val="true"/>
        </w:rPr>
        <w:t xml:space="preserve"> - </w:t>
      </w:r>
      <w:r>
        <w:rPr>
          <w:rtl w:val="true"/>
        </w:rPr>
        <w:t>تفويض كيفيت</w:t>
      </w:r>
      <w:bookmarkEnd w:id="219"/>
    </w:p>
    <w:p>
      <w:pPr>
        <w:pStyle w:val="BookText"/>
        <w:rPr/>
      </w:pPr>
      <w:r>
        <w:rPr>
          <w:rFonts w:ascii="Amiri" w:hAnsi="Amiri" w:eastAsia="Amiri" w:cs="Amiri"/>
          <w:color w:val="111111"/>
          <w:sz w:val="28"/>
          <w:sz w:val="28"/>
          <w:szCs w:val="28"/>
          <w:rtl w:val="true"/>
          <w:lang w:bidi="ar-SA"/>
        </w:rPr>
        <w:t>تفويض در مسأله ى صفات خبرى، به دو معنى به كار رفته است</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تفويض علم به صفات خبرى به خداوند</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تفويض كيفيت صفات خبرى به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نظريه ى تفويض علم، در زمره ى نظريه هاى تنزيهى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تفويض، علم به صفت الهى، از ابتدا به خود خداوند واگذار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ديدگاه با مشكلات اساسى روبه روست، به هرحال تلاشى است براى دورى از تشبيه و تجسيم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نظريه ى تفويض كيفيت، كه وهابيان به پى روى از ابن تيميه آن را مطرح كرده اند، افزون بر حمل صفات خبرى بر معنى ظاهرى، كيفيت نيز براى صفت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عثيمين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هرگز كيفيت را نفى نكرده است؛ زيرا نفى مطلق كيفيت، نفى وجود است و هيچ موجودى نيست، مگر اين كه داراى كيفيت است؛ اما اين كيفيت، گاهى معلوم است و گاهى مجهول؛ و كيفيت ذات خداوند و صفات وى براى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خداوند كيفيتى ثابت مى شود كه ما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كيفيت از استوا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تعطيل اين صفت است؛ زيرا اگر ما استوا را حقيقتاً ثابت كرديم، بايد داراى كيفتى باشد و چنين است در بقيه ى صفات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ديده مى شود، آنان كيفيت را نيز براى صفت ثابت مى كنند و براى فرار از تشبيه،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كيفيت وجود دارد، اما چه گونگى آن براى ما روشن نيست؛ اما به راستى چه فايده اى در اثبات كيفيت مجهول هست‌؟</w:t>
      </w:r>
      <w:r>
        <w:rPr>
          <w:rStyle w:val="FootnoteAnchor"/>
          <w:rtl w:val="true"/>
        </w:rPr>
        <w:footnoteReference w:id="22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 حالى است كه كيفيت، از اعراض اشياست؛</w:t>
      </w:r>
      <w:r>
        <w:rPr>
          <w:rStyle w:val="FootnoteAnchor"/>
          <w:rtl w:val="true"/>
        </w:rPr>
        <w:footnoteReference w:id="227"/>
      </w:r>
      <w:r>
        <w:rPr>
          <w:rFonts w:ascii="IRNazanin" w:hAnsi="IRNazanin" w:eastAsia="IRNazanin"/>
          <w:color w:val="111111"/>
          <w:sz w:val="28"/>
          <w:sz w:val="28"/>
          <w:szCs w:val="28"/>
          <w:rtl w:val="true"/>
          <w:lang w:bidi="fa-IR"/>
        </w:rPr>
        <w:t>يعنى وجودش همانند جوهر، مستقل نيست و به وجود ديگرى نياز دارد؛ مانند حيوان يا درخت كه جوهرند و در وجودشان به چيز ديگرى نياز ندارند؛ اما رنگ، كيفى است كه تنها هنگامى وجود مى يابد كه بر جسمى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نيز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نفسانى،</w:t>
      </w:r>
      <w:r>
        <w:rPr>
          <w:rStyle w:val="FootnoteAnchor"/>
          <w:rtl w:val="true"/>
        </w:rPr>
        <w:footnoteReference w:id="228"/>
      </w:r>
      <w:r>
        <w:rPr>
          <w:rFonts w:ascii="IRNazanin" w:hAnsi="IRNazanin" w:eastAsia="IRNazanin"/>
          <w:color w:val="111111"/>
          <w:sz w:val="28"/>
          <w:sz w:val="28"/>
          <w:szCs w:val="28"/>
          <w:rtl w:val="true"/>
          <w:lang w:bidi="fa-IR"/>
        </w:rPr>
        <w:t>محسوس،</w:t>
      </w:r>
      <w:r>
        <w:rPr>
          <w:rStyle w:val="FootnoteAnchor"/>
          <w:rtl w:val="true"/>
        </w:rPr>
        <w:footnoteReference w:id="229"/>
      </w:r>
      <w:r>
        <w:rPr>
          <w:rFonts w:ascii="Amiri" w:hAnsi="Amiri" w:eastAsia="Amiri" w:cs="Amiri"/>
          <w:color w:val="111111"/>
          <w:sz w:val="28"/>
          <w:sz w:val="28"/>
          <w:szCs w:val="28"/>
          <w:rtl w:val="true"/>
          <w:lang w:bidi="ar-SA"/>
        </w:rPr>
        <w:t>مخصوص به كم</w:t>
      </w:r>
      <w:r>
        <w:rPr>
          <w:rStyle w:val="FootnoteAnchor"/>
          <w:rtl w:val="true"/>
        </w:rPr>
        <w:footnoteReference w:id="230"/>
      </w:r>
      <w:r>
        <w:rPr>
          <w:rFonts w:ascii="IRNazanin" w:hAnsi="IRNazanin" w:eastAsia="IRNazanin"/>
          <w:color w:val="111111"/>
          <w:sz w:val="28"/>
          <w:sz w:val="28"/>
          <w:szCs w:val="28"/>
          <w:rtl w:val="true"/>
          <w:lang w:bidi="fa-IR"/>
        </w:rPr>
        <w:t>و استعدادى</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همان گونه كه گفته شد، همه ى اين انواع نيز به جسم</w:t>
      </w:r>
    </w:p>
    <w:p>
      <w:pPr>
        <w:pStyle w:val="BookText"/>
        <w:rPr/>
      </w:pPr>
      <w:r>
        <w:rPr>
          <w:rFonts w:ascii="Amiri" w:hAnsi="Amiri" w:eastAsia="Amiri" w:cs="Amiri"/>
          <w:color w:val="111111"/>
          <w:sz w:val="28"/>
          <w:sz w:val="28"/>
          <w:szCs w:val="28"/>
          <w:rtl w:val="true"/>
          <w:lang w:bidi="ar-SA"/>
        </w:rPr>
        <w:t>اختصاص دارد كه يا بى واسطه بر جسم عارض مى شوند يا باواسطه، مانند كيف مخصوص به 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وهابيان به سبب ديدگاه عقل ستيز خود ازيك سو، و ظاهرگرايى و حس گرايى ازسوى ديگر، خداوند متعال را نيز همانند اجسام فرض كرده اند كه اگر كيفيتى به وى نسبت داده نشود، معنايش وجود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ابن تيميه به گمان خود، كيفيتى را براى صفات ثابت مى كند كه مستلزم كميت و شكل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ابن تيميه و پيروان معاصر وى چنين ديدگاهى را به مالك نسبت مى دهند؛</w:t>
      </w:r>
      <w:r>
        <w:rPr>
          <w:rStyle w:val="FootnoteAnchor"/>
          <w:rtl w:val="true"/>
        </w:rPr>
        <w:footnoteReference w:id="233"/>
      </w:r>
      <w:r>
        <w:rPr>
          <w:rFonts w:ascii="IRNazanin" w:hAnsi="IRNazanin" w:eastAsia="IRNazanin"/>
          <w:color w:val="111111"/>
          <w:sz w:val="28"/>
          <w:sz w:val="28"/>
          <w:szCs w:val="28"/>
          <w:rtl w:val="true"/>
          <w:lang w:bidi="fa-IR"/>
        </w:rPr>
        <w:t xml:space="preserve">در حالى كه مالكى ها چنين نسبتى را به امام خود تكذيب مى كنند؛ چنان كه شهاب الدين قرافى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عالمان مالكى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ى مالك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الاستواء غير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دليل عقلى، بر استوايى دلالت مى كند كه شايسته ى عظمت و جلال خداوند متعال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غير از نشستن است و به اجسام مربوط مى شود، و گفته ى مالك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والكيف غير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است كه ذات خداوند را نمى توان به آن چه عرب براى لفظ كيف وضع كرده است، وصف كرد؛ زيرا كيف به معنى حالت هاى گوناگون و شكل هاى مختلف جسم است و معقول نيست كه چنين صفاتى درباره ى خداوند به كار رود؛ زيرا در تضاد با ربوبيت خداست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نيز عباراتى نقل شده است كه به خوبى نشانگر نگاه ضدتشبيهى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وى، اگر كسى هنگام قرائت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تكان</w:t>
      </w:r>
      <w:bookmarkStart w:id="220" w:name="pg15502_176982"/>
    </w:p>
    <w:p>
      <w:pPr>
        <w:pStyle w:val="BookText"/>
        <w:rPr/>
      </w:pPr>
      <w:bookmarkEnd w:id="220"/>
      <w:r>
        <w:rPr>
          <w:rFonts w:ascii="IRNazanin" w:hAnsi="IRNazanin" w:eastAsia="IRNazanin"/>
          <w:color w:val="111111"/>
          <w:sz w:val="28"/>
          <w:sz w:val="28"/>
          <w:szCs w:val="28"/>
          <w:rtl w:val="true"/>
          <w:lang w:bidi="fa-IR"/>
        </w:rPr>
        <w:t xml:space="preserve">دهد و يا هنگام قرائت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بين الاصبعين من اصابع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انگشتان خود را باز كند، دست و انگشتانش بايد قطع شوند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ديگر عالمان اهل سنت نيز كيفيت را درباره ى خداوند نمى پذيرند</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221" w:name="__RefHeading___Toc8088944_2142443653"/>
      <w:bookmarkStart w:id="222" w:name="_Toc86"/>
      <w:bookmarkEnd w:id="221"/>
      <w:r>
        <w:rPr/>
        <w:t>2</w:t>
      </w:r>
      <w:r>
        <w:rPr>
          <w:rtl w:val="true"/>
        </w:rPr>
        <w:t>‏-‏</w:t>
      </w:r>
      <w:r>
        <w:rPr/>
        <w:t>3</w:t>
      </w:r>
      <w:r>
        <w:rPr>
          <w:rtl w:val="true"/>
        </w:rPr>
        <w:t xml:space="preserve"> - </w:t>
      </w:r>
      <w:r>
        <w:rPr>
          <w:rtl w:val="true"/>
        </w:rPr>
        <w:t>هستى شناسى وهابيت</w:t>
      </w:r>
      <w:r>
        <w:rPr>
          <w:rtl w:val="true"/>
        </w:rPr>
        <w:t xml:space="preserve">: </w:t>
      </w:r>
      <w:r>
        <w:rPr>
          <w:rtl w:val="true"/>
        </w:rPr>
        <w:t>حس گرايى و تشبيه</w:t>
      </w:r>
      <w:bookmarkEnd w:id="22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عواملى كه زمينه ى انديشه ى تشبيهى را فراهم مى كند، حس گرايى است كه با ديگر مبانى سلفى گرى ارتباطى مستقيم دارد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انديشه اى كه در حوزه ى هستى شناسى به حس گرايى معتقد باشد، رسماً در گرداب تشبيه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ذهن حس گرا، عدم توانايى درك موجودات عقلى است؛ موجوداتى كه فراتر از كيف، و تصور مادى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صاحبان اين انديشه ها مجبورند براى خداوند قيافه، شكل و اندامى درنظر بگيرند تا بتوانند وى را تصور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در زمينه ى ارتباط با خدا، به سبب ويژگى حس گرايى به چنين معضلى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ى ايشان، خدايى با سينه اى فراخ، دست ها و انگشتانى دراز، نشسته بر عرش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هيأت افتاى عربستان پرسيده مى شود كه خدا كجاست، آنان رسماً اعلام مى كنند</w:t>
      </w:r>
      <w:bookmarkStart w:id="223" w:name="pg15502_176984"/>
    </w:p>
    <w:p>
      <w:pPr>
        <w:pStyle w:val="BookText"/>
        <w:rPr/>
      </w:pPr>
      <w:bookmarkEnd w:id="223"/>
      <w:r>
        <w:rPr>
          <w:rFonts w:ascii="Amiri" w:hAnsi="Amiri" w:eastAsia="Amiri" w:cs="Amiri"/>
          <w:color w:val="111111"/>
          <w:sz w:val="28"/>
          <w:sz w:val="28"/>
          <w:szCs w:val="28"/>
          <w:rtl w:val="true"/>
          <w:lang w:bidi="ar-SA"/>
        </w:rPr>
        <w:t>خداوند بر روى عرش و خارج از اين جهان است و كسى كه اعتقاد به حضور خدا در اين عالم داشته باشد، كافر، مرتد و خارج از اسلام است</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وضعيت تشبيه گرايى وهابيان به سبب ظاهرگرايى و حس گرايى تا بدان جا پيش رفته است كه برخى از علماى اهل سنت، به مقايسه ميان انديشه هاى تجسيم گراى يهود و وهابيت پرداخته اند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224" w:name="__RefHeading___Toc8088946_2142443653"/>
      <w:bookmarkStart w:id="225" w:name="_Toc87"/>
      <w:bookmarkEnd w:id="224"/>
      <w:r>
        <w:rPr/>
        <w:t>4</w:t>
      </w:r>
      <w:r>
        <w:rPr>
          <w:rtl w:val="true"/>
        </w:rPr>
        <w:t xml:space="preserve"> - </w:t>
      </w:r>
      <w:r>
        <w:rPr>
          <w:rtl w:val="true"/>
        </w:rPr>
        <w:t>مصاديق تجسيم در انديشه ى وهابيت</w:t>
      </w:r>
      <w:bookmarkEnd w:id="225"/>
    </w:p>
    <w:p>
      <w:pPr>
        <w:pStyle w:val="BookText"/>
        <w:rPr/>
      </w:pPr>
      <w:r>
        <w:rPr>
          <w:rFonts w:ascii="IRNazanin" w:hAnsi="IRNazanin" w:eastAsia="IRNazanin"/>
          <w:color w:val="111111"/>
          <w:sz w:val="28"/>
          <w:sz w:val="28"/>
          <w:szCs w:val="28"/>
          <w:rtl w:val="true"/>
          <w:lang w:bidi="fa-IR"/>
        </w:rPr>
        <w:t>جدا از مبانى نظرى وهابيت در حوزه ى صفات خبرى، مى توان ردپاى تجسيم را به سادگى در انديشه ى وهابيت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ازجلوه هاى تجسيم گرايى وهابيت، تلاش آنان براى گسترش و ترويج انديشه ى تجسيم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گذشته به آثارى كه انديشه ى تجسيمى داشتند،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تمامى اين آثار در دوران وهابيت، به دست وهابيان تحقيق شده و به چاپ رسيده است و به منزله ى متون اصلى اعتقادى از سوى آنان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در قالب مكتوبات، منشورات و نرم افزار، به دورترين نقاط جهان اسلام فرستاده مى شود؛ آثارى كه سرشار از انحرافات و نسبت هاى ناروا به ساحت مقدس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معمولاً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الجهمية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آثار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عبدالله بن احمدبن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در انتسابش به وى نيز ابهامات اساسى وجود دارد، لبالب از اخبار تجسيمى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اين كتاب، در ابتداى آن مى گويد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از نخستين مصادرى است كه در عقيده ى سلف نوشته شده و زنده كردن آن براى مردم اين عصر، ضرورى است</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اين در حالى است كه خود محقق، تقريباً از هر صد روايتى كه در اين كتاب نقل شده،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از نظر سندى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در زمينه ى جلوس خداوند بر عرش، ناليدن كرسى از سنگينى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اين كتاب، رواياتى از امام مالك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در دين كيد كرد و كسى كه در دين كيد و مكر كند، از دين نيست؛</w:t>
      </w:r>
      <w:r>
        <w:rPr>
          <w:rStyle w:val="FootnoteAnchor"/>
          <w:rtl w:val="true"/>
        </w:rPr>
        <w:footnoteReference w:id="242"/>
      </w:r>
      <w:r>
        <w:rPr>
          <w:rFonts w:ascii="Amiri" w:hAnsi="Amiri" w:eastAsia="Amiri" w:cs="Amiri"/>
          <w:color w:val="111111"/>
          <w:sz w:val="28"/>
          <w:sz w:val="28"/>
          <w:szCs w:val="28"/>
          <w:rtl w:val="true"/>
          <w:lang w:bidi="ar-SA"/>
        </w:rPr>
        <w:t>يا ابوحنيفه قائل است كه مسكر حلال است؛</w:t>
      </w:r>
      <w:r>
        <w:rPr>
          <w:rStyle w:val="FootnoteAnchor"/>
          <w:rtl w:val="true"/>
        </w:rPr>
        <w:footnoteReference w:id="243"/>
      </w:r>
      <w:r>
        <w:rPr>
          <w:rFonts w:ascii="IRNazanin" w:hAnsi="IRNazanin" w:eastAsia="IRNazanin"/>
          <w:color w:val="111111"/>
          <w:sz w:val="28"/>
          <w:sz w:val="28"/>
          <w:szCs w:val="28"/>
          <w:rtl w:val="true"/>
          <w:lang w:bidi="fa-IR"/>
        </w:rPr>
        <w:t>و يا ابوحنيفه دو بار كافر شد و سپس توبه كرد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چنان كه ديده مى شود، اين كتاب نه تنها سخيف ترين نسبت ها را به ساحت مقدس خداوند مى دهد، تيغ تفرقه و نفاق را ميان مسلمانان مى كشد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اين آثار،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ى ابن ابى عاصم است كه نه تنها توسط ناصرالدين البانى، بلكه توسط باسم بن فيصل الجوابره نيز تحقيق شده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خزيمه نيز توسط عبدالعزيز ابراهيم الشهوان تحقيق شده و او با اين تحقيق، دكتراى خود را گرفته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هم چنين عثمان بن سعيد دارمى نيز بسيار مورد توجه وهابيان است و دو كتاب وى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المريسى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الجهمية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حامد الفقى</w:t>
      </w:r>
      <w:r>
        <w:rPr>
          <w:rStyle w:val="FootnoteAnchor"/>
          <w:rtl w:val="true"/>
        </w:rPr>
        <w:footnoteReference w:id="247"/>
      </w:r>
      <w:r>
        <w:rPr>
          <w:rFonts w:ascii="IRNazanin" w:hAnsi="IRNazanin" w:eastAsia="IRNazanin"/>
          <w:color w:val="111111"/>
          <w:sz w:val="28"/>
          <w:sz w:val="28"/>
          <w:szCs w:val="28"/>
          <w:rtl w:val="true"/>
          <w:lang w:bidi="fa-IR"/>
        </w:rPr>
        <w:t>و بد البدر</w:t>
      </w:r>
      <w:r>
        <w:rPr>
          <w:rStyle w:val="FootnoteAnchor"/>
          <w:rtl w:val="true"/>
        </w:rPr>
        <w:footnoteReference w:id="248"/>
      </w:r>
      <w:r>
        <w:rPr>
          <w:rFonts w:ascii="IRNazanin" w:hAnsi="IRNazanin" w:eastAsia="IRNazanin"/>
          <w:color w:val="111111"/>
          <w:sz w:val="28"/>
          <w:sz w:val="28"/>
          <w:szCs w:val="28"/>
          <w:rtl w:val="true"/>
          <w:lang w:bidi="fa-IR"/>
        </w:rPr>
        <w:t>تحقيق، و در شمارگان بسيار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ى عثمان بن ابى شيبه توسط محمدبن خليفه ى تميمى تحقيق</w:t>
      </w:r>
    </w:p>
    <w:p>
      <w:pPr>
        <w:pStyle w:val="BookText"/>
        <w:rPr/>
      </w:pPr>
      <w:r>
        <w:rPr>
          <w:rFonts w:ascii="IRNazanin" w:hAnsi="IRNazanin" w:eastAsia="IRNazanin"/>
          <w:color w:val="111111"/>
          <w:sz w:val="28"/>
          <w:sz w:val="28"/>
          <w:szCs w:val="28"/>
          <w:rtl w:val="true"/>
          <w:lang w:bidi="fa-IR"/>
        </w:rPr>
        <w:t>شده و وى درجه ى دكتراى خود را با اين تحقيق گرفته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محمدبن حمد النجدى درباره 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التأويلات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ابويعلى الفراء تحقيق كرده است و به پندار خودش، اين كتاب تنها كتابى است كه بر رد تأويلات اشاعره، معتزله و جهميه در زمينه ى اخبار صفات الهى نوشته شده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ابويعلى در كتاب خود، براى خداوند خنديدن، ران، دندان آسيا، انگشت، پا، صورت، دو دست، ساق پا، سينه، ساعد و مانند اين ها را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در همه ى كتاب هاى منتشرشده توسط وهابيان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وهابى نيز در كتاب هاى خود به شدت به اين ديدگاه ها استناد و آن ها را تأييد كرده 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جالب آن كه وهابيان چنان درگير تشبيه شده اند كه براى اثبات جايگاه خداوند در آسمان، به پى روى از ابن تيميه</w:t>
      </w:r>
      <w:r>
        <w:rPr>
          <w:rStyle w:val="FootnoteAnchor"/>
          <w:rtl w:val="true"/>
        </w:rPr>
        <w:footnoteReference w:id="252"/>
      </w:r>
      <w:r>
        <w:rPr>
          <w:rFonts w:ascii="IRNazanin" w:hAnsi="IRNazanin" w:eastAsia="IRNazanin"/>
          <w:color w:val="111111"/>
          <w:sz w:val="28"/>
          <w:sz w:val="28"/>
          <w:szCs w:val="28"/>
          <w:rtl w:val="true"/>
          <w:lang w:bidi="fa-IR"/>
        </w:rPr>
        <w:t>به گفته ى فرعون استناد مى كنند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فِرْعَوْنُ يٰا هٰامٰانُ اِبْنِ لِي صَرْحاً لَعَلِّي أَبْلُغُ اَلْأَسْبٰابَ أَسْبٰابَ اَلسَّمٰاوٰاتِ فَأَطَّلِعَ إِلىٰ إِلٰهِ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بناى بلندى بساز تا بر فراز آن بروم؛ شايد به اسباب و وسايلى دست بيابم؛ وسايلى آسمانى تا بدين طريق از خداى موسى اطلاع يابم</w:t>
      </w:r>
      <w:r>
        <w:rPr>
          <w:rFonts w:eastAsia="IRNazanin" w:cs="IRNazanin"/>
          <w:color w:val="111111"/>
          <w:sz w:val="28"/>
          <w:szCs w:val="28"/>
          <w:rtl w:val="true"/>
          <w:lang w:bidi="fa-IR"/>
        </w:rPr>
        <w:t>».</w:t>
      </w:r>
      <w:bookmarkStart w:id="226" w:name="pg15502_176990"/>
    </w:p>
    <w:p>
      <w:pPr>
        <w:pStyle w:val="BookText"/>
        <w:rPr/>
      </w:pPr>
      <w:bookmarkEnd w:id="226"/>
      <w:r>
        <w:rPr>
          <w:rFonts w:ascii="IRNazanin" w:hAnsi="IRNazanin" w:eastAsia="IRNazanin"/>
          <w:color w:val="111111"/>
          <w:sz w:val="28"/>
          <w:sz w:val="28"/>
          <w:szCs w:val="28"/>
          <w:rtl w:val="true"/>
          <w:lang w:bidi="fa-IR"/>
        </w:rPr>
        <w:t>اين در حالى است كه در اين آيات، نه خداوند به وجود خود در آسمان اشاره اى كرده و نه حضرت موسى عليه السلام چنين ادعايى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نيز براى اثبات وجود خداوند در آسمان، به گفته ى فرعون استناد كرده اند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227" w:name="__RefHeading___Toc8088948_2142443653"/>
      <w:bookmarkStart w:id="228" w:name="_Toc88"/>
      <w:bookmarkEnd w:id="227"/>
      <w:r>
        <w:rPr/>
        <w:t>5</w:t>
      </w:r>
      <w:r>
        <w:rPr>
          <w:rtl w:val="true"/>
        </w:rPr>
        <w:t xml:space="preserve"> - </w:t>
      </w:r>
      <w:r>
        <w:rPr>
          <w:rtl w:val="true"/>
        </w:rPr>
        <w:t xml:space="preserve">وهابيت و دشمنى با انديشه هاى تنزيهى </w:t>
      </w:r>
      <w:r>
        <w:rPr>
          <w:rtl w:val="true"/>
        </w:rPr>
        <w:t>(</w:t>
      </w:r>
      <w:r>
        <w:rPr>
          <w:rtl w:val="true"/>
        </w:rPr>
        <w:t>مسلمانان</w:t>
      </w:r>
      <w:r>
        <w:rPr>
          <w:rtl w:val="true"/>
        </w:rPr>
        <w:t>)</w:t>
      </w:r>
      <w:bookmarkEnd w:id="228"/>
    </w:p>
    <w:p>
      <w:pPr>
        <w:pStyle w:val="BookText"/>
        <w:rPr/>
      </w:pPr>
      <w:r>
        <w:rPr>
          <w:rFonts w:ascii="IRNazanin" w:hAnsi="IRNazanin" w:eastAsia="IRNazanin"/>
          <w:color w:val="111111"/>
          <w:sz w:val="28"/>
          <w:sz w:val="28"/>
          <w:szCs w:val="28"/>
          <w:rtl w:val="true"/>
          <w:lang w:bidi="fa-IR"/>
        </w:rPr>
        <w:t>همان گونه كه در ابتداى اين كتاب نيز گفته شد، وهابيت نه تنها با شيعه، كه با همه ى فرقه هاى اسلامى سر جنگ دارد و بدين سبب، جريانى انحرافى در جهان اسلام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موارد اختلاف وهابيت و مسلمانان، مسأله ى صفات 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قرائتى كه وهابيت از توحيد اسما و صفات دارد، همه ى مسلمانان به جز سلفى هاى وهابى، يا از دايره ى اسلام خارجند و يا از فِرق اهل سنت شمرده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ابن تيميه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ترين مسائلى كه متكلمان اشعرى با اهل حديث در آن مخالفت كرده اند، در سه محور خلاصه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خداوند به اين كه بالاى عرش قراردارد؛ مسأله ى قرآن؛ و مسأله ى تأويل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مسأله ى تأويل صفات مهم ترين آن هاست و باقى مسائل، فرعى است</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ابن فوزان نيز معتقد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اشاعره از اسلام خارج نشده اند؛ اما از اهل سنت و جماعت نيستند؛ زيرا با اهل سنت در اثبات صفات بدون تأويل مخالفت مى كنند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بن باز نيز مى گويد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اشاعره و اشباه آن ها در مسأله ى صفات، داخل در اهل سنت نيستند؛ زيرا در اين مسأله با اهل سنت مخالفت كرده و راهى غير از راه سلف رفته اند</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در اين ميان، شعرى منتسب به عبدالله محمد القحطانى الاندلسى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نونيه ى قحطانى، بدترين اهانت ها را به اشعرى و پيروان 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مبتدى در عربستان اين شعر را حفظ مى كنند و نسخه هاى آن در بسيارى از مساجد بزرگ عربستان ديده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اهجو الاشعرى وحزبه وأذيع ما كتموا من البهتان</w:t>
      </w:r>
    </w:p>
    <w:p>
      <w:pPr>
        <w:pStyle w:val="BookText"/>
        <w:rPr/>
      </w:pPr>
      <w:r>
        <w:rPr>
          <w:rFonts w:ascii="Amiri" w:hAnsi="Amiri" w:eastAsia="Amiri" w:cs="Amiri"/>
          <w:color w:val="111111"/>
          <w:sz w:val="28"/>
          <w:sz w:val="28"/>
          <w:szCs w:val="28"/>
          <w:rtl w:val="true"/>
          <w:lang w:bidi="ar-SA"/>
        </w:rPr>
        <w:t>عطلتم السبع السموات العلى والعرش اخليتم من الرحمن</w:t>
      </w:r>
    </w:p>
    <w:p>
      <w:pPr>
        <w:pStyle w:val="BookText"/>
        <w:rPr/>
      </w:pPr>
      <w:r>
        <w:rPr>
          <w:rFonts w:ascii="Amiri" w:hAnsi="Amiri" w:eastAsia="Amiri" w:cs="Amiri"/>
          <w:color w:val="111111"/>
          <w:sz w:val="28"/>
          <w:sz w:val="28"/>
          <w:szCs w:val="28"/>
          <w:rtl w:val="true"/>
          <w:lang w:bidi="ar-SA"/>
        </w:rPr>
        <w:t>لأقطعن بمعولى أعراضكم ما دام يصحب مهجتى جثمانى</w:t>
      </w:r>
    </w:p>
    <w:p>
      <w:pPr>
        <w:pStyle w:val="BookText"/>
        <w:rPr/>
      </w:pPr>
      <w:r>
        <w:rPr>
          <w:rFonts w:ascii="Amiri" w:hAnsi="Amiri" w:eastAsia="Amiri" w:cs="Amiri"/>
          <w:color w:val="111111"/>
          <w:sz w:val="28"/>
          <w:sz w:val="28"/>
          <w:szCs w:val="28"/>
          <w:rtl w:val="true"/>
          <w:lang w:bidi="ar-SA"/>
        </w:rPr>
        <w:t>ولأكتبن الى البلاد بسبكم فيسير سير البزل بالبركان</w:t>
      </w:r>
    </w:p>
    <w:p>
      <w:pPr>
        <w:pStyle w:val="BookText"/>
        <w:rPr/>
      </w:pPr>
      <w:r>
        <w:rPr>
          <w:rFonts w:ascii="Amiri" w:hAnsi="Amiri" w:eastAsia="Amiri" w:cs="Amiri"/>
          <w:color w:val="111111"/>
          <w:sz w:val="28"/>
          <w:sz w:val="28"/>
          <w:szCs w:val="28"/>
          <w:rtl w:val="true"/>
          <w:lang w:bidi="ar-SA"/>
        </w:rPr>
        <w:t>يا أشعريه يا أسافلة الورى يا عمى يا صم بلا آذان</w:t>
      </w:r>
    </w:p>
    <w:p>
      <w:pPr>
        <w:pStyle w:val="BookText"/>
        <w:rPr/>
      </w:pPr>
      <w:r>
        <w:rPr>
          <w:rFonts w:ascii="Amiri" w:hAnsi="Amiri" w:eastAsia="Amiri" w:cs="Amiri"/>
          <w:color w:val="111111"/>
          <w:sz w:val="28"/>
          <w:sz w:val="28"/>
          <w:szCs w:val="28"/>
          <w:rtl w:val="true"/>
          <w:lang w:bidi="ar-SA"/>
        </w:rPr>
        <w:t>انى لأبغضكم وأبغض حزبكم بغضا أقل قليله اضغانى</w:t>
      </w:r>
    </w:p>
    <w:p>
      <w:pPr>
        <w:pStyle w:val="BookText"/>
        <w:rPr/>
      </w:pPr>
      <w:r>
        <w:rPr>
          <w:rFonts w:ascii="Amiri" w:hAnsi="Amiri" w:eastAsia="Amiri" w:cs="Amiri"/>
          <w:color w:val="111111"/>
          <w:sz w:val="28"/>
          <w:sz w:val="28"/>
          <w:szCs w:val="28"/>
          <w:rtl w:val="true"/>
          <w:lang w:bidi="ar-SA"/>
        </w:rPr>
        <w:t>لو كنت أعمى المقلتين لسرنى كيلا يرى إنسانكم إنسانى</w:t>
      </w:r>
    </w:p>
    <w:p>
      <w:pPr>
        <w:pStyle w:val="BookText"/>
        <w:rPr/>
      </w:pPr>
      <w:r>
        <w:rPr>
          <w:rFonts w:ascii="Amiri" w:hAnsi="Amiri" w:eastAsia="Amiri" w:cs="Amiri"/>
          <w:color w:val="111111"/>
          <w:sz w:val="28"/>
          <w:sz w:val="28"/>
          <w:szCs w:val="28"/>
          <w:rtl w:val="true"/>
          <w:lang w:bidi="ar-SA"/>
        </w:rPr>
        <w:t>قد عشت مسروراً ومت مخفراً ولقيت ربى سرنى ورعانى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أدخر عملاً لربى صالحاً لكن بإسخاطى لكم أرضانى</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 ازآن جاكه بسيارى از بزرگان اهل سنت، اشعرى را ستوده اند، وهابيان نمى توانند چشم خود را بر واقعيت ببندند و ناگزير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علماى فقه و حديث توسط اشعرى فريب خوردند و با برخى از بدعت هاى او موافقت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انديشه ها به عنوان عقيده ى اهل سنت، در مصر، شام و عراق گسترش يافت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اين در حالى است كه چنان كه گفته شد، تقريباً همه ى اهل سنت، پيرو مذهب كلامى اشعرى اند و حتى خود ربيع المدخلى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قرن ششم قمرى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به خود لقب اهل سنت و جماعت مى دادند؛ درحالى كه شيوه و روش سلف كه روش احمدبن حنبل و ائمه ى قبل بود، مخفى بود؛ تاآن جاكه در تمامى عالم اسلامى به اندازه ى انگشتان دست، پيرو مكتب سلفى وجود نداشت</w:t>
      </w:r>
      <w:r>
        <w:rPr>
          <w:rFonts w:eastAsia="IRNazanin" w:cs="IRNazanin"/>
          <w:color w:val="111111"/>
          <w:sz w:val="28"/>
          <w:szCs w:val="28"/>
          <w:rtl w:val="true"/>
          <w:lang w:bidi="fa-IR"/>
        </w:rPr>
        <w:t>».</w:t>
      </w:r>
      <w:r>
        <w:rPr>
          <w:rStyle w:val="FootnoteAnchor"/>
          <w:rtl w:val="true"/>
        </w:rPr>
        <w:footnoteReference w:id="25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ديده مى شود، خود وهابيان به كمى پيروان مكتب سلفى اعتقاد دارند و انديشه ى اشعرى را فراگير مى دانند؛ اما بااين حال، خود را اهل سنت مى دانند و فرقه هاى اسلامى را از اهل سنت نمى شمارند</w:t>
      </w:r>
      <w:r>
        <w:rPr>
          <w:rFonts w:eastAsia="IRNazanin" w:cs="IRNazanin"/>
          <w:color w:val="111111"/>
          <w:sz w:val="28"/>
          <w:szCs w:val="28"/>
          <w:rtl w:val="true"/>
          <w:lang w:bidi="fa-IR"/>
        </w:rPr>
        <w:t>.</w:t>
      </w:r>
      <w:bookmarkStart w:id="229" w:name="pg15502_176996"/>
    </w:p>
    <w:p>
      <w:pPr>
        <w:pStyle w:val="Heading3"/>
        <w:numPr>
          <w:ilvl w:val="2"/>
          <w:numId w:val="1"/>
        </w:numPr>
        <w:rPr/>
      </w:pPr>
      <w:bookmarkStart w:id="230" w:name="__RefHeading___Toc8088950_2142443653"/>
      <w:bookmarkStart w:id="231" w:name="_Toc89"/>
      <w:bookmarkEnd w:id="229"/>
      <w:bookmarkEnd w:id="230"/>
      <w:r>
        <w:rPr>
          <w:rtl w:val="true"/>
        </w:rPr>
        <w:t>فصل ششم</w:t>
      </w:r>
      <w:r>
        <w:rPr>
          <w:rtl w:val="true"/>
        </w:rPr>
        <w:t xml:space="preserve">: </w:t>
      </w:r>
      <w:r>
        <w:rPr>
          <w:rtl w:val="true"/>
        </w:rPr>
        <w:t>وهابيت و توحيد ربوبى</w:t>
      </w:r>
      <w:bookmarkEnd w:id="231"/>
    </w:p>
    <w:p>
      <w:pPr>
        <w:pStyle w:val="Heading4"/>
        <w:numPr>
          <w:ilvl w:val="3"/>
          <w:numId w:val="1"/>
        </w:numPr>
        <w:rPr/>
      </w:pPr>
      <w:bookmarkStart w:id="232" w:name="__RefHeading___Toc8088952_2142443653"/>
      <w:bookmarkStart w:id="233" w:name="_Toc90"/>
      <w:bookmarkEnd w:id="232"/>
      <w:r>
        <w:rPr>
          <w:rtl w:val="true"/>
        </w:rPr>
        <w:t>اشاره</w:t>
      </w:r>
      <w:bookmarkEnd w:id="23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و توحيد ربوبى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34" w:name="pg15502_176999"/>
    </w:p>
    <w:p>
      <w:pPr>
        <w:pStyle w:val="Heading4"/>
        <w:numPr>
          <w:ilvl w:val="3"/>
          <w:numId w:val="1"/>
        </w:numPr>
        <w:rPr/>
      </w:pPr>
      <w:bookmarkStart w:id="235" w:name="__RefHeading___Toc8088954_2142443653"/>
      <w:bookmarkStart w:id="236" w:name="_Toc91"/>
      <w:bookmarkEnd w:id="234"/>
      <w:bookmarkEnd w:id="235"/>
      <w:r>
        <w:rPr/>
        <w:t>1</w:t>
      </w:r>
      <w:r>
        <w:rPr>
          <w:rtl w:val="true"/>
        </w:rPr>
        <w:t xml:space="preserve"> - </w:t>
      </w:r>
      <w:r>
        <w:rPr>
          <w:rtl w:val="true"/>
        </w:rPr>
        <w:t>مقدمه</w:t>
      </w:r>
      <w:bookmarkEnd w:id="236"/>
    </w:p>
    <w:p>
      <w:pPr>
        <w:pStyle w:val="BookText"/>
        <w:rPr/>
      </w:pPr>
      <w:r>
        <w:rPr>
          <w:rFonts w:ascii="IRNazanin" w:hAnsi="IRNazanin" w:eastAsia="IRNazanin"/>
          <w:color w:val="111111"/>
          <w:sz w:val="28"/>
          <w:sz w:val="28"/>
          <w:szCs w:val="28"/>
          <w:rtl w:val="true"/>
          <w:lang w:bidi="fa-IR"/>
        </w:rPr>
        <w:t>چنان كه گفته شد، وهابيت تقسيم سه گانه اى براى توحيد ارائه مى كند كه با عقايد همه ى مسلمانان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وهابيت كه به تجسيم و تشبيه مى انجاميد،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لغزشگاه هاى وهابيت در حوزه ى توحيد،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قرائت نيز صرفاً به وهابيان اختصاص دارد و ديگر مذاهب اسلامى، با آن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قرائت وهابيت در جهان اسلام را بسيار خطرناك مى كند و رنگى استعمارى و تفرقه انگيز به آن مى دهد، مشرك شمردن همه ى مسلمانان بر مبناى اين قرائت از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انديشه، تمام مسلمانان، هرچند در توحيد ربوبى موحدند، در توحيد الوهى مشرك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در همه ى كشتارهاى خود از قرن دوازدهم به بعد، كه هنوز نيز در بسيارى از مناطق جهان اسلام ادامه دارد، از همين حربه استفاده كرده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وهابيت با اين برداشت غيراسلامى از مفهوم توحيد، كارهايى مانند توسل، زيارت و طلب شفاعت را در تعارض با توحيد مى داند و به شرك و اباحه ى خون، مال و ناموس مسلمانان حكم مى دهد؛</w:t>
      </w:r>
      <w:r>
        <w:rPr>
          <w:rStyle w:val="FootnoteAnchor"/>
          <w:rtl w:val="true"/>
        </w:rPr>
        <w:footnoteReference w:id="260"/>
      </w:r>
      <w:r>
        <w:rPr>
          <w:rFonts w:ascii="Amiri" w:hAnsi="Amiri" w:eastAsia="Amiri" w:cs="Amiri"/>
          <w:color w:val="111111"/>
          <w:sz w:val="28"/>
          <w:sz w:val="28"/>
          <w:szCs w:val="28"/>
          <w:rtl w:val="true"/>
          <w:lang w:bidi="ar-SA"/>
        </w:rPr>
        <w:t>حكمى كه حتى ابن تيميه، رهبر فكرى اين انديشه نيز آن را تأييد نكرده بود</w:t>
      </w:r>
      <w:r>
        <w:rPr>
          <w:rFonts w:eastAsia="Amiri" w:cs="Amiri" w:ascii="Amiri" w:hAnsi="Amiri"/>
          <w:color w:val="111111"/>
          <w:sz w:val="28"/>
          <w:szCs w:val="28"/>
          <w:rtl w:val="true"/>
          <w:lang w:bidi="ar-SA"/>
        </w:rPr>
        <w:t>.</w:t>
      </w:r>
      <w:bookmarkStart w:id="237" w:name="pg15502_177001"/>
    </w:p>
    <w:p>
      <w:pPr>
        <w:pStyle w:val="Heading4"/>
        <w:numPr>
          <w:ilvl w:val="3"/>
          <w:numId w:val="1"/>
        </w:numPr>
        <w:rPr/>
      </w:pPr>
      <w:bookmarkStart w:id="238" w:name="__RefHeading___Toc8088956_2142443653"/>
      <w:bookmarkStart w:id="239" w:name="_Toc92"/>
      <w:bookmarkEnd w:id="237"/>
      <w:bookmarkEnd w:id="238"/>
      <w:r>
        <w:rPr/>
        <w:t>2</w:t>
      </w:r>
      <w:r>
        <w:rPr>
          <w:rtl w:val="true"/>
        </w:rPr>
        <w:t xml:space="preserve"> - </w:t>
      </w:r>
      <w:r>
        <w:rPr>
          <w:rtl w:val="true"/>
        </w:rPr>
        <w:t>پيشينه ى توحيد ربوبى و الوهى</w:t>
      </w:r>
      <w:bookmarkEnd w:id="239"/>
    </w:p>
    <w:p>
      <w:pPr>
        <w:pStyle w:val="BookText"/>
        <w:rPr/>
      </w:pPr>
      <w:r>
        <w:rPr>
          <w:rFonts w:ascii="IRNazanin" w:hAnsi="IRNazanin" w:eastAsia="IRNazanin"/>
          <w:color w:val="111111"/>
          <w:sz w:val="28"/>
          <w:sz w:val="28"/>
          <w:szCs w:val="28"/>
          <w:rtl w:val="true"/>
          <w:lang w:bidi="fa-IR"/>
        </w:rPr>
        <w:t>توحيد ربوبى و الوهى، پيشينه اى در تاريخ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اسلام صلى الله عليه و آله، اهل بيت و هيچ يك از صحابه و ائمه ى مذاهب، چنين تقسيمى از توحيد با قرائت وهابى،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چنين تقسيمى را ارائه كرد، ابن تيميه در قرن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برخى از آثار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التعارض بين النقل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التدمرية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به تبيين توحيد ربوبى و الوهى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بااين كه خود را پيرو سلف مى داند، ديدگاهى برخلاف نظريه ى سلف ارائه كرده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اين انديشه همچون ديگر عقايد ابن تيميه، پس از وى دوام نياورد و باوجود تلاش هاى شاگردش، ابن قيم، به فراموشى سپرده شد؛ تا اين كه محمدبن عبدالوهاب در قرن دوازدهم و پيروان او در سده هاى اخير، اين انديشه را احيا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محتواى گفته هاى وهابيان، به خوبى مى توان دريافت كه آنان هرگز چيزى بر نظريات ابن تيميه نيفزوده اند و تنها به شرح و تفسير سخنان او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معاصر نيز هيچ يك از فرقه هاى اسلامى چنين قرائتى را برنتافته اند</w:t>
      </w:r>
      <w:r>
        <w:rPr>
          <w:rFonts w:eastAsia="IRNazanin" w:cs="IRNazanin"/>
          <w:color w:val="111111"/>
          <w:sz w:val="28"/>
          <w:szCs w:val="28"/>
          <w:rtl w:val="true"/>
          <w:lang w:bidi="fa-IR"/>
        </w:rPr>
        <w:t>.</w:t>
      </w:r>
    </w:p>
    <w:p>
      <w:pPr>
        <w:pStyle w:val="Heading4"/>
        <w:numPr>
          <w:ilvl w:val="3"/>
          <w:numId w:val="1"/>
        </w:numPr>
        <w:rPr/>
      </w:pPr>
      <w:bookmarkStart w:id="240" w:name="__RefHeading___Toc8088958_2142443653"/>
      <w:bookmarkStart w:id="241" w:name="_Toc93"/>
      <w:bookmarkEnd w:id="240"/>
      <w:r>
        <w:rPr/>
        <w:t>3</w:t>
      </w:r>
      <w:r>
        <w:rPr>
          <w:rtl w:val="true"/>
        </w:rPr>
        <w:t xml:space="preserve"> - </w:t>
      </w:r>
      <w:r>
        <w:rPr>
          <w:rtl w:val="true"/>
        </w:rPr>
        <w:t>وهابيت و توحيد ربوبى</w:t>
      </w:r>
      <w:bookmarkEnd w:id="2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وهابيت و توحيد ربوبى</w:t>
      </w:r>
      <w:r>
        <w:rPr>
          <w:rStyle w:val="FootnoteAnchor"/>
          <w:rtl w:val="true"/>
        </w:rPr>
        <w:footnoteReference w:id="26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اقسام توحيد در انديشه ى وهابى، توحيد ربوبى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ربوبى در اين انديشه، مفهومى عام است كه انواع عرصه هاى توحيد نظرى را شامل مى شود</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به گفته ى ابن فوزان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ربوبى، اقرار به وحدانيت خداوند است كه او خالق عالم و مدبر جهان است؛ او زنده مى كند و مى ميراند؛ اوست كه روزى مى دهد و داراى قدرت است</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چنين ديدگاهى، در نظرات ابن تيميه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چنين تعريفى از توحيد ربوبى معتقد بود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محمدبن عبدالوهاب حوزه ى توحيد ربوبى را گسترده تر از ابن تيميه ديده و معتقد است مسائلى مانند زنده كردن، ميراندن، رازقيت و تدبير آسمان ها و زمين، همه ذيل توحيد ربوبى قرار مى گيرد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با توجه به تعريف هايى كه از توحيد ربوبى در ادبيات وهابيت ارائه شده است، توحيد ربوبى در نگاه ايشان شبيه توحيد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ى ديگر مسلمانان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همان گونه كه در توحيد نظرى به بررسى توحيد در ذات، خالقيت، رازقيت و توحيد در تدبير پرداخته مى شود، به گفته ى وهابيان، در توحيد ربوبى نيز اين مباحث مطرح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وهابيت از توحيد ربوبى، تا اين جا تعارض جدى با انديشه ى مسلمانان ندارد؛ اما انحراف اصلى ابن تيميه و وهابيان در توحيد ربوبى، از آن جا آغاز مى شود كه ادعا مى كنند همه ى انسان ها در طول تاريخ، در زمينه ى توحيد ربوبى موحد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آن ها، همه ى انسان ها به يكتايى خداوند، رازقيت او، تدبير جهان توسط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عقيده ى ابن تيميه و محمدبن عبدالوهاب، امت هاى مشركِ پيامبران گذشته نيز در توحيد ربوبى، موحد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ابن تيميه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اعضاى بنى آدم به وجود دو رب براى عالم اعتقاد نداشته اند و هيچ انسانى وجود دو خداى مثل هم و مساوى در صفات و افعال را ثابت نكرده است؛ هم چنين هيچ كسى دو موجود قديم و مشابه كه واجب الوجود باشند را قبول ندارد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به گفته ى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تمامى مشركان، به توحيد ربوبى اعتقاد داشته اند</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محمدبن عبدالوهاب نيز به تقليد از ابن تيميه، چنين سخنانى را تكرار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اعتقاد داشتند كه خداوند خالق و رازق است و جز او كسى نيست و شريكى ندارد؛ تنها اوست كه روزى مى دهد؛ اوست كه زنده مى كند و اوست كه مى ميراند؛ تدبير امور به دست اوست و تمامى آسمان هاى هفت گانه و هرچه در آن هاست، و زمين هاى هفت گانه و هرچه در آن هاست، همگى عبد خدايند و در تصرف و قهاريت او قرار دارند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به گفته ى ابن فوزان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ربوبى، امرى فطرى است</w:t>
      </w:r>
      <w:r>
        <w:rPr>
          <w:rStyle w:val="FootnoteAnchor"/>
          <w:rtl w:val="true"/>
        </w:rPr>
        <w:footnoteReference w:id="271"/>
      </w:r>
      <w:r>
        <w:rPr>
          <w:rFonts w:ascii="IRNazanin" w:hAnsi="IRNazanin" w:eastAsia="IRNazanin"/>
          <w:color w:val="111111"/>
          <w:sz w:val="28"/>
          <w:sz w:val="28"/>
          <w:szCs w:val="28"/>
          <w:rtl w:val="true"/>
          <w:lang w:bidi="fa-IR"/>
        </w:rPr>
        <w:t>كه هيچ يك از امت هاى گذشته در آن اختلافى نداشته اند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وهابيان براى اثبات توحيد ربوبى مشركان با اين توسعه ى بسيار، به برخى از آيات قرآن استناد كرده اند كه برخى از آن 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وَ سَخَّرَ اَلشَّمْسَ وَ اَلْقَمَرَ لَيَقُولُنَّ اَللّٰهُ فَأَنّٰى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اين مشركان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 ها و زمين را آفريده و خورشيد و ماه را رام ساخته است،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گونه اينان از پرستش او بازداشته و به پرستش غير او كشانده مى شوند؟ و اگر از اين مشركان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آسمان باران فرو فرستاد و به وسيله ى آن، زمين را پس از آن كه خشك و مرده بود، با رويش گياهان زنده كرد،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ستايش 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بيش تر آنان تعقل نمى كنند و در آيات و نشانه هاى ما به درستى نمى انديشند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 اَلْأَرْضِ أَمَّنْ يَمْلِكُ اَلسَّمْعَ وَ اَلْأَبْصٰارَ وَ مَنْ يُخْرِجُ اَلْحَيَّ مِنَ اَلْمَيِّتِ وَ يُخْرِجُ اَلْمَيِّتَ مِنَ اَلْحَيِّ وَ مَنْ يُدَبِّرُ اَلْأَمْرَ فَسَيَقُولُونَ اَللّٰهُ فَقُلْ أَ فَلاٰ تَتَّقُونَ اَللّٰهُ يَبْسُطُ اَلرِّزْقَ لِمَنْ يَشٰاءُ مِنْ عِبٰادِهِ وَ يَقْدِرُ لَهُ إِنَّ 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ربوبيّت خدا از مشركان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با فروريختن باران از آسمان و روياندن گياهان از زمين به شما روزى مى دهد؟ يا كيست كه گوش ها و چشم هاى شما را در اختيارتان قرار داده و به آن ها شنوايى و بينايى مى دهد؟ و كيست كه زنده را از مرده و مرده را از زنده بيرون مى آورد؟ و كيست كه كار جهان هستى را تدبير مى كند؟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كارها به خدا بازمى گردد و سررشته ى هر چيزى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 پروا نمى كنيد و غير او را مى پرستيد؟ خداست كه روزى را براى هركس از بندگانش كه بخواهد، فراخ مى گرداند و بر هركس كه بخواهد، تنگ مى گيرد و جز بر اساس مصلحت اراده نمى كند؛ زيرا خداوند به هر چيزى داناست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ادعاى وهابيت در حوزه ى توحيد ربوبى را مى توان در چهار محور خلاصه كرد</w:t>
      </w:r>
      <w:r>
        <w:rPr>
          <w:rFonts w:eastAsia="IRNazanin" w:cs="IRNazanin"/>
          <w:color w:val="111111"/>
          <w:sz w:val="28"/>
          <w:szCs w:val="28"/>
          <w:rtl w:val="true"/>
          <w:lang w:bidi="fa-IR"/>
        </w:rPr>
        <w:t>:</w:t>
      </w:r>
      <w:bookmarkStart w:id="242" w:name="pg15502_177010"/>
    </w:p>
    <w:p>
      <w:pPr>
        <w:pStyle w:val="BookText"/>
        <w:rPr/>
      </w:pPr>
      <w:bookmarkEnd w:id="242"/>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ربوبى و الوهى عرصه هاى متفاوتى اند كه هر يك به صورت مستقل و جداى از هم هستند و مى توانند به طور جداگانه تصور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در همه ى دوران ها، از جمله مشركان پيش از اسلام، در زمينه ى توحيد ربوبى موحد بوده اند؛ اما در زمينه ى توحيد الوهى مشرك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از جمله پيامبر گرامى اسلام صلى الله عليه و آله، صرفاً براى مبارزه با شرك در الوهيت مبعوث شده اند؛ چون كه همه ى مشركان در توحيد ربوبى موحد بوده اند و صرفاً در توحيد الوهى مشرك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امروز نيز توحيد ربوبى دارند، اما در زمينه ى توحيد الوهى گرفتار شرك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كه پيامبر گرامى اسلام صلى الله عليه و آله، با مشركان مبارزه كرد، بايد با مشركان امروز نيز براى دعوت به توحيد الوهى جنگيد و خون و مال و ناموس آنان، به علت شرك در الوهيت، مباح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فصل و فصل آينده، درستى يا نادرستى ادعاى وهابيان در حوزه ى توحيد ربوبى مشركان، بررسى خواهد شد</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8088960_2142443653"/>
      <w:bookmarkStart w:id="244" w:name="_Toc94"/>
      <w:bookmarkEnd w:id="243"/>
      <w:r>
        <w:rPr/>
        <w:t>4</w:t>
      </w:r>
      <w:r>
        <w:rPr>
          <w:rtl w:val="true"/>
        </w:rPr>
        <w:t xml:space="preserve"> - </w:t>
      </w:r>
      <w:r>
        <w:rPr>
          <w:rtl w:val="true"/>
        </w:rPr>
        <w:t>توحيد ربوبى در ترازوى نقد</w:t>
      </w:r>
      <w:bookmarkEnd w:id="244"/>
    </w:p>
    <w:p>
      <w:pPr>
        <w:pStyle w:val="Heading5"/>
        <w:numPr>
          <w:ilvl w:val="4"/>
          <w:numId w:val="1"/>
        </w:numPr>
        <w:rPr/>
      </w:pPr>
      <w:bookmarkStart w:id="245" w:name="__RefHeading___Toc8088962_2142443653"/>
      <w:bookmarkStart w:id="246" w:name="_Toc95"/>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توحيد ربوبى، از چند زاويه قابل نقد و بررسى است كه به دنبال برخى از محورها بيان مى شود</w:t>
      </w:r>
      <w:r>
        <w:rPr>
          <w:rFonts w:eastAsia="IRNazanin" w:cs="IRNazanin"/>
          <w:color w:val="111111"/>
          <w:sz w:val="28"/>
          <w:szCs w:val="28"/>
          <w:rtl w:val="true"/>
          <w:lang w:bidi="fa-IR"/>
        </w:rPr>
        <w:t>.</w:t>
      </w:r>
    </w:p>
    <w:p>
      <w:pPr>
        <w:pStyle w:val="Heading5"/>
        <w:numPr>
          <w:ilvl w:val="4"/>
          <w:numId w:val="1"/>
        </w:numPr>
        <w:rPr/>
      </w:pPr>
      <w:bookmarkStart w:id="247" w:name="__RefHeading___Toc8088964_2142443653"/>
      <w:bookmarkStart w:id="248" w:name="_Toc96"/>
      <w:bookmarkEnd w:id="247"/>
      <w:r>
        <w:rPr/>
        <w:t>1</w:t>
      </w:r>
      <w:r>
        <w:rPr>
          <w:rtl w:val="true"/>
        </w:rPr>
        <w:t>‏-‏</w:t>
      </w:r>
      <w:r>
        <w:rPr/>
        <w:t>4</w:t>
      </w:r>
      <w:r>
        <w:rPr>
          <w:rtl w:val="true"/>
        </w:rPr>
        <w:t xml:space="preserve"> - </w:t>
      </w:r>
      <w:r>
        <w:rPr>
          <w:rtl w:val="true"/>
        </w:rPr>
        <w:t>واژه شناسى</w:t>
      </w:r>
      <w:bookmarkEnd w:id="24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اشكالى كه در ارتباط با توحيد ربوبى خودنمايى مى كند، در معنى لغوى توحيد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ربوبى در انديشه ى وهابى، افزون بر توحيد در رازقيت و تدبير، توحيد در خالقيت را نيز دربرمى گيرد؛ درحالى كه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مالك،</w:t>
      </w:r>
      <w:bookmarkStart w:id="249" w:name="pg15502_177011"/>
    </w:p>
    <w:p>
      <w:pPr>
        <w:pStyle w:val="BookText"/>
        <w:rPr/>
      </w:pPr>
      <w:bookmarkEnd w:id="249"/>
      <w:r>
        <w:rPr>
          <w:rFonts w:ascii="IRNazanin" w:hAnsi="IRNazanin" w:eastAsia="IRNazanin"/>
          <w:color w:val="111111"/>
          <w:sz w:val="28"/>
          <w:sz w:val="28"/>
          <w:szCs w:val="28"/>
          <w:rtl w:val="true"/>
          <w:lang w:bidi="fa-IR"/>
        </w:rPr>
        <w:t>صاحب اختيار و مدبر شيئ است، و به خالق و آفريننده اطلاق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به چيزى اضافه شود، واژه اى است كه فقط به خداوند متعال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جاهليت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الف و لام استعمال مى شد كه به معنى ملك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كل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مالك آن؛ و به معنى صاحب آن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در لغت به مالك، سيد، مدبر، مربى، سرپرست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ديگر كتاب هاى لغت نيز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معانى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اين بررسى، مباحث بر اساس برداشت وهابيان از مفهوم رب، سامان يافته است و توحيد در خالقيت نيز همان گونه كه وهابيت مى فهمد، در مفهوم توحيد ربوبى، درنظر گرفته شده است</w:t>
      </w:r>
      <w:r>
        <w:rPr>
          <w:rFonts w:eastAsia="IRNazanin" w:cs="IRNazanin"/>
          <w:color w:val="111111"/>
          <w:sz w:val="28"/>
          <w:szCs w:val="28"/>
          <w:rtl w:val="true"/>
          <w:lang w:bidi="fa-IR"/>
        </w:rPr>
        <w:t>.</w:t>
      </w:r>
    </w:p>
    <w:p>
      <w:pPr>
        <w:pStyle w:val="Heading5"/>
        <w:numPr>
          <w:ilvl w:val="4"/>
          <w:numId w:val="1"/>
        </w:numPr>
        <w:rPr/>
      </w:pPr>
      <w:bookmarkStart w:id="250" w:name="__RefHeading___Toc8088966_2142443653"/>
      <w:bookmarkStart w:id="251" w:name="_Toc97"/>
      <w:bookmarkEnd w:id="250"/>
      <w:r>
        <w:rPr/>
        <w:t>2</w:t>
      </w:r>
      <w:r>
        <w:rPr>
          <w:rtl w:val="true"/>
        </w:rPr>
        <w:t>‏-‏</w:t>
      </w:r>
      <w:r>
        <w:rPr/>
        <w:t>4</w:t>
      </w:r>
      <w:r>
        <w:rPr>
          <w:rtl w:val="true"/>
        </w:rPr>
        <w:t xml:space="preserve"> - </w:t>
      </w:r>
      <w:r>
        <w:rPr>
          <w:rtl w:val="true"/>
        </w:rPr>
        <w:t>رابطه ى توحيد ربوبى و توحيد الوهى</w:t>
      </w:r>
      <w:bookmarkEnd w:id="25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در كنار توحيد ربوبى، نوع ديگرى از توحيد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توحيد الوهى، در انديشه ى وهابى به معنى توحيد عملى و مترادف با توحيد 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معتقدند كه مشركان در توحيد ربوبى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بوده اند، اما در توحيد الوهى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شرك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نگاه آنان شرك ربوبى ارتباطى به شرك الوهى ندارد و فرد مى تواند در عين اين كه در زمينه ى خالقيت، ذات و تدبير، موحد باشد، در خصوص الوهيت مشرك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هرگز نمى توان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ربوبى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قائل شد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به عبارت ديگر، توحيد ربوبى از نظر رتبه، بر توحيد عملى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انسان مى تواند عملى را به درستى انجام دهد كه از آن شناخت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چيزى را نشناسد و با اوصاف و ويژگى هاى آن آشنا نباشد، نمى تواند در تعامل با آن مسير درستى را انتخاب كند و ناگزير، منحرف خواهد شد؛ اما اگر انسان موجود مقابل را به خوبى بشناسد و با صفات و ويژگى هاى او آشنا باشد، در حوزه ى عمل نيز كم تر گرفتار انحراف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 نيز چنين مراحلى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نظرى، متولى شناخت ويژگى ها و اوصاف خداوند است و اگر انسان در اين مرحله موحد شود، با قدرت و قوت كامل به سوى عمل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بسيارى از انحرافات بشر در حوزه ى توحيد عبادى، ريشه در عدم شناخت بارى تعالى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مباحث گذشته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ترين دغدغه ى مذاهب اسلامى درباره ى توحيد نظرى است و بيش تر مباحث درباره ى توحيد نيز در حوزه ى توحيد نظرى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نشانگر اين واقعيت است كه انديشمندان مذاهب اسلامى معتقدند اگر خداشناسى كامل باشد و ابعاد گوناگونِ وحدانيت و احديت خداوند به خوبى شناخته شود، زمينه براى عبادت و پرستش خداوند خودبه خود فراهم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 مى فرمايد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ايهاالناس انّ الله جل ذكره ما خلق العباد الاّ ليعرفوه، فاذا عرفوه عبدوه، واذا عبدوه استغنوا بعبادته عن عبادة من سواه</w:t>
      </w:r>
      <w:r>
        <w:rPr>
          <w:rFonts w:eastAsia="Amiri" w:cs="Amiri" w:ascii="Amiri" w:hAnsi="Amiri"/>
          <w:color w:val="111111"/>
          <w:sz w:val="28"/>
          <w:szCs w:val="28"/>
          <w:rtl w:val="true"/>
          <w:lang w:bidi="ar-SA"/>
        </w:rPr>
        <w:t>» .</w:t>
      </w:r>
      <w:r>
        <w:rPr>
          <w:rStyle w:val="FootnoteAnchor"/>
          <w:rtl w:val="true"/>
        </w:rPr>
        <w:footnoteReference w:id="276"/>
      </w:r>
      <w:bookmarkStart w:id="252" w:name="pg15502_177015"/>
    </w:p>
    <w:p>
      <w:pPr>
        <w:pStyle w:val="BookText"/>
        <w:rPr/>
      </w:pPr>
      <w:bookmarkEnd w:id="252"/>
      <w:r>
        <w:rPr>
          <w:rFonts w:ascii="IRNazanin" w:hAnsi="IRNazanin" w:eastAsia="IRNazanin"/>
          <w:color w:val="111111"/>
          <w:sz w:val="28"/>
          <w:sz w:val="28"/>
          <w:szCs w:val="28"/>
          <w:rtl w:val="true"/>
          <w:lang w:bidi="fa-IR"/>
        </w:rPr>
        <w:t>البته اين بدين معنى نيست كه هر انسانى كه در حوزه ى شناخت موحد شد، لزوماً در حوزه ى عمل نيز موحد مى شود؛ اما با توجه به آن چه در فصل سوم گفته شد، ازآن جاكه به نظر قرآن، منشأ بسيارى از انديشه ها و اعمال شرك آلود، جهل و نادانى، و تكيه بر ظن و گمان است، بى شك، خاستگاه اصلى شرك در الوهيت، شرك در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مصاديقى هم كه با وجود اعتقاد به توحيد ربوبى، در توحيد الوهى گرفتار شرك شده اند، استثناست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گمان وهابيان، پذيرفته شود كه مشركان در حوزه ى شناخت و توحيد ربوبى، موحد بوده اند، بدين معنى است كه خداوند را به خالقيت، يكتايى، رازقيت، تدبير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دست كم بيش تر آنان بايد در حوزه ى توحيد الوهى نيز موحد باشند؛ زيرا معنا ندارد كسى كه رب نيست و انسان به ربانيت او اعتقادى ندارد، مورد پرستش او قرار گيرد</w:t>
      </w:r>
      <w:r>
        <w:rPr>
          <w:rFonts w:eastAsia="IRNazanin" w:cs="IRNazanin"/>
          <w:color w:val="111111"/>
          <w:sz w:val="28"/>
          <w:szCs w:val="28"/>
          <w:rtl w:val="true"/>
          <w:lang w:bidi="fa-IR"/>
        </w:rPr>
        <w:t>.</w:t>
      </w:r>
    </w:p>
    <w:p>
      <w:pPr>
        <w:pStyle w:val="Heading5"/>
        <w:numPr>
          <w:ilvl w:val="4"/>
          <w:numId w:val="1"/>
        </w:numPr>
        <w:rPr/>
      </w:pPr>
      <w:bookmarkStart w:id="253" w:name="__RefHeading___Toc8088968_2142443653"/>
      <w:bookmarkStart w:id="254" w:name="_Toc98"/>
      <w:bookmarkEnd w:id="253"/>
      <w:r>
        <w:rPr/>
        <w:t>3</w:t>
      </w:r>
      <w:r>
        <w:rPr>
          <w:rtl w:val="true"/>
        </w:rPr>
        <w:t>‏-‏</w:t>
      </w:r>
      <w:r>
        <w:rPr/>
        <w:t>4</w:t>
      </w:r>
      <w:r>
        <w:rPr>
          <w:rtl w:val="true"/>
        </w:rPr>
        <w:t xml:space="preserve"> - </w:t>
      </w:r>
      <w:r>
        <w:rPr>
          <w:rtl w:val="true"/>
        </w:rPr>
        <w:t>مفهوم شناسى رب و اله در قرآن و حديث</w:t>
      </w:r>
      <w:bookmarkEnd w:id="254"/>
    </w:p>
    <w:p>
      <w:pPr>
        <w:pStyle w:val="BookText"/>
        <w:rPr/>
      </w:pPr>
      <w:r>
        <w:rPr>
          <w:rFonts w:ascii="IRNazanin" w:hAnsi="IRNazanin" w:eastAsia="IRNazanin"/>
          <w:color w:val="111111"/>
          <w:sz w:val="28"/>
          <w:sz w:val="28"/>
          <w:szCs w:val="28"/>
          <w:rtl w:val="true"/>
          <w:lang w:bidi="fa-IR"/>
        </w:rPr>
        <w:t>قرآن مجيد، با عنايت به وابستگى و تلازم ميان ربوبيت و الوهيت، در بسيارى از موارد اين دو واژه را به صورت مترادف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قرائن موجود در آيات،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الفاظ، هر دو به يك واقعيت خاص اشاره دارند و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 گونه كه وهابيان ميان ربوبيت و الوهيت تفاوت مى گذارند، در قرآن چنين تفاوتى احساس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برخى از آياتى كه در آن ها اين دو مفهوم به جاى يك ديگر استفاده شده اند، اشاره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زمين، جز الله خدايان ديگرى بود، فاسد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ى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يعنى كسى كه تدبير و سررشته ى امور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برهان، اگر دو مدبر و كارگردان در آسمان و زمين بود، هر مدبر تدبير خاص خود را براى اداره ى دنيا به كار مى گرفت و اين امر، موجب فساد آسمان و زمين 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هرگز فرزندى براى خود انتخاب نكرده است و خداى ديگرى با او نيست؛ كه اگر چنين مى شد، هر يك از خدايان مخلوقات خود را تدبير و اداره مى كردند و بعضى بر بعضى ديگر برترى مى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به تباهى كشيده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ازآن چه آنان توصيف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كسى است كه قدرت خالقيت، تدبير و تصرف در امور را دارد و در اين جا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مَعَهُ آلِهَةٌ كَمٰا يَقُولُونَ إِذاً لاَبْتَغَوْا إِلىٰ ذِي اَلْعَرْشِ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گونه كه آنان مى گويند، با او خدايانى بود،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مى كردند راهى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لازمه ى يافتن مسيرى به سوى عرش، وجود خدايى است كه قدرت تدبير و تصرف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در آيات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خلق و آفرينش به كار رفته و به جاى اله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بپرستيد خدايى را كه شما و كسانى را كه پيش از شما بودند، آفريد؛ باشد كه تقوا پيشه كنيد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ى شريفه، علت توحيد در ربوبيت را خالقيت خداوند بيان كرده است و تلازم ميان ربوبيت و خالقيت را نشان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نيز چنين وضعيتى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مربوط به پرسش نكير و منكر از ميت، آمده است كه آنان مى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 كافر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درحالى كه مؤمن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از اين روايت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رب، شامل دو حوزه ى نظرى و عملى توحيد مى شود؛ دوم اين كه، اگر بنا به گفته ى وهابيان، همه ى مشركان توحيد ربوبى داشته اند، چنين پرسشى، از ريشه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هُوَ اَللّٰهُ رَبِّي وَ لاٰ أُشْرِكُ بِرَبِّي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كسى هستم كه الله پروردگار من است و هيچ كس را شريك پروردگارم قرار نمى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هنگامى كه كافر عذاب سخت خداوند را مى چشد،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يٰا لَيْتَنِي لَمْ أُشْرِكْ بِرَبِّي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كسى را شريك پروردگارم قرار نداده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دو آيه، جداى از آن كه نشان مى دهند شرك ربوبى در ميان مشركان وجود داشته است، نشان دهنده ى 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خداوند در آيه ى ميثاق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آور زمانى را كه پروردگارت از پشت و صلب فرزندان آدم، ذريه ى آن ها را برگرفت و آن ها را گواه بر خويشتن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در روز رستاخيز نگوييد ما از اين غافل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پيمان فطرى توحيد و خداشناسى بى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 خوبى نشانگر اين واقعيت است كه ربوبيت به همان اندازه ى الوهيت اهميت داشته و خداوند به هر دو نظر دارد؛ چون اگر انسان ها در حوزه ى ربوبيت موحد بودند، در اين آيه بايد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واژه ى رب و اله را به يك معنى اراده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سوره ى فصلت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گفتند پروردگار ما خداوند يگانه است، سپس استقامت كردند، فرشتگان بر آن ها نازل مى شوند كه نترسيد و غمگين نباشيد و بشارت باد بر شما به آن بهشتى كه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صراحت، كسانى را كه مى گويند رب ما خداست، مى ستايد؛ درحالى كه در نگاه وهابيت، توحيد ربوبى، ايمان را كامل نمى كند و با اين توحيد، انسان از درجه ى شرك خارج نمى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سيره ى پيامبر گرامى اسلام صلى الله عليه و آله نيز هرگز ديده نشده است كه ايشان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دعوت مردم به توحيد الوهى آمده ام؛ و يا اين كه ميان توحيد ربوبى و الوهى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صلى الله عليه و آله در دعوت به توحيد،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عام را به كار برد كه هم توحيد ربوبى و هم توحيد الوهى را دربرمى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هر دو نوع توحيد است؛ توحيد ربوبيت و توحيد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جمله صرفاً به توحيد الوهى اشاره داشت، با توجه به كاربرد يكسان رب و اله در قرآن، حضرت بايد براى توحيد ربوبى، جمله ى ديگرى بيان مى فرمود؛ درحالى كه كسى چنين جمله اى را نقل نكرده است</w:t>
      </w:r>
      <w:r>
        <w:rPr>
          <w:rFonts w:eastAsia="IRNazanin" w:cs="IRNazanin"/>
          <w:color w:val="111111"/>
          <w:sz w:val="28"/>
          <w:szCs w:val="28"/>
          <w:rtl w:val="true"/>
          <w:lang w:bidi="fa-IR"/>
        </w:rPr>
        <w:t>.</w:t>
      </w:r>
      <w:bookmarkStart w:id="255" w:name="pg15502_177024"/>
    </w:p>
    <w:p>
      <w:pPr>
        <w:pStyle w:val="BookText"/>
        <w:rPr/>
      </w:pPr>
      <w:bookmarkEnd w:id="255"/>
      <w:r>
        <w:rPr>
          <w:rFonts w:ascii="IRNazanin" w:hAnsi="IRNazanin" w:eastAsia="IRNazanin"/>
          <w:color w:val="111111"/>
          <w:sz w:val="28"/>
          <w:sz w:val="28"/>
          <w:szCs w:val="28"/>
          <w:rtl w:val="true"/>
          <w:lang w:bidi="fa-IR"/>
        </w:rPr>
        <w:t>نهايتاً اگر تقسيمى هم براى توحيد به دو قسم ربوبى و الوهى متصور باشد، از نوع تقسيم توحيد به توحيد خالقيت، رازقيت، ذات، صفات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به يك وجود خاص اشاره دارند و هر يك نشانگر يكى از ابعاد وحدانيت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هر يك از عرصه هاى توحيد، به ديگر عرصه ها نيز سرايت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توحيد صفاتى مشرك است، ناگزير در حوزه ى ذات نيز گرفتار شرك است؛ و كسى كه در حوزه ى توحيد عبادى گرفتار شرك شود، در حوزه ى توحيد نظرى نيز مشرك شده است</w:t>
      </w:r>
      <w:r>
        <w:rPr>
          <w:rFonts w:eastAsia="IRNazanin" w:cs="IRNazanin"/>
          <w:color w:val="111111"/>
          <w:sz w:val="28"/>
          <w:szCs w:val="28"/>
          <w:rtl w:val="true"/>
          <w:lang w:bidi="fa-IR"/>
        </w:rPr>
        <w:t>.</w:t>
      </w:r>
    </w:p>
    <w:p>
      <w:pPr>
        <w:pStyle w:val="Heading5"/>
        <w:numPr>
          <w:ilvl w:val="4"/>
          <w:numId w:val="1"/>
        </w:numPr>
        <w:rPr/>
      </w:pPr>
      <w:bookmarkStart w:id="256" w:name="__RefHeading___Toc8088970_2142443653"/>
      <w:bookmarkStart w:id="257" w:name="_Toc99"/>
      <w:bookmarkEnd w:id="256"/>
      <w:r>
        <w:rPr/>
        <w:t>4</w:t>
      </w:r>
      <w:r>
        <w:rPr>
          <w:rtl w:val="true"/>
        </w:rPr>
        <w:t>‏-‏</w:t>
      </w:r>
      <w:r>
        <w:rPr/>
        <w:t>4</w:t>
      </w:r>
      <w:r>
        <w:rPr>
          <w:rtl w:val="true"/>
        </w:rPr>
        <w:t xml:space="preserve"> - </w:t>
      </w:r>
      <w:r>
        <w:rPr>
          <w:rtl w:val="true"/>
        </w:rPr>
        <w:t>مشركان و توحيد ربوبى</w:t>
      </w:r>
      <w:bookmarkEnd w:id="257"/>
    </w:p>
    <w:p>
      <w:pPr>
        <w:pStyle w:val="Heading6"/>
        <w:numPr>
          <w:ilvl w:val="5"/>
          <w:numId w:val="1"/>
        </w:numPr>
        <w:rPr/>
      </w:pPr>
      <w:bookmarkStart w:id="258" w:name="__RefHeading___Toc8088972_2142443653"/>
      <w:bookmarkStart w:id="259" w:name="_Toc100"/>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چنان كه گفته شد، تفسير و تقسيم ابداعى وهابيان، در انديشه ى اسلامى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ديگر وهابيان در توحيد ربوبى، اعتقاد به توحيد مشركان در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تعريف آنان از توحيد ربوبى كه شامل توحيد در ابعاد مختلف مانند خالقيت، رازقيت، زنده كردن، ميراندن و تدبير مى شود، مشركان موحد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به اعتقاد آنان مشركان در توحيد نظرى موحد بوده اند و صرفاً در توحيد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توحيد عبادى و توحيد در اطاعت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شرك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نيز تنها براى دعوت به توحيد الوهى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همان گونه كه وهابيان مى پندارند، به راستى مشركان در توحيد ربوبى موحد بوده اند؟</w:t>
      </w:r>
    </w:p>
    <w:p>
      <w:pPr>
        <w:pStyle w:val="BookText"/>
        <w:rPr/>
      </w:pPr>
      <w:r>
        <w:rPr>
          <w:rFonts w:ascii="IRNazanin" w:hAnsi="IRNazanin" w:eastAsia="IRNazanin"/>
          <w:color w:val="111111"/>
          <w:sz w:val="28"/>
          <w:sz w:val="28"/>
          <w:szCs w:val="28"/>
          <w:rtl w:val="true"/>
          <w:lang w:bidi="fa-IR"/>
        </w:rPr>
        <w:t>در قرآن آيات بسيارى هست كه نشانگر شرك مشركان در حوزه ى توحيد ربوبى است و اساساً انسان در معرض گرفتار شدن به شرك در ربوبيت و يا توحيد 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روزانه توصيه شده است كه پس از سوره ى حمد، سوره ى توحيد خوانده شود كه در آن، توحيد ربوبى خداوند اثبات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60" w:name="pg15502_177026"/>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يكتا و يگانه است؛ خداوندى است كه همه ى نيازمندان قصد او كنند؛ هرگز نزاد و زاده نشده است؛ و براى او هيچ شبيه و مانندى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كفار و مشركان به ربوبيت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گستردگى كه وهابيان ذكر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 لزومى نداشت كه خداوند چنين باصراحت، از يكتايى خود، بى نياز بودن خود، زاده نشدن و نزاييدن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نشان مى دهد كه مشركان در توحيد ربوبى نيز گرفتار شرك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 كه ابعاد مختلف شرك ربوبى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مشركان امت هاى ديگر و مشركان پيش ازاسلام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 در چند محور، شرك مشركان بررسى خواهد شد</w:t>
      </w:r>
      <w:r>
        <w:rPr>
          <w:rFonts w:eastAsia="IRNazanin" w:cs="IRNazanin"/>
          <w:color w:val="111111"/>
          <w:sz w:val="28"/>
          <w:szCs w:val="28"/>
          <w:rtl w:val="true"/>
          <w:lang w:bidi="fa-IR"/>
        </w:rPr>
        <w:t>.</w:t>
      </w:r>
    </w:p>
    <w:p>
      <w:pPr>
        <w:pStyle w:val="Heading6"/>
        <w:numPr>
          <w:ilvl w:val="5"/>
          <w:numId w:val="1"/>
        </w:numPr>
        <w:rPr/>
      </w:pPr>
      <w:bookmarkStart w:id="261" w:name="__RefHeading___Toc8088974_2142443653"/>
      <w:bookmarkStart w:id="262" w:name="_Toc101"/>
      <w:bookmarkEnd w:id="261"/>
      <w:r>
        <w:rPr/>
        <w:t>1</w:t>
      </w:r>
      <w:r>
        <w:rPr>
          <w:rtl w:val="true"/>
        </w:rPr>
        <w:t>‏-‏</w:t>
      </w:r>
      <w:r>
        <w:rPr/>
        <w:t>4</w:t>
      </w:r>
      <w:r>
        <w:rPr>
          <w:rtl w:val="true"/>
        </w:rPr>
        <w:t>‏-‏</w:t>
      </w:r>
      <w:r>
        <w:rPr/>
        <w:t>4</w:t>
      </w:r>
      <w:r>
        <w:rPr>
          <w:rtl w:val="true"/>
        </w:rPr>
        <w:t xml:space="preserve"> - </w:t>
      </w:r>
      <w:r>
        <w:rPr>
          <w:rtl w:val="true"/>
        </w:rPr>
        <w:t>مشركان و شرك در ذات</w:t>
      </w:r>
      <w:bookmarkEnd w:id="262"/>
    </w:p>
    <w:p>
      <w:pPr>
        <w:pStyle w:val="BookText"/>
        <w:rPr/>
      </w:pPr>
      <w:r>
        <w:rPr>
          <w:rFonts w:ascii="IRNazanin" w:hAnsi="IRNazanin" w:eastAsia="IRNazanin"/>
          <w:color w:val="111111"/>
          <w:sz w:val="28"/>
          <w:sz w:val="28"/>
          <w:szCs w:val="28"/>
          <w:rtl w:val="true"/>
          <w:lang w:bidi="fa-IR"/>
        </w:rPr>
        <w:t>بسيارى از آيات، مشركان را افرادى معرفى مى كند كه رسماً در كنار خداوند، به وجود خدايان متعددى قائل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قالب تعبيرهاى گوناگون، به شرك ذاتى مشركان اشاره كرده اند كه برخى عبارتند از</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آيات، از اين حكايت دارند كه مشركان، خدايان خود را از نظر جايگاه،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ى قرآن، مشركان در روز قيامت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در گمراهى آشكارى بوديم؛ چون شما را با پروردگار عالميان، برابر مى شمرديم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آيات، شرك در ذات را با واژه ى عِدل و مشتقات آن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معنى مساوى قرار دادن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كسانى كه كافر شدند، بت ها را با خدا مساوى و يكسان قرار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إِلٰهٌ مَعَ اَللّٰهِ بَلْ هُمْ قَوْمٌ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معبود ديگرى با خدا هست‌؟ نه؛ بلكه آن ها گروهى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طراز و مساوى پروردگارشان قرار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ى شريفه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بِرَبِّهِمْ يَعْدِلُونَ‌</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نيز ناظر به همين معنى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على عليه السلام درباره ى عقيده ى مشركان در مساوى قراردادن بت ها با خدا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 آنان كه تو را مساوى بت هاى خود قرار دادند؛ من شهادت مى دهم هر آن كس كه تو را با چيزى از مخلوق مساوى بشمرد، براى تو عِدل قرار داده است</w:t>
      </w:r>
      <w:r>
        <w:rPr>
          <w:rFonts w:eastAsia="IRNazanin" w:cs="IRNazanin"/>
          <w:color w:val="111111"/>
          <w:sz w:val="28"/>
          <w:szCs w:val="28"/>
          <w:rtl w:val="true"/>
          <w:lang w:bidi="fa-IR"/>
        </w:rPr>
        <w:t>».</w:t>
      </w:r>
      <w:r>
        <w:rPr>
          <w:rStyle w:val="FootnoteAnchor"/>
          <w:rtl w:val="true"/>
        </w:rPr>
        <w:footnoteReference w:id="280"/>
      </w:r>
      <w:r>
        <w:rPr>
          <w:rStyle w:val="FootnoteAnchor"/>
          <w:rtl w:val="true"/>
        </w:rPr>
        <w:footnoteReference w:id="281"/>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ديگرى كه خداوند براى نشان دادن شرك ربوبى مشركان به كار برده 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مثل، شبيه و نظير است و با توجه به كتاب هاى لغت، نوعى تعارض با طرف مقابل نيز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ى فخر رازى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ند عبارت است از مِثلى كه با مِثل خود در منازعه و ستيز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كه بت پرستان قائل به منازعه ى بت ها با خدا نبودند، در جواب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بت ها را پرستش مى كردند و نام اله را بر آن ها نهاده بودند، از اين جهت حال آنان مانند حال كسانى بود كه معتقد بودند بت ها توان منازعه با خدا را 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 وَ 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براى خدا همتايانى قرار ندهيد؛ درحالى كه مى دانيد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إِنَّكُمْ لَتَكْفُرُونَ بِالَّذِي خَلَقَ اَلْأَرْضَ فِي يَوْمَيْنِ وَ تَجْعَلُونَ لَهُ أَنْدٰاداً ذٰلِكَ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آن كس كه زمين را در دو روز آفريد، كافر هستيد و براى او همانندهايى قرار مى دهيد؟ او پروردگار جهانيان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و 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گاه شرك ربوبى مشركان در قالب اعتقاد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أَرْبٰابٌ مُتَفَرِّقُونَ خَيْرٌ أَمِ اَللّٰهُ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خدايان پراكنده بهترند يا خداى يگانه ى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اين آيه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سَمَّيْتُمُوهٰا أَنْتُمْ وَ آبٰاؤُكُمْ‌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جاى او جز نام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پرستيد كه خود و پدرانتان آن ها را نام گذارى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عبادت براى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خداوند درباره ى حضرت عيسى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يَأْمُرَكُمْ أَنْ تَتَّخِذُوا اَلْمَلاٰئِكَةَ وَ اَلنَّبِيِّينَ أَرْبٰاباً أَ يَأْمُرُكُمْ بِالْكُفْرِ بَعْدَ إِذْ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اين كه به شما دستور دهد كه فرشتگان و پيامبران را پروردگار خود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پس از آن كه مسلمان شديد، به كفر دعوت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ى ديگرى خطاب به حضرت عيسى عليه السلام مى فرمايد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 زمانى را كه خداوند به عيسى بن مريم عليهما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مردم گفتى كه من و مادرم را دو معبود، غير از خدا،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كه گفته شد، معناى اله با رب در قرآن به يك گونه استعمال شده است و به خداوند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آيات، قرآن در كنار خداوند از اله يا آلهه ى ديگرى كه مشركان آن ها را مى پرستيدند، نام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إِلٰهُكُمْ إِلٰهٌ وٰاحِدٌ لاٰ إِلٰهَ إِلاّٰ هُوَ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شما خداوند يگانه اى است كه غير از او معبودى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بخشنده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داراى رحمت عام و 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نُوحاً إِلىٰ قَوْمِهِ فَقٰالَ يٰا قَوْمِ اُعْبُدُوا اَللّٰهَ مٰا لَكُمْ مِنْ إِلٰهٍ غَيْرُهُ إِنِّي أَخٰافُ عَلَيْكُمْ عَذٰابَ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به سوى قومش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يگانه را پرستش كنيد كه معبودى جز او براى شما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غير اين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روزى بزرگ مى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خداوند به وجود خداى واحد در دو آيه ى يادشده، نشانگر اعتقاد مشركان به وجود خدايان متعدد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لاٰ تَتَّخِذُوا إِلٰهَيْنِ اِثْنَيْنِ إِنَّمٰا هُوَ إِلٰهٌ وٰاحِدٌ فَإِيّٰايَ فَارْهَبُونِ‌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فرمان داده است كه دو خدا انتخاب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بترسيد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ديگرى كه نشانگر اعتقاد مشركان به شرك در ذات است، خودِ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به مشركان نسبت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لقمان عليه السلام به فرزندش سفارش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شريك خدا قرار مده كه شرك ظلم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خوبى نشانگر اين واقعيت است كه شرك به خدا امرى رايج بوده است كه لقمان، فرزندش را از آن برحذر مى دارد؛ درحالى كه وهابيان همه ى امت ها را در زمينه ى توحيد ربوبى، موحد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زير نيز در همين سياق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هُوَ اَللّٰهُ رَبِّي وَ لاٰ أُشْرِكُ بِرَبِّي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كسى هستم كه الله پروردگار من است و هيچ كس را شريك پروردگارم قرار نمى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آيات نيز رسماً مسأله ى شرك مشركان را بيان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بيش تر آنان كه مدعى ايمان به خدا هستند، مشركند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يَتَّبِعُ اَلَّذِينَ يَدْعُونَ مِنْ دُونِ اَللّٰهِ شُرَكٰاءَ إِنْ يَتَّبِعُونَ إِلاَّ اَلظَّنَّ وَ إِنْ هُمْ إِلاّٰ يَخْرُصُونَ‌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غير خدا را شريك او مى خوانند، از منطق و دليلى پى روى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فقط از پندار بى اساس پى روى مى كنند و فقط دروغ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مٰا تَدْعُونَ مِنْ دُونِ اَللّٰهِ أَرُونِي مٰا ذٰا خَلَقُوا مِنَ اَلْأَرْضِ أَمْ لَهُمْ شِرْكٌ فِي اَلسَّمٰاوٰاتِ اِئْتُونِي بِكِتٰابٍ مِنْ قَبْلِ هٰذٰا أَوْ أَثٰارَةٍ مِنْ عِلْمٍ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معبودهايى را كه غير از خدا پرستش مى كنيد، نشان دهيد چه چيزى از زمين را آفريده اند؟ يا در آفرينش آسمان ها شركتى دارند؟ كتابى آسمانى پيش از اين، يا اثر علمى از گذشتگان براى من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دليل صدق گفتار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راست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ى شريفه به خوبى نشان مى دهد كه مشركان قائل به شراكت ديگران با خدا در آفرينش زمين و آسمان بوده 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ادعاى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آيات، رسماً بيان مى كنند كه برخى از مشركان، نه تنها وحدانيت خدا را قبول نداشته اند، بلكه خود، ادعاى خدايى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ى قرآن، فرعون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هنگامى كه</w:t>
      </w:r>
    </w:p>
    <w:p>
      <w:pPr>
        <w:pStyle w:val="BookText"/>
        <w:rPr/>
      </w:pPr>
      <w:r>
        <w:rPr>
          <w:rFonts w:ascii="Amiri" w:hAnsi="Amiri" w:eastAsia="Amiri" w:cs="Amiri"/>
          <w:color w:val="111111"/>
          <w:sz w:val="28"/>
          <w:sz w:val="28"/>
          <w:szCs w:val="28"/>
          <w:rtl w:val="true"/>
          <w:lang w:bidi="ar-SA"/>
        </w:rPr>
        <w:t>حضرت ابراهيم عليه السلام در معرفى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اَلَّذِي يُحْيِي وَ يُمِيتُ‌</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نمرود در محاجه ى با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أُحْيِي وَ أُمِيتُ‌</w:t>
      </w:r>
      <w:r>
        <w:rPr>
          <w:rFonts w:eastAsia="IRNazanin" w:cs="IRNazanin"/>
          <w:color w:val="111111"/>
          <w:sz w:val="28"/>
          <w:szCs w:val="28"/>
          <w:rtl w:val="true"/>
          <w:lang w:bidi="fa-IR"/>
        </w:rPr>
        <w:t>» .</w:t>
      </w:r>
      <w:r>
        <w:rPr>
          <w:rStyle w:val="FootnoteAnchor"/>
          <w:rtl w:val="true"/>
        </w:rPr>
        <w:footnoteReference w:id="284"/>
      </w:r>
      <w:r>
        <w:rPr>
          <w:rFonts w:ascii="IRNazanin" w:hAnsi="IRNazanin" w:eastAsia="IRNazanin"/>
          <w:color w:val="111111"/>
          <w:sz w:val="28"/>
          <w:sz w:val="28"/>
          <w:szCs w:val="28"/>
          <w:rtl w:val="true"/>
          <w:lang w:bidi="fa-IR"/>
        </w:rPr>
        <w:t>نمرود چنان گرفتار شرك در ربوبيت بود كه حضرت ابراهيم عليه السلام به ناچار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كسى است كه خورشيد را از مشرق بيرون مى آورد؛ اگر تو راست مى گويى، خورشيد را از مغرب بيرون بياور</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فرزندان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قرآن، توحيد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تا بدان جا نادرست بود كه گروهى از آنان حتى براى خدا فرزندانى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انديشه اى، نه تنها در ميان مشركان، كه در ميان يهود و نصارا نيز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مى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اَللّٰهُ وَلَداً سُبْحٰانَهُ بَلْ لَهُ مٰا فِي اَلسَّمٰاوٰاتِ وَ اَلْأَرْضِ كُلٌّ لَهُ قٰانِتُونَ‌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نصارا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فرزندى براى خود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بلكه آن چه در آسمان ها و زمين است، از آنِ او، و همه چيز خاضع و فرمان بردار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گونه مى تواند فرزندى همسان خود داشته باشد؟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نيز فرشتگان را دختران خدا مى انگاشتند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شُرَكٰاءَ اَلْجِنَّ وَ خَلَقَهُمْ وَ خَرَقُوا لَهُ بَنِينَ وَ بَنٰاتٍ بِغَيْرِ عِلْمٍ سُبْحٰانَهُ وَ تَعٰالىٰ عَمّٰا يَصِفُونَ بَدِيعُ اَلسَّمٰاوٰاتِ وَ اَلْأَرْضِ أَنّٰى يَكُونُ لَهُ وَلَدٌ وَ لَمْ تَكُنْ لَهُ صٰاحِبَةٌ وَ خَلَقَ كُلَّ شَيْ‌ءٍ وَ هُوَ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جنيان را شريك خدا انگاشته اند؛ درحالى كه خدا آن ها را آفريده است؛ و از روى نادانى براى او پسران و دخترانى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برتر از آن چه كه او را بدان وصف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آسمان ها و زمين را بى آن كه نمونه ى قبلى داشته باشند،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او را فرزندى باشد؟ درحالى كه او را همسرى نبوده و هر چيزى را آفريده و او به هر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اى ديگر، خداوند به چنين عقيده ى فاسدى اشاره كرده و اوج انحراف مشركان را در توحيد ربوبى نشان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لَهُ مِنْ عِبٰادِهِ جُزْءاً إِنَّ اَلْإِنْسٰانَ لَكَفُورٌ مُبِينٌ أَمِ اِتَّخَذَ مِمّٰا يَخْلُقُ بَنٰاتٍ وَ أَصْفٰاكُمْ بِالْبَنِينَ‌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خداى يكتا را وجودى مركب انگاشتند؛ آن گاه كه با قائل شدن فرزند براى او، برخى از بندگانش را جزئى براى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انسان بسيار ناسپاس است و ناسپاسى او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 چه مى آفريند، دخترانى را به فرزندى برگرفته و پسران را به شما اختصاص داده است‌؟</w:t>
      </w:r>
      <w:r>
        <w:rPr>
          <w:rFonts w:eastAsia="IRNazanin" w:cs="IRNazanin"/>
          <w:color w:val="111111"/>
          <w:sz w:val="28"/>
          <w:szCs w:val="28"/>
          <w:rtl w:val="true"/>
          <w:lang w:bidi="fa-IR"/>
        </w:rPr>
        <w:t>»</w:t>
      </w:r>
      <w:bookmarkStart w:id="263" w:name="pg15502_177040"/>
    </w:p>
    <w:p>
      <w:pPr>
        <w:pStyle w:val="Heading3"/>
        <w:numPr>
          <w:ilvl w:val="2"/>
          <w:numId w:val="1"/>
        </w:numPr>
        <w:rPr/>
      </w:pPr>
      <w:bookmarkStart w:id="264" w:name="__RefHeading___Toc8088976_2142443653"/>
      <w:bookmarkStart w:id="265" w:name="_Toc102"/>
      <w:bookmarkEnd w:id="263"/>
      <w:bookmarkEnd w:id="264"/>
      <w:r>
        <w:rPr>
          <w:rtl w:val="true"/>
        </w:rPr>
        <w:t>فصل هفتم</w:t>
      </w:r>
      <w:r>
        <w:rPr>
          <w:rtl w:val="true"/>
        </w:rPr>
        <w:t xml:space="preserve">: </w:t>
      </w:r>
      <w:r>
        <w:rPr>
          <w:rtl w:val="true"/>
        </w:rPr>
        <w:t>وهابيت و توحيد ربوبى</w:t>
      </w:r>
      <w:bookmarkEnd w:id="265"/>
    </w:p>
    <w:p>
      <w:pPr>
        <w:pStyle w:val="Heading4"/>
        <w:numPr>
          <w:ilvl w:val="3"/>
          <w:numId w:val="1"/>
        </w:numPr>
        <w:rPr/>
      </w:pPr>
      <w:bookmarkStart w:id="266" w:name="__RefHeading___Toc8088978_2142443653"/>
      <w:bookmarkStart w:id="267" w:name="_Toc103"/>
      <w:bookmarkEnd w:id="266"/>
      <w:r>
        <w:rPr>
          <w:rtl w:val="true"/>
        </w:rPr>
        <w:t>اشاره</w:t>
      </w:r>
      <w:bookmarkEnd w:id="26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و توحيد ربوبى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68" w:name="pg15502_177044"/>
    </w:p>
    <w:p>
      <w:pPr>
        <w:pStyle w:val="Heading4"/>
        <w:numPr>
          <w:ilvl w:val="3"/>
          <w:numId w:val="1"/>
        </w:numPr>
        <w:rPr/>
      </w:pPr>
      <w:bookmarkStart w:id="269" w:name="__RefHeading___Toc8088980_2142443653"/>
      <w:bookmarkStart w:id="270" w:name="_Toc104"/>
      <w:bookmarkEnd w:id="268"/>
      <w:bookmarkEnd w:id="269"/>
      <w:r>
        <w:rPr/>
        <w:t>1</w:t>
      </w:r>
      <w:r>
        <w:rPr>
          <w:rtl w:val="true"/>
        </w:rPr>
        <w:t xml:space="preserve"> - </w:t>
      </w:r>
      <w:r>
        <w:rPr>
          <w:rtl w:val="true"/>
        </w:rPr>
        <w:t>مقدمه</w:t>
      </w:r>
      <w:bookmarkEnd w:id="270"/>
    </w:p>
    <w:p>
      <w:pPr>
        <w:pStyle w:val="BookText"/>
        <w:rPr/>
      </w:pPr>
      <w:r>
        <w:rPr>
          <w:rFonts w:ascii="IRNazanin" w:hAnsi="IRNazanin" w:eastAsia="IRNazanin"/>
          <w:color w:val="111111"/>
          <w:sz w:val="28"/>
          <w:sz w:val="28"/>
          <w:szCs w:val="28"/>
          <w:rtl w:val="true"/>
          <w:lang w:bidi="fa-IR"/>
        </w:rPr>
        <w:t>وهابيان مدعى هستند كه مشركان در توحيد ربوبى موحدند و آن چه موجب بعثت پيامبران شد، شرك آنان در الوهيت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مشخص شد كه ميان توحيد ربوبى و الوهى، پيوندى ناگسستنى است و توحيد عبودى نتيجه ى توحيد در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مشركان پيش از آن كه در توحيد الوهى مشرك باشند، در ربوبيت گرفتار شرك بوده اند و شرك در ربوبيت، آنان را گرفتار شرك در الوهيت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گذشته، به تفصيل به شرك مشركان در يكى از ابعاد توحيد ربوبى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افزون بر تبيين شرك مشركان در تدبير، عقايد ديگر آنان نيز در زمينه ى توحيد ربوبى ابطال خواهد شد</w:t>
      </w:r>
      <w:r>
        <w:rPr>
          <w:rFonts w:eastAsia="IRNazanin" w:cs="IRNazanin"/>
          <w:color w:val="111111"/>
          <w:sz w:val="28"/>
          <w:szCs w:val="28"/>
          <w:rtl w:val="true"/>
          <w:lang w:bidi="fa-IR"/>
        </w:rPr>
        <w:t>.</w:t>
      </w:r>
    </w:p>
    <w:p>
      <w:pPr>
        <w:pStyle w:val="Heading4"/>
        <w:numPr>
          <w:ilvl w:val="3"/>
          <w:numId w:val="1"/>
        </w:numPr>
        <w:rPr/>
      </w:pPr>
      <w:bookmarkStart w:id="271" w:name="__RefHeading___Toc8088982_2142443653"/>
      <w:bookmarkStart w:id="272" w:name="_Toc105"/>
      <w:bookmarkEnd w:id="271"/>
      <w:r>
        <w:rPr/>
        <w:t>2</w:t>
      </w:r>
      <w:r>
        <w:rPr>
          <w:rtl w:val="true"/>
        </w:rPr>
        <w:t xml:space="preserve"> - </w:t>
      </w:r>
      <w:r>
        <w:rPr>
          <w:rtl w:val="true"/>
        </w:rPr>
        <w:t>مشركان و شرك در تدبير</w:t>
      </w:r>
      <w:bookmarkEnd w:id="272"/>
    </w:p>
    <w:p>
      <w:pPr>
        <w:pStyle w:val="BookText"/>
        <w:rPr/>
      </w:pPr>
      <w:r>
        <w:rPr>
          <w:rFonts w:ascii="IRNazanin" w:hAnsi="IRNazanin" w:eastAsia="IRNazanin"/>
          <w:color w:val="111111"/>
          <w:sz w:val="28"/>
          <w:sz w:val="28"/>
          <w:szCs w:val="28"/>
          <w:rtl w:val="true"/>
          <w:lang w:bidi="fa-IR"/>
        </w:rPr>
        <w:t>مشركان، جداى از شرك در ذات، در حوزه ى تدبير نيز گرفتار شرك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كنار خداوند، كارگردانانى را قرار داده بودند كه به صورت مستقل، امور بندگان را تمشيت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برخى از آياتى كه به اين نوع شرك مشركان اشاره دارد، ذكر مى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تمانع اين است كه تدبير در هر چيزى، به معنى وحدت مديريت است و چنان كه دو تدبير در كار باشد، موجب اختلال نظام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آلِهَةً مِنَ اَلْأَرْضِ هُمْ يُنْشِرُونَ لَوْ كٰانَ فِيهِمٰا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كه پيام هاى الهى را نمى پذيرند، خدايانى از زمين برگزيده اند كه آن ها رستاخيز را برپا مى دارند و اعمال مردم را حساب رسى مى كنند؟ اگر در آسمان ها و زمين جز خداى يكتا خدايانى وجود مى داشت، قطعاً آسمان ها و زمين بر اثر تدبيرهاى متضاد تباه مى شد؛ پس تداوم هستى نشانه ى تدبير واحد، و يكتايىِ مدبّر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ى نخست، خداوند به عدم اعتقاد مشركان به توحيد در ميراندن و زنده كردن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شركى در حوزه ى شرك در توحيد 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بعد، استدلال عقلى خداوند براى اثبات ربوبيت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آيه، اگر دو مدبر و دو كارگردان در جهان بود، جهان فاسد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مشركان در حوزه ى تدبير مشرك نبودند، لازم نبود خداوند چنين استدلالى براى توحيد در تدبير اقامه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درآيه اى ديگر نيز پرده از شرك مشركان در زمينه ى توحيد ربوبى برمى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فرزندى اختيار نكرده است تا او نيز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با وجود خدا هيچ معبود و خداوندگارى نبوده است؛ زيرا اگر خدايانى وجود مى داشت، هر كدام با آن چه آفريده بود، به سويى مى رفت و در نتيجه، نظام هستى ازهم گسسته مى شد؛ و افزون بر اين، بعضى از آن خدايان بر بعضى ديگر برترى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 چه مردم او را بدان وصف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براى خداوند فرزند قائل بودند؛ به همين دليل در فراز نخست، داشتن فرزند از خداوند نفى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خداوند به روش عقلى، فطرت انسان ها را در خصوص توحيد در تدبير بيدار مى 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ازآيات تصريح دارندكه مشركان، در خلق و تدبير، اشيا و يا افرادى را شريك خداوند قرارمى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اين آيات كه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اند،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اَلْحَمْدُ لِلّٰهِ وَ سَلاٰمٌ عَلىٰ عِبٰادِهِ اَلَّذِينَ اِصْطَفىٰ آللّٰهُ خَيْرٌ أَمّٰا يُشْرِكُونَ أَمَّنْ خَلَقَ اَلسَّمٰاوٰاتِ وَ اَلْأَرْضَ وَ أَنْزَلَ لَكُمْ مِنَ اَلسَّمٰاءِ مٰاءً فَأَنْبَتْنٰا بِهِ حَدٰائِقَ ذٰاتَ بَهْجَةٍ مٰا كٰانَ لَكُمْ أَنْ تُنْبِتُوا شَجَرَهٰا أَ إِلٰهٌ مَعَ اَللّٰهِ بَلْ هُمْ قَوْمٌ يَعْدِلُونَ أَمَّنْ جَعَلَ اَلْأَرْضَ قَرٰاراً وَ جَعَلَ خِلاٰلَهٰا أَنْهٰاراً وَ جَعَلَ لَهٰا رَوٰاسِيَ وَ جَعَلَ بَيْنَ اَلْبَحْرَيْنِ حٰاجِزاً أَ إِلٰهٌ مَعَ اَللّٰهِ بَلْ أَكْثَرُهُمْ لاٰ يَعْلَمُونَ أَمَّنْ يُجِيبُ اَلْمُضْطَرَّ إِذٰا دَعٰاهُ وَ يَكْشِفُ اَلسُّوءَ وَ يَجْعَلُكُمْ خُلَفٰاءَ اَلْأَرْضِ أَ إِلٰهٌ مَعَ اَللّٰهِ قَلِيلاً مٰا تَذَكَّرُونَ أَمَّنْ يَهْدِيكُمْ فِي ظُلُمٰاتِ اَلْبَرِّ وَ اَلْبَحْرِ وَ مَنْ يُرْسِلُ اَلرِّيٰاحَ بُشْراً بَيْنَ يَدَيْ رَحْمَتِهِ أَ إِلٰهٌ مَعَ اَللّٰهِ تَعٰالَى اَللّٰهُ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سپاس براى خداست و درود بر آن بندگانش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بهتر است يا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مى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چه شريك مى 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كس كه آسمان ها و زمين را خلق كرد و براى شما آبى از آسمان فرود آورد؛ پس به وسيله ى آن باغ هاى بهجت انگيز رويانيديم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نبود كه درختانش را برويانيد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معبودى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قومى منحرفند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شريكانى كه مى 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كس كه زمين را قرارگاهى ساخت و در آن رودها پديد آورد و براى آن كوه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ميان دو دريا برزخى گذاشت‌؟ آيا معبودى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 ترشان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درمانده را چون وى را بخواند، اجابت مى كند و گرفتارى را برطرف مى گرداند و شما را جانشينان اين زمين قرار مى دهد؟ آيا معبودى با خداست‌؟ چه كم پند مى 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كس كه شما را در تاريكى هاى خشكى و دريا راه مى نمايد و آن كس كه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باران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پيشاپيش رحمتش بشارتگر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معبودى با خداست‌؟ خدا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كس كه خلق را آغاز مى كند و سپس آن را بازمى آورد؛ و آن كس كه از آسمان و زمين به شما روزى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معبودى با خداست‌؟ بگو اگر راست مى گوييد، برهان خويش را بياوريد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روشنى نشان مى دهند كه مشركان بت ها را در كنار خدا قرار داده بودند و شرك در ربوبيت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همه ى آياتى كه خداوند به صورت عام درباره ى</w:t>
      </w:r>
    </w:p>
    <w:p>
      <w:pPr>
        <w:pStyle w:val="BookText"/>
        <w:rPr/>
      </w:pPr>
      <w:r>
        <w:rPr>
          <w:rFonts w:ascii="IRNazanin" w:hAnsi="IRNazanin" w:eastAsia="IRNazanin"/>
          <w:color w:val="111111"/>
          <w:sz w:val="28"/>
          <w:sz w:val="28"/>
          <w:szCs w:val="28"/>
          <w:rtl w:val="true"/>
          <w:lang w:bidi="fa-IR"/>
        </w:rPr>
        <w:t>داستان آفرينش جهان و آسمان ها و زمين، و انتساب خلق و امر آن به خود، متذكر مى شود، توجه دادن مشركان عصر پيامبر گرامى اسلام صلى الله عليه و آله به توحيد ربوبى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 فَلاٰ تَجْعَلُوا لِلّٰهِ أَنْدٰاداً وَ 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كسى كه زمين را براى شما بسترى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آسمان آبى فرود آورد و به وسيله ى آن براى شما از ميوه ها و محصولات، رزقى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كه از دانشى برخورداريد، براى خدا همتايانى قرار ندهيد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ى مباركه ى ملك، از آيه ى چهارده به بعد، خداوند بسيارى از افعال خود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همانند آفرينش جهان، هموار كردن زمين براى زندگى انسان، حاكميت بر آسمان ها، چه گونگى پرواز پرندگان، رازقيت، اعطاى شنوايى و بينايى، و آفرينش انسان از خاك و حشر او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مشركان به راستى به ربوبيت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وهابيان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داشتند، لازم نبود كه خداوند اين گونه آفرينش، رازقيت و تدبير جهان را به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شيوه ى بيان به صورت استفهامى است و در جاى جاى آيات، از تكذيب كافران،</w:t>
      </w:r>
      <w:r>
        <w:rPr>
          <w:rStyle w:val="FootnoteAnchor"/>
          <w:rtl w:val="true"/>
        </w:rPr>
        <w:footnoteReference w:id="288"/>
      </w:r>
      <w:r>
        <w:rPr>
          <w:rFonts w:ascii="Amiri" w:hAnsi="Amiri" w:eastAsia="Amiri" w:cs="Amiri"/>
          <w:color w:val="111111"/>
          <w:sz w:val="28"/>
          <w:sz w:val="28"/>
          <w:szCs w:val="28"/>
          <w:rtl w:val="true"/>
          <w:lang w:bidi="ar-SA"/>
        </w:rPr>
        <w:t>غرور و فريب آن ها،</w:t>
      </w:r>
      <w:r>
        <w:rPr>
          <w:rStyle w:val="FootnoteAnchor"/>
          <w:rtl w:val="true"/>
        </w:rPr>
        <w:footnoteReference w:id="289"/>
      </w:r>
      <w:r>
        <w:rPr>
          <w:rFonts w:ascii="Amiri" w:hAnsi="Amiri" w:eastAsia="Amiri" w:cs="Amiri"/>
          <w:color w:val="111111"/>
          <w:sz w:val="28"/>
          <w:sz w:val="28"/>
          <w:szCs w:val="28"/>
          <w:rtl w:val="true"/>
          <w:lang w:bidi="ar-SA"/>
        </w:rPr>
        <w:t>طغيان و عصيان ايشان،</w:t>
      </w:r>
      <w:r>
        <w:rPr>
          <w:rStyle w:val="FootnoteAnchor"/>
          <w:rtl w:val="true"/>
        </w:rPr>
        <w:footnoteReference w:id="290"/>
      </w:r>
      <w:r>
        <w:rPr>
          <w:rFonts w:ascii="Amiri" w:hAnsi="Amiri" w:eastAsia="Amiri" w:cs="Amiri"/>
          <w:color w:val="111111"/>
          <w:sz w:val="28"/>
          <w:sz w:val="28"/>
          <w:szCs w:val="28"/>
          <w:rtl w:val="true"/>
          <w:lang w:bidi="ar-SA"/>
        </w:rPr>
        <w:t>كفر و جهالت شان،</w:t>
      </w:r>
      <w:r>
        <w:rPr>
          <w:rStyle w:val="FootnoteAnchor"/>
          <w:rtl w:val="true"/>
        </w:rPr>
        <w:footnoteReference w:id="291"/>
      </w:r>
      <w:r>
        <w:rPr>
          <w:rFonts w:ascii="Amiri" w:hAnsi="Amiri" w:eastAsia="Amiri" w:cs="Amiri"/>
          <w:color w:val="111111"/>
          <w:sz w:val="28"/>
          <w:sz w:val="28"/>
          <w:szCs w:val="28"/>
          <w:rtl w:val="true"/>
          <w:lang w:bidi="ar-SA"/>
        </w:rPr>
        <w:t>و تمسخر آنان درباره ى وجود قيامت</w:t>
      </w:r>
      <w:r>
        <w:rPr>
          <w:rStyle w:val="FootnoteAnchor"/>
          <w:rtl w:val="true"/>
        </w:rPr>
        <w:footnoteReference w:id="292"/>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w:t>
      </w:r>
      <w:bookmarkStart w:id="273" w:name="pg15502_177053"/>
    </w:p>
    <w:p>
      <w:pPr>
        <w:pStyle w:val="Heading4"/>
        <w:numPr>
          <w:ilvl w:val="3"/>
          <w:numId w:val="1"/>
        </w:numPr>
        <w:rPr/>
      </w:pPr>
      <w:bookmarkStart w:id="274" w:name="__RefHeading___Toc8088984_2142443653"/>
      <w:bookmarkStart w:id="275" w:name="_Toc106"/>
      <w:bookmarkEnd w:id="273"/>
      <w:bookmarkEnd w:id="274"/>
      <w:r>
        <w:rPr/>
        <w:t>3</w:t>
      </w:r>
      <w:r>
        <w:rPr>
          <w:rtl w:val="true"/>
        </w:rPr>
        <w:t xml:space="preserve"> - </w:t>
      </w:r>
      <w:r>
        <w:rPr>
          <w:rtl w:val="true"/>
        </w:rPr>
        <w:t>مشركان پيش از اسلام</w:t>
      </w:r>
      <w:bookmarkEnd w:id="275"/>
    </w:p>
    <w:p>
      <w:pPr>
        <w:pStyle w:val="Heading5"/>
        <w:numPr>
          <w:ilvl w:val="4"/>
          <w:numId w:val="1"/>
        </w:numPr>
        <w:rPr/>
      </w:pPr>
      <w:bookmarkStart w:id="276" w:name="__RefHeading___Toc8088986_2142443653"/>
      <w:bookmarkStart w:id="277" w:name="_Toc107"/>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همان گونه كه بارها اشاره شد، وهابيان مسأله ى توحيد ربوبى را به همه ى دوره هاى تاريخ و امت هاى گذشته تسرى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ممكن است چنين تصور شود كه هرچند با توجه به آيات، مشركان امت هاى گذشته توحيد ربوبى نداشته اند، اما مشركان عصر پيامبر گرامى اسلام صلى الله عليه و آله توحيد ربوبى داشته و به خداوند متعال به عنوان خالق، واحد، مدبر، رازق، محيى و مميت، ايمان داشته اند و پيامبر گرامى اسلام صلى الله عليه و آله براى دعوت آن ها به توحيد الوهى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 اما واقعيت اين است كه مشركان پيش از اسلام نيز در اعتقادات، همانند ديگر مشركان بوده اند و حتى گاه وضعيت اسفناك ترى داشته اند</w:t>
      </w:r>
      <w:r>
        <w:rPr>
          <w:rFonts w:eastAsia="IRNazanin" w:cs="IRNazanin"/>
          <w:color w:val="111111"/>
          <w:sz w:val="28"/>
          <w:szCs w:val="28"/>
          <w:rtl w:val="true"/>
          <w:lang w:bidi="fa-IR"/>
        </w:rPr>
        <w:t>.</w:t>
      </w:r>
    </w:p>
    <w:p>
      <w:pPr>
        <w:pStyle w:val="Heading5"/>
        <w:numPr>
          <w:ilvl w:val="4"/>
          <w:numId w:val="1"/>
        </w:numPr>
        <w:rPr/>
      </w:pPr>
      <w:bookmarkStart w:id="278" w:name="__RefHeading___Toc8088988_2142443653"/>
      <w:bookmarkStart w:id="279" w:name="_Toc108"/>
      <w:bookmarkEnd w:id="278"/>
      <w:r>
        <w:rPr/>
        <w:t>1</w:t>
      </w:r>
      <w:r>
        <w:rPr>
          <w:rtl w:val="true"/>
        </w:rPr>
        <w:t>‏-‏</w:t>
      </w:r>
      <w:r>
        <w:rPr/>
        <w:t>3</w:t>
      </w:r>
      <w:r>
        <w:rPr>
          <w:rtl w:val="true"/>
        </w:rPr>
        <w:t xml:space="preserve"> - </w:t>
      </w:r>
      <w:r>
        <w:rPr>
          <w:rtl w:val="true"/>
        </w:rPr>
        <w:t>پيشينه ى يكتا پرستى در شبه جزيره ى عرب</w:t>
      </w:r>
      <w:bookmarkEnd w:id="279"/>
    </w:p>
    <w:p>
      <w:pPr>
        <w:pStyle w:val="BookText"/>
        <w:rPr/>
      </w:pPr>
      <w:r>
        <w:rPr>
          <w:rFonts w:ascii="IRNazanin" w:hAnsi="IRNazanin" w:eastAsia="IRNazanin"/>
          <w:color w:val="111111"/>
          <w:sz w:val="28"/>
          <w:sz w:val="28"/>
          <w:szCs w:val="28"/>
          <w:rtl w:val="true"/>
          <w:lang w:bidi="fa-IR"/>
        </w:rPr>
        <w:t>مكه در روزگار حضرت ابراهيم عليه السلام، پس از بازسازى خانه ى خدا، به كانون توحيد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بازسازى كعبه، توحيد از مفهومى صرفاً معقول، به مفهومى محسوس تبديل شد</w:t>
      </w:r>
      <w:r>
        <w:rPr>
          <w:rStyle w:val="FootnoteAnchor"/>
          <w:rtl w:val="true"/>
        </w:rPr>
        <w:footnoteReference w:id="293"/>
      </w:r>
      <w:r>
        <w:rPr>
          <w:rFonts w:ascii="IRNazanin" w:hAnsi="IRNazanin" w:eastAsia="IRNazanin"/>
          <w:color w:val="111111"/>
          <w:sz w:val="28"/>
          <w:sz w:val="28"/>
          <w:szCs w:val="28"/>
          <w:rtl w:val="true"/>
          <w:lang w:bidi="fa-IR"/>
        </w:rPr>
        <w:t>و جلوه ى يكتاپرستى در زمين، مجال ظهور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ابراهيم عليه السلام، خورشيد يكتاپرستى در شبه جزيره ى عرب هرگز خاموش نشد و تا روزگار پيامبر گرامى اسلام صلى الله عليه و آله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حضرت ابراهيم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مى نامند؛ يعنى كسانى كه در برابر شرك، ايستادگى كرده و به حق و توحيد ابراهيمى تمايل 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كُونُوا هُوداً أَوْ نَصٰارىٰ تَهْتَدُوا قُلْ بَلْ مِلَّةَ إِبْرٰاهِيمَ حَنِيفاً وَ مٰا كٰانَ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به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شويد كه در آن صورت هدايت مى يابيد؛ و مسيحيان نيز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شويد كه در آن صورت هدايت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ما از آيين ابراهيم پى روى مى كنيم كه از كج روى بركنار بود و از مشركان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خواهد آمد، مناظرات حضرت ابراهيم عليه السلام با مشركان در حوزه ى توحيد ربوبى، بسيار جالب و آموزنده است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انديشه ى يكتاپرستى آن حضرت، به مثابه شيوه اى در فكر و عمل تبلور يافت و انديشه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توحيد ابراهيمى، با پس زمينه اى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روى شد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برخى آغاز انديشه ى حنفيت را به يك قرن پيش از اسلام برگردانده و آن را جريانى اصلاحى در اوج بت پرستى مشركان شمرده اند؛</w:t>
      </w:r>
      <w:r>
        <w:rPr>
          <w:rStyle w:val="FootnoteAnchor"/>
          <w:rtl w:val="true"/>
        </w:rPr>
        <w:footnoteReference w:id="297"/>
      </w:r>
      <w:r>
        <w:rPr>
          <w:rFonts w:ascii="IRNazanin" w:hAnsi="IRNazanin" w:eastAsia="IRNazanin"/>
          <w:color w:val="111111"/>
          <w:sz w:val="28"/>
          <w:sz w:val="28"/>
          <w:szCs w:val="28"/>
          <w:rtl w:val="true"/>
          <w:lang w:bidi="fa-IR"/>
        </w:rPr>
        <w:t>اما واقعيت اين است كه حنفيت، ريشه در دعوت به يكتاپرستى حضرت ابراهيم عليه السلام دارد و هرچند در سال هاى پيش از اسلام بسيار كم رنگ بود، هم چنان ادامه داشت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بى شائبه ترين رد پاى يكتاپرستى را در شبه جزيره ى عرب، بايد در اجداد و نياكان پيامبر گرامى اسلام صلى الله عليه و آله جست وجو كرد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گواهى تاريخ، هرچه از دوران حضرت ابراهيم عليه السلام دورتر مى شويم، جريان يكتاپرستى كم رنگ تر مى شود و در سال هاى پيش از اسلام، تعداد افرادى كه به حنفيت شهره اند، به تعداد انگشت شمارى كاهش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حنفا را صرفاً كسانى دانسته اند</w:t>
      </w:r>
    </w:p>
    <w:p>
      <w:pPr>
        <w:pStyle w:val="BookText"/>
        <w:rPr/>
      </w:pPr>
      <w:r>
        <w:rPr>
          <w:rFonts w:ascii="IRNazanin" w:hAnsi="IRNazanin" w:eastAsia="IRNazanin"/>
          <w:color w:val="111111"/>
          <w:sz w:val="28"/>
          <w:sz w:val="28"/>
          <w:szCs w:val="28"/>
          <w:rtl w:val="true"/>
          <w:lang w:bidi="fa-IR"/>
        </w:rPr>
        <w:t>كه از بت پرستى روى گردان بوده اند، هرچند داراى هيچ دينى نباشند؛</w:t>
      </w:r>
      <w:r>
        <w:rPr>
          <w:rStyle w:val="FootnoteAnchor"/>
          <w:rtl w:val="true"/>
        </w:rPr>
        <w:footnoteReference w:id="300"/>
      </w:r>
      <w:r>
        <w:rPr>
          <w:rFonts w:ascii="IRNazanin" w:hAnsi="IRNazanin" w:eastAsia="IRNazanin"/>
          <w:color w:val="111111"/>
          <w:sz w:val="28"/>
          <w:sz w:val="28"/>
          <w:szCs w:val="28"/>
          <w:rtl w:val="true"/>
          <w:lang w:bidi="fa-IR"/>
        </w:rPr>
        <w:t xml:space="preserve">اما به نظر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معنى قرآنى آن، صرفاً صلاحيت اطلاق به گروهى را دارد كه افزون بر ترك بت پرستى و آيين آن، به يكتاپرستى و آيين حنيف ابراهيمى روى آورده باشند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به هرحال، تعداد يكتاپرستان در شبه جزيره ى عرب بسيار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بسيارى از افرادى كه در منابع تاريخى، از آنان به حنفا ياد شده است، دين مبين اسلام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همان زندگى زاهدانه ى خود ادامه دادند و برخى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ابى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بدر از كفار حمايت كردند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يكى از افرادى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داشت، اباعامر بود كه به لباس رهبانيت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به مدينه آمد، از پيامبر گرامى اسلام صلى الله عليه و آله درباره ى دين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ما همان دين ابراهيم حنيف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اباعامر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برآن چه من آورده ام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او را فاسق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غضبناك شد و به سوى قيصر روم رفت و در آن جا درگذشت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مسيلمة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 كه ادعاى پيامبرى كرد و به مسيلمه ى كذاب شهرت يافت، در منابع، جزء حنفا شمرده شده است</w:t>
      </w:r>
      <w:r>
        <w:rPr>
          <w:rFonts w:eastAsia="IRNazanin" w:cs="IRNazanin"/>
          <w:color w:val="111111"/>
          <w:sz w:val="28"/>
          <w:szCs w:val="28"/>
          <w:rtl w:val="true"/>
          <w:lang w:bidi="fa-IR"/>
        </w:rPr>
        <w:t>.</w:t>
      </w:r>
      <w:r>
        <w:rPr>
          <w:rStyle w:val="FootnoteAnchor"/>
          <w:rtl w:val="true"/>
        </w:rPr>
        <w:footnoteReference w:id="30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گفته شد، تنها گروهى در پيش از اسلام كه شايد بتوان آن ها را يكتاپرست و موحد ناميد، كسانى اند كه در تواريخ به حنفا شهرت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w:t>
      </w:r>
      <w:bookmarkStart w:id="280" w:name="pg15502_177059"/>
    </w:p>
    <w:p>
      <w:pPr>
        <w:pStyle w:val="BookText"/>
        <w:rPr/>
      </w:pPr>
      <w:bookmarkEnd w:id="280"/>
      <w:r>
        <w:rPr>
          <w:rFonts w:ascii="IRNazanin" w:hAnsi="IRNazanin" w:eastAsia="IRNazanin"/>
          <w:color w:val="111111"/>
          <w:sz w:val="28"/>
          <w:sz w:val="28"/>
          <w:szCs w:val="28"/>
          <w:rtl w:val="true"/>
          <w:lang w:bidi="fa-IR"/>
        </w:rPr>
        <w:t xml:space="preserve">برخى كوشيده اند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قائل شوند، اما تعداد اين افراد انگشت شمار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اين افراد، چون بر دين حضرت ابراهيم عليه السلام نبوده اند، نه تنها توسط پيامبر گرامى اسلام صلى الله عليه و آله به يكتاپرستى توصيف نشدند، بلكه حتى با آيين اسلام نيز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جدا از كم شمار بودن موحدان، ساير اعراب را بايد در رديف مشركان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اين كه پيامبر گرامى اسلام صلى الله عليه و آله حتى كسانى را كه در ظاهر يكتاپرست ناميده مى شدند، به عنوان موحد نپذيرفته است، چه گونه مى توان ادعا كرد كه مشركان پيش از اسلام، همگى در توحيد ربوبى موحد بوده اند؟</w:t>
      </w:r>
    </w:p>
    <w:p>
      <w:pPr>
        <w:pStyle w:val="Heading5"/>
        <w:numPr>
          <w:ilvl w:val="4"/>
          <w:numId w:val="1"/>
        </w:numPr>
        <w:rPr/>
      </w:pPr>
      <w:bookmarkStart w:id="281" w:name="__RefHeading___Toc8088990_2142443653"/>
      <w:bookmarkStart w:id="282" w:name="_Toc109"/>
      <w:bookmarkEnd w:id="281"/>
      <w:r>
        <w:rPr/>
        <w:t>2</w:t>
      </w:r>
      <w:r>
        <w:rPr>
          <w:rtl w:val="true"/>
        </w:rPr>
        <w:t>‏-‏</w:t>
      </w:r>
      <w:r>
        <w:rPr/>
        <w:t>3</w:t>
      </w:r>
      <w:r>
        <w:rPr>
          <w:rtl w:val="true"/>
        </w:rPr>
        <w:t xml:space="preserve"> - </w:t>
      </w:r>
      <w:r>
        <w:rPr>
          <w:rtl w:val="true"/>
        </w:rPr>
        <w:t>قرآن و شرك ربوبى مشركان پيش از اسلام</w:t>
      </w:r>
      <w:bookmarkEnd w:id="282"/>
    </w:p>
    <w:p>
      <w:pPr>
        <w:pStyle w:val="BookText"/>
        <w:rPr/>
      </w:pPr>
      <w:r>
        <w:rPr>
          <w:rFonts w:ascii="IRNazanin" w:hAnsi="IRNazanin" w:eastAsia="IRNazanin"/>
          <w:color w:val="111111"/>
          <w:sz w:val="28"/>
          <w:sz w:val="28"/>
          <w:szCs w:val="28"/>
          <w:rtl w:val="true"/>
          <w:lang w:bidi="fa-IR"/>
        </w:rPr>
        <w:t>شكى نيست كه مخاطبان قرآن در مرحله ى نخست، هم عصران پيامبر گرامى اسلام صلى الله عليه و آله هستند و قرآن نيز جداى از هدايت نسل هاى بعدى بشر، ابتدا براى هدايت آن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بى شك آياتى كه به صورت عام، به تشريح توحيد ربوبى و يا شرك مشركان در اين حوزه مى پردازد، بيش از هركس، ناظر به وضعيت مشركان پيش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ذات با تعابيرى همچون تسويه، عدل، ند و ارباب، و شرك در تدبير با تعابيرى همچون معيت و تمانع، بيش از هركس، خطاب به مشركان پيش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به خوبى نشان مى دهند كه مشركان با انحرافى به نام شرك در ربوبيت روبه رو بوده اند كه خداوند متعال در آيات مختلف، اين گونه به ابعاد مختلف توحيد ربوبى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عبارت درست، توحيد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قرآن به صورت خاص نيز از شرك مشركان در حوزه ى ربوبيت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پيامبر گرامى اسلام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بگو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غَيْرَ اَللّٰهِ أَبْغِي رَبًّا وَ هُوَ رَبُّ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خدا پروردگارى بجويم، بااين كه او پروردگار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أَرْسَلْنٰاكَ فِي أُمَّةٍ قَدْ خَلَتْ مِنْ قَبْلِهٰا أُمَمٌ لِتَتْلُوَا عَلَيْهِمُ اَلَّذِي أَوْحَيْنٰا إِلَيْكَ وَ هُمْ يَكْفُرُونَ بِالرَّحْمٰنِ قُلْ هُوَ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سنّت ما تاكنون بر اين جارى بوده است كه مردم را به توحيد فراخوانيم، تو را نيز در ميان امتى كه پيش از آن، امت هايى گذشته اند، به رسالت فرستاديم تا آن چه را به تو وحى كرده ايم، بر آنان بخوانى؛ ولى آنان خداى رحمان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ى شريفه، رسماً به كفر مشركان پيش از اسلام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پيامبر گرامى اسلام صلى الله عليه و آله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خواند و اين در مبناى وهابيت، به معنى توحيد ربوبى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سوره ى حج، به مسلمانان اجازه مى دهد به سبب ستمى كه مشركان به ايشان روا داشته اند، با آنان جهاد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مؤمنانى كه مورد هجوم قرار مى گيرند، از جانب خدا رخصت داده شده است كه به جهاد اقدام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ى بعد، خداوند در بيان نوع ستم مشركان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كه به ناحق از ديارشان بيرون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اخراجشان سببى جز اين نداشت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آيه، علت اخراج مسلمانان از سرزمينشان اين بود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ى شريفه، از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بر مبناى وهابيان، رب به معنى توحيد در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مشركان پيش از اسلام،</w:t>
      </w:r>
      <w:bookmarkStart w:id="283" w:name="pg15502_177063"/>
    </w:p>
    <w:p>
      <w:pPr>
        <w:pStyle w:val="BookText"/>
        <w:rPr/>
      </w:pPr>
      <w:bookmarkEnd w:id="283"/>
      <w:r>
        <w:rPr>
          <w:rFonts w:ascii="IRNazanin" w:hAnsi="IRNazanin" w:eastAsia="IRNazanin"/>
          <w:color w:val="111111"/>
          <w:sz w:val="28"/>
          <w:sz w:val="28"/>
          <w:szCs w:val="28"/>
          <w:rtl w:val="true"/>
          <w:lang w:bidi="fa-IR"/>
        </w:rPr>
        <w:t>توحيد در ربوبيت داشتند، نبايد صرفاً به اين علت كه مسلمانان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از سرزمينشان بيرون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 از اين آيات، آيات بسيارى نيز به صورت خاص به انحراف مشركان در زمينه ى توحيد ربوبى، مانند توحيد در خالقيت و رازقيت، اشاره دارند</w:t>
      </w:r>
      <w:r>
        <w:rPr>
          <w:rFonts w:eastAsia="Amiri" w:cs="Amiri" w:ascii="Amiri" w:hAnsi="Amiri"/>
          <w:color w:val="111111"/>
          <w:sz w:val="28"/>
          <w:szCs w:val="28"/>
          <w:rtl w:val="true"/>
          <w:lang w:bidi="ar-SA"/>
        </w:rPr>
        <w:t>.</w:t>
      </w:r>
      <w:r>
        <w:rPr>
          <w:rStyle w:val="FootnoteAnchor"/>
          <w:rtl w:val="true"/>
        </w:rPr>
        <w:footnoteReference w:id="305"/>
      </w:r>
    </w:p>
    <w:p>
      <w:pPr>
        <w:pStyle w:val="Heading5"/>
        <w:numPr>
          <w:ilvl w:val="4"/>
          <w:numId w:val="1"/>
        </w:numPr>
        <w:rPr/>
      </w:pPr>
      <w:bookmarkStart w:id="284" w:name="__RefHeading___Toc8088992_2142443653"/>
      <w:bookmarkStart w:id="285" w:name="_Toc110"/>
      <w:bookmarkEnd w:id="284"/>
      <w:r>
        <w:rPr/>
        <w:t>3</w:t>
      </w:r>
      <w:r>
        <w:rPr>
          <w:rtl w:val="true"/>
        </w:rPr>
        <w:t>‏-‏</w:t>
      </w:r>
      <w:r>
        <w:rPr/>
        <w:t>3</w:t>
      </w:r>
      <w:r>
        <w:rPr>
          <w:rtl w:val="true"/>
        </w:rPr>
        <w:t xml:space="preserve"> - </w:t>
      </w:r>
      <w:r>
        <w:rPr>
          <w:rtl w:val="true"/>
        </w:rPr>
        <w:t>بت پرستى مشركان پيش از اسلام</w:t>
      </w:r>
      <w:bookmarkEnd w:id="285"/>
    </w:p>
    <w:p>
      <w:pPr>
        <w:pStyle w:val="BookText"/>
        <w:rPr/>
      </w:pPr>
      <w:r>
        <w:rPr>
          <w:rFonts w:ascii="IRNazanin" w:hAnsi="IRNazanin" w:eastAsia="IRNazanin"/>
          <w:color w:val="111111"/>
          <w:sz w:val="28"/>
          <w:sz w:val="28"/>
          <w:szCs w:val="28"/>
          <w:rtl w:val="true"/>
          <w:lang w:bidi="fa-IR"/>
        </w:rPr>
        <w:t>آغاز بت پرستى را دوران حضرت نوح عليه السلام دانسته اند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گويا در ميان قوم نوح افراد صالحى بوده اند كه مردم به آن ها اظهار علاقه مى كردند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شيطان از علاقه ى آنان سوءاستفاده كرد و پس از مرگ آن بزرگان، مردم را به ساختن مجسمه ى آنان و بزرگ داشت آن مجسمه ها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ياد اين افراد فراموش شد و خود اين مجسمه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صاحبان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شدند و بت پرستى رسماً در ميان مردم رايج شد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قرآن نام پنج بت بزرگ قوم نوح را ذكر كرده است</w:t>
      </w:r>
      <w:r>
        <w:rPr>
          <w:rFonts w:eastAsia="IRNazanin" w:cs="IRNazanin"/>
          <w:color w:val="111111"/>
          <w:sz w:val="28"/>
          <w:szCs w:val="28"/>
          <w:rtl w:val="true"/>
          <w:lang w:bidi="fa-IR"/>
        </w:rPr>
        <w:t>.</w:t>
      </w:r>
      <w:r>
        <w:rPr>
          <w:rStyle w:val="FootnoteAnchor"/>
          <w:rtl w:val="true"/>
        </w:rPr>
        <w:footnoteReference w:id="30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بت پرستى پس از قرن ها به شبه جزيره ى عرب رسيد و مشركان پيش از اسلام نيز به بت پرستى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تمامى بت هايى كه قرآن براى قوم نوح ذكر مى كند، با همان نام ها در ميان اقوام پيش از اسلام نيز رايج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مرد</w:t>
      </w:r>
    </w:p>
    <w:p>
      <w:pPr>
        <w:pStyle w:val="BookText"/>
        <w:rPr/>
      </w:pPr>
      <w:r>
        <w:rPr>
          <w:rFonts w:ascii="Amiri" w:hAnsi="Amiri" w:eastAsia="Amiri" w:cs="Amiri"/>
          <w:color w:val="111111"/>
          <w:sz w:val="28"/>
          <w:sz w:val="28"/>
          <w:szCs w:val="28"/>
          <w:rtl w:val="true"/>
          <w:lang w:bidi="ar-SA"/>
        </w:rPr>
        <w:t xml:space="preserve">براى قبيله ى 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زن براى قبيله ى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هيأت شير براى قبيله ى مَذحَج،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شكل اسب براى قبيله ى مُراد،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عقاب براى قبيله ى حمير، به ارث رسيده بودند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 سه بت مشهور عرب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متعلق به قبيله ى ثقيف، عزّى متعلق به قبايل بنى سليم، غطفان، جَشم، نضر و سعدبن بكر، و منات براى قبيله ى قديد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بت هاى ديگرى نيز بودند كه مورد پرستش اهل مكه قرار گرفتند؛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بت اساف را در كنار حجرالاسود، نائله را در نزديكى ركن يمانى، و هبل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هجده ذراع طول داشت و بزرگ ترين بت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كعبه نصب كرده بودند</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قرآن كريم درباره ى سه بت مشهور اعراب جاهلى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اَللاّٰتَ وَ اَلْعُزّٰى وَ مَنٰاةَ اَلثّٰالِثَةَ اَلْأُخْرىٰ أَ لَكُمُ اَلذَّكَرُ وَ لَهُ اَلْأُنْثىٰ تِلْكَ إِذاً قِسْمَةٌ ضِيزىٰ إِنْ هِيَ إِلاّٰ أَسْمٰاءٌ سَمَّيْتُمُوهٰا أَنْتُمْ وَ آبٰاؤُكُمْ مٰا أَنْزَلَ اَللّٰهُ بِهٰا مِنْ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روشن شدن حقانيت پيامبر، از بتان خود، لات و عزى به من خبر دهيد؛ و از مَنات، آن ديگرى كه سومين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ها را تنديس دختران خدا مى پنداريد؟ آيا پسر از آنِ شما و دختر از آنِ اوست‌؟ اين تقسيم، بدين صورت، تقسيمى ستم كارانه و نابرابر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جز نام هايى بى اساس نيستند كه شما و پدرانتان بر آن ها نهاده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خداى آسمان ها، ديگرى را خداى زمين و آن ديگرى را خداى باران ناميده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برهانى كه بتوان با آن بر ربوبيت و الوهيت آن ها استدلال كرد، فرو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شريفه، ويژگى بت پرستى مشركان در عرصه ى ربوبيت و الوهيت، به خوبى تبيين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اين آيات، بسيارى از آيات بيانگر جايگاه و مقام بتان در نزد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ى قرآن، آنان بتان را موجب عزت و عظمت خود مى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ها غير از خدا، معبودانى براى خود انتخاب كرده اند تا مايه ى عزتشان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در حالى است كه قرآن تمامى عزت را براى خدا 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اَلْعِزَّةُ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ى عزت براى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اين باور بودند كه پيروزى شان در جنگ ها، معلول قدرت و كمك 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اين خدايانِ ناتوان را عبادت مى كردند تا بدين وسيله آن ها را از خود راضى كنند و خشمشان را از خود دور نگاه دارند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توحيد آشكار است؛ ولى مشركان به جاى خدا خدايانى همچون بتان، شياطين و سران ستمگر را به خداوندگارى برگزيده و به پرستش آن ها پرداخته اند؛ به اين اميد كه از سوى آن ها يارى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قرآن پيروزى را تنها از آن خداوند متعال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پيروزى جز از جانب خداى شكست ناپذيرِ حكيم نيست</w:t>
      </w:r>
      <w:r>
        <w:rPr>
          <w:rFonts w:eastAsia="IRNazanin" w:cs="IRNazanin"/>
          <w:color w:val="111111"/>
          <w:sz w:val="28"/>
          <w:szCs w:val="28"/>
          <w:rtl w:val="true"/>
          <w:lang w:bidi="fa-IR"/>
        </w:rPr>
        <w:t>».</w:t>
      </w:r>
      <w:bookmarkStart w:id="286" w:name="pg15502_177069"/>
    </w:p>
    <w:p>
      <w:pPr>
        <w:pStyle w:val="Heading4"/>
        <w:numPr>
          <w:ilvl w:val="3"/>
          <w:numId w:val="1"/>
        </w:numPr>
        <w:rPr/>
      </w:pPr>
      <w:bookmarkStart w:id="287" w:name="__RefHeading___Toc8088994_2142443653"/>
      <w:bookmarkStart w:id="288" w:name="_Toc111"/>
      <w:bookmarkEnd w:id="286"/>
      <w:bookmarkEnd w:id="287"/>
      <w:r>
        <w:rPr/>
        <w:t>4</w:t>
      </w:r>
      <w:r>
        <w:rPr>
          <w:rtl w:val="true"/>
        </w:rPr>
        <w:t xml:space="preserve"> - </w:t>
      </w:r>
      <w:r>
        <w:rPr>
          <w:rtl w:val="true"/>
        </w:rPr>
        <w:t>پيامبران و دعوت به توحيد ربوبى</w:t>
      </w:r>
      <w:bookmarkEnd w:id="288"/>
    </w:p>
    <w:p>
      <w:pPr>
        <w:pStyle w:val="BookText"/>
        <w:rPr/>
      </w:pPr>
      <w:r>
        <w:rPr>
          <w:rFonts w:ascii="IRNazanin" w:hAnsi="IRNazanin" w:eastAsia="IRNazanin"/>
          <w:color w:val="111111"/>
          <w:sz w:val="28"/>
          <w:sz w:val="28"/>
          <w:szCs w:val="28"/>
          <w:rtl w:val="true"/>
          <w:lang w:bidi="fa-IR"/>
        </w:rPr>
        <w:t xml:space="preserve">يكى ديگر از ادعاهاى وهابيان اين است كه پيامبران براى مبارزه با شرك در الوهيت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چراكه انسان ها در زمينه ى ربوبيت موحد بودند و نيازى به پيامبران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اين پندار، مسلمانان امروز را نيز گرفتار شرك در توحيد الوهى مى دانند و با آن ها مبارزه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ى وهابيان نيز همانند ديگر گفته هايشان، با آيات قرآن در تضاد است؛ زيرا با توجه به آيات قرآن، يكى از اهداف پيامبران مبارزه با شرك ربوبى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بيان محاجه ى حضرت ابراهيم عليه السلام و نمرود، اشاره شد كه آن حضرت براى آشنا كردن مردم با قدرت و اقتدار خداوند، از نمرود خواست تا خورشيد را از مغرب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هنگامى كه حضرت ابراهيم عليه السلام بت ها را شكست، براى بيدار كردن فطرت ها و دعوت مردم به شناخت خداى واقعى، تبر را به گردن بت بزرگ انداخت و به آن ها فهماند كه بت ها قدرتى ندارند و اين خداست كه قادر متعال 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براى اثبات قدرت خداوند در زنده كردن و ميراندن موجودات، چهار مرغ را كشت؛ گوشت هاى آنان را مخلوط كرد و بر سر كوه 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هاى گوشت ها و ديگر اعضا، به اراده ى خداوند به هم متصل شده و حيوانات دوباره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درحوزه ى توحيد نظرى، نه تنها براى مشركان دوران حضرت ابراهيم عليه السلام، كه براى تمام ادوار بشر، درسى جاودانه بود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اين در حالى است كه به گفته ى محمدبن عبدالوهاب، مشركان خداوند را ميراننده و زنده كننده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پيش از آن كه عبادت خدا را به قوم خود بياموزد، به ايشان درس خداشناسى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رَبُّكُمْ رَبُّ اَلسَّمٰاوٰاتِ وَ اَلْأَرْضِ اَلَّذِي فَطَرَهُنَّ‌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خداى شما، خداى آسمان ها و زمين است كه آن ها را ايجاد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اين آيه اين است كه خداى شما پروردگار آسمان ها و زمين است، نه پروردگارانى كه آن ها را مى 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آيه اى ديگر، حضرت ابراهيم عليه السلام به قوم خود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تُحٰاجُّونِّي فِي اَللّٰهِ وَ قَدْ هَدٰانِ وَ لاٰ أَخٰافُ مٰا تُشْرِكُونَ بِهِ إِلاّٰ أَنْ يَشٰاءَ رَبِّي شَيْئاً وَسِعَ رَبِّي كُلَّ شَيْ‌ءٍ عِلْماً أَ فَلاٰ تَتَذَكَّرُونَ‌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ابراهيم با او در مقام خصومت و احتجاج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 درباره ى خدا محاجّه مى كنيد؟ درحالى كه خدا مرا هدايت كرده است و من از آن چه شما شريك خدا مى خوانيد، هيچ بيمى ندارم؛ مگر آن كه خدا بر من چيزى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پروردگار من به همه ى موجودات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هنگامى كه با مشركان روبه رو مى شود و عقايد سخيف آنان را در بت پرستى مشاهده مى كند، براى مبارزه با شرك در ربوبيت و شناساندن خداوند به آن ها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خَلَقَنِي فَهُوَ يَهْدِينِ وَ اَلَّذِي هُوَ يُطْعِمُنِي وَ يَسْقِينِ وَ إِذٰا مَرِضْتُ فَهُوَ يَشْفِينِ وَ اَلَّذِي يُمِيتُنِي ثُمَّ يُحْيِينِ وَ اَلَّذِي أَطْمَعُ أَنْ يَغْفِرَ لِي خَطِيئَتِي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مرا آفريده و همو راهنمايى ام مى كند؛ و آن كه به من خوراك مى دهد و سيرابم مى گرداند؛ و چون بيمار شوم او مرا درمان مى بخشد؛ و آن كه مرا مى ميراند و سپس زنده ام مى گرداند؛ و آن كه اميد دارم روز پاداش، گناهم را بر من ببخشايد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 چنين براى اثبات توحيد ربوبى، از روش آزمون و خطا بهره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شب فرا مى رسد و ستاره را در آسمان مى بيند، براى بيدارى فطرت هاى</w:t>
      </w:r>
    </w:p>
    <w:p>
      <w:pPr>
        <w:pStyle w:val="BookText"/>
        <w:rPr/>
      </w:pPr>
      <w:r>
        <w:rPr>
          <w:rFonts w:ascii="IRNazanin" w:hAnsi="IRNazanin" w:eastAsia="IRNazanin"/>
          <w:color w:val="111111"/>
          <w:sz w:val="28"/>
          <w:sz w:val="28"/>
          <w:szCs w:val="28"/>
          <w:rtl w:val="true"/>
          <w:lang w:bidi="fa-IR"/>
        </w:rPr>
        <w:t>مشركان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افول مى كند، خدايى آن را انكار مى كند؛</w:t>
      </w:r>
      <w:r>
        <w:rPr>
          <w:rStyle w:val="FootnoteAnchor"/>
          <w:rtl w:val="true"/>
        </w:rPr>
        <w:footnoteReference w:id="315"/>
      </w:r>
      <w:r>
        <w:rPr>
          <w:rFonts w:ascii="IRNazanin" w:hAnsi="IRNazanin" w:eastAsia="IRNazanin"/>
          <w:color w:val="111111"/>
          <w:sz w:val="28"/>
          <w:sz w:val="28"/>
          <w:szCs w:val="28"/>
          <w:rtl w:val="true"/>
          <w:lang w:bidi="fa-IR"/>
        </w:rPr>
        <w:t>با طلوع ماه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غروب آن، از آن روى برمى گرداند؛</w:t>
      </w:r>
      <w:r>
        <w:rPr>
          <w:rStyle w:val="FootnoteAnchor"/>
          <w:rtl w:val="true"/>
        </w:rPr>
        <w:footnoteReference w:id="316"/>
      </w:r>
      <w:r>
        <w:rPr>
          <w:rFonts w:ascii="IRNazanin" w:hAnsi="IRNazanin" w:eastAsia="IRNazanin"/>
          <w:color w:val="111111"/>
          <w:sz w:val="28"/>
          <w:sz w:val="28"/>
          <w:szCs w:val="28"/>
          <w:rtl w:val="true"/>
          <w:lang w:bidi="fa-IR"/>
        </w:rPr>
        <w:t>و با طلوع خورشيد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خداى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افول مى كند، خطاب به مشركان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بَرِيءٌ مِمّٰا تُشْرِكُونَ‌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كنندگان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ى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شريك خدا قرار مى دهيد، بيزارم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حضرت يوسف عليه السلام هنگامى كه مى بيند دوستانش خداوند متعال را نمى شناسند، خدا را به آن ها معرفى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أَرْبٰابٌ مُتَفَرِّقُونَ خَيْرٌ أَمِ اَللّٰهُ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خدايان پراكنده بهترند يا خداى يگانه ى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اين آيه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سَمَّيْتُمُوهٰا أَنْتُمْ وَ آبٰاؤُكُمْ‌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جاى او، جز نام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پرستيد كه شما و پدرانتان آن ها را نام گذارى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حضرت موسى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 اَلْعٰالَمِينَ‌</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حضرت موسى عليه السلام براى معرفى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اَلسَّمٰاوٰاتِ وَ اَلْأَرْضِ وَ مٰا بَيْنَهُمَا إِنْ كُنْتُمْ مُوقِنِينَ‌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آسمان ها و زمين است و آن چه ما بين آن هاست؛ اگر به يقين باور داريد</w:t>
      </w:r>
      <w:r>
        <w:rPr>
          <w:rFonts w:eastAsia="IRNazanin" w:cs="IRNazanin"/>
          <w:color w:val="111111"/>
          <w:sz w:val="28"/>
          <w:szCs w:val="28"/>
          <w:rtl w:val="true"/>
          <w:lang w:bidi="fa-IR"/>
        </w:rPr>
        <w:t>».</w:t>
      </w:r>
      <w:bookmarkStart w:id="289" w:name="pg15502_177075"/>
    </w:p>
    <w:p>
      <w:pPr>
        <w:pStyle w:val="BookText"/>
        <w:rPr/>
      </w:pPr>
      <w:bookmarkEnd w:id="289"/>
      <w:r>
        <w:rPr>
          <w:rFonts w:ascii="IRNazanin" w:hAnsi="IRNazanin" w:eastAsia="IRNazanin"/>
          <w:color w:val="111111"/>
          <w:sz w:val="28"/>
          <w:sz w:val="28"/>
          <w:szCs w:val="28"/>
          <w:rtl w:val="true"/>
          <w:lang w:bidi="fa-IR"/>
        </w:rPr>
        <w:t>آياتى مانند اين آيات كه نشانگر دعوت پيامبران به توحيد نظرى است، بسيار زياد است و در اين صفحات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آيات، چه گونه مى توان مدعى شد كه مشركان در توحيد ربوبى موحد بوده و پيامبران نيز صرفاً براى دعوت به توحيد الوهى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اند؟</w:t>
      </w:r>
      <w:r>
        <w:rPr>
          <w:rFonts w:eastAsia="IRNazanin" w:cs="IRNazanin"/>
          <w:color w:val="111111"/>
          <w:sz w:val="28"/>
          <w:szCs w:val="28"/>
          <w:rtl w:val="true"/>
          <w:lang w:bidi="fa-IR"/>
        </w:rPr>
        <w:t>!</w:t>
      </w:r>
    </w:p>
    <w:p>
      <w:pPr>
        <w:pStyle w:val="Heading4"/>
        <w:numPr>
          <w:ilvl w:val="3"/>
          <w:numId w:val="1"/>
        </w:numPr>
        <w:rPr/>
      </w:pPr>
      <w:bookmarkStart w:id="290" w:name="__RefHeading___Toc8088996_2142443653"/>
      <w:bookmarkStart w:id="291" w:name="_Toc112"/>
      <w:bookmarkEnd w:id="290"/>
      <w:r>
        <w:rPr/>
        <w:t>5</w:t>
      </w:r>
      <w:r>
        <w:rPr>
          <w:rtl w:val="true"/>
        </w:rPr>
        <w:t xml:space="preserve"> - </w:t>
      </w:r>
      <w:r>
        <w:rPr>
          <w:rtl w:val="true"/>
        </w:rPr>
        <w:t>نقد دلايل وهابيان بر توحيد ربوبى مشركان</w:t>
      </w:r>
      <w:bookmarkEnd w:id="291"/>
    </w:p>
    <w:p>
      <w:pPr>
        <w:pStyle w:val="BookText"/>
        <w:rPr/>
      </w:pPr>
      <w:r>
        <w:rPr>
          <w:rFonts w:ascii="IRNazanin" w:hAnsi="IRNazanin" w:eastAsia="IRNazanin"/>
          <w:color w:val="111111"/>
          <w:sz w:val="28"/>
          <w:sz w:val="28"/>
          <w:szCs w:val="28"/>
          <w:rtl w:val="true"/>
          <w:lang w:bidi="fa-IR"/>
        </w:rPr>
        <w:t>چنان كه گفته شد، وهابيان براى اثبات ادعاى خود مبنى بر موحد بودن مشركان در توحيد ربوبى، به آيات مختلفى استناد كرده اند كه براى نمونه مى توان به آيات زير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وَ سَخَّرَ اَلشَّمْسَ وَ اَلْقَمَرَ لَيَقُولُنَّ اَللّٰهُ فَأَنّٰى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اين مشركان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 ها و زمين را آفريده و خورشيد و ماه را رام ساخته است،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گونه اينان از پرستش او بازداشته و به پرستش غير او كشانده مى شوند؟ و اگر از اين مشركان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آسمان باران فرو فرستاد و به وسيله ى آن، زمين را پس از آن كه خشك و مرده بود، با رويش گياهان زنده كرد،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ستايش 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بيش تر آنان تعقل نمى كنند و در آيات و نشانه هاى ما به درستى نمى انديشند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 اَلْأَرْضِ أَمَّنْ يَمْلِكُ اَلسَّمْعَ وَ اَلْأَبْصٰارَ وَ مَنْ يُخْرِجُ اَلْحَيَّ مِنَ اَلْمَيِّتِ وَ يُخْرِجُ اَلْمَيِّتَ مِنَ اَلْحَيِّ وَ مَنْ يُدَبِّرُ اَلْأَمْرَ فَسَيَقُولُونَ اَللّٰهُ فَقُلْ أَ فَلاٰ تَتَّقُونَ اَللّٰهُ يَبْسُطُ اَلرِّزْقَ لِمَنْ يَشٰاءُ مِنْ عِبٰادِهِ وَ يَقْدِرُ لَهُ إِنَّ 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ربوبيّت خدا، از مشركان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با فرو ريختن باران از آسمان و روياندن گياهان از زمين به شما روزى مى دهد؟ يا كيست كه گوش ها و</w:t>
      </w:r>
    </w:p>
    <w:p>
      <w:pPr>
        <w:pStyle w:val="BookText"/>
        <w:rPr/>
      </w:pPr>
      <w:r>
        <w:rPr>
          <w:rFonts w:ascii="IRNazanin" w:hAnsi="IRNazanin" w:eastAsia="IRNazanin"/>
          <w:color w:val="111111"/>
          <w:sz w:val="28"/>
          <w:sz w:val="28"/>
          <w:szCs w:val="28"/>
          <w:rtl w:val="true"/>
          <w:lang w:bidi="fa-IR"/>
        </w:rPr>
        <w:t>چشم هاى شما را در اختيار دارد و به آن ها شنوايى و بينايى مى دهد؟ و كيست كه زنده را از مرده و مرده را از زنده بيرون مى آورد؟ و كيست كه كار جهان هستى را تدبير مى كند؟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كارها به خدا بازمى گردد و سررشته ى هر چيزى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 پروا نمى كنيد و غير او را مى پرستيد؟ خداست كه روزى را براى هركس از بندگانش كه بخواهد فراخ مى گرداند و بر هركس كه بخواهد تنگ مى گيرد؛ و جز بر اساس مصلحت، اراده نمى كند؛ زيرا خداوند به هر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آيات، و نيز آياتى كه بر مشرك بودن مشركان در زمينه ى ربوبيت خدا دلالت دارند،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پوشيده نيست كه آيات قرآن و قرائن تاريخى، آن چنان بر شرك در ربوبيت مشركان دلالت دارند كه هرگز نمى توان دامن آن ها را از اين نوع شرك پاك دانست؛ به گونه اى كه يكى از محورهاى اصلى دعوت پيامبران، دعوت به توحيد در ساحت ربوبيت يا توحيد 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آيات، در صفحات گذشته ذكر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ديگر، جدا از اعتقاد مشركان به بت ها، قرآن نيز نگاهى حاكى از حقارت و ناتوانى به بت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هنگامى كه از بت ها نام مى برد، تنها به مشركان نمى فرمايد كه آن ها را عبادت نكنيد، بلكه در كنار آن، تدبير و يا آفرينش را از آن بت ها نفى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دُونِهِ آلِهَةً لاٰ يَخْلُقُونَ شَيْئاً وَ هُمْ يُخْلَقُونَ وَ لاٰ يَمْلِكُونَ لِأَنْفُسِهِمْ ضَرًّا وَ لاٰ نَفْعاً وَ لاٰ يَمْلِكُونَ مَوْتاً وَ لاٰ حَيٰاةً وَ لاٰ 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به جاى خدا معبودانى اختيار كرده اند كه نه تنها چيزى را نمى آفرينند، بلكه خود به دست پرستشگرانشان ساخته شده اند و براى خود، نه زيانى را در اختيار دارند تا آن را از خود دور سازند و نه سودى را مالكند تا آن را براى خود فراهم آورند؛ چه رسد به اين كه بر دفع زيان از پرستشگران خود و رساندن سود به آنان توانا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w:t>
      </w:r>
    </w:p>
    <w:p>
      <w:pPr>
        <w:pStyle w:val="BookText"/>
        <w:rPr/>
      </w:pPr>
      <w:r>
        <w:rPr>
          <w:rFonts w:ascii="IRNazanin" w:hAnsi="IRNazanin" w:eastAsia="IRNazanin"/>
          <w:color w:val="111111"/>
          <w:sz w:val="28"/>
          <w:sz w:val="28"/>
          <w:szCs w:val="28"/>
          <w:rtl w:val="true"/>
          <w:lang w:bidi="fa-IR"/>
        </w:rPr>
        <w:t>نه مرگى را در اختيار دارند تا آن را از كسى دور سازند و نه حياتى را مالكند تا آن را به كسى ارزانى دارند و نه بر رستاخيز قدرت دارند تا مردمان را پاداش دهند يا مجازات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نفى چنين صفاتى از بت ها، نشانگر نگاه ربوبى مشركان به 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آيات را به آياتى ضميمه كنيم كه بت ها را از نظر مشركان، سبب آسيب رساندن، عزت، افتخار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 به خوبى عمق انديشه ى شرك آلود آنان در عرصه ى توحيد ربوبى مشخص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شده است، بدان گوش فرا دهيد؛ كسانى كه شما آن ها را به جاى خدا مى خوانيد، هرگز نمى توانند مگسى بيافرينند؛ هرچند براى آفريدن آن هم داستان شوند؛ و اگر مگس چيزى از آن ها بربايد، نمى توانند آن را بازپس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خدايانى كه در پى آن مگس برآيند، ناتوان اند و هم مگسى كه در پى آن اند،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ى شريفه نيز با ناتوان شمردن بت ها، به خوبى نشانگر نگاه شرك آلود آنان در حوزه ى توحيد ربوبى است؛ بدين معنى كه آنان به سبب آن كه مى انديشيدند بت ها استقلالاً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دارند، آنان را مى پرستيدند؛ و خداوند با نفى قدرت آن ها، مشركان را از عبادت آن ها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ديگر، همان گونه كه ديده مى شود، شرك عبادى آن ها در شرك نظرى ريشه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خداوند در آياتى ديگر، شفاعت،</w:t>
      </w:r>
      <w:r>
        <w:rPr>
          <w:rStyle w:val="FootnoteAnchor"/>
          <w:rtl w:val="true"/>
        </w:rPr>
        <w:footnoteReference w:id="319"/>
      </w:r>
      <w:r>
        <w:rPr>
          <w:rFonts w:ascii="Amiri" w:hAnsi="Amiri" w:eastAsia="Amiri" w:cs="Amiri"/>
          <w:color w:val="111111"/>
          <w:sz w:val="28"/>
          <w:sz w:val="28"/>
          <w:szCs w:val="28"/>
          <w:rtl w:val="true"/>
          <w:lang w:bidi="ar-SA"/>
        </w:rPr>
        <w:t>مالكيت رزق و روزى،</w:t>
      </w:r>
      <w:r>
        <w:rPr>
          <w:rStyle w:val="FootnoteAnchor"/>
          <w:rtl w:val="true"/>
        </w:rPr>
        <w:footnoteReference w:id="3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را از بت ها نفى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در سوره ى صافات، به صورت موردى، به 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 كند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تَدْعُونَ بَعْلاً وَ تَذَرُونَ أَحْسَنَ اَلْخٰالِقِينَ‌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بَعْل را مى خوانيد و به پرستش آن مى پردازيد و عبادت بهترين آفرينندگان را وامى 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دليل عدم پرستش بعل و پرستش خود را بهترين آفريننده بودن خود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ى بعد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رَبَّكُمْ وَ رَبَّ آبٰائِكُمُ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شما و پروردگار پدران نخستين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ى شريفه نيز به خوبى روشن است كه مشركان بت بَعل را در زمينه ى تدبير مؤثر مى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رب شما نيست؛ بلكه خداوند رب شما و رب نياكان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فراموش كرد كه مشرك بودن مشركان در توحيد ربوبى در ادوار مختلف تاريخ، لزوماً بدين معنى نيست كه همه ى مشركان وجود خدا را انكار كرده اند؛ بلكه معناى شرك اين است كه در كنار خدا، الهه هاى ديگرى را نيز مى پرستيده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آيات آن به تفصيل ذكر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توحيد، امرى فطرى بوده و در نهاد انسان به وديعت گذاشته شده است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به آيات يادشده چنين استفاده مى شود كه نقطه ى آغازين شرك، شرك نظرى است كه به شرك عبادى مى رسد؛ بدين معنى كه مشركان ابتدا در رازقيت،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توانايى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مشرك شده اند و سپس به دليل همين شرك، به عبادت</w:t>
      </w:r>
    </w:p>
    <w:p>
      <w:pPr>
        <w:pStyle w:val="BookText"/>
        <w:rPr/>
      </w:pPr>
      <w:r>
        <w:rPr>
          <w:rFonts w:ascii="IRNazanin" w:hAnsi="IRNazanin" w:eastAsia="IRNazanin"/>
          <w:color w:val="111111"/>
          <w:sz w:val="28"/>
          <w:sz w:val="28"/>
          <w:szCs w:val="28"/>
          <w:rtl w:val="true"/>
          <w:lang w:bidi="fa-IR"/>
        </w:rPr>
        <w:t>آن 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قوم حضرت هود عليه السلام از آسيب رساندن به بت ها به شدت مى ترسيدند و به همين سبب به حضرت هود عليه السلام مى گفتند كه خدايان ما تو را ديوانه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نَقُولُ إِلاَّ اِعْتَرٰاكَ بَعْضُ آلِهَتِنٰا بِسُوءٍ قٰالَ إِنِّي أُشْهِدُ اَللّٰهَ وَ اِشْهَدُوا أَنِّي بَرِيءٌ مِمّٰا تُشْرِكُونَ قٰالَ إِنِّي أُشْهِدُ اَللّٰهَ وَ اِشْهَدُوا أَنِّي بَرِيءٌ مِمّٰا تُشْرِكُونَ‌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درباره ى تو چيزى جز اين نمى گوييم كه برخى از معبودان ما به تو گزندى رسانده و خِرد را از تو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مى گيرم و شما نيز گواه باشيد كه من برى هستم از آن چه شما آن را شريك او مى پنداريد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عقلى، هنگامى كه انسان شيئ يا موجودى را داراى قدرت ببيند، به عبادت آن مى پردازد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فصل هاى گذشته گفته شد، وجود خدا و مفهوم توحيد در آموزه هاى اسلامى امرى كاملاً بديهى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استدلال ها و برهان هايى كه براى اثبات توحيد ارائه مى شود، تنها براى زنده كردن روح توحيد در وجود انسان است؛ نه ايجاد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نيز براى تقويت و احياى نداى درون مبعوث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ربوبيّت بى همتاى خدا و روز جزا را به مردم تذكر ده كه تو فقط تذكردهنده اى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رابطه ى انسان و توحيد، رابطه ى عرض و معروض نيست؛ بلكه قلب انسان، عارف و موحد آفريده شده است؛ تاآن جاكه قرآن حتى ترديد در وجود خالق يكتا را بى معنى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 فِي اَللّٰهِ شَكٌّ فٰاطِرِ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يكتايى خدا كه پديدآورنده ى آسمان ها و زمين، و سامان دهنده ى آن هاست، ترديدى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ى قرآن، نور توحيد در قلوب انسان ها هميشه زبانه مى كشد؛ اما در بسيارى از موارد، به سبب پى روى از اوهام و خيالات و امور غيرمنطقى،</w:t>
      </w:r>
      <w:r>
        <w:rPr>
          <w:rStyle w:val="FootnoteAnchor"/>
          <w:rtl w:val="true"/>
        </w:rPr>
        <w:footnoteReference w:id="324"/>
      </w:r>
      <w:r>
        <w:rPr>
          <w:rFonts w:ascii="IRNazanin" w:hAnsi="IRNazanin" w:eastAsia="IRNazanin"/>
          <w:color w:val="111111"/>
          <w:sz w:val="28"/>
          <w:sz w:val="28"/>
          <w:szCs w:val="28"/>
          <w:rtl w:val="true"/>
          <w:lang w:bidi="fa-IR"/>
        </w:rPr>
        <w:t>حس گرايى و غفلت از ماوراى طبيعت،</w:t>
      </w:r>
      <w:r>
        <w:rPr>
          <w:rStyle w:val="FootnoteAnchor"/>
          <w:rtl w:val="true"/>
        </w:rPr>
        <w:footnoteReference w:id="325"/>
      </w:r>
      <w:r>
        <w:rPr>
          <w:rFonts w:ascii="IRNazanin" w:hAnsi="IRNazanin" w:eastAsia="IRNazanin"/>
          <w:color w:val="111111"/>
          <w:sz w:val="28"/>
          <w:sz w:val="28"/>
          <w:szCs w:val="28"/>
          <w:rtl w:val="true"/>
          <w:lang w:bidi="fa-IR"/>
        </w:rPr>
        <w:t>و زنگارها و دنياپرستى ها، فراموش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نيچه در توصيف وضعيت غرب پس از رنسانس، از عبارت مردن خدا در غرب يا كشته شدن خدا توسط انسان غربى نام مى برد؛</w:t>
      </w:r>
      <w:r>
        <w:rPr>
          <w:rStyle w:val="FootnoteAnchor"/>
          <w:rtl w:val="true"/>
        </w:rPr>
        <w:footnoteReference w:id="326"/>
      </w:r>
      <w:r>
        <w:rPr>
          <w:rFonts w:ascii="IRNazanin" w:hAnsi="IRNazanin" w:eastAsia="IRNazanin"/>
          <w:color w:val="111111"/>
          <w:sz w:val="28"/>
          <w:sz w:val="28"/>
          <w:szCs w:val="28"/>
          <w:rtl w:val="true"/>
          <w:lang w:bidi="fa-IR"/>
        </w:rPr>
        <w:t>درحالى كه به تعبير قرآن، خداوند هرگز نمى ميرد؛</w:t>
      </w:r>
      <w:r>
        <w:rPr>
          <w:rStyle w:val="FootnoteAnchor"/>
          <w:rtl w:val="true"/>
        </w:rPr>
        <w:footnoteReference w:id="327"/>
      </w:r>
      <w:r>
        <w:rPr>
          <w:rFonts w:ascii="Amiri" w:hAnsi="Amiri" w:eastAsia="Amiri" w:cs="Amiri"/>
          <w:color w:val="111111"/>
          <w:sz w:val="28"/>
          <w:sz w:val="28"/>
          <w:szCs w:val="28"/>
          <w:rtl w:val="true"/>
          <w:lang w:bidi="ar-SA"/>
        </w:rPr>
        <w:t>بلكه خداوند به سبب برخى عوامل،</w:t>
      </w:r>
      <w:r>
        <w:rPr>
          <w:rStyle w:val="FootnoteAnchor"/>
          <w:rtl w:val="true"/>
        </w:rPr>
        <w:footnoteReference w:id="328"/>
      </w:r>
      <w:r>
        <w:rPr>
          <w:rFonts w:ascii="Amiri" w:hAnsi="Amiri" w:eastAsia="Amiri" w:cs="Amiri"/>
          <w:color w:val="111111"/>
          <w:sz w:val="28"/>
          <w:sz w:val="28"/>
          <w:szCs w:val="28"/>
          <w:rtl w:val="true"/>
          <w:lang w:bidi="ar-SA"/>
        </w:rPr>
        <w:t>فراموش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اما هنگامى كه سختى ها و ناملايمات، وجود انسان را دربرمى گيرد و اميد انسان از همه جا قطع مى شود، ناخودآگاه فطرت انسان بيدار مى شود و به ياد خدا مى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وقتى سوار كشتى مى شوند، خدا را درحالى كه عبادت و اطاعت خود را ويژه ى او مى كنند، مى خوانند؛ ولى هنگامى كه خدا آنان را به خشكى مى رساند و از ورطه هاى هلاكت نجاتشان مى دهد، همان لحظه به شرك مى گرايند و ديگرى را پروردگار خود مى پندارند</w:t>
      </w:r>
      <w:r>
        <w:rPr>
          <w:rFonts w:eastAsia="IRNazanin" w:cs="IRNazanin"/>
          <w:color w:val="111111"/>
          <w:sz w:val="28"/>
          <w:szCs w:val="28"/>
          <w:rtl w:val="true"/>
          <w:lang w:bidi="fa-IR"/>
        </w:rPr>
        <w:t>».</w:t>
      </w:r>
      <w:bookmarkStart w:id="292" w:name="pg15502_177088"/>
    </w:p>
    <w:p>
      <w:pPr>
        <w:pStyle w:val="Heading4"/>
        <w:numPr>
          <w:ilvl w:val="3"/>
          <w:numId w:val="1"/>
        </w:numPr>
        <w:rPr/>
      </w:pPr>
      <w:bookmarkStart w:id="293" w:name="__RefHeading___Toc8088998_2142443653"/>
      <w:bookmarkStart w:id="294" w:name="_Toc113"/>
      <w:bookmarkEnd w:id="292"/>
      <w:bookmarkEnd w:id="293"/>
      <w:r>
        <w:rPr/>
        <w:t>6</w:t>
      </w:r>
      <w:r>
        <w:rPr>
          <w:rtl w:val="true"/>
        </w:rPr>
        <w:t xml:space="preserve"> - </w:t>
      </w:r>
      <w:r>
        <w:rPr>
          <w:rtl w:val="true"/>
        </w:rPr>
        <w:t>توحيد، نداى هميشگى فطرت</w:t>
      </w:r>
      <w:bookmarkEnd w:id="294"/>
    </w:p>
    <w:p>
      <w:pPr>
        <w:pStyle w:val="BookText"/>
        <w:rPr/>
      </w:pPr>
      <w:r>
        <w:rPr>
          <w:rFonts w:ascii="IRNazanin" w:hAnsi="IRNazanin" w:eastAsia="IRNazanin"/>
          <w:color w:val="111111"/>
          <w:sz w:val="28"/>
          <w:sz w:val="28"/>
          <w:szCs w:val="28"/>
          <w:rtl w:val="true"/>
          <w:lang w:bidi="fa-IR"/>
        </w:rPr>
        <w:t>با توجه به مقدماتى كه ذكر شد، بى ترديد آيات مورد استدلال مشركان نداى فطرت آن هاست؛ بدين معنى كه اگر از فطرت آنان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شما كيست، پاسخ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خداوند در ادامه ى آيات سوره ى عنكبوت، خطاب به مشركان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أَكْثَرُهُمْ لاٰ يَعْقِلُونَ‌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نشانگر تعارضى است كه در ميان فطرت و عقايد مشركان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قرآن، مشركان نمى انديشند كه چه گونه ميان فطرت خداجوى آن ها و اعتقاد شرك آلودشان تعارض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ى يونس، پس از آن كه از زبان مشركان، رزق، آفرينش اعضا و جوارح مانند گوش و چشم، و زنده كردن و ميراندن را به خداوند نسبت مى دهد،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يَبْسُطُ اَلرِّزْقَ لِمَنْ يَشٰاءُ مِنْ عِبٰادِهِ وَ يَقْدِرُ لَهُ إِنَّ اَللّٰهَ بِكُلِّ شَيْ‌ءٍ عَلِيمٌ‌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به خوبى نشانگر اين واقعيت است كه مشركان در اين كه روزى آن ها دست خداوند است و اوست كه جز بر اساس مصلحت اراده نمى كند و بر هر چيزى تواناست، ترديد داشته و مشرك بوده اند؛ چون اگر آنان به جز فطرت، در مقام اعتقاد نيز به رازقيت، تدبير و قدرت بى منازع خداوند باور داشتند، لزومى به ذكر ويژگى هاى خداوند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انديشمندان اسلامى نيز با توجه به آيات يادشده معتقدند كه اين آيات، اعتقاد مشركان نيست؛ بلكه اقرار فطرى يا بديهى بودن اين امر نزد عقل است و اين در حالى است كه مشركان آن را انكار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ديدگاه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فَسَيَقُولُونَ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معتقدند كه مشركان به خالقيت خدا اعتقاد داشتند؛ و دوم اگر آنان فكر مى كردند و انصاف مى ورزيدند مى گفتند خدا</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يعنى اگر به انديشه و ديده انصاف كه همان نداى فطرت است، متوسل مى شدند، خداوند را معرفى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است كه كفار به سبب وضوح ربوبيت خدا، چاره اى جز اعتراف ندارند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بداهت ربوبيت موجب مى شود كه مشركان نتوانند دراين باره مكابره و عناد كنند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او در پاره اى از آيات مشابه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صريح، آنان را با اندكى تأمل وادار مى كند كه اقرار كنند خداوند خالق آن هاست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تعبيرى همانند ابن عطيه دارد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چاره اى جز اعتراف به اين امر نداشتند و نمى توانستند سخن ديگرى بگويند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فَسَيَقُولُونَ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پاسخ به اين 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منصف باشند و بر اساس فكر درست و عقل سليم عمل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خواهد بود كه فاعل تمامى امور، خداست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وى در تفسير آيه ى سوره ى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سَيَقُولُونَ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اى ندارند جز اين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چراكه چنين امرى، از نظر عقلى بديهى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شيعه نيز چنين ديدگاهى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كلينى، امام باقر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گرامى اسلام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مولودى بر فطرت خود زاده مى شود؛ يعنى مى داند كه خداوند عزوجل، آفريدگار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مبناست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لَيَقُولُنَّ اَللّٰهُ‌</w:t>
      </w:r>
      <w:r>
        <w:rPr>
          <w:rFonts w:eastAsia="IRNazanin" w:cs="IRNazanin"/>
          <w:color w:val="111111"/>
          <w:sz w:val="28"/>
          <w:szCs w:val="28"/>
          <w:rtl w:val="true"/>
          <w:lang w:bidi="fa-IR"/>
        </w:rPr>
        <w:t>».</w:t>
      </w:r>
      <w:r>
        <w:rPr>
          <w:rStyle w:val="FootnoteAnchor"/>
          <w:rtl w:val="true"/>
        </w:rPr>
        <w:footnoteReference w:id="33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كمى دقت در ديدگاه ها و جميع آيات به خوبى مشاهده مى شود كه اگر مشركان به فطرت، عقل يا وجدان خود مراجعه مى كردند، بى شك به ربوبيت خدا حكم مى دادند؛ اما به علل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همه ى آن ها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فطرت و عقل آن ها خاموش شده است</w:t>
      </w:r>
      <w:r>
        <w:rPr>
          <w:rFonts w:eastAsia="IRNazanin" w:cs="IRNazanin"/>
          <w:color w:val="111111"/>
          <w:sz w:val="28"/>
          <w:szCs w:val="28"/>
          <w:rtl w:val="true"/>
          <w:lang w:bidi="fa-IR"/>
        </w:rPr>
        <w:t>.</w:t>
      </w:r>
      <w:bookmarkStart w:id="295" w:name="pg15502_177094"/>
    </w:p>
    <w:p>
      <w:pPr>
        <w:pStyle w:val="Heading3"/>
        <w:numPr>
          <w:ilvl w:val="2"/>
          <w:numId w:val="1"/>
        </w:numPr>
        <w:rPr/>
      </w:pPr>
      <w:bookmarkStart w:id="296" w:name="__RefHeading___Toc8089000_2142443653"/>
      <w:bookmarkStart w:id="297" w:name="_Toc114"/>
      <w:bookmarkEnd w:id="295"/>
      <w:bookmarkEnd w:id="296"/>
      <w:r>
        <w:rPr>
          <w:rtl w:val="true"/>
        </w:rPr>
        <w:t>فصل هشتم</w:t>
      </w:r>
      <w:r>
        <w:rPr>
          <w:rtl w:val="true"/>
        </w:rPr>
        <w:t xml:space="preserve">: </w:t>
      </w:r>
      <w:r>
        <w:rPr>
          <w:rtl w:val="true"/>
        </w:rPr>
        <w:t xml:space="preserve">وهابيت و توحيد الوهى </w:t>
      </w:r>
      <w:r>
        <w:rPr>
          <w:rtl w:val="true"/>
        </w:rPr>
        <w:t>(</w:t>
      </w:r>
      <w:r>
        <w:rPr>
          <w:rtl w:val="true"/>
        </w:rPr>
        <w:t>عبادى</w:t>
      </w:r>
      <w:r>
        <w:rPr>
          <w:rtl w:val="true"/>
        </w:rPr>
        <w:t>)</w:t>
      </w:r>
      <w:bookmarkEnd w:id="29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8" w:name="__RefHeading___Toc8089002_2142443653"/>
      <w:bookmarkStart w:id="299" w:name="_Toc115"/>
      <w:bookmarkEnd w:id="298"/>
      <w:r>
        <w:rPr>
          <w:rtl w:val="true"/>
        </w:rPr>
        <w:t>اشاره</w:t>
      </w:r>
      <w:bookmarkStart w:id="300" w:name="pg15502_177098"/>
      <w:bookmarkEnd w:id="299"/>
    </w:p>
    <w:p>
      <w:pPr>
        <w:pStyle w:val="Heading4"/>
        <w:numPr>
          <w:ilvl w:val="3"/>
          <w:numId w:val="1"/>
        </w:numPr>
        <w:rPr/>
      </w:pPr>
      <w:bookmarkStart w:id="301" w:name="__RefHeading___Toc8089004_2142443653"/>
      <w:bookmarkStart w:id="302" w:name="_Toc116"/>
      <w:bookmarkEnd w:id="300"/>
      <w:bookmarkEnd w:id="301"/>
      <w:r>
        <w:rPr/>
        <w:t>1</w:t>
      </w:r>
      <w:r>
        <w:rPr>
          <w:rtl w:val="true"/>
        </w:rPr>
        <w:t xml:space="preserve"> - </w:t>
      </w:r>
      <w:r>
        <w:rPr>
          <w:rtl w:val="true"/>
        </w:rPr>
        <w:t>مقدمه</w:t>
      </w:r>
      <w:bookmarkEnd w:id="302"/>
    </w:p>
    <w:p>
      <w:pPr>
        <w:pStyle w:val="BookText"/>
        <w:rPr/>
      </w:pPr>
      <w:r>
        <w:rPr>
          <w:rFonts w:ascii="IRNazanin" w:hAnsi="IRNazanin" w:eastAsia="IRNazanin"/>
          <w:color w:val="111111"/>
          <w:sz w:val="28"/>
          <w:sz w:val="28"/>
          <w:szCs w:val="28"/>
          <w:rtl w:val="true"/>
          <w:lang w:bidi="fa-IR"/>
        </w:rPr>
        <w:t>در فصل هاى گذشته گفته شد، توحيد در نگاه وهابيت به سه قسم تقسيم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اسماء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ربوبى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اسماء و صفات و نيز توحيد ربوبى، در فصل هاى پيشين نقد و بررسى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توحيد الوهى را از نگاه وهابيت بررسى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بدعت آميز وهابيت از توحيد الوهى سبب شده است كه آنان همه ى مسلمانان را مشرك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تضييق دايره ى توحيد در حوزه ى عبادت، خون، مال و نواميس مسلمانان را مباح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انديشه ى وهابيت را در زمينه ى توحيد الوهى بررسى خواهيم كرد و در فصل بعد به تبيين ديدگاه مسلمانان در اين حوزه خواهيم پرداخت</w:t>
      </w:r>
      <w:r>
        <w:rPr>
          <w:rFonts w:eastAsia="IRNazanin" w:cs="IRNazanin"/>
          <w:color w:val="111111"/>
          <w:sz w:val="28"/>
          <w:szCs w:val="28"/>
          <w:rtl w:val="true"/>
          <w:lang w:bidi="fa-IR"/>
        </w:rPr>
        <w:t>.</w:t>
      </w:r>
    </w:p>
    <w:p>
      <w:pPr>
        <w:pStyle w:val="Heading4"/>
        <w:numPr>
          <w:ilvl w:val="3"/>
          <w:numId w:val="1"/>
        </w:numPr>
        <w:rPr/>
      </w:pPr>
      <w:bookmarkStart w:id="303" w:name="__RefHeading___Toc8089006_2142443653"/>
      <w:bookmarkStart w:id="304" w:name="_Toc117"/>
      <w:bookmarkEnd w:id="303"/>
      <w:r>
        <w:rPr/>
        <w:t>2</w:t>
      </w:r>
      <w:r>
        <w:rPr>
          <w:rtl w:val="true"/>
        </w:rPr>
        <w:t xml:space="preserve"> - </w:t>
      </w:r>
      <w:r>
        <w:rPr>
          <w:rtl w:val="true"/>
        </w:rPr>
        <w:t>وهابيت و توحيد الوهى</w:t>
      </w:r>
      <w:bookmarkEnd w:id="30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الوهى همانند توحيد ربوبى، در انديشه ى ابن تيميه ريشه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در كنار توحيد اسماء و صفات</w:t>
      </w:r>
      <w:r>
        <w:rPr>
          <w:rStyle w:val="FootnoteAnchor"/>
          <w:rtl w:val="true"/>
        </w:rPr>
        <w:footnoteReference w:id="338"/>
      </w:r>
      <w:r>
        <w:rPr>
          <w:rFonts w:ascii="Amiri" w:hAnsi="Amiri" w:eastAsia="Amiri" w:cs="Amiri"/>
          <w:color w:val="111111"/>
          <w:sz w:val="28"/>
          <w:sz w:val="28"/>
          <w:szCs w:val="28"/>
          <w:rtl w:val="true"/>
          <w:lang w:bidi="ar-SA"/>
        </w:rPr>
        <w:t>و توحيد ربوبى،</w:t>
      </w:r>
      <w:r>
        <w:rPr>
          <w:rStyle w:val="FootnoteAnchor"/>
          <w:rtl w:val="true"/>
        </w:rPr>
        <w:footnoteReference w:id="339"/>
      </w:r>
      <w:r>
        <w:rPr>
          <w:rFonts w:ascii="Amiri" w:hAnsi="Amiri" w:eastAsia="Amiri" w:cs="Amiri"/>
          <w:color w:val="111111"/>
          <w:sz w:val="28"/>
          <w:sz w:val="28"/>
          <w:szCs w:val="28"/>
          <w:rtl w:val="true"/>
          <w:lang w:bidi="ar-SA"/>
        </w:rPr>
        <w:t>به توحيد الوهى اشاره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ى</w:t>
      </w:r>
    </w:p>
    <w:p>
      <w:pPr>
        <w:pStyle w:val="BookText"/>
        <w:rPr/>
      </w:pPr>
      <w:r>
        <w:rPr>
          <w:rFonts w:ascii="Amiri" w:hAnsi="Amiri" w:eastAsia="Amiri" w:cs="Amiri"/>
          <w:color w:val="111111"/>
          <w:sz w:val="28"/>
          <w:sz w:val="28"/>
          <w:szCs w:val="28"/>
          <w:rtl w:val="true"/>
          <w:lang w:bidi="ar-SA"/>
        </w:rPr>
        <w:t xml:space="preserve">وى، همه ى انسان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مشركان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ى توحيد ربوبى موحدند؛</w:t>
      </w:r>
      <w:r>
        <w:rPr>
          <w:rStyle w:val="FootnoteAnchor"/>
          <w:rtl w:val="true"/>
        </w:rPr>
        <w:footnoteReference w:id="340"/>
      </w:r>
      <w:r>
        <w:rPr>
          <w:rFonts w:ascii="IRNazanin" w:hAnsi="IRNazanin" w:eastAsia="IRNazanin"/>
          <w:color w:val="111111"/>
          <w:sz w:val="28"/>
          <w:sz w:val="28"/>
          <w:szCs w:val="28"/>
          <w:rtl w:val="true"/>
          <w:lang w:bidi="fa-IR"/>
        </w:rPr>
        <w:t>اما آن چه مشركان را از مسير توحيد خارج كرده است، صرفاً شرك در الوهيت است</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به عقيده ى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توحيدى كه خداوند به آن دستور داده، توحيد در الوهيت است كه خود متضمن توحيد در ربوبيت نيز مى باشد؛ بدين معنى كه تنها خداوند عبادت شود و به وى شرك ورزيده نشود كه تمام دين از خداوند است</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به گفته ى وى، توحيد در ربوبيت به تنهايى مانع كفر نيست و كفايت نمى كند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پيامبران نيز صرفاً براى دعوت به توحيد الوهى مبعوث شده اند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محمدبن عبدالوهاب نيز به پى روى از ابن تيميه، چنين نگرشى را در پيش گرفته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به گفته ى او</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با مشركان جنگيد تا دعا، نذر، ذبح و استغاثه تنها براى خداوند بوده و تمامى انواع عبادات براى او باشد، و دانستى كه اقرار آن ها به توحيد در ربوبيت، آنان را به اسلام وارد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آن ها به سبب شفاعت خواستن و توسل به بت ها براى نزديكى به خدا مباح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توحيدى را كه پيامبران به آن دعوت كرده اند، شناختى؛ چيزى كه مشركان از اقرار به آن خوددارى كردند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دو فصل گذشته، به تفصيل درباره ى جايگاه توحيد ربوبى در ميان مشركان پيش از اسلام و مشركان ديگر اقوام، سخن گفتيم و مشخص شد با توجه به آيات مختلف قرآن، مشركان در زمينه ى توحيد ربوبى، موحد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 توجه به آيات قرآن، پيامبران نيز نه تنها براى دعوت به توحيد الوهى، بلكه افزون بر آن، براى دعوت به توحيد ربوبى مبعوث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جاى اين پرسش نيز خالى است كه چرا با توجه به نقش تعيين كننده ى چنين تقسيمى در توحيد، نه تنها پيامبر گرامى اسلام صلى الله عليه و آله، بلكه هيچ يك از صحابه، تابعين و تابعين تابعين، درباره ى تقسيم توحيد به الوهى و ربوبى سخنى نگفته اند و تنها در قرن هفتم، ابن تيميه چنين نكته ى مهمى را فهميده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توحيد الوهى را با توحيد عبادى مترادف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الوهيت در فرهنگ وهابيت به عبادت معنا شده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به گفته ى فوزان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نوع از توحيد، توحيد عبادى گفته مى شود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اما مفهوم توحيد عبادى وهابيان، با آن چه مسلمانان ديگر از اين توحيد مى فهمند،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مفهوم عبادت را بسيار گسترده مى پندارند و به جز اعمالى همانند نماز، روزه، زكات، حج و راست گويى، امورى همچون مطلق نذر، ذبح، كمك خواستن، استعانت و توسل را به هر صورت و نيتى كه انجام شود، مصداق عبادت مى شمارند و در نتيجه، انجام آن را براى غير خدا شرك مى شمارند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وهابيان، ابن تيميه درباره ى اشاعره و علماى كلام اسلامى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توحيد اصلى كه همان توحيد الوهى و توحيد اسماء و صفات است، خارج شدند و جز توحيد ربوبى چيزى را نشناختند و آن عبارت بود از اقرار به اين كه خداوند خالق همه چيز و مدبر آن هاست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وهابيان حتى به اين مقدار بسنده نكردند و نه تنها مسلمانان را مشرك قلمداد نمودند، بلكه محمدبن عبدالوهاب شرك آن ها را شديدتر از مشركان شمرده و به همين سبب، خون، مال و ناموس آنان را همانند مشركان پيش از اسلام، مباح دانسته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چنين ديدگاهى، وهابيت را به بهترين عامل استعمار در جهان اسلام تبديل كرده است؛ زيرا هيچ فرقه ى انحرافى همانند وهابيت، بر روى مسلمانان تيغ نكشيده و اهداف استعمار را پياده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با توجه به موقعيت جغرافيايى آن و استيلاى وهابيان بر حرمين شريفين ازيك سو، و دشمنى آنان با همه ى مسلمانان</w:t>
      </w:r>
    </w:p>
    <w:p>
      <w:pPr>
        <w:pStyle w:val="BookText"/>
        <w:rPr/>
      </w:pPr>
      <w:r>
        <w:rPr>
          <w:rFonts w:ascii="IRNazanin" w:hAnsi="IRNazanin" w:eastAsia="IRNazanin"/>
          <w:color w:val="111111"/>
          <w:sz w:val="28"/>
          <w:sz w:val="28"/>
          <w:szCs w:val="28"/>
          <w:rtl w:val="true"/>
          <w:lang w:bidi="fa-IR"/>
        </w:rPr>
        <w:t>از سوى ديگر، بهترين گزينه براى ايجاد نفاق، تفرقه و دشمنى در ميان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بى جهت نيست كه استعمار انگلستان و پس از آن آمريكا، با تمام توان از اين فرقه ى انحرافى، به لحاظ مالى و نظامى حمايت مى كنند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چنين تصور شود كه نگاه افراطى وهابيت به توحيد الوهى، براى كفار واقعى مانند آمريكا و صهيونيسم نيز خطرناك است؛ اما تاريخ نشان داده است كه هرگز وهابيت تيغ خود را به سوى كفار واقعى همچون صيهونيست ها و صليبيون نشانه نرفته است؛ بلكه به طور مستقيم، سينه ى مسلمانان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در طول تاريخ، هماره مسلمانان قربانى انديشه هاى افراطى وهابيان و كفار حاميان اصلى اين جريان انحرافى بوده اند</w:t>
      </w:r>
      <w:r>
        <w:rPr>
          <w:rFonts w:eastAsia="IRNazanin" w:cs="IRNazanin"/>
          <w:color w:val="111111"/>
          <w:sz w:val="28"/>
          <w:szCs w:val="28"/>
          <w:rtl w:val="true"/>
          <w:lang w:bidi="fa-IR"/>
        </w:rPr>
        <w:t>.</w:t>
      </w:r>
      <w:bookmarkStart w:id="305" w:name="pg15502_177107"/>
    </w:p>
    <w:p>
      <w:pPr>
        <w:pStyle w:val="BookText"/>
        <w:rPr/>
      </w:pPr>
      <w:bookmarkEnd w:id="305"/>
      <w:r>
        <w:rPr>
          <w:rFonts w:ascii="IRNazanin" w:hAnsi="IRNazanin" w:eastAsia="IRNazanin"/>
          <w:color w:val="111111"/>
          <w:sz w:val="28"/>
          <w:sz w:val="28"/>
          <w:szCs w:val="28"/>
          <w:rtl w:val="true"/>
          <w:lang w:bidi="fa-IR"/>
        </w:rPr>
        <w:t>از سوى ديگر، چنين قرائتى از توحيد، بهانه ى خوبى براى كشتارها، ويرانى ها و تجاوز به سرزمين هاى ديگر، در اختيار آل سعود قرار داد و آنان نيز با سنگ دلى تمام، جان و مال و ناموس مسلمانان را پايمال كردند</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306" w:name="__RefHeading___Toc8089008_2142443653"/>
      <w:bookmarkStart w:id="307" w:name="_Toc118"/>
      <w:bookmarkEnd w:id="306"/>
      <w:r>
        <w:rPr/>
        <w:t>3</w:t>
      </w:r>
      <w:r>
        <w:rPr>
          <w:rtl w:val="true"/>
        </w:rPr>
        <w:t xml:space="preserve"> - </w:t>
      </w:r>
      <w:r>
        <w:rPr>
          <w:rtl w:val="true"/>
        </w:rPr>
        <w:t>واژه شناسى توحيد الوهى</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صناعى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يألُه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فعال، مصدر به معنى 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معبود به كار رفته است؛</w:t>
      </w:r>
      <w:r>
        <w:rPr>
          <w:rStyle w:val="FootnoteAnchor"/>
          <w:rtl w:val="true"/>
        </w:rPr>
        <w:footnoteReference w:id="354"/>
      </w:r>
      <w:r>
        <w:rPr>
          <w:rFonts w:ascii="Amiri" w:hAnsi="Amiri" w:eastAsia="Amiri" w:cs="Amiri"/>
          <w:color w:val="111111"/>
          <w:sz w:val="28"/>
          <w:sz w:val="28"/>
          <w:szCs w:val="28"/>
          <w:rtl w:val="true"/>
          <w:lang w:bidi="ar-SA"/>
        </w:rPr>
        <w:t xml:space="preserve">نظير اِمام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يعنى كسى كه پى روى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عقيده ى برخى، مصدر صناعى اله، الهيه مى شود، نه الوهيه؛</w:t>
      </w:r>
      <w:r>
        <w:rPr>
          <w:rStyle w:val="FootnoteAnchor"/>
          <w:rtl w:val="true"/>
        </w:rPr>
        <w:footnoteReference w:id="356"/>
      </w:r>
      <w:r>
        <w:rPr>
          <w:rFonts w:ascii="IRNazanin" w:hAnsi="IRNazanin" w:eastAsia="IRNazanin"/>
          <w:color w:val="111111"/>
          <w:sz w:val="28"/>
          <w:sz w:val="28"/>
          <w:szCs w:val="28"/>
          <w:rtl w:val="true"/>
          <w:lang w:bidi="fa-IR"/>
        </w:rPr>
        <w:t xml:space="preserve">اما جدا از مباحث ادبى، از نظر معنى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همان معنى معبود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ى جلاله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اله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بارى تعالى، و شامل ساير معبودانى است كه ممكن است توسط انسان ها پرستش شوند؛ اما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است و تنها به خداوند متعال اختصاص دارد و اسم علم براى ذات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گاه ديگر اسماى حسنى، براى الله صفت قرار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 كه آفريننده، پديدآورنده و صورت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گاه به خداوند متعال اشاره دارد؛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من همانند شما بشرى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احاطه بر جهان هاى نامتناهى و همه ى كلمات الهى نمى كنم؛ تنها فرق من با شما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 وحى مى رسد كه خداى شما خداى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به لقاى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اميدوار است، بايد نيكوكار شود و هرگز در پرستش خدايش احدى را با او شريك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خدايان دروغين اشاره دارد؛ چنان كه سامرى و پيروانش درباره ى گوساله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إِلٰهُكُمْ وَ إِلٰهُ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و خداى موسى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برخى ادعا كرده اند كه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خداوند متعال اختصاص دارد و در موارد ديگر، به صورت مجاز به كار رفته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چنين سخنى با مفهوم لغوى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ازسوى ديگر،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موارد بسيارى درباره ى غير خداوند متعال به كار رفته است، اراده ى مجاز، به قرينه نياز دارد كه در اين آيات، چنين قرينه اى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نيز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كه درست نيست</w:t>
      </w:r>
      <w:r>
        <w:rPr>
          <w:rFonts w:eastAsia="IRNazanin" w:cs="IRNazanin"/>
          <w:color w:val="111111"/>
          <w:sz w:val="28"/>
          <w:szCs w:val="28"/>
          <w:rtl w:val="true"/>
          <w:lang w:bidi="fa-IR"/>
        </w:rPr>
        <w:t>.</w:t>
      </w:r>
      <w:r>
        <w:rPr>
          <w:rStyle w:val="FootnoteAnchor"/>
          <w:rtl w:val="true"/>
        </w:rPr>
        <w:footnoteReference w:id="358"/>
      </w:r>
      <w:bookmarkStart w:id="308" w:name="pg15502_177111"/>
    </w:p>
    <w:p>
      <w:pPr>
        <w:pStyle w:val="Heading4"/>
        <w:numPr>
          <w:ilvl w:val="3"/>
          <w:numId w:val="1"/>
        </w:numPr>
        <w:rPr/>
      </w:pPr>
      <w:bookmarkStart w:id="309" w:name="__RefHeading___Toc8089010_2142443653"/>
      <w:bookmarkStart w:id="310" w:name="_Toc119"/>
      <w:bookmarkEnd w:id="308"/>
      <w:bookmarkEnd w:id="309"/>
      <w:r>
        <w:rPr/>
        <w:t>4</w:t>
      </w:r>
      <w:r>
        <w:rPr>
          <w:rtl w:val="true"/>
        </w:rPr>
        <w:t xml:space="preserve"> - </w:t>
      </w:r>
      <w:r>
        <w:rPr>
          <w:rtl w:val="true"/>
        </w:rPr>
        <w:t>مفهوم اله در قرآن</w:t>
      </w:r>
      <w:bookmarkEnd w:id="310"/>
    </w:p>
    <w:p>
      <w:pPr>
        <w:pStyle w:val="BookText"/>
        <w:rPr/>
      </w:pPr>
      <w:r>
        <w:rPr>
          <w:rFonts w:ascii="IRNazanin" w:hAnsi="IRNazanin" w:eastAsia="IRNazanin"/>
          <w:color w:val="111111"/>
          <w:sz w:val="28"/>
          <w:sz w:val="28"/>
          <w:szCs w:val="28"/>
          <w:rtl w:val="true"/>
          <w:lang w:bidi="fa-IR"/>
        </w:rPr>
        <w:t xml:space="preserve">در قرآن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نرفته و تنها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شد،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معبود است؛ اما در قرآن و روايات، گاه به معنى معبود و گاهى هم به معنى الله و رب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به تفصيل پيرامون چه گونگى كاربرد اين دو واژه به جاى يك ديگر در قرآن و حديث بحث شد و مشخص گرديد كه در زبان قرآن، ميان اين دو ترادف وجود دارد و در غير اين صورت، برخى از آيات معنى خود را از دست خواهند داد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اين در حالى است كه به ادعاى وهابيان،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 به معنى معبود است و در قرآن و روايات نيز به همين معنا به كار رفته است</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درمجموع،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معبود است، اما در قرآن و حديث، هم به معنى معبود و هم به معنى رب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اله در آيات زير به معنى معبود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نگرى آن را كه هواى نفسش را معبود خود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 مَعَ اَللّٰهِ إِلٰهاً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خدا معبودى ديگر را مخوان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در بسيارى از آيات، از جمله آياتى كه به برهان تمانع اشاره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رب و مدبر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 توحيد نظرى و هم توحيد عملى را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توحيد در عبادت اراده مى شد، براى اتمام حجت، حتماً بايد توسط پيامبر گرامى اسلام صلى الله عليه و آله يا اهل بيت و يا صحابه بيان مى گرديد</w:t>
      </w:r>
      <w:r>
        <w:rPr>
          <w:rFonts w:eastAsia="IRNazanin" w:cs="IRNazanin"/>
          <w:color w:val="111111"/>
          <w:sz w:val="28"/>
          <w:szCs w:val="28"/>
          <w:rtl w:val="true"/>
          <w:lang w:bidi="fa-IR"/>
        </w:rPr>
        <w:t>.</w:t>
      </w:r>
      <w:bookmarkStart w:id="311" w:name="pg15502_177113"/>
    </w:p>
    <w:p>
      <w:pPr>
        <w:pStyle w:val="Heading4"/>
        <w:numPr>
          <w:ilvl w:val="3"/>
          <w:numId w:val="1"/>
        </w:numPr>
        <w:rPr/>
      </w:pPr>
      <w:bookmarkStart w:id="312" w:name="__RefHeading___Toc8089012_2142443653"/>
      <w:bookmarkStart w:id="313" w:name="_Toc120"/>
      <w:bookmarkEnd w:id="311"/>
      <w:bookmarkEnd w:id="312"/>
      <w:r>
        <w:rPr/>
        <w:t>5</w:t>
      </w:r>
      <w:r>
        <w:rPr>
          <w:rtl w:val="true"/>
        </w:rPr>
        <w:t xml:space="preserve"> - </w:t>
      </w:r>
      <w:r>
        <w:rPr>
          <w:rtl w:val="true"/>
        </w:rPr>
        <w:t>واژه شناسى عبادت</w:t>
      </w:r>
      <w:bookmarkEnd w:id="313"/>
    </w:p>
    <w:p>
      <w:pPr>
        <w:pStyle w:val="BookText"/>
        <w:rPr/>
      </w:pPr>
      <w:r>
        <w:rPr>
          <w:rFonts w:ascii="IRNazanin" w:hAnsi="IRNazanin" w:eastAsia="IRNazanin"/>
          <w:color w:val="111111"/>
          <w:sz w:val="28"/>
          <w:sz w:val="28"/>
          <w:szCs w:val="28"/>
          <w:rtl w:val="true"/>
          <w:lang w:bidi="fa-IR"/>
        </w:rPr>
        <w:t>در معنى لغوى عبادت، نوعى اجماع وجود دارد و علماى لغت تقريباً معنى واحدى را براى عبادت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كتاب هاى لغت، بيش تر دو معنى كه با يك ديگر ارتباط دارند، براى عبادت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 تر اهل لغت، عبادت را به نهايت خضوع، خشوع و تذلل معنى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رازى معنى عبادت را خضوع و ذلت مى داند</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راغب نيز به چنين معنايى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 يعنى اظهار ذلت؛ اما عبادت واژه ى بهترى است؛ چون بر نهايت خضوع دلالت مى كند؛ و تنها كسى مستحق عبادت است كه نهايت بخشش و جود به دست او باشد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طريحى نيز معنى راغب را پسنديده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گروه ديگرى از لغويين، در كنار خضوع و ذلت، به اطاعت نيز اشاره مى كنند؛ بدين معنى كه اطاعت نيز در معناى لغوى عبادت،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زبيدى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همراه با خضوع را عبادت مى گويند</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نظر ابن منظور نيز همين است؛</w:t>
      </w:r>
      <w:r>
        <w:rPr>
          <w:rStyle w:val="FootnoteAnchor"/>
          <w:rtl w:val="true"/>
        </w:rPr>
        <w:footnoteReference w:id="365"/>
      </w:r>
      <w:r>
        <w:rPr>
          <w:rFonts w:ascii="Amiri" w:hAnsi="Amiri" w:eastAsia="Amiri" w:cs="Amiri"/>
          <w:color w:val="111111"/>
          <w:sz w:val="28"/>
          <w:sz w:val="28"/>
          <w:szCs w:val="28"/>
          <w:rtl w:val="true"/>
          <w:lang w:bidi="ar-SA"/>
        </w:rPr>
        <w:t>اما فيروزآبادى عبادت را مطلق اطاعت تعريف مى كند</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بايد توجه داشت كه هرچند در برخى از تعريف ها به مفهوم اطاعت اشاره شده است، اما عبادت و اطاعت مترادف نيستند</w:t>
      </w:r>
      <w:r>
        <w:rPr>
          <w:rFonts w:eastAsia="IRNazanin" w:cs="IRNazanin"/>
          <w:color w:val="111111"/>
          <w:sz w:val="28"/>
          <w:szCs w:val="28"/>
          <w:rtl w:val="true"/>
          <w:lang w:bidi="fa-IR"/>
        </w:rPr>
        <w:t>:</w:t>
      </w:r>
      <w:bookmarkStart w:id="314" w:name="pg15502_177115"/>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از نظر لغت يعنى نهايت خضوع و ذلت و اطاعت در برابر كسى كه نهايت نعمت را به انسان داده است و چون خداوند چنين موجودى است، عبادت تنها شايسته ى اوست؛ اما اطاعت، عملى است كه بين دو نفر كه يكى از ديگرى بالاتر است، انجام مى شود و شامل خالق و مخلوق مى گردد؛ درحالى كه عبادت فقط مخصوص خالق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بنابراين، ميان عبادت و اطاعت رابطه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زيرا گاهى اطاعت وجود دارد، اما عبادت نيست، مانند اطاعت فرزند از پدر، شاگرد از استاد، و زن از همسر؛ و گاهى عبادت وجود دارد، اما اطاعت نيست، مانند كسى كه بت را مى پرستد؛ بت معبود قرار مى گيرد، اما نمى تواند دستور بدهد كه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در فارسى،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نبايد فراموش كرد كه واژه ى پرستش در فارسى، با معنى اصطلاحى عبادت هم معنى است، نه با معنى لغوى آن؛ چون پرستش در فارسى به معنى خضوع و خشوع صرف نيست؛ بلكه به معنى اصطلاحى عبادت است</w:t>
      </w:r>
      <w:r>
        <w:rPr>
          <w:rStyle w:val="FootnoteAnchor"/>
          <w:rtl w:val="true"/>
        </w:rPr>
        <w:footnoteReference w:id="369"/>
      </w:r>
      <w:r>
        <w:rPr>
          <w:rFonts w:ascii="Amiri" w:hAnsi="Amiri" w:eastAsia="Amiri" w:cs="Amiri"/>
          <w:color w:val="111111"/>
          <w:sz w:val="28"/>
          <w:sz w:val="28"/>
          <w:szCs w:val="28"/>
          <w:rtl w:val="true"/>
          <w:lang w:bidi="ar-SA"/>
        </w:rPr>
        <w:t>كه بيان خواهد شد</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8089014_2142443653"/>
      <w:bookmarkStart w:id="316" w:name="_Toc121"/>
      <w:bookmarkEnd w:id="315"/>
      <w:r>
        <w:rPr/>
        <w:t>6</w:t>
      </w:r>
      <w:r>
        <w:rPr>
          <w:rtl w:val="true"/>
        </w:rPr>
        <w:t xml:space="preserve"> - </w:t>
      </w:r>
      <w:r>
        <w:rPr>
          <w:rtl w:val="true"/>
        </w:rPr>
        <w:t>وهابيت و معنى اصطلاحى عبادت</w:t>
      </w:r>
      <w:bookmarkEnd w:id="31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وهابيت در مفهوم عبادت، از معنى اصطلاحى عبادت آغاز مى شود؛ بدين صورت كه مفهوم اصطلاحى عبادت در نظر وهابيان با آن چه قرآن و حديث از اين مفهوم مقدس اراده مى كنند، متفاوت است و همين امر موجب گمراهى و انحراف وهابيت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عبادت در تفكر وهابى را مى توان در دو سطح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اهميت و جايگاه توحيد عبادى در انديشه 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اى از فعاليت و تبليغ وهابيان، بر ضرورت و اهميت توحيد عبادى متمركز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و پس از وى، محمدبن عبدالوهاب و پيروان او، آيات و روايات مختلفى را در عظمت و اهميت توحيد عبادى بيان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اين زمينه، آياتى را ذكر مى كند؛ مانند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مَعَ اَللّٰهِ إِلٰهاً آخَرَ فَتُلْقىٰ فِي جَهَنَّمَ مَلُوماً مَدْحُوراً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خداى يگانه، معبودى ديگر قرار مده؛ وگرنه حسرت زده و مطرود در جهنم افكنده خواهى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مَعَ اَللّٰهِ إِلٰهاً آخَرَ لاٰ إِلٰهَ إِلاّٰ هُوَ كُلُّ شَيْ‌ءٍ هٰالِكٌ إِلاّٰ وَجْهَهُ لَهُ اَلْحُكْمُ وَ 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با خدا، معبودى ديگر را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همه چيز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اوست و به سوى او بازگردانيده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چنين استدلال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اين آيات نهى كرده است كه در كنار او كس ديگرى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كنار او معبود ديگرى قرار داده شود؛ همان گونه كه مشركان در كنار خدا معبودهاى ديگرى را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دلالت بر اين دارد كه نبايد در كنار خداوند خدايانى را در نظر گرفت يا آنان را خواند و يا آنان را عبادت كرد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عبدالوهاب نيز رساله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چنين جملاتى آغاز مى كند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توحيد، يگانگى خداوند در عبادت است و اين، دين پيامبرانى است كه خداوند آن ها را به سوى بندگانش گسيل داشته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توحيد الوهى، رابطه ى جزء و كل معرفى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الوهيت، موجب اثبات ربوبيت مى شود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البته ابن تيميه اين نكته را فراموش كرده است كه هرچند توحيد عبادى بسيار اهميت دارد و كسى كه به توحيد در عبادت برسد، ناگزير به توحيد در ربوبيت و اسماء و صفات رسيده است؛ اما مقدمه ى رسيدن به توحيد عبادى، رسيدن به توحيد ربوبى و اسماء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درك درستى از توحيد ربوبى و اسماء و صفات نباشد، چه گونه ممكن است فردى به توحيد در عبادت برسد؟ قرآن هدف نهايى از آفرينش انسان را توحيد در عبادت بيان مى كند؛ اما دست رسى به اين هدف ممكن نيست، مگر آن كه انسان در توحيد نظرى موحد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مقدم بودن توحيد ربوبى و اسما و صفات بر توحيد الوهى، همين مقدار بس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درك درست ابن تيميه و وهابيان از توحيد ربوبى و اسماء و صفات، سبب شده است كه آنان در صفات خبرى، رسماً به دامن تشبيه و تجسيم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خداوند را جسم مى داند و او را موجودى نشسته بر عرش مى شناسد كه به سبب سنگينى اش، عرش مانند بچه شترى ناله مى كند، چه گونه مى تواند در عبادت به توحيد برسد؟ ابن تيميه و وهابيان، خدايى را مى پرستند كه مانند بت ها و ديگر موجودات، فضا اشغال مى كند؛ در بهشت خانه دارد و ميان زمين و عرش رفت وآمد مى كند</w:t>
      </w:r>
      <w:r>
        <w:rPr>
          <w:rFonts w:eastAsia="IRNazanin" w:cs="IRNazanin"/>
          <w:color w:val="111111"/>
          <w:sz w:val="28"/>
          <w:szCs w:val="28"/>
          <w:rtl w:val="true"/>
          <w:lang w:bidi="fa-IR"/>
        </w:rPr>
        <w:t>.</w:t>
      </w:r>
      <w:r>
        <w:rPr>
          <w:rStyle w:val="FootnoteAnchor"/>
          <w:rtl w:val="true"/>
        </w:rPr>
        <w:footnoteReference w:id="37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دوباره ادعاى خود را مطرح مى كند كه متكلمان اسلامى بى جهت دلايلى را براى اثبات توحيد در ربوبيت بيان كرده اند؛ درحالى كه هيچ انسانى در توحيد ربوبى</w:t>
      </w:r>
    </w:p>
    <w:p>
      <w:pPr>
        <w:pStyle w:val="BookText"/>
        <w:rPr/>
      </w:pPr>
      <w:r>
        <w:rPr>
          <w:rFonts w:ascii="Amiri" w:hAnsi="Amiri" w:eastAsia="Amiri" w:cs="Amiri"/>
          <w:color w:val="111111"/>
          <w:sz w:val="28"/>
          <w:sz w:val="28"/>
          <w:szCs w:val="28"/>
          <w:rtl w:val="true"/>
          <w:lang w:bidi="ar-SA"/>
        </w:rPr>
        <w:t>مشرك نيست و ايشان تنها در برخى از جزئيات آن منازعه كرده اند؛</w:t>
      </w:r>
      <w:r>
        <w:rPr>
          <w:rStyle w:val="FootnoteAnchor"/>
          <w:rtl w:val="true"/>
        </w:rPr>
        <w:footnoteReference w:id="375"/>
      </w:r>
      <w:r>
        <w:rPr>
          <w:rFonts w:ascii="IRNazanin" w:hAnsi="IRNazanin" w:eastAsia="IRNazanin"/>
          <w:color w:val="111111"/>
          <w:sz w:val="28"/>
          <w:sz w:val="28"/>
          <w:szCs w:val="28"/>
          <w:rtl w:val="true"/>
          <w:lang w:bidi="fa-IR"/>
        </w:rPr>
        <w:t>اما وى از اين واقعيت غافل است كه به جز متكلمان، پيامبران نيز در زمينه ى توحيد ربوبى به استدلال پرداخته اند؛</w:t>
      </w:r>
      <w:r>
        <w:rPr>
          <w:rStyle w:val="FootnoteAnchor"/>
          <w:rtl w:val="true"/>
        </w:rPr>
        <w:footnoteReference w:id="376"/>
      </w:r>
      <w:r>
        <w:rPr>
          <w:rFonts w:ascii="IRNazanin" w:hAnsi="IRNazanin" w:eastAsia="IRNazanin"/>
          <w:color w:val="111111"/>
          <w:sz w:val="28"/>
          <w:sz w:val="28"/>
          <w:szCs w:val="28"/>
          <w:rtl w:val="true"/>
          <w:lang w:bidi="fa-IR"/>
        </w:rPr>
        <w:t>چراكه مقدمه ى رسيدن به توحيد عبادى، توحيد در ربوبيت است كه به تعبير قرآن، به علل مختلف ممكن است انسان آن را فراموش كند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جالب آن كه خود ابن تيميه نيز ناگزير به اين نكته اشاره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مبعوث شده اند تا مردم را به سوى عبادت خداوند يكتا كه شريكى ندارد، دعوت كنند؛ توحيدى كه مستلزم توحيد در ربوبيت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چنين سخنى به خوبى به مقدم بودن توحيد ربوبى از نظر رتبه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 چه گفته شد، هرچند توحيد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ابن تيميه و وهابيان، توحيد الوهى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آفرينش و سرآغاز دعوت پيامبران بوده است، اما هماره توحيد ربوبى به عنوان مقدمه ى رسيدن به توحيد عبادى، مد نظر پيامبران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توحيد نظرى و توحيد عملى، خود نشانگر ترتب ميان اين دو است؛ چراكه شناخت، مقدم بر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رسيدن به توحيد عملى بدون توجه به زمينه هاى شناختى و به طور خاص توحيد نظرى، امكان پذير نيست؛ هرچند كسى كه به مقام توحيد عملى برسد، حتماً توحيد در نظر را پشت سر گذاشته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پرسشى كه در اين جا رخ مى نمايد اين است كه چرا ابن تيميه، محمدبن عبدالوهاب و پيروان او تا اين اندازه تلاش مى كنند كه مشركان را در زمينه ى توحيد ربوبى موحد</w:t>
      </w:r>
      <w:bookmarkStart w:id="317" w:name="pg15502_177127"/>
    </w:p>
    <w:p>
      <w:pPr>
        <w:pStyle w:val="BookText"/>
        <w:rPr/>
      </w:pPr>
      <w:bookmarkEnd w:id="317"/>
      <w:r>
        <w:rPr>
          <w:rFonts w:ascii="IRNazanin" w:hAnsi="IRNazanin" w:eastAsia="IRNazanin"/>
          <w:color w:val="111111"/>
          <w:sz w:val="28"/>
          <w:sz w:val="28"/>
          <w:szCs w:val="28"/>
          <w:rtl w:val="true"/>
          <w:lang w:bidi="fa-IR"/>
        </w:rPr>
        <w:t>جلوه دهند و فلسفه ى بعثت پيامبران را صرفاً دعوت به توحيد عبادى، بدون توجه به توحيد ربوبى بيان كنند؟</w:t>
      </w:r>
    </w:p>
    <w:p>
      <w:pPr>
        <w:pStyle w:val="BookText"/>
        <w:rPr/>
      </w:pPr>
      <w:r>
        <w:rPr>
          <w:rFonts w:ascii="IRNazanin" w:hAnsi="IRNazanin" w:eastAsia="IRNazanin"/>
          <w:color w:val="111111"/>
          <w:sz w:val="28"/>
          <w:sz w:val="28"/>
          <w:szCs w:val="28"/>
          <w:rtl w:val="true"/>
          <w:lang w:bidi="fa-IR"/>
        </w:rPr>
        <w:t>واقعيت اين است كه آنان بدين وسيله در پى ايجاد تشابه ميان مشركان پيش از اسلام و مسلمانان در دوره هاى مختلف تاريخ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در نگاه وهابيان، مسلمانان نيز مانند مشركان در عرصه ى توحيد ربوبى موحدند، اما در زمينه ى توحيد الوهى، گرفتار شرك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آن دوران، پيامبران مبعوث شدند تا مشركانِ موحد در توحيد ربوبى را به توحيد الوهى دعوت كنند و حتماً پس از پيامبر گرامى اسلام صلى الله عليه و آله نيز اين رسالت به دوش ابن تيميه در قرن هفتم و پس از وى، محمدبن عبدالوهاب و پيروانش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رسالتى كه نه پيامبر گرامى اسلام صلى الله عليه و آله و امامان، و نه صحابه به آن اشاره اى نكرده اند و صرفاً پيامبران وهابيت، يعنى ابن تيميه و محمدبن عبدالوهاب، به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پرسش، زمينه را براى تولد پرسش ديگرى فراهم مى كند و آن اين كه چرا وهابيان مسلمانانِ امروز را مشرك مى خوانند و آنان را در رديف مشركان قرار مى دهند؟</w:t>
      </w:r>
    </w:p>
    <w:p>
      <w:pPr>
        <w:pStyle w:val="BookText"/>
        <w:rPr/>
      </w:pPr>
      <w:r>
        <w:rPr>
          <w:rFonts w:ascii="IRNazanin" w:hAnsi="IRNazanin" w:eastAsia="IRNazanin"/>
          <w:color w:val="111111"/>
          <w:sz w:val="28"/>
          <w:sz w:val="28"/>
          <w:szCs w:val="28"/>
          <w:rtl w:val="true"/>
          <w:lang w:bidi="fa-IR"/>
        </w:rPr>
        <w:t>پاسخ به اين پرسش، سطح ديگرى از ادعاى وهابيان درباره ى توحيد عبادى را رقم مى زند و آن، تعريف عبادت در نگاه آنان است</w:t>
      </w:r>
      <w:r>
        <w:rPr>
          <w:rFonts w:eastAsia="IRNazanin" w:cs="IRNazanin"/>
          <w:color w:val="111111"/>
          <w:sz w:val="28"/>
          <w:szCs w:val="28"/>
          <w:rtl w:val="true"/>
          <w:lang w:bidi="fa-IR"/>
        </w:rPr>
        <w:t>.</w:t>
      </w:r>
    </w:p>
    <w:p>
      <w:pPr>
        <w:pStyle w:val="Heading4"/>
        <w:numPr>
          <w:ilvl w:val="3"/>
          <w:numId w:val="1"/>
        </w:numPr>
        <w:rPr/>
      </w:pPr>
      <w:bookmarkStart w:id="318" w:name="__RefHeading___Toc8089016_2142443653"/>
      <w:bookmarkStart w:id="319" w:name="_Toc122"/>
      <w:bookmarkEnd w:id="318"/>
      <w:r>
        <w:rPr/>
        <w:t>7</w:t>
      </w:r>
      <w:r>
        <w:rPr>
          <w:rtl w:val="true"/>
        </w:rPr>
        <w:t xml:space="preserve"> - </w:t>
      </w:r>
      <w:r>
        <w:rPr>
          <w:rtl w:val="true"/>
        </w:rPr>
        <w:t>معنى شناسى وهابيت و توحيد عبادى</w:t>
      </w:r>
      <w:bookmarkEnd w:id="3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اصطلاحى عبادت در انديشه ى وهابى، در مبناى معنى شناسى آنان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گفته شد كه وهابيت در حوزه ى معنى شناسى، به ظاهرگرايى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ظاهرگرايى، تمسك به معنى ظاهرى لفظ است؛ هرچند قرائنى برخلاف</w:t>
      </w:r>
      <w:bookmarkStart w:id="320" w:name="pg15502_177129"/>
    </w:p>
    <w:p>
      <w:pPr>
        <w:pStyle w:val="BookText"/>
        <w:rPr/>
      </w:pPr>
      <w:bookmarkEnd w:id="320"/>
      <w:r>
        <w:rPr>
          <w:rFonts w:ascii="IRNazanin" w:hAnsi="IRNazanin" w:eastAsia="IRNazanin"/>
          <w:color w:val="111111"/>
          <w:sz w:val="28"/>
          <w:sz w:val="28"/>
          <w:szCs w:val="28"/>
          <w:rtl w:val="true"/>
          <w:lang w:bidi="fa-IR"/>
        </w:rPr>
        <w:t>معناى ظاهرى وجود داشته باشد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چنان كه در فصل هاى گذشته گفته شد، چنين مبنايى وهابيت را در حوزه ى صفات خبرى، گرفتار تجسيم و تشبيه كرده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توحيد عبادى نيز، ظاهرگرايى سبب شده است كه وهابيت بار ديگر گرفتار انحرافى عميق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نگاه ظاهرگرايانه ى آنان، در برداشت آنان از معنى عبادت بسيار تأثير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عملى را كه همراه با خضوع و خشوع باشد، با توجه به معنى ظاهرى، عبادت خوانده و فاعل آن را مشرك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چون در توسل، شفاعت، ذبح، بوسيدن ضريح، نذر كردن، استغاثه و درخواست حاجت از پيامبر گرامى اسلام صلى الله عليه و آله و اولياى الهى، نوعى خضوع و خشوع وجود دارد، اين اعمال را عبادت، و فاعل آن را مشرك تلقى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درمجموع، مهم ترين عنصر عبادت در نگاه وهابيان، خضوع و خشوع است كه برگرفته از همان معنى لغوى است</w:t>
      </w:r>
      <w:r>
        <w:rPr>
          <w:rFonts w:eastAsia="IRNazanin" w:cs="IRNazanin"/>
          <w:color w:val="111111"/>
          <w:sz w:val="28"/>
          <w:szCs w:val="28"/>
          <w:rtl w:val="true"/>
          <w:lang w:bidi="fa-IR"/>
        </w:rPr>
        <w:t>.</w:t>
      </w:r>
    </w:p>
    <w:p>
      <w:pPr>
        <w:pStyle w:val="Heading4"/>
        <w:numPr>
          <w:ilvl w:val="3"/>
          <w:numId w:val="1"/>
        </w:numPr>
        <w:rPr/>
      </w:pPr>
      <w:bookmarkStart w:id="321" w:name="__RefHeading___Toc8089018_2142443653"/>
      <w:bookmarkStart w:id="322" w:name="_Toc123"/>
      <w:bookmarkEnd w:id="321"/>
      <w:r>
        <w:rPr/>
        <w:t>8</w:t>
      </w:r>
      <w:r>
        <w:rPr>
          <w:rtl w:val="true"/>
        </w:rPr>
        <w:t xml:space="preserve"> - </w:t>
      </w:r>
      <w:r>
        <w:rPr>
          <w:rtl w:val="true"/>
        </w:rPr>
        <w:t>توحيد الوهى در نگاه وهابيت</w:t>
      </w:r>
      <w:bookmarkEnd w:id="322"/>
    </w:p>
    <w:p>
      <w:pPr>
        <w:pStyle w:val="BookText"/>
        <w:rPr/>
      </w:pPr>
      <w:r>
        <w:rPr>
          <w:rFonts w:ascii="IRNazanin" w:hAnsi="IRNazanin" w:eastAsia="IRNazanin"/>
          <w:color w:val="111111"/>
          <w:sz w:val="28"/>
          <w:sz w:val="28"/>
          <w:szCs w:val="28"/>
          <w:rtl w:val="true"/>
          <w:lang w:bidi="fa-IR"/>
        </w:rPr>
        <w:t xml:space="preserve">با توجه به آن چه در معنى عبادت گفته شد، تعريف هاى وهابيان از توحيد الوهى، بيش تر ناظر به معنى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برخى از تعريف هاى آنان، عنصر اطاعت و حب و علاقه ى مفرط به خدا نيز ديده مى شود كه هيچ يك از اين عوامل، به تنهايى به معنى عبادت اصطلاحى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و روايات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در ادامه، به برخى از تعريف هاى ايشان اشاره مى شود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يعنى ذلت و خضوع در برابر خداوند، به وسيله ى چيزهايى كه دوست دارد؛ و خداوند ذبح كردن براى خودش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براى او ذبح كردى،</w:t>
      </w:r>
    </w:p>
    <w:p>
      <w:pPr>
        <w:pStyle w:val="BookText"/>
        <w:rPr/>
      </w:pPr>
      <w:r>
        <w:rPr>
          <w:rFonts w:ascii="IRNazanin" w:hAnsi="IRNazanin" w:eastAsia="IRNazanin"/>
          <w:color w:val="111111"/>
          <w:sz w:val="28"/>
          <w:sz w:val="28"/>
          <w:szCs w:val="28"/>
          <w:rtl w:val="true"/>
          <w:lang w:bidi="fa-IR"/>
        </w:rPr>
        <w:t>در حقيقت او را عبادت مى كنى؛ و دوست دارد كه او را صدا كنى و از او درخواست كنى؛ پس هنگامى كه چنين كردى، در حقيقت او را عبادت كرده اى؛ و دوست دارد به او استغاثه كنى؛ پس هنگامى كه استغاثه كردى، در حقيقت او را عبادت مى كنى</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شيخ عبداللطيف آل شيخ، از نوادگان محمدبن عبدالوهاب، در تبيين شرك عبادى، به خوبى به معنى توحيد الوهى مورد نظر وهابيان اشاره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يعنى شريك قرار دادن براى خداوند در امورى كه شايسته ى او و مخصوص اوست، از عبادات ظاهرى و باطنى؛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خضوع، تعظيم، ترس، اميد، انابه و مانند آن از عبادات</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تعريف هاى ديگرى هم كه وهابيان از توحيد الوهى ارائه كرده اند، شبيه به اين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تعريف ها، عنصر خضوع، خشوع و حب، در كنار يك ديگر معيار توحيد در الوهيت شمرده شده اند؛ درحالى كه با توجه به اين تعريف، اگر كسى با حالت خضوع و خشوع، از غير خدا درخواست كند و يا كمك بخواهد و خداوند آن كار را دوست داشته باشد، شرك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مسلمانان و حتى خود وهابيان نيز مشركند؛ زيرا انسان كارهاى بسيارى را از روى خضوع و خشوع براى ديگران انجام مى دهد، اما هرگز نمى توان نام عبادت را بر آن 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كاشف الغطاء در اين زمينه مى فرمايد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نيست منظور از عبادتى كه نبايد براى غير خدا انجام داد و هركس براى غير خدا انجام دهد كافر مى شود، مطلق خضوع و انقياد نيست؛ چنان كه از ظاهر اهل لغت، همين معنى به ذهن مى آيد؛ زيرا اگر اين معنى درست باشد، بايد همه ى بندگانى كه در برابر مولايشان خضوع و انقياد داشتند و يا اجيرانى كه در كار اجير مى شوند و مجبورند از موجر اطاعت كنند و هم چنين تمام خدمتكاران و خدمت گزاران سلاطين،</w:t>
      </w:r>
    </w:p>
    <w:p>
      <w:pPr>
        <w:pStyle w:val="BookText"/>
        <w:rPr/>
      </w:pPr>
      <w:r>
        <w:rPr>
          <w:rFonts w:ascii="Amiri" w:hAnsi="Amiri" w:eastAsia="Amiri" w:cs="Amiri"/>
          <w:color w:val="111111"/>
          <w:sz w:val="28"/>
          <w:sz w:val="28"/>
          <w:szCs w:val="28"/>
          <w:rtl w:val="true"/>
          <w:lang w:bidi="ar-SA"/>
        </w:rPr>
        <w:t>مشرك باشند و از اين بالاتر، انبياى عظام، كه در برابر والدين خويش خضوع و انقياد مى كردند</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قرآن نيز مواردى است كه نهايت خضوع و خشوع وجود دارد، اما در نگاه قرآن، شرك تلقى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ملائكه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سجده كه نهايت خضوع و خشوع است، نشانه ى عبادت بود، خداوند نبايد ملائك را به سجده بر آدم امر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داستان حضرت يوسف عليه السلام، پدر و مادر او در برابرش به سجده افتادند، اما قرآن هرگز آنان را مشرك نمى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اَلْعَرْشِ وَ خَرُّوا لَهُ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 را بر تخت نشاند و آن ها در برابر او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ديگرى كه در اين تعريف ها به چشم مى خورد، عنصر حب است؛ يعنى هر كارى كه خداوند دوست دارد و يا از آن رضايت دارد، عبادت است؛ چنان كه در تعريف ابن تيميه از عبادت، چنين چيزى ديده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اسمى است كه شامل آن دسته از اقوال و اعمال باطنى و ظاهرى مى شود كه خدا دوست دارد و مورد رضايت اوست</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خودى خود نمى تواند معنى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خود ابن تيميه به اين نكته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استناد به آيه ى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بقره،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محبت اين گونه بيان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خالق را به اندازه ى مخلوق دوست داشته باشد، مشرك مى شود</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داراى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محبت به غير خدا به خاطر خداست و گاهى در عرض محبت خدا؛ اگر انسان كسى را به دستور خداوند يا به دليل اين كه خدا آن ها را دوست دارد، دوست داشته باشد، محبت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محبتى، مسلماً موجب شرك و خروج از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ابن تيميه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خصوصيات اهل توحيد ذكر مى كند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 گذارد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بااين حال، ابن تيميه توجه نمى كند كه محبت شيعيان و ديگر مسلمانان به پيامبر گرامى اسلام صلى الله عليه و آله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ى وافر شيعيان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جايگاه اهل بيت نزد خدا، دوستى خداوند با آن ها، و دستور الهى درباره ى محبت به ايشان است؛ واقعيتى كه متأسفانه نه ابن تيميه و نه وهابيان آن را درك نمى كنند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5502_177137"/>
    </w:p>
    <w:p>
      <w:pPr>
        <w:pStyle w:val="Heading3"/>
        <w:numPr>
          <w:ilvl w:val="2"/>
          <w:numId w:val="1"/>
        </w:numPr>
        <w:rPr/>
      </w:pPr>
      <w:bookmarkStart w:id="324" w:name="__RefHeading___Toc8089020_2142443653"/>
      <w:bookmarkStart w:id="325" w:name="_Toc124"/>
      <w:bookmarkEnd w:id="323"/>
      <w:bookmarkEnd w:id="324"/>
      <w:r>
        <w:rPr>
          <w:rtl w:val="true"/>
        </w:rPr>
        <w:t>فصل نهم</w:t>
      </w:r>
      <w:r>
        <w:rPr>
          <w:rtl w:val="true"/>
        </w:rPr>
        <w:t xml:space="preserve">: </w:t>
      </w:r>
      <w:r>
        <w:rPr>
          <w:rtl w:val="true"/>
        </w:rPr>
        <w:t>توحيد عبادى در انديشه ى اسلامى</w:t>
      </w:r>
      <w:bookmarkEnd w:id="32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6" w:name="__RefHeading___Toc8089022_2142443653"/>
      <w:bookmarkStart w:id="327" w:name="_Toc125"/>
      <w:bookmarkEnd w:id="326"/>
      <w:r>
        <w:rPr>
          <w:rtl w:val="true"/>
        </w:rPr>
        <w:t>اشاره</w:t>
      </w:r>
      <w:bookmarkStart w:id="328" w:name="pg15502_177141"/>
      <w:bookmarkEnd w:id="327"/>
    </w:p>
    <w:p>
      <w:pPr>
        <w:pStyle w:val="Heading4"/>
        <w:numPr>
          <w:ilvl w:val="3"/>
          <w:numId w:val="1"/>
        </w:numPr>
        <w:rPr/>
      </w:pPr>
      <w:bookmarkStart w:id="329" w:name="__RefHeading___Toc8089024_2142443653"/>
      <w:bookmarkStart w:id="330" w:name="_Toc126"/>
      <w:bookmarkEnd w:id="328"/>
      <w:bookmarkEnd w:id="329"/>
      <w:r>
        <w:rPr/>
        <w:t>1</w:t>
      </w:r>
      <w:r>
        <w:rPr>
          <w:rtl w:val="true"/>
        </w:rPr>
        <w:t xml:space="preserve"> - </w:t>
      </w:r>
      <w:r>
        <w:rPr>
          <w:rtl w:val="true"/>
        </w:rPr>
        <w:t>مقدمه</w:t>
      </w:r>
      <w:bookmarkEnd w:id="330"/>
    </w:p>
    <w:p>
      <w:pPr>
        <w:pStyle w:val="BookText"/>
        <w:rPr/>
      </w:pPr>
      <w:r>
        <w:rPr>
          <w:rFonts w:ascii="IRNazanin" w:hAnsi="IRNazanin" w:eastAsia="IRNazanin"/>
          <w:color w:val="111111"/>
          <w:sz w:val="28"/>
          <w:sz w:val="28"/>
          <w:szCs w:val="28"/>
          <w:rtl w:val="true"/>
          <w:lang w:bidi="fa-IR"/>
        </w:rPr>
        <w:t xml:space="preserve">در فصل گذشته، انديشه ى وهابيت در توحيد الوهى به تفصيل بررسى گرديد و تبيين شد كه توحيد الوهى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وهابيان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توحيد عبادى در معنى اصطلاحى، آن گونه كه وهابيان مى پندارند، به معنى لغوى آن نيست؛ بلكه با توجه به قرآن، معنى اصطلاحى عبادت، مانند بسيارى از واژه هاى ديگر، با معنى لغوى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بررسى معنى اصطلاحى عبادت در انديشه ى اسلامى بر اساس ديدگاه قرآن پرداخته مى شود</w:t>
      </w:r>
      <w:r>
        <w:rPr>
          <w:rFonts w:eastAsia="IRNazanin" w:cs="IRNazanin"/>
          <w:color w:val="111111"/>
          <w:sz w:val="28"/>
          <w:szCs w:val="28"/>
          <w:rtl w:val="true"/>
          <w:lang w:bidi="fa-IR"/>
        </w:rPr>
        <w:t>.</w:t>
      </w:r>
    </w:p>
    <w:p>
      <w:pPr>
        <w:pStyle w:val="Heading4"/>
        <w:numPr>
          <w:ilvl w:val="3"/>
          <w:numId w:val="1"/>
        </w:numPr>
        <w:rPr/>
      </w:pPr>
      <w:bookmarkStart w:id="331" w:name="__RefHeading___Toc8089026_2142443653"/>
      <w:bookmarkStart w:id="332" w:name="_Toc127"/>
      <w:bookmarkEnd w:id="331"/>
      <w:r>
        <w:rPr/>
        <w:t>2</w:t>
      </w:r>
      <w:r>
        <w:rPr>
          <w:rtl w:val="true"/>
        </w:rPr>
        <w:t xml:space="preserve"> - </w:t>
      </w:r>
      <w:r>
        <w:rPr>
          <w:rtl w:val="true"/>
        </w:rPr>
        <w:t>جايگاه توحيد عبادى</w:t>
      </w:r>
      <w:bookmarkEnd w:id="332"/>
    </w:p>
    <w:p>
      <w:pPr>
        <w:pStyle w:val="BookText"/>
        <w:rPr/>
      </w:pPr>
      <w:r>
        <w:rPr>
          <w:rFonts w:ascii="Amiri" w:hAnsi="Amiri" w:eastAsia="Amiri" w:cs="Amiri"/>
          <w:color w:val="111111"/>
          <w:sz w:val="28"/>
          <w:sz w:val="28"/>
          <w:szCs w:val="28"/>
          <w:rtl w:val="true"/>
          <w:lang w:bidi="ar-SA"/>
        </w:rPr>
        <w:t>شكى نيست كه مهم ترين هدف آفرينش، عبادت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نيافريدم، مگر براى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ازسوى ديگر، هدف اصلى بعثت پيامبران نيز دعوت به توحيد در عبادت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در ميان هر امتى پيامبرى برانگيختيم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يكتا را بپرستيد و از بتان و فرعونيان دورى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آيات قرآن و منابع دينى، چنين استنباط مى شود كه در ميان اقسام توحيد، بيش از همه بر توحيد در عبادت،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همه ى انديشمندان مسلمان و تمام مذاهب كلامى، با اين كه در اقسام توحيد نظرى اختلافاتى دارند، در حوزه ى توحيد عبادى، بدون هيچ اختلافى معتقدند كه عبادت تنها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نكته را نيز نبايد فراموش كرد كه انحراف و جهل در حوزه ى نظر، انسان را به جهل و اشتباه در حوزه ى عمل مى كشاند؛ ازسوى ديگر، معرفت صحيح در حوزه ى توحيد نظرى، زمينه هاى توحيد در عبادت را فراهم خواهد كرد؛ هرچند ممكن است برخى با وجود توحيد در ابعاد مختلف حوزه ى نظرى، به دليل لجاجت و گردن كشى، گرفتار شرك در عبادت شوند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همين ويژگى است كه در ميان مذاهب اسلامى، بيش تر پيرامون توحيد نظرى سخن گفته شده است تا توحيد عبادى؛ چون انسان تا خداوند را كاملاً نشناسد و با صفات منحصربه فرد او آشنا نشود و در يك جمله، به توحيد در ربوبيت نرسد، هرگز به توحيد در الوهيت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ديگر، رسيدن به توحيد ربوبيت، زمينه را براى نيل به توحيد الوهيت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هنگامى كه انسان به توحيد در ربوبيت رسيد، چنان چه عبادت خود را براى غير خدا انجام دهد، هيچ بهانه اى از او پذيرفته نيست و لجاجت و عناد موجب روى گردانى وى از توحيد در عبادت شده است؛ اما اين امرى استثنايى است و هنگامى كه انسان به توحيد در ربوبيت رسيد، عقل، منطق و فطرت خداجوى او، وى را به عبادت خداوند بى همتا وامى دارد</w:t>
      </w:r>
      <w:r>
        <w:rPr>
          <w:rFonts w:eastAsia="IRNazanin" w:cs="IRNazanin"/>
          <w:color w:val="111111"/>
          <w:sz w:val="28"/>
          <w:szCs w:val="28"/>
          <w:rtl w:val="true"/>
          <w:lang w:bidi="fa-IR"/>
        </w:rPr>
        <w:t>.</w:t>
      </w:r>
      <w:bookmarkStart w:id="333" w:name="pg15502_177145"/>
    </w:p>
    <w:p>
      <w:pPr>
        <w:pStyle w:val="Heading4"/>
        <w:numPr>
          <w:ilvl w:val="3"/>
          <w:numId w:val="1"/>
        </w:numPr>
        <w:rPr/>
      </w:pPr>
      <w:bookmarkStart w:id="334" w:name="__RefHeading___Toc8089028_2142443653"/>
      <w:bookmarkStart w:id="335" w:name="_Toc128"/>
      <w:bookmarkEnd w:id="333"/>
      <w:bookmarkEnd w:id="334"/>
      <w:r>
        <w:rPr/>
        <w:t>3</w:t>
      </w:r>
      <w:r>
        <w:rPr>
          <w:rtl w:val="true"/>
        </w:rPr>
        <w:t xml:space="preserve"> - </w:t>
      </w:r>
      <w:r>
        <w:rPr>
          <w:rtl w:val="true"/>
        </w:rPr>
        <w:t>توحيد عبادى در انديشه ى اسلامى</w:t>
      </w:r>
      <w:bookmarkEnd w:id="335"/>
    </w:p>
    <w:p>
      <w:pPr>
        <w:pStyle w:val="BookText"/>
        <w:rPr/>
      </w:pPr>
      <w:r>
        <w:rPr>
          <w:rFonts w:ascii="IRNazanin" w:hAnsi="IRNazanin" w:eastAsia="IRNazanin"/>
          <w:color w:val="111111"/>
          <w:sz w:val="28"/>
          <w:sz w:val="28"/>
          <w:szCs w:val="28"/>
          <w:rtl w:val="true"/>
          <w:lang w:bidi="fa-IR"/>
        </w:rPr>
        <w:t>با توجه به آن چه گفته شد، براى فهم معنى اصطلاحى توحيد عبادى، توجه به چند مقدمه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مطلق خضوع و خشوع، عبادت نيست؛ چنان كه در قرآن مجيد، در مواردى نهايت خضوع و خشوع وجود دارد، اما عبادت نيست</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به گفته ى رشيد 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مملوكى در برابر پادشاه اظهار خشوع كند، هرچند پاى شاه را ببوسد، هنگامى كه علت خشوع و خضوع معلوم است و آن، ترس از ستم شاه و يا تلاش براى دست يابى به منفعت محدود است، وى را عبادت نكرده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دوم، در بسيارى از آيات قرآن، افزون بر خضوع و خشوع، موارد ديگرى نيز به عنوان ركن دخيل در معنى عبادت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 توان به موارد زير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خداوندى است كه آسمان 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تدبير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شفاعت كننده اى، جز با اذن او شفاعت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آيه ى شريفه، عبادت را آميزه اى از پذيرش خالقيت و ربوبيت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اعتقاد كه خداوند خالق شماست و تدبير امور در دست اوست، او را پرستش كنيد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سوم، بنا بر آيات قرآن، مشركان نه تنها در برابر بت ها خضوع و خشوع مى كردند، بلكه به ربوبيت يا استقلال بت ها و يا چيزهاى ديگر،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نوعى اعتقاد به ربوبيت و استقلال در مخضوعٌله وجود داشته باشد تا مفهوم عبادت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 توان به آيات زير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تَعْبُدُونَ مِنْ دُونِ اَللّٰهِ لاٰ يَمْلِكُونَ لَكُمْ رِزْقاً فَابْتَغُوا عِنْدَ اَللّٰهِ اَلرِّزْقَ وَ اُعْبُدُوهُ‌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غير از خدا مى پرستيد، مالك هيچ رزقى براى شما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تنها نزد خدا بجوييد و او را بپرستيد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 اَللّٰهِ لاٰ يَمْلِكُونَ مِثْقٰالَ ذَرَّةٍ فِي اَلسَّمٰاوٰاتِ وَ لاٰ فِي اَلْأَرْضِ وَ مٰا لَهُمْ فِيهِمٰا مِنْ شِرْكٍ وَ مٰا لَهُ مِنْهُمْ مِنْ ظَهِيرٍ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ذرّه اى، نه در آسمان ها و نه در زمين مالك نيستند و در آن دو شركتى ندارند؛ و براى وى، از ميان آنان هيچ پشتيبانى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شريفه به خوبى نشانگر اين واقعيتند كه مشركان به رازقيت و مالكيت معبودان دروغين اعتقاد داشتند و به همين سبب، بت ها را عبادت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هُمْ فِيهٰا يَخْتَصِمُونَ تَاللّٰهِ إِنْ كُنّٰا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ما در گمراهى بسيار آشكارى بوديم كه شما را مانند خداى جهانيان پرستش مى كرديم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شريفه، از نزاع مشركان با معبودان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خطاب به بت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از طريق حق و جاده ى</w:t>
      </w:r>
    </w:p>
    <w:p>
      <w:pPr>
        <w:pStyle w:val="BookText"/>
        <w:rPr/>
      </w:pPr>
      <w:r>
        <w:rPr>
          <w:rFonts w:ascii="IRNazanin" w:hAnsi="IRNazanin" w:eastAsia="IRNazanin"/>
          <w:color w:val="111111"/>
          <w:sz w:val="28"/>
          <w:sz w:val="28"/>
          <w:szCs w:val="28"/>
          <w:rtl w:val="true"/>
          <w:lang w:bidi="fa-IR"/>
        </w:rPr>
        <w:t>صواب دور افتاده بوديم كه شما را در رديف خداوند قرار داديم و به پرستش شما پرداختيم</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داستان حضرت ابراهيم عليه السلام و پرستندگان ماه و ستارگان نيز نشانگر آن است كه آنان به دليل اعتقاد به ربوبيت، ستارگان، ماه و سپس خورشيد را مى پرستيدند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مجموع، به گفته ى ذينى دحلان، عالم بزرگ حنبلى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مشركانى كه آيات شرك درباره ى آن ها نازل شده است، به استحقاق بت ها براى پرستش اعتقاد داشتند و آنان را به عنوان رب، تعظيم مى كردند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البته اين واقعيت كه مشركان در كنار شرك الوهى، شرك در ربوبيت نيز داشتند، كاملاً بديهى است؛ زيرا آنان به سبب ترس، طلب رزق، طلب عزت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عبادت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براى بت ها در همه يا يكى از ساحت هاى ربوبى، عظمت و يا قدرتى فراتر از قدرت بشر قائل نبودند، هرگز به بت پرستى گرايش پيدا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تمامى آن چه گفته شد، مفهوم عبادت، مفهومى بسيط نيست كه صرفاً به معنى خشوع و خضوع يا محبت باشد؛ بلكه عبادت، مركب از دو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عقيده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به ربوبيت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خشوع، تذلل و اطاعت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همان اعتقاد به يكتايى و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انسان، معبود را به عنوان خالق، مدبر، رازق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نيز عبارت است از اين كه انسان در پى چنين اعتقادى، خشوع و خضوع كند و معبود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ميان اين دو مفهوم، آن چه اهميت اساسى دارد، همان بخش اعتقادى است؛ يعنى نيت و اعتقاد انسان است كه رنگ شرك يا توحيد به عمل مى دهد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ازسوى ديگر، عمل نيز نقش مهمى دارد؛ چراكه اعتقاد بدون عمل،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است در عملى نهايت خضوع و خشوع نباشد، اما اعتقاد به ربوبيت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عبادت است؛ مانند اين كه فرد به راز و نياز ساده اى با معبود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ديگر، ممكن است نهايت خضوع و خشوع باشد، اما اعتقاد به ربوبيت و الوهيت نباشد؛ مانند سجده ى ملائكه بر آدم عليه السلام، و نهايت خضوع و خشوع فرزند در برابر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نيز عبادت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درباره ى نهايت خضوع و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حتى در صورت عدم اعتقاد به ربوبيت، براى غير خداوند انجام نشود؛ چون سجده هرچند بدون اعتقاد به ربوبيت، شرك نيست، اما حرام و نامشروع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با توجه به آن چه در معنى عبادت گفته شد، يكى ديگر از توهمات وهابيان كه مستند به آيه ى زير است، باطل مى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مِنْ دُونِهِ أَوْلِيٰاءَ مٰا نَعْبُدُهُمْ إِلاّٰ لِيُقَرِّبُونٰا إِلَى اَللّٰهِ 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36" w:name="pg15502_177153"/>
    </w:p>
    <w:p>
      <w:pPr>
        <w:pStyle w:val="BookText"/>
        <w:rPr/>
      </w:pPr>
      <w:bookmarkEnd w:id="336"/>
      <w:r>
        <w:rPr>
          <w:rFonts w:ascii="IRNazanin" w:hAnsi="IRNazanin" w:eastAsia="IRNazanin"/>
          <w:color w:val="111111"/>
          <w:sz w:val="28"/>
          <w:sz w:val="28"/>
          <w:szCs w:val="28"/>
          <w:rtl w:val="true"/>
          <w:lang w:bidi="fa-IR"/>
        </w:rPr>
        <w:t>وجه استناد آنان به اين آيه اين است كه مشركان به خداوند معتقد بودند و تنها براى نزديكى به او، به بت ها متوسل مى شدند؛ اما جدا از بخش پايانى اين آيه ى شريفه كه مشركان را به دروغ گويى متهم مى كند،</w:t>
      </w:r>
      <w:r>
        <w:rPr>
          <w:rStyle w:val="FootnoteAnchor"/>
          <w:rtl w:val="true"/>
        </w:rPr>
        <w:footnoteReference w:id="397"/>
      </w:r>
      <w:r>
        <w:rPr>
          <w:rFonts w:ascii="IRNazanin" w:hAnsi="IRNazanin" w:eastAsia="IRNazanin"/>
          <w:color w:val="111111"/>
          <w:sz w:val="28"/>
          <w:sz w:val="28"/>
          <w:szCs w:val="28"/>
          <w:rtl w:val="true"/>
          <w:lang w:bidi="fa-IR"/>
        </w:rPr>
        <w:t xml:space="preserve">مشركان از واژه ى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تعريفى كه از عبادت بيان شد، آنان نه تنها در مقام عمل، در برابر بت ها خضوع و خشوع مى كردند، بلكه در عقيده نيز به ربوبيت آن ها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مدعا نيز آيات پس از اين آيه ى شريفه است كه خداوند به ربوبيت خود، مانند آفرينش آسمان ها و زمين، نداشتن فرزند، تسخير خورشيد، ماه و</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اشاره مى كند و همه ى اين آيات كه درست پس از آيه ى يادشده آمده اند، نشانگر اين واقعيتند كه مشركان در حوزه ى اعتقاد نيز به ربوبيت بت ها معتقد بوده اند</w:t>
      </w:r>
      <w:r>
        <w:rPr>
          <w:rFonts w:eastAsia="IRNazanin" w:cs="IRNazanin"/>
          <w:color w:val="111111"/>
          <w:sz w:val="28"/>
          <w:szCs w:val="28"/>
          <w:rtl w:val="true"/>
          <w:lang w:bidi="fa-IR"/>
        </w:rPr>
        <w:t>.</w:t>
      </w:r>
    </w:p>
    <w:p>
      <w:pPr>
        <w:pStyle w:val="Heading4"/>
        <w:numPr>
          <w:ilvl w:val="3"/>
          <w:numId w:val="1"/>
        </w:numPr>
        <w:rPr/>
      </w:pPr>
      <w:bookmarkStart w:id="337" w:name="__RefHeading___Toc8089030_2142443653"/>
      <w:bookmarkStart w:id="338" w:name="_Toc129"/>
      <w:bookmarkEnd w:id="337"/>
      <w:r>
        <w:rPr/>
        <w:t>4</w:t>
      </w:r>
      <w:r>
        <w:rPr>
          <w:rtl w:val="true"/>
        </w:rPr>
        <w:t xml:space="preserve"> - </w:t>
      </w:r>
      <w:r>
        <w:rPr>
          <w:rtl w:val="true"/>
        </w:rPr>
        <w:t>وهابيت و چالش هاى درونى</w:t>
      </w:r>
      <w:bookmarkEnd w:id="338"/>
    </w:p>
    <w:p>
      <w:pPr>
        <w:pStyle w:val="Heading5"/>
        <w:numPr>
          <w:ilvl w:val="4"/>
          <w:numId w:val="1"/>
        </w:numPr>
        <w:rPr/>
      </w:pPr>
      <w:bookmarkStart w:id="339" w:name="__RefHeading___Toc8089032_2142443653"/>
      <w:bookmarkStart w:id="340" w:name="_Toc130"/>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نه تنها مسلمانان انديشه ى وهابيان را در زمينه ى قرائتشان از توحيد به نقد كشيده اند، بلكه بسيارى از علماى حنبلى و حتى برخى از انديشمندان پيرو اين مكتب نيز پس از تأمل، به نقص ها و كاستى هاى اين انديشه پى برده و به نقد عالمانه ى قرائت وهابى از توحيد پرداخته 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قابل توجه اين است كه افرادى اين نقدها را ارائه كرده اند كه خود از نزديك با مكتب وهابيت آشنا بوده اند و پس از سال ها ممارست و آشنايى با ديدگاه هاى وهابيان، به ناكارآمدى و انحراف ديدگاه هاى آنان پى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نقدهاى درونى انديشه ى وهابيان اشاره مى شود</w:t>
      </w:r>
      <w:r>
        <w:rPr>
          <w:rFonts w:eastAsia="IRNazanin" w:cs="IRNazanin"/>
          <w:color w:val="111111"/>
          <w:sz w:val="28"/>
          <w:szCs w:val="28"/>
          <w:rtl w:val="true"/>
          <w:lang w:bidi="fa-IR"/>
        </w:rPr>
        <w:t>.</w:t>
      </w:r>
      <w:bookmarkStart w:id="341" w:name="pg15502_177155"/>
    </w:p>
    <w:p>
      <w:pPr>
        <w:pStyle w:val="Heading5"/>
        <w:numPr>
          <w:ilvl w:val="4"/>
          <w:numId w:val="1"/>
        </w:numPr>
        <w:rPr/>
      </w:pPr>
      <w:bookmarkStart w:id="342" w:name="__RefHeading___Toc8089034_2142443653"/>
      <w:bookmarkStart w:id="343" w:name="_Toc131"/>
      <w:bookmarkEnd w:id="341"/>
      <w:bookmarkEnd w:id="342"/>
      <w:r>
        <w:rPr/>
        <w:t>1</w:t>
      </w:r>
      <w:r>
        <w:rPr>
          <w:rtl w:val="true"/>
        </w:rPr>
        <w:t>‏-‏</w:t>
      </w:r>
      <w:r>
        <w:rPr/>
        <w:t>4</w:t>
      </w:r>
      <w:r>
        <w:rPr>
          <w:rtl w:val="true"/>
        </w:rPr>
        <w:t xml:space="preserve"> - </w:t>
      </w:r>
      <w:r>
        <w:rPr>
          <w:rtl w:val="true"/>
        </w:rPr>
        <w:t>شيخ سليمان بن عبدالوهاب</w:t>
      </w:r>
      <w:bookmarkEnd w:id="343"/>
    </w:p>
    <w:p>
      <w:pPr>
        <w:pStyle w:val="BookText"/>
        <w:rPr/>
      </w:pPr>
      <w:r>
        <w:rPr>
          <w:rFonts w:ascii="IRNazanin" w:hAnsi="IRNazanin" w:eastAsia="IRNazanin"/>
          <w:color w:val="111111"/>
          <w:sz w:val="28"/>
          <w:sz w:val="28"/>
          <w:szCs w:val="28"/>
          <w:rtl w:val="true"/>
          <w:lang w:bidi="fa-IR"/>
        </w:rPr>
        <w:t>نخستين كسى كه انديشه ى وهابيان را در حوزه ى توحيد به چالش كشيد، برادر محمدبن عبدالوهاب، شيخ سليمان بن عبدالوهاب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سليمان از همان ابتداى دعوت محمدبن عبدالوهاب، اين حركت را حركتى انحرافى، و نه تنها برخلاف مذهب حنبلى، بلكه برخلاف انديشه ى اسلامى معرفى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شيخ سليمان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الالهية فى الرد على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موجب هدايت بسيارى از وهابيان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تأثير اين كتاب و روشنگرى هاى شيخ سليمان، وهابيان نتوانستند مردم حريمله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رشد و تحصيل محمدبن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پذيرش آيين وهابيت وادار كنند و دامنه ى روشنگرى هاى شيخ، حتى به زادگاه محمدبن عبدالوهاب، عيينه نيز كشيده شد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شيخ سليمان بن عبدالوهاب در اين كتاب، پس از اثبات عدم شايستگى علمى محمدبن عبدالوهاب و پيروانش،</w:t>
      </w:r>
      <w:r>
        <w:rPr>
          <w:rStyle w:val="FootnoteAnchor"/>
          <w:rtl w:val="true"/>
        </w:rPr>
        <w:footnoteReference w:id="401"/>
      </w:r>
      <w:r>
        <w:rPr>
          <w:rFonts w:ascii="Amiri" w:hAnsi="Amiri" w:eastAsia="Amiri" w:cs="Amiri"/>
          <w:color w:val="111111"/>
          <w:sz w:val="28"/>
          <w:sz w:val="28"/>
          <w:szCs w:val="28"/>
          <w:rtl w:val="true"/>
          <w:lang w:bidi="ar-SA"/>
        </w:rPr>
        <w:t>با برشمردن ملاكات شرك، انحراف وهابيت درحوزه ى توحيد را اثبات و مشرك شمردن مسلمانان را به شدت نكوهش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عقيده ى وى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شرك گناهى است كه خداوند نمى بخشد و نسبت به آن بسيار هشدار داده است، اما شرك در جايى است كه فرد به وجود شريكى براى خداوند اعتقاد داشته باشد؛ چنان كه مشركان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شركائنا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مطالبى را كه شما از خودتان مى گوييد و تفاصيلى كه بيان كرده ايد كه اگر كسى فلان كار را كرد مشرك شده و از</w:t>
      </w:r>
      <w:bookmarkStart w:id="344" w:name="pg15502_177157"/>
    </w:p>
    <w:p>
      <w:pPr>
        <w:pStyle w:val="BookText"/>
        <w:rPr/>
      </w:pPr>
      <w:bookmarkEnd w:id="344"/>
      <w:r>
        <w:rPr>
          <w:rFonts w:ascii="IRNazanin" w:hAnsi="IRNazanin" w:eastAsia="IRNazanin"/>
          <w:color w:val="111111"/>
          <w:sz w:val="28"/>
          <w:sz w:val="28"/>
          <w:szCs w:val="28"/>
          <w:rtl w:val="true"/>
          <w:lang w:bidi="fa-IR"/>
        </w:rPr>
        <w:t>اسلام خارج مى شود، از كجا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گذشته گفته شد كه ارائه ى چنين نظرياتى، از امثال شما جايز نيست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شيخ سليمان، سپس در فصول مختلف، به انواع شرك مى پردازد و عدم جواز مشرك خواندن و كافر دانستن اهل قبله و مسلمانان 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مسائلى مانند زيارت قبور، نذر و ذبح اشاره مى كند و اين امور را مصداق شرك اكبر و خروج از دين نمى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الصوائق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عصر محمدبن عبدالوهاب نگاشته شد، اما هم چنان به عنوان يكى از آثار تأثيرگذار، نه تنها در مقابله با وهابيت، بلكه در بازگشت وهابيان از اين مكتب انحرافى، نقش بسزايى ايفا كرده است؛ تاآن جاكه اين كتاب در مدارس عربستان تحريم شده و خواندن آن ممنوع است</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345" w:name="__RefHeading___Toc8089036_2142443653"/>
      <w:bookmarkStart w:id="346" w:name="_Toc132"/>
      <w:bookmarkEnd w:id="345"/>
      <w:r>
        <w:rPr/>
        <w:t>2</w:t>
      </w:r>
      <w:r>
        <w:rPr>
          <w:rtl w:val="true"/>
        </w:rPr>
        <w:t>‏-‏</w:t>
      </w:r>
      <w:r>
        <w:rPr/>
        <w:t>4</w:t>
      </w:r>
      <w:r>
        <w:rPr>
          <w:rtl w:val="true"/>
        </w:rPr>
        <w:t xml:space="preserve"> - </w:t>
      </w:r>
      <w:r>
        <w:rPr>
          <w:rtl w:val="true"/>
        </w:rPr>
        <w:t>توحيد القبور و توحيد القصور</w:t>
      </w:r>
      <w:bookmarkEnd w:id="34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قرائت هايى كه به شدت ديدگاه وهابيت را در حوزه ى توحيد به چالش كشيد، انديشه ى سيد قطب و پس از وى،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با بهره گيرى از انديشه ى سيد ابوالاعلى مودودى،</w:t>
      </w:r>
      <w:r>
        <w:rPr>
          <w:rStyle w:val="FootnoteAnchor"/>
          <w:rtl w:val="true"/>
        </w:rPr>
        <w:footnoteReference w:id="404"/>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وى به عاريت گرفت و جامعه ى جهانى امروز را جامعه اى جاهلى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وى، جهان به</w:t>
      </w:r>
    </w:p>
    <w:p>
      <w:pPr>
        <w:pStyle w:val="BookText"/>
        <w:rPr/>
      </w:pPr>
      <w:r>
        <w:rPr>
          <w:rFonts w:ascii="Amiri" w:hAnsi="Amiri" w:eastAsia="Amiri" w:cs="Amiri"/>
          <w:color w:val="111111"/>
          <w:sz w:val="28"/>
          <w:sz w:val="28"/>
          <w:szCs w:val="28"/>
          <w:rtl w:val="true"/>
          <w:lang w:bidi="ar-SA"/>
        </w:rPr>
        <w:t>سبب رشد انديشه هاى الحادى، در آستانه ى سقوط به دره ى نيستى و هلاكت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ى سيد قطب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در جاهليتى همانند جاهليت پيش از اسلام، و حتى وحشتناك تر از آن گرفتار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پيرامون ماست، جاهليت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به عقيده ى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ى جاهلى، هر جامعه اى است كه عبوديت خدا را در بينش اعتقادى، شعائر تعبدى و قانون گذارى، به خدا منحصر نكند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چنين رويكردى در انديشه ى سيد قطب، سبب شد كه وى در برابر جاهليت مدرن، دو راهكار براى مسلمانان پيشنهاد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التكفير 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انديشه ى سيد، از جامعه ى جاهلى مصر كناره گيرى كردند و در ميان كوهستان ها براى خود جامعه ى جديدى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ديگرى روش جهادى سيد را پسنديدند 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رويكرد مسلحانه را در برابر دولت مصر درپيش گرفت و سرانجام انور سادات را ترور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قطب مبناى خاصى در انديشه ى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 ترين ركن در توحيد معرفى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با تقسيم جهان به دارالاسلام و دارالحرب، تنها يك دارالاسلام را تصور مى كرد و آن سرزمينى است كه در آن دولتى اسلامى برپاست و شريعت خدا بر آن حاكم است و حدود خدا اقامه مى شود؛ و جز اين، هرچه هست، دارالحرب است</w:t>
      </w:r>
      <w:r>
        <w:rPr>
          <w:rFonts w:eastAsia="IRNazanin" w:cs="IRNazanin"/>
          <w:color w:val="111111"/>
          <w:sz w:val="28"/>
          <w:szCs w:val="28"/>
          <w:rtl w:val="true"/>
          <w:lang w:bidi="fa-IR"/>
        </w:rPr>
        <w:t>.</w:t>
      </w:r>
      <w:r>
        <w:rPr>
          <w:rStyle w:val="FootnoteAnchor"/>
          <w:rtl w:val="true"/>
        </w:rPr>
        <w:footnoteReference w:id="40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تفسيرى كه سيد قطب از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 كرد، توحيد در حاكميت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حاكمية إلا للّه ولا شريعة إلا من</w:t>
      </w:r>
    </w:p>
    <w:p>
      <w:pPr>
        <w:pStyle w:val="BookText"/>
        <w:rPr/>
      </w:pPr>
      <w:r>
        <w:rPr>
          <w:rFonts w:ascii="Amiri" w:hAnsi="Amiri" w:eastAsia="Amiri" w:cs="Amiri"/>
          <w:color w:val="111111"/>
          <w:sz w:val="28"/>
          <w:sz w:val="28"/>
          <w:szCs w:val="28"/>
          <w:rtl w:val="true"/>
          <w:lang w:bidi="ar-SA"/>
        </w:rPr>
        <w:t>اللّه، ولا سلطان لأحد على أحد، لأن السلطان كله للّه</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به عقيده ى سيد قطب، آيه ى شريفه اى كه هدف پيامبران را دعوت مردم به توحيد عبادى بيان مى كند، جمله ى ديگرى نيز دارد كه مورد توجه مسلمانان قرار نگرفته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در هر امتى پيامبرى فرستاديم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جباران و ستمگران نيز يكى از اساسى ترين اهداف پيامبران بوده، كه فراموش شده است و صرفاً به عبادت فردى تكيه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اين انديشه ى سيد قطب را برنتافتند و چنين پنداشتند كه مراد وى از چنين رويكردى، جامعه ى آنارشيستى و ديدگاه خوارجى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وى اعتقادى به تشكيل حكومت در جامعه ندارد و مانند خوارج از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حكومتى را برداشت كرده است؛ اما نظر وى چنين نبود؛ بلكه مراد او از جامعه ى الهى، جامعه اى بود كه رئيس آن بر مبناى اصول اسلامى حكم براند، و در سايه ى اين حكومت اسلامى است كه احكام و فرامين الهى در جامعه قابل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برداشتى از توحيد سبب شد كه جريان اصلاحى اخوان المسلمين مصر، در دوره ى سيد قطب به جريان انقلابى تبديل شود و خود وى نيز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تلاش براى سرنگونى دولت، به دار آويخته شد</w:t>
      </w:r>
      <w:r>
        <w:rPr>
          <w:rFonts w:eastAsia="IRNazanin" w:cs="IRNazanin"/>
          <w:color w:val="111111"/>
          <w:sz w:val="28"/>
          <w:szCs w:val="28"/>
          <w:rtl w:val="true"/>
          <w:lang w:bidi="fa-IR"/>
        </w:rPr>
        <w:t>.</w:t>
      </w:r>
      <w:r>
        <w:rPr>
          <w:rStyle w:val="FootnoteAnchor"/>
          <w:rtl w:val="true"/>
        </w:rPr>
        <w:footnoteReference w:id="40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ى سيد قطب، نه تنها بر جامعه ى مصر، بلكه بر تمامى جهان اسلام تأثيراتى عميق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ى اين تأثيرات، تعابير وى درباره ى توحيد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معناى توحيد را توحيد در حاكميت و مبارزه با طواغيت و ستمگران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وى، پيامبرانى همانند حضرت موسى عليه السلام و حضرت ابراهيم عليه السلام پيش از هرچيز، براى مبارزه با طواغيت عصر خود مبعوث شدند تا مردم را از عبادت و اطاعت طاغوت ها به اطاعت و عبادت خداوند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سيد قطب، برادرش محمد قطب از مصر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كشورهاى اسلامى كه از گسترش و نفوذ انديشه ى سيد قطب در كشورشان مى ترسيدند، از ورود او به كشور خود جلوگيرى كردند؛ اما عربستان سعودى، كه با جمال عبدالناصر رئيس جمهور مصر، رقابت تنگاتنگى براى رهبرى جهان عرب داشت، محمد قطب را به عربستان دعوت كرد؛ غافل از آن كه يكى از مستعدترين مناطق براى رشد و گسترش انديشه ى سيد قطب در باب توحيد، در عربستان سعودى وجود دارد؛ چراكه آل سعود در اين كشور، همچون طواغيت حكومت مى كرد و با دشمنان و كافران اصلى اسلام كه همان آمريكا، انگليس و اسرائيل بودند، روابط تنگاتنگى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برخى از علماى دربارى عربستان، مانند ربيع مدخلى، با ورود وى به عربستان مخالف بودند، اما به هرحال وى به عربستان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مذهبى و سياسى عربستان، محمد قطب را شگفت زده كرد؛ چراكه شيوخ وهابى با تمام وجود دم از توحيد مى زدند، اما توحيد آنان صرفاً به نهى مردم از زيارت، توسل، ساخت بنا بر روى قبور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مى شد؛ اما در برابر عمل كرد بد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حساسيتى از خود نشان نمى دادند، بلكه اعمال زشت و غيراسلامى آنان را توجيه مى كردند و مردم را از نقد و بازخواست دولت باز مى داشتند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قطب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ينبغى أن تصحح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ريشه يابى ضعف جوامع اسلامى مى پردازد و نوك حملات خود را به جامعه ى عربستان نشانه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به عقيده ى محمد قطب، جهان اسلام در گذشته عظمت والايى داشت، اما امروز گرفتار بيمارى، ضعف و سستى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ريشه ى اين مشكلات را تغيير معناى برخى از</w:t>
      </w:r>
    </w:p>
    <w:p>
      <w:pPr>
        <w:pStyle w:val="BookText"/>
        <w:rPr/>
      </w:pPr>
      <w:r>
        <w:rPr>
          <w:rFonts w:ascii="IRNazanin" w:hAnsi="IRNazanin" w:eastAsia="IRNazanin"/>
          <w:color w:val="111111"/>
          <w:sz w:val="28"/>
          <w:sz w:val="28"/>
          <w:szCs w:val="28"/>
          <w:rtl w:val="true"/>
          <w:lang w:bidi="fa-IR"/>
        </w:rPr>
        <w:t>مفاهيم كليدى و زيربنايى اسلام مى دانست و معتقد بود كه اگر جهان اسلام بخواهد دوباره جايگاه و عظمت خود را دريابد، چاره اى ندارد جز اين كه اين مفاهيم را با اعتماد به قرآن و سنت، به معنى اصلى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توجه به ديدگاه خود، پنج مفهوم بنيادين را ذكر مى كند كه دو مفهوم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به عقيده ى وى،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مفهوم بسيط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وهابيان بيان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مقتضياتى دارد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اعتقاد</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توحيد در عبادت</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توحيد در حاكميت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تمامى اين سه بخش، از نظر اهميت در يك سطحند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توحيد در قيام به تكاليفى كه خداوند بر دوش انسان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در آراسته شدن به اخلاقى كه لازمه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رفته رفته معنى خود را از دست داد و دين به احكام فرديه محدود شد و امر به معروف و نهى از منكر نيز به مذاق سلاطين خوش نيامد و آمرين به معروف و ناهين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 و ديگر امكان روشنگرى و تبيين انحرافات حكام باقى نماند و مردم تنها به خود و اعمال فردى خويش مشغول شدند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ى او، انحراف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كه معنى عبادت نيز تغيير كند و به عبادات فرديه، مانند نماز، روزه و حج محدود شود، و ديگر مسائل</w:t>
      </w:r>
    </w:p>
    <w:p>
      <w:pPr>
        <w:pStyle w:val="BookText"/>
        <w:rPr/>
      </w:pPr>
      <w:r>
        <w:rPr>
          <w:rFonts w:ascii="IRNazanin" w:hAnsi="IRNazanin" w:eastAsia="IRNazanin"/>
          <w:color w:val="111111"/>
          <w:sz w:val="28"/>
          <w:sz w:val="28"/>
          <w:szCs w:val="28"/>
          <w:rtl w:val="true"/>
          <w:lang w:bidi="fa-IR"/>
        </w:rPr>
        <w:t>وجودى انسان مورد غفلت قرار گيرد؛ كه از آن جمله مى توان به زندگى سياسى انسان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عبادت بايد بر تمامى ابعاد وجودى انسان سايه افكند</w:t>
      </w:r>
      <w:r>
        <w:rPr>
          <w:rFonts w:eastAsia="IRNazanin" w:cs="IRNazanin"/>
          <w:color w:val="111111"/>
          <w:sz w:val="28"/>
          <w:szCs w:val="28"/>
          <w:rtl w:val="true"/>
          <w:lang w:bidi="fa-IR"/>
        </w:rPr>
        <w:t>.</w:t>
      </w:r>
      <w:r>
        <w:rPr>
          <w:rStyle w:val="FootnoteAnchor"/>
          <w:rtl w:val="true"/>
        </w:rPr>
        <w:footnoteReference w:id="414"/>
      </w:r>
      <w:r>
        <w:rPr>
          <w:rFonts w:ascii="Amiri" w:hAnsi="Amiri" w:eastAsia="Amiri" w:cs="Amiri"/>
          <w:color w:val="111111"/>
          <w:sz w:val="28"/>
          <w:sz w:val="28"/>
          <w:szCs w:val="28"/>
          <w:rtl w:val="true"/>
          <w:lang w:bidi="ar-SA"/>
        </w:rPr>
        <w:t>تك بعدى بودن انسان ها در مسأله ى عبادت، سبب شده است كه مردم امور سياسى را به دوش سلاطين بيندازند و سلاطين نيز دين را مطابق منافعشان و به هر صورتى كه بخواهند، تفسير كنند</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مخاطب چنين انديشه هايى، در وهله ى اول، وهابيانى بودند كه محمد قطب نمى توانست مستقيماً آن ها را مورد خطاب قرار دهد؛ اما وهابيان همانانى بودند كه صرفاً به ظواهر عبادت توجه داشتند و مسلمانان ديگر را تكفير مى كردند، ولى به سلاطين خود كه غرق در فساد و تباهى بودند، نه تنها اعتراض نمى كردند، بلكه نقش مشروعيت بخشى به اعمال آنان را بر عهده داشتند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انديشه هاى سيد قطب و محمد قطب، مفهومى را در عرصه ى توحيد به وجود آورد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القبور وتوحيد القصور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محمد قطب و پيروانش، چيزى كه شيوخ وهابى در عربستان به آن پاى بند بودند، صرفاً توحيد قبورى بود؛ يعنى مبارزه با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تمامى هم و غم خود را بر مبارزه با قبرها، تخريب آن ها، نهى مردم از زيارت قبور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نيز با اطمينان به اين كه وهابيان سرگرم قبورند، راهى غيراسلامى را درپيش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محمد قطب و پيروانى كه بعدها از ميان علماى وهابى به وى پيوستند، نام آن را توحيد قبورى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آنان، آن چه در دعوت پيامبران وجود دارد، توحيد قصورى است؛ يعنى مبارزه با صاحبان قصرها، نه صاحبان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لبه ى تيز چنين نظريه اى مستقيماً به سوى آل سعود و مشايخ دربارى نشانه رفت و موجب شد،</w:t>
      </w:r>
      <w:bookmarkStart w:id="347" w:name="pg15502_177169"/>
    </w:p>
    <w:p>
      <w:pPr>
        <w:pStyle w:val="BookText"/>
        <w:rPr/>
      </w:pPr>
      <w:bookmarkEnd w:id="347"/>
      <w:r>
        <w:rPr>
          <w:rFonts w:ascii="IRNazanin" w:hAnsi="IRNazanin" w:eastAsia="IRNazanin"/>
          <w:color w:val="111111"/>
          <w:sz w:val="28"/>
          <w:sz w:val="28"/>
          <w:szCs w:val="28"/>
          <w:rtl w:val="true"/>
          <w:lang w:bidi="fa-IR"/>
        </w:rPr>
        <w:t xml:space="preserve">ازيك سو قرائت وهابى از توحيد به طور جدى به چالش كشيده شود، و ازسوى ديگر، جريانى انقلابى در عربستان شكل گيرد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قطبيه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انديشه ى سيد قطب و محمد قطب، تأثيرى عميق بر جامعه ى عربستان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اين انديشه، وهابيان كه سال ها خودشان را با معنى ارائه شده از جانب محمدبن عبدالوهاب درباره ى توحيد سرگرم كرده و مراقب قبرها بودند و گمان نمى كردند كه مفهوم ديگرى نيز دراين باره وجود داشته باشد، به ناگاه با قرائت جديدى روبه رو شدند كه با فضاى سياسى و اعتقادى جامعه ى آنان هم آهنگى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بسيارى از علماى وهابى تحت تأثير انديشه هاى سيد قطب و محمد قطب، به توحيد قبورى محمدبن عبدالوهاب و پيروان وى پشت كردند و حركت ديگرى را شكل دادند كه به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348" w:name="__RefHeading___Toc8089038_2142443653"/>
      <w:bookmarkStart w:id="349" w:name="_Toc133"/>
      <w:bookmarkEnd w:id="348"/>
      <w:r>
        <w:rPr/>
        <w:t>3</w:t>
      </w:r>
      <w:r>
        <w:rPr>
          <w:rtl w:val="true"/>
        </w:rPr>
        <w:t>‏-‏</w:t>
      </w:r>
      <w:r>
        <w:rPr/>
        <w:t>4</w:t>
      </w:r>
      <w:r>
        <w:rPr>
          <w:rtl w:val="true"/>
        </w:rPr>
        <w:t xml:space="preserve"> - </w:t>
      </w:r>
      <w:r>
        <w:rPr>
          <w:rtl w:val="true"/>
        </w:rPr>
        <w:t>نوسلفيان</w:t>
      </w:r>
      <w:bookmarkEnd w:id="34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نوسلفيان، گروهى از دانشمندان وهابى اند كه با ديدگاه هاى افراطى محمدبن عبدالوهاب و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وهابيت دربارى مخالفند و انديشه هاى وهابيت را</w:t>
      </w:r>
    </w:p>
    <w:p>
      <w:pPr>
        <w:pStyle w:val="BookText"/>
        <w:rPr/>
      </w:pPr>
      <w:r>
        <w:rPr>
          <w:rFonts w:ascii="Amiri" w:hAnsi="Amiri" w:eastAsia="Amiri" w:cs="Amiri"/>
          <w:color w:val="111111"/>
          <w:sz w:val="28"/>
          <w:sz w:val="28"/>
          <w:szCs w:val="28"/>
          <w:rtl w:val="true"/>
          <w:lang w:bidi="ar-SA"/>
        </w:rPr>
        <w:t>به نقد مى كشند</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در ميان نوسلفيان، چهره هاى مشهورى همانند سلمان العودة و محمدبن عبدالله المسعرى،</w:t>
      </w:r>
      <w:r>
        <w:rPr>
          <w:rStyle w:val="FootnoteAnchor"/>
          <w:rtl w:val="true"/>
        </w:rPr>
        <w:footnoteReference w:id="419"/>
      </w:r>
      <w:r>
        <w:rPr>
          <w:rFonts w:ascii="IRNazanin" w:hAnsi="IRNazanin" w:eastAsia="IRNazanin"/>
          <w:color w:val="111111"/>
          <w:sz w:val="28"/>
          <w:sz w:val="28"/>
          <w:szCs w:val="28"/>
          <w:rtl w:val="true"/>
          <w:lang w:bidi="fa-IR"/>
        </w:rPr>
        <w:t>به تفصيل به نقد توحيد وهابى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المسعرى علت تجديد نظر خود در قرائت وهابى از توحيد را به طور خلاصه اين گونه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وهابيت قرائت غلطى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انديشه اى سبب مى شود كه بسيارى از اهل قبله مشرك تلقى شده و خارج از اسلام معرفى شوند؛ و اين گناه بزرگى است كه نمى توان به صرف يك اجتهاد، چنين ادعايى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تقسيم توحيد به سه قسم ربوبى، الوهى و اسماء و صفات،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نه تنها موجب ايجاد مشكل قبلى شده است، كه خود پى آمدهاى بسيارى دارد؛ از جمله اين كه اقسام ديگر توحيد مانند توحيد در حاكميت را ناديده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ديگر، پيروان محمدبن عبدالوهاب به امورى در مباحث توحيد مى پردازند كه هيچ فايده ى عملى ندارد؛ درحالى كه از اصول غافل شده اند و متأسفانه انديشه هاى خود را به سلف نسبت مى دهند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وهابى متناسب با شرايط و مقتضيات زمان نيست؛ زيرا در دنياى امروز كه مظاهر جاهليت جهان را دربرگرفته است، علماى وهابى فقهاى سلاطين شده اند و</w:t>
      </w:r>
    </w:p>
    <w:p>
      <w:pPr>
        <w:pStyle w:val="BookText"/>
        <w:rPr/>
      </w:pPr>
      <w:r>
        <w:rPr>
          <w:rFonts w:ascii="IRNazanin" w:hAnsi="IRNazanin" w:eastAsia="IRNazanin"/>
          <w:color w:val="111111"/>
          <w:sz w:val="28"/>
          <w:sz w:val="28"/>
          <w:szCs w:val="28"/>
          <w:rtl w:val="true"/>
          <w:lang w:bidi="fa-IR"/>
        </w:rPr>
        <w:t>وارثان احبار و كاهنانند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خدمت به سروران كافر و ستمگرشان، مردم را گمراه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ى دين را تغيير مى دهند و با اولياى خدا دشمن و با دشمنان خدا دوست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حكام آل سعود طاغوت هاى زمان اند و پاى كفار حربى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آمريكايى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سرزمين وحى باز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در عربستان جولان مى دهند و مشايخ وهابى با آن ها در حمله به مردم مسلمان عراق و ذلت و خوارى شان، همكارى كرده و در اين راه به آنان كمك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آل سعود، نظام شرك و كفر و نظامى شيطانى است كه اموال مسلمانان را غارت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كارهايى را با تمسك به توحيد مزورانه و مرده كه در عالم خارج هيچ فايده اى ندارد،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مشايخ وهابى هميشه در اطراف مردگان، گنبدها، درختان، سنگ ها، رمال ها و قبرها طواف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حقيقت، توحيد را كشته اند و آن را داخل قبر كرده اند؛ سپس اطراف اين قبر مى گردند و آن را ستايش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گفته ها شك داريد، به سخنان صريح مشايخ خائن آن ها بنگريد و در منشوراتى كه به صورت رايگان توسط احزاب و گروه هاى وابسته به آنان توزيع مى شود،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انصار اهل سنة والحديث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السنة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هايى با عنوان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الرحمن فى طاعة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الحاكمية وفتنة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توزيع مى كنند</w:t>
      </w:r>
      <w:r>
        <w:rPr>
          <w:rFonts w:eastAsia="IRNazanin" w:cs="IRNazanin"/>
          <w:color w:val="111111"/>
          <w:sz w:val="28"/>
          <w:szCs w:val="28"/>
          <w:rtl w:val="true"/>
          <w:lang w:bidi="fa-IR"/>
        </w:rPr>
        <w:t>».</w:t>
      </w:r>
      <w:r>
        <w:rPr>
          <w:rStyle w:val="FootnoteAnchor"/>
          <w:rtl w:val="true"/>
        </w:rPr>
        <w:footnoteReference w:id="42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العودة، يكى ديگر از شخصيت هاى نوسلفى است كه شاگرد محمد قطب بود و با تأثيرپذيرى از انديشه ى محمد قطب، ديدگاه وهابيان را به چالش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ميان جامعه ى عربستان جايگاه ويژه اى دارد و موضع گيرى هاى او هنگام لشكركشى آمريكا به عراق از طريق عربستان، با تكيه بر انديشه هاى سيد قطب، انقلابى به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تفسير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الاسلام غريباً وسيعود غريباً كما بدأ</w:t>
      </w:r>
      <w:bookmarkStart w:id="350" w:name="pg15502_177175"/>
    </w:p>
    <w:p>
      <w:pPr>
        <w:pStyle w:val="BookText"/>
        <w:rPr/>
      </w:pPr>
      <w:bookmarkEnd w:id="350"/>
      <w:r>
        <w:rPr>
          <w:rFonts w:ascii="IRNazanin" w:hAnsi="IRNazanin" w:eastAsia="IRNazanin"/>
          <w:color w:val="111111"/>
          <w:sz w:val="28"/>
          <w:sz w:val="28"/>
          <w:szCs w:val="28"/>
          <w:rtl w:val="true"/>
          <w:lang w:bidi="fa-IR"/>
        </w:rPr>
        <w:t>فطوبى للغرباء</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مى پردازد؛ اما راه خود را در تفسير اين حديث، از راه وهابيت جدا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آنان بر اهل حديث و وهابيان منطبق نمى كند</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به همين سبب، وهابيان كتاب هاى متعددى بر ضد وى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مجموع به نظر مى رسد، توحيد وهابى ديگر نمى تواند وهابيان را نيز اقناع كند و امروزه بسيارى از طلاب جوان مدارس وهابيت، برخلاف گذشته، به انديشه هاى محمدبن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حوزه ى نظريه و چه در حوزه ى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ديده ى ترديد مى نگرند</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351" w:name="__RefHeading___Toc8089040_2142443653"/>
      <w:bookmarkStart w:id="352" w:name="_Toc134"/>
      <w:bookmarkEnd w:id="351"/>
      <w:r>
        <w:rPr/>
        <w:t>5</w:t>
      </w:r>
      <w:r>
        <w:rPr>
          <w:rtl w:val="true"/>
        </w:rPr>
        <w:t xml:space="preserve"> - </w:t>
      </w:r>
      <w:r>
        <w:rPr>
          <w:rtl w:val="true"/>
        </w:rPr>
        <w:t>مرزهاى توحيد و شرك</w:t>
      </w:r>
      <w:bookmarkEnd w:id="35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 وهابى، رفته رفته مقبوليت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درون وهابيت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وهابيان شيوه ى ديگرى را براى حمله به عقايد مسلمانان درپيش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برجسته كردن برخى از اعمال عوام از مسلمين، اين اعمال را به همه ى مسلمانان نسبت مى دهند و به كيان اسلامى حمله مى كنند؛ اما هرگز اين نكته را بيان نمى كنند كه علماى اسلام با بسيارى از اين اعمال موافق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پايگاه هاى اينترنتى و شبكه هاى ماهواره اى وهابيت، تصويرها و صحنه هايى از برخى عوام، مانند قمه زنى، زنجيرزنى با تيغ، و انجام اعمال غيرعرفى همانند چهاردست وپا روى زمين راه رفتن را به نمايش مى گذارند تا سيماى شيعه را بد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ديگر، گاه تعابيرى درباره ى ائمه و بزرگان دين به كار مى رود كه نه تنها از ديدگاه</w:t>
      </w:r>
    </w:p>
    <w:p>
      <w:pPr>
        <w:pStyle w:val="BookText"/>
        <w:rPr/>
      </w:pPr>
      <w:r>
        <w:rPr>
          <w:rFonts w:ascii="Amiri" w:hAnsi="Amiri" w:eastAsia="Amiri" w:cs="Amiri"/>
          <w:color w:val="111111"/>
          <w:sz w:val="28"/>
          <w:sz w:val="28"/>
          <w:szCs w:val="28"/>
          <w:rtl w:val="true"/>
          <w:lang w:bidi="ar-SA"/>
        </w:rPr>
        <w:t>وهابيان، بلكه از نظر شيعه نيز شرك است</w:t>
      </w:r>
      <w:r>
        <w:rPr>
          <w:rStyle w:val="FootnoteAnchor"/>
          <w:rtl w:val="true"/>
        </w:rPr>
        <w:footnoteReference w:id="424"/>
      </w:r>
      <w:r>
        <w:rPr>
          <w:rFonts w:ascii="IRNazanin" w:hAnsi="IRNazanin" w:eastAsia="IRNazanin"/>
          <w:color w:val="111111"/>
          <w:sz w:val="28"/>
          <w:sz w:val="28"/>
          <w:szCs w:val="28"/>
          <w:rtl w:val="true"/>
          <w:lang w:bidi="fa-IR"/>
        </w:rPr>
        <w:t>تعابيرى كه در ظاهر نشانگر اعتقاد به ربوبيت و يا الوهيت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فِىَّ رَجُلانِ مُحِبٌّ غال وَمُبْغِضٌ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كه اندازه نگاه نداشت و مبالغه كرد؛ و دشمنى كه بيهوده سخن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برخى از اعمال عوام، مانند تبرك به حيوانى كه نقش پوستش شبيه نام يكى از بزرگان است، و يا بر اساس خواب و رؤيايى كه صدق و كذب آن مشخص نيست، به چيزى معتقد شدن، افزون بر وهن شيعه، زمينه را براى فرصت طلبى و بد جلوه دادن عقايد شيعه توسط وهابيان فراهم مى كند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اهل سنت نيز چنين مسائلى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برخى از پيران، و يا اعتقاد به مسائل خرافى كه در ميان اهل سنت افغانستان و پاكستان به وفور ديده مى شود، زمينه را براى بهانه جويى و حمله ى وهابيان فراهم مى كند</w:t>
      </w:r>
      <w:r>
        <w:rPr>
          <w:rFonts w:eastAsia="IRNazanin" w:cs="IRNazanin"/>
          <w:color w:val="111111"/>
          <w:sz w:val="28"/>
          <w:szCs w:val="28"/>
          <w:rtl w:val="true"/>
          <w:lang w:bidi="fa-IR"/>
        </w:rPr>
        <w:t>.</w:t>
      </w:r>
      <w:bookmarkStart w:id="353" w:name="pg15502_177179"/>
    </w:p>
    <w:p>
      <w:pPr>
        <w:pStyle w:val="Heading3"/>
        <w:numPr>
          <w:ilvl w:val="2"/>
          <w:numId w:val="1"/>
        </w:numPr>
        <w:rPr/>
      </w:pPr>
      <w:bookmarkStart w:id="354" w:name="__RefHeading___Toc8089042_2142443653"/>
      <w:bookmarkStart w:id="355" w:name="_Toc135"/>
      <w:bookmarkEnd w:id="353"/>
      <w:bookmarkEnd w:id="354"/>
      <w:r>
        <w:rPr>
          <w:rtl w:val="true"/>
        </w:rPr>
        <w:t>نتيجه ى بخش اول</w:t>
      </w:r>
      <w:bookmarkEnd w:id="355"/>
    </w:p>
    <w:p>
      <w:pPr>
        <w:pStyle w:val="BookText"/>
        <w:rPr/>
      </w:pPr>
      <w:r>
        <w:rPr>
          <w:rFonts w:ascii="IRNazanin" w:hAnsi="IRNazanin" w:eastAsia="IRNazanin"/>
          <w:color w:val="111111"/>
          <w:sz w:val="28"/>
          <w:sz w:val="28"/>
          <w:szCs w:val="28"/>
          <w:rtl w:val="true"/>
          <w:lang w:bidi="fa-IR"/>
        </w:rPr>
        <w:t>توحيد به عنوان مهم ترين آموزه ى اسلامى، همواره كانون توجهات انديشمندان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به دليل قرائت غيراسلامى از توحيد، تمامى مسلمانان را به شرك متهم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دليل تقدم رتبه ى توحيد نظرى بر توحيد عملى، بيش تر بر تبيين ابعاد توحيد نظرى اهتمام ورزيده اند؛ چراكه عبادت خدا، بر شناخت كامل و دقيق او مترتب است و انسان، چنان چه در توحيد نظرى شناختى درست به دست آورد، در حوزه ى عبادت، كم تر گرفتار انحراف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وهابيان با ناديده گرفتن اهميت توحيد نظرى، تمام توجه و اهتمام خود را بر توحيد عملى متمركز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با تقسيم توحيد به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قرائتى غيراسلامى از اين مفاهيم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دليل ظاهرگرايى در حوزه ى معنى شناسى و نقل گرايى در حوزه ى روش شناسى، در زمينه ى توحيد اسماء و صفات گرفتار شرك شده و در گرداب تشبيه و تجسيم فرو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ربوبى در انديشه ى وهابيت، مسامحتاً معادل توحيد 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توحيد ربوبى را مشتمل بر توحيد در تدبير، خالقيت، رازقيت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و با تكيه بر نظريات ابن تيميه مدعى شده اند كه همه ى انسان ها در حوزه ى توحيد ربوبى موحد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اين نظريه با استناد به آيات قرآنى اثبات شد و بيان گرديد كه محتواى بسيارى ازآيات قرآن كريم، دعوت انسان ها به توحيد ربوبى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الوهى در انديشه ى وهابى، مترادف با توحيد 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اول آنان اين است كه پيامبران تنها براى دعوت به توحيد الوهى برانگيخته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با توجه به آيات قرآن نفى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مبناى ظاهرگرايانه ى آنان، سبب شده است كه ايشان عبادت را بر معنى ظاهرى آن كه همان خشوع و خضوع است،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نيز با آيات قرآن در تنافى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آيات قرآن، عبادت مفهومى است مركب از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و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خضوع در برابر اولياى الهى بدون نيتِ پرستش و اعتقاد به ربوبيت، نه تنها عبادت نيست، بلكه چون به فرمان خداست، داراى اجر و ثواب است</w:t>
      </w:r>
      <w:r>
        <w:rPr>
          <w:rFonts w:eastAsia="IRNazanin" w:cs="IRNazanin"/>
          <w:color w:val="111111"/>
          <w:sz w:val="28"/>
          <w:szCs w:val="28"/>
          <w:rtl w:val="true"/>
          <w:lang w:bidi="fa-IR"/>
        </w:rPr>
        <w:t>.</w:t>
      </w:r>
      <w:bookmarkStart w:id="356" w:name="pg15502_177181"/>
    </w:p>
    <w:p>
      <w:pPr>
        <w:pStyle w:val="Heading2"/>
        <w:numPr>
          <w:ilvl w:val="1"/>
          <w:numId w:val="1"/>
        </w:numPr>
        <w:rPr/>
      </w:pPr>
      <w:bookmarkStart w:id="357" w:name="__RefHeading___Toc8089044_2142443653"/>
      <w:bookmarkStart w:id="358" w:name="_Toc136"/>
      <w:bookmarkEnd w:id="356"/>
      <w:bookmarkEnd w:id="357"/>
      <w:r>
        <w:rPr>
          <w:rtl w:val="true"/>
        </w:rPr>
        <w:t>بخش دوم</w:t>
      </w:r>
      <w:r>
        <w:rPr>
          <w:rtl w:val="true"/>
        </w:rPr>
        <w:t xml:space="preserve">: </w:t>
      </w:r>
      <w:r>
        <w:rPr>
          <w:rtl w:val="true"/>
        </w:rPr>
        <w:t>ايمان و كفر</w:t>
      </w:r>
      <w:bookmarkEnd w:id="35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8089046_2142443653"/>
      <w:bookmarkStart w:id="360" w:name="_Toc137"/>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ايمان و كفر، از مباحث بسيار مهم و اساسى در كلام اسلامى است و به دليل همين اهميت، همواره در كانون مباحثات و مجادلات مذاهب و فرق اسلامى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كفر، نه تنها در حوزه ى عقايد، بلكه در زندگى دنيوى انسان، نقشى بنيادين ايفا مى كند؛ چراكه جايگاه فرد در جامعه ى اسلامى و امنيت و حرمت وى، با مؤمن يا كافر بودن وى ارتباطى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مذاهب اسلامى، مباحث ايمان و كفر را با حساسيت ويژه اى دنبال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هرچند مسلمانان درباره ى مرزهاى ايمان و كفر اختلافاتى دارند، نقاط مشترك ميان آن ها در اين زمينه، به مراتب بيش از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ايمان، شرايطى حداقلى دارد كه مورد اتفاق مسلمانان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در سده هاى نخستين اسلامى، دو مكتب انحرافى در جهان اسلام شكل گرفت كه در تعريف ايمان و كفر، قرائتى مخالف با تمام مذاهب اسلامى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مكتب، خوارج و مرجئه بودند كه به دليل تعارض ديدگاه آنان با انديشه ى اسلامى، در سده هاى بعد منزوى شدند و جز در تاريخ، نامى از آنان باقى نماند؛ تا اين كه در قرن دوازدهم، وهابيت بار ديگر قرائت خوارج را درباره ى ايمان و كفر زنده كرد و همانند آنان تيغ تكفير را بر پيكر مسلمانان فرود آورد؛ عقيده اى كه در طول تاريخ، هيچ فرقه ى ديگرى جز خوارج آن را نپذيرفت و تنها وهابيان چنين انديشه اى را زنده كردند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در فصول آينده، به تفصيل پيرامون انديشه ى اسلامى درباره ى ايمان و كفر سخن گفته، و هم چنين به بررسى و نقد انديشه ى تكفيرى وهابيت خواهيم پرداخت</w:t>
      </w:r>
      <w:r>
        <w:rPr>
          <w:rFonts w:eastAsia="IRNazanin" w:cs="IRNazanin"/>
          <w:color w:val="111111"/>
          <w:sz w:val="28"/>
          <w:szCs w:val="28"/>
          <w:rtl w:val="true"/>
          <w:lang w:bidi="fa-IR"/>
        </w:rPr>
        <w:t>.</w:t>
      </w:r>
      <w:bookmarkStart w:id="361" w:name="pg15502_177188"/>
    </w:p>
    <w:p>
      <w:pPr>
        <w:pStyle w:val="Heading3"/>
        <w:numPr>
          <w:ilvl w:val="2"/>
          <w:numId w:val="1"/>
        </w:numPr>
        <w:rPr/>
      </w:pPr>
      <w:bookmarkStart w:id="362" w:name="__RefHeading___Toc8089048_2142443653"/>
      <w:bookmarkStart w:id="363" w:name="_Toc138"/>
      <w:bookmarkEnd w:id="361"/>
      <w:bookmarkEnd w:id="362"/>
      <w:r>
        <w:rPr>
          <w:rtl w:val="true"/>
        </w:rPr>
        <w:t>فصل دهم</w:t>
      </w:r>
      <w:r>
        <w:rPr>
          <w:rtl w:val="true"/>
        </w:rPr>
        <w:t xml:space="preserve">: </w:t>
      </w:r>
      <w:r>
        <w:rPr>
          <w:rtl w:val="true"/>
        </w:rPr>
        <w:t>ايمان در انديشه ى اسلامى</w:t>
      </w:r>
      <w:bookmarkEnd w:id="36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4" w:name="__RefHeading___Toc8089050_2142443653"/>
      <w:bookmarkStart w:id="365" w:name="_Toc139"/>
      <w:bookmarkEnd w:id="364"/>
      <w:r>
        <w:rPr>
          <w:rtl w:val="true"/>
        </w:rPr>
        <w:t>اشاره</w:t>
      </w:r>
      <w:bookmarkStart w:id="366" w:name="pg15502_177192"/>
      <w:bookmarkEnd w:id="365"/>
    </w:p>
    <w:p>
      <w:pPr>
        <w:pStyle w:val="Heading4"/>
        <w:numPr>
          <w:ilvl w:val="3"/>
          <w:numId w:val="1"/>
        </w:numPr>
        <w:rPr/>
      </w:pPr>
      <w:bookmarkStart w:id="367" w:name="__RefHeading___Toc8089052_2142443653"/>
      <w:bookmarkStart w:id="368" w:name="_Toc140"/>
      <w:bookmarkEnd w:id="366"/>
      <w:bookmarkEnd w:id="367"/>
      <w:r>
        <w:rPr/>
        <w:t>1</w:t>
      </w:r>
      <w:r>
        <w:rPr>
          <w:rtl w:val="true"/>
        </w:rPr>
        <w:t xml:space="preserve"> - </w:t>
      </w:r>
      <w:r>
        <w:rPr>
          <w:rtl w:val="true"/>
        </w:rPr>
        <w:t>مقدمه</w:t>
      </w:r>
      <w:bookmarkEnd w:id="368"/>
    </w:p>
    <w:p>
      <w:pPr>
        <w:pStyle w:val="BookText"/>
        <w:rPr/>
      </w:pPr>
      <w:r>
        <w:rPr>
          <w:rFonts w:ascii="IRNazanin" w:hAnsi="IRNazanin" w:eastAsia="IRNazanin"/>
          <w:color w:val="111111"/>
          <w:sz w:val="28"/>
          <w:sz w:val="28"/>
          <w:szCs w:val="28"/>
          <w:rtl w:val="true"/>
          <w:lang w:bidi="fa-IR"/>
        </w:rPr>
        <w:t>ايمان، يكى از محورى ترين انديشه هاى مسلمانان است و در برابر آن، كفر قرار دارد كه منفورترين حالتى است كه انسان ممكن است به آن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حساسيت ويژه اى، لزوم شناخت دقيق ايمان و مرز آن با كفر را ضرورى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مفهوم ايمان و ديدگاه مذاهب اسلامى درباره ى آن بررسى خواهد شد</w:t>
      </w:r>
      <w:r>
        <w:rPr>
          <w:rFonts w:eastAsia="IRNazanin" w:cs="IRNazanin"/>
          <w:color w:val="111111"/>
          <w:sz w:val="28"/>
          <w:szCs w:val="28"/>
          <w:rtl w:val="true"/>
          <w:lang w:bidi="fa-IR"/>
        </w:rPr>
        <w:t>.</w:t>
      </w:r>
    </w:p>
    <w:p>
      <w:pPr>
        <w:pStyle w:val="Heading4"/>
        <w:numPr>
          <w:ilvl w:val="3"/>
          <w:numId w:val="1"/>
        </w:numPr>
        <w:rPr/>
      </w:pPr>
      <w:bookmarkStart w:id="369" w:name="__RefHeading___Toc8089054_2142443653"/>
      <w:bookmarkStart w:id="370" w:name="_Toc141"/>
      <w:bookmarkEnd w:id="369"/>
      <w:r>
        <w:rPr/>
        <w:t>2</w:t>
      </w:r>
      <w:r>
        <w:rPr>
          <w:rtl w:val="true"/>
        </w:rPr>
        <w:t xml:space="preserve"> - </w:t>
      </w:r>
      <w:r>
        <w:rPr>
          <w:rtl w:val="true"/>
        </w:rPr>
        <w:t>واژه شناسى ايمان</w:t>
      </w:r>
      <w:bookmarkEnd w:id="3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باب افعال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يؤمن، ايماناً</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همزه ى دوم، به دليل تخفيف حذف شده است</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ريشه ى ايمان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ضدخوف است</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به گفته ى راغب اصفهانى، ريشه ى أمن از اطمينان نفس و از ميان رفتن خوف است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معناى ديگر امن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ابن منظور اين لغت را درچند معنى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متضادخيانت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متضادتكذيب</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هم چنين يكى از نام 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گفته ى ابن اثير، مؤمن اگر از ريشه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تصديق باشد، يعنى كسى كه بندگانش وعده هاى او را تصديق مى كنند؛ اما اگر از ريشه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ضد خوف و ترس باشد، يعنى كسى كه بندگان از عذابش در روز قيامت ايمن هستند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به نهصد بار در قرآن به كار رفته است</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اين واژه در قرآن بيش تر به دو معنى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به معنى ايجاد امنيت و ضد ترس و 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أَطْعَمَهُمْ مِنْ جُوعٍ وَ آمَنَهُمْ مِنْ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آن ها را سير كرد و از ترس ايمن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 خانه ى كعبه را مرجع امر دين خلق، و مقام امن مقرّر داشتيم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به اين شهر امن و 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ى 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آيات شريفه،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ايجاد امنيت و از ميان رفتن ترس و خوف و ناامنى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ى شريفه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روز 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متّقى و خداترس بودند، مقام امن و امان يابند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پرهيزگاران، از شر ديگران در ايمنى قرار دارند و داخل در امنيتى هستند كه خداوند در اختيار آنان قرار داده است</w:t>
      </w:r>
      <w:r>
        <w:rPr>
          <w:rFonts w:eastAsia="IRNazanin" w:cs="IRNazanin"/>
          <w:color w:val="111111"/>
          <w:sz w:val="28"/>
          <w:szCs w:val="28"/>
          <w:rtl w:val="true"/>
          <w:lang w:bidi="fa-IR"/>
        </w:rPr>
        <w:t>.</w:t>
      </w:r>
      <w:bookmarkStart w:id="371" w:name="pg15502_177195"/>
    </w:p>
    <w:p>
      <w:pPr>
        <w:pStyle w:val="BookText"/>
        <w:rPr/>
      </w:pPr>
      <w:bookmarkEnd w:id="371"/>
      <w:r>
        <w:rPr>
          <w:rFonts w:ascii="IRNazanin" w:hAnsi="IRNazanin" w:eastAsia="IRNazanin"/>
          <w:color w:val="111111"/>
          <w:sz w:val="28"/>
          <w:sz w:val="28"/>
          <w:szCs w:val="28"/>
          <w:rtl w:val="true"/>
          <w:lang w:bidi="fa-IR"/>
        </w:rPr>
        <w:t xml:space="preserve">دوم،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وسيله ى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معنى تصديق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بِمُؤْمِنٍ لَنٰا وَ لَوْ كُنّٰا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هرچند ما راست بگوييم، تو باز از ما تصديق نخواهى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خداوند ايمان دارد و سخن مؤمنان را باور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به خدا ايمان آورديم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در اين آيات به معنى تصديق كردن آمده است؛ در آيه ى نخست، به معنى خداوند را تصديق كردن، و در آيه ى دوم به معنى تصديق كردن خداوند است</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8089056_2142443653"/>
      <w:bookmarkStart w:id="373" w:name="_Toc142"/>
      <w:bookmarkEnd w:id="372"/>
      <w:r>
        <w:rPr/>
        <w:t>3</w:t>
      </w:r>
      <w:r>
        <w:rPr>
          <w:rtl w:val="true"/>
        </w:rPr>
        <w:t xml:space="preserve"> - </w:t>
      </w:r>
      <w:r>
        <w:rPr>
          <w:rtl w:val="true"/>
        </w:rPr>
        <w:t>ايمان در اصطلاح</w:t>
      </w:r>
      <w:bookmarkEnd w:id="373"/>
    </w:p>
    <w:p>
      <w:pPr>
        <w:pStyle w:val="BookText"/>
        <w:rPr/>
      </w:pPr>
      <w:r>
        <w:rPr>
          <w:rFonts w:ascii="IRNazanin" w:hAnsi="IRNazanin" w:eastAsia="IRNazanin"/>
          <w:color w:val="111111"/>
          <w:sz w:val="28"/>
          <w:sz w:val="28"/>
          <w:szCs w:val="28"/>
          <w:rtl w:val="true"/>
          <w:lang w:bidi="fa-IR"/>
        </w:rPr>
        <w:t>واژه ى ايمان، يكى از واژه هايى است كه درباره ى معنى اصطلاحى آن، ديدگاه هاى مختلفى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شد، معناى لغوى ايمان تصديق است؛ اما در معنى اصطلاحى ايمان، اين پرسش مطرح مى شود كه تصديق به چه معنى و داراى چه اجزايى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اصطلاحى ايمان، سه جزء متصور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به 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به قلب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به اعمال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معنى اصطلاحى ايمان، ممكن است يكى از اين سه اصل و يا تركيبى از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وجوه، زمينه را براى توليد ديدگاه هاى مختلف پيرامون معنى اصطلاحى ايمان فراهم آورده است</w:t>
      </w:r>
      <w:r>
        <w:rPr>
          <w:rFonts w:eastAsia="IRNazanin" w:cs="IRNazanin"/>
          <w:color w:val="111111"/>
          <w:sz w:val="28"/>
          <w:szCs w:val="28"/>
          <w:rtl w:val="true"/>
          <w:lang w:bidi="fa-IR"/>
        </w:rPr>
        <w:t>.</w:t>
      </w:r>
      <w:bookmarkStart w:id="374" w:name="pg15502_177197"/>
    </w:p>
    <w:p>
      <w:pPr>
        <w:pStyle w:val="BookText"/>
        <w:rPr/>
      </w:pPr>
      <w:bookmarkEnd w:id="374"/>
      <w:r>
        <w:rPr>
          <w:rFonts w:ascii="IRNazanin" w:hAnsi="IRNazanin" w:eastAsia="IRNazanin"/>
          <w:color w:val="111111"/>
          <w:sz w:val="28"/>
          <w:sz w:val="28"/>
          <w:szCs w:val="28"/>
          <w:rtl w:val="true"/>
          <w:lang w:bidi="fa-IR"/>
        </w:rPr>
        <w:t>اگر به منظور ترسيم انديشه ى اسلامى در مورد معنى اصطلاحى ايمان، بُردارى رسم كنيم، در دو طرف منتهى اليه اين بردار دو عقيده ى انحرافى خوارج و مرجئه قرار دارند و ديگر مذاهب اسلامى در ميانه ى آن قرار مى گيرند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جريان هايى كه در دو سوى بردار قرار دارند، به سبب ناهم خوانى با انديشه ى اسلامى، نتوانستند به حيات خود ادامه دهند و در همان قرون نخستين اسلامى، از ميان رفتند و تنها نامى از آن ها در تاريخ فرق و مذاهب كلامى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متأسفانه در قرن دوازدهم، بار ديگر انديشه ى افراطى خوارج زنده شد و همان گونه كه تعريف خوارج از ايمان، پى آمدهاى ناگوارى را براى جهان اسلام آفريد، در قرون اخير نيز انديشه ى وهابى در حوزه ى ايمان و كفر، چنين شرايطى را براى جامعه ى اسلامى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ابتدا ديدگاه هاى انحرافى صدر اسلام پيرامون تعريف اصطلاحى ايمان تبيين خواهد شد و سپس به تعريف آن از نگاه مذاهب اسلامى خواهيم پرداخت</w:t>
      </w:r>
      <w:r>
        <w:rPr>
          <w:rFonts w:eastAsia="IRNazanin" w:cs="IRNazanin"/>
          <w:color w:val="111111"/>
          <w:sz w:val="28"/>
          <w:szCs w:val="28"/>
          <w:rtl w:val="true"/>
          <w:lang w:bidi="fa-IR"/>
        </w:rPr>
        <w:t>.</w:t>
      </w:r>
    </w:p>
    <w:p>
      <w:pPr>
        <w:pStyle w:val="Heading4"/>
        <w:numPr>
          <w:ilvl w:val="3"/>
          <w:numId w:val="1"/>
        </w:numPr>
        <w:rPr/>
      </w:pPr>
      <w:bookmarkStart w:id="375" w:name="__RefHeading___Toc8089058_2142443653"/>
      <w:bookmarkStart w:id="376" w:name="_Toc143"/>
      <w:bookmarkEnd w:id="375"/>
      <w:r>
        <w:rPr/>
        <w:t>4</w:t>
      </w:r>
      <w:r>
        <w:rPr>
          <w:rtl w:val="true"/>
        </w:rPr>
        <w:t xml:space="preserve"> - </w:t>
      </w:r>
      <w:r>
        <w:rPr>
          <w:rtl w:val="true"/>
        </w:rPr>
        <w:t>خوارج؛ تلازم ايمان و عمل</w:t>
      </w:r>
      <w:bookmarkEnd w:id="37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نخستين جريان انحرافى در جهان اسلام است كه تفسيرى نادرست و ويرانگر از ايمان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در زمان حيات خود، شكل گيرى خوارج را پيش بينى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خارج مى شوند، همان گونه كه تير از كمان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خوارج در ميانه ى جنگ صفين در مسأله ى حكميت راه خود را از اسلام جدا كردند و در آن زمان صرفاً يك گروه سياسى شمرده مى شدند، اما رفته رفته براى توجيه اعمال و رفتار ناهنجارشان، مبانى اعتقادى خاصى را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عقايد متنوع خوارج، آن چه بيش از همه به شكل گيرى انديشه ى اعتقادى خوارج انجاميد و در واكنش به آن نيز مذاهب ديگرى به وجود آمد، قرائت افراطى خوارج از مفهوم ايمان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قرائتى كه از ايمان ارائه كردند، تمامى مسلمانان را كافر شمردند و شايد بتوان آنان را نخستين گروه تكفيرى در جهان اسلام نام نهاد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مبانى اعتقادى خوارج، در دوره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الآولى</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 xml:space="preserve">شكل گرفت كه مهم ترين آن، عقيده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ميان ايمان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خوارج، ايمان داراى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زبانى، تصديق قلبى و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تعريف، اگر كسى به زبان و قلب به خدا ايمان داشته باشد، اما مرتكب گناه شود، ايمان خود را از دست مى دهد و كافر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 تكيه بر اين مبنا، معتقد بودند</w:t>
      </w:r>
      <w:r>
        <w:rPr>
          <w:rFonts w:eastAsia="IRNazanin" w:cs="IRNazanin"/>
          <w:color w:val="111111"/>
          <w:sz w:val="28"/>
          <w:szCs w:val="28"/>
          <w:rtl w:val="true"/>
          <w:lang w:bidi="fa-IR"/>
        </w:rPr>
        <w:t>:</w:t>
      </w:r>
    </w:p>
    <w:p>
      <w:pPr>
        <w:pStyle w:val="BookText"/>
        <w:rPr/>
      </w:pPr>
      <w:r>
        <w:rPr>
          <w:rStyle w:val="FootnoteAnchor"/>
          <w:rtl w:val="true"/>
        </w:rPr>
        <w:footnoteReference w:id="439"/>
      </w:r>
      <w:r>
        <w:rPr>
          <w:rFonts w:ascii="Amiri" w:hAnsi="Amiri" w:eastAsia="Amiri" w:cs="Amiri"/>
          <w:color w:val="111111"/>
          <w:sz w:val="28"/>
          <w:sz w:val="28"/>
          <w:szCs w:val="28"/>
          <w:rtl w:val="true"/>
          <w:lang w:bidi="ar-SA"/>
        </w:rPr>
        <w:t>مخالفانشان علاوه بر كفر، مشرك نيز 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xml:space="preserve">قاعدين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خوارج كه جنگ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سرزمين مخالفان، دار الكفر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كافران واجب القتل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زنان و فرزندان كافران نيز مباح است و كودكانشان، هميشه در آتش خواهند ماند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هر كسى را كه به لشكرشان مى پيوست، مى آزمودند؛ به اين صورت كه اسيرى از مخالفانشان را به وى مى دادند و به او مى گفتند او را بكشد؛ اگر مى كشت، او را تصديق مى كردند؛ اما اگر خوددارى مى كرد، او را منافق و مشرك مى شمردند و مى كشتند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آنان اميرالمؤمنين على عليه السلام را به شهادت رساندند؛ با اين توجيه كه وى به دليل پذيرفتن حكميت كافر شده است و بايد كشته شود</w:t>
      </w:r>
      <w:r>
        <w:rPr>
          <w:rFonts w:eastAsia="IRNazanin" w:cs="IRNazanin"/>
          <w:color w:val="111111"/>
          <w:sz w:val="28"/>
          <w:szCs w:val="28"/>
          <w:rtl w:val="true"/>
          <w:lang w:bidi="fa-IR"/>
        </w:rPr>
        <w:t>.</w:t>
      </w:r>
      <w:r>
        <w:rPr>
          <w:rStyle w:val="FootnoteAnchor"/>
          <w:rtl w:val="true"/>
        </w:rPr>
        <w:footnoteReference w:id="44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عقايدى سبب شد كه خون، مال و ناموس مسلمانان لگدمال اين گروه شود و تمامى سرزمين هاى اسلامى از نگاه آنان كفرستان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آنان به ظواهر اسلام مقيد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 ها قائم بالليل و صائم بالنهار بودند؛ اما چنان كه پيامبر گرامى اسلام صلى الله عليه و آله پيش بينى كرده بود، با موضعى كه درباره ى مفهوم ايمان گرفتند، از دين خارج شدند و امروز به جز نامى از آن ها باقى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در ظاهر منتسب به خوارجند، عقايدى كاملاً متفاوت با خوارج نخستين دارند</w:t>
      </w:r>
      <w:r>
        <w:rPr>
          <w:rFonts w:eastAsia="IRNazanin" w:cs="IRNazanin"/>
          <w:color w:val="111111"/>
          <w:sz w:val="28"/>
          <w:szCs w:val="28"/>
          <w:rtl w:val="true"/>
          <w:lang w:bidi="fa-IR"/>
        </w:rPr>
        <w:t>.</w:t>
      </w:r>
      <w:bookmarkStart w:id="377" w:name="pg15502_177204"/>
    </w:p>
    <w:p>
      <w:pPr>
        <w:pStyle w:val="BookText"/>
        <w:rPr/>
      </w:pPr>
      <w:bookmarkEnd w:id="377"/>
      <w:r>
        <w:rPr>
          <w:rFonts w:ascii="IRNazanin" w:hAnsi="IRNazanin" w:eastAsia="IRNazanin"/>
          <w:color w:val="111111"/>
          <w:sz w:val="28"/>
          <w:sz w:val="28"/>
          <w:szCs w:val="28"/>
          <w:rtl w:val="true"/>
          <w:lang w:bidi="fa-IR"/>
        </w:rPr>
        <w:t>قرائت خوارج از مفهوم ايمان، نه تنها در حوزه ى عمل ويرانى هاى بسيارى را به وجود آورد، بلكه در واكنش به اين نظريه، ديدگاه مرجئه شكل گرفت كه در نقطه ى مقابل انديشه ى خوارج قرار داشت و توسط امويان به شدت ترويج شد</w:t>
      </w:r>
      <w:r>
        <w:rPr>
          <w:rFonts w:eastAsia="IRNazanin" w:cs="IRNazanin"/>
          <w:color w:val="111111"/>
          <w:sz w:val="28"/>
          <w:szCs w:val="28"/>
          <w:rtl w:val="true"/>
          <w:lang w:bidi="fa-IR"/>
        </w:rPr>
        <w:t>.</w:t>
      </w:r>
    </w:p>
    <w:p>
      <w:pPr>
        <w:pStyle w:val="Heading4"/>
        <w:numPr>
          <w:ilvl w:val="3"/>
          <w:numId w:val="1"/>
        </w:numPr>
        <w:rPr/>
      </w:pPr>
      <w:bookmarkStart w:id="378" w:name="__RefHeading___Toc8089060_2142443653"/>
      <w:bookmarkStart w:id="379" w:name="_Toc144"/>
      <w:bookmarkEnd w:id="378"/>
      <w:r>
        <w:rPr/>
        <w:t>5</w:t>
      </w:r>
      <w:r>
        <w:rPr>
          <w:rtl w:val="true"/>
        </w:rPr>
        <w:t xml:space="preserve"> - </w:t>
      </w:r>
      <w:r>
        <w:rPr>
          <w:rtl w:val="true"/>
        </w:rPr>
        <w:t>مرجئه؛ ايمان بدون عمل</w:t>
      </w:r>
      <w:bookmarkEnd w:id="37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افراطگرى هاى خوارج زمينه را براى انديشه ى ديگرى به نام مرجئه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و اميد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مرجئه معتقد بودند كه عمل، متأخر از ايمان است و به همين سبب، هيچ ربطى به ايمان ندارد؛ ازسوى ديگر، مؤمنان مورد نظر خود را اميد مى دادند كه در صورت انجام گناهان، حتى گناهان كبيره، خداوند آن ها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ايمان را صرفاً تصديق زبانى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گرامى اسلام صلى الله عليه و آله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توسط هفتاد پيامبر نفرين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مرجئه چه كسانى اند؟ پيامبر گرامى اسلام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گويند ايمان تنها كلام است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در اين ميان، بنى اميه كوشيدند قرائتى جبرگرايانه از انديشه ى ارجاء ارائه دهند كه در نتيجه ى آن، نه تنها انسان با انجام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بسيار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ايمان خارج نمى شود، بلكه انجام افعال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خداوند انجام مى شود و انسان در انجام اين امور، مجبور است</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بنى اميه بدين ترتيب، اعمال بد خود را توجيه مى كردند</w:t>
      </w:r>
      <w:r>
        <w:rPr>
          <w:rFonts w:eastAsia="Amiri" w:cs="Amiri" w:ascii="Amiri" w:hAnsi="Amiri"/>
          <w:color w:val="111111"/>
          <w:sz w:val="28"/>
          <w:szCs w:val="28"/>
          <w:rtl w:val="true"/>
          <w:lang w:bidi="ar-SA"/>
        </w:rPr>
        <w:t>.</w:t>
      </w:r>
      <w:bookmarkStart w:id="380" w:name="pg15502_177206"/>
    </w:p>
    <w:p>
      <w:pPr>
        <w:pStyle w:val="BookText"/>
        <w:rPr/>
      </w:pPr>
      <w:bookmarkEnd w:id="380"/>
      <w:r>
        <w:rPr>
          <w:rFonts w:ascii="Amiri" w:hAnsi="Amiri" w:eastAsia="Amiri" w:cs="Amiri"/>
          <w:color w:val="111111"/>
          <w:sz w:val="28"/>
          <w:sz w:val="28"/>
          <w:szCs w:val="28"/>
          <w:rtl w:val="true"/>
          <w:lang w:bidi="ar-SA"/>
        </w:rPr>
        <w:t>اين عقيده در نقطه ى مقابل انديشه ى خوارج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انديشه نيز مانند انديشه ى خوارج، به سبب ناهم خوانى با انديشه ى اسلامى نتوانست به بقاى خود ادامه دهد و در سده هاى بعد، تنها نامى از آن در منابع تاريخى بر جاى ماند</w:t>
      </w:r>
      <w:r>
        <w:rPr>
          <w:rFonts w:eastAsia="Amiri" w:cs="Amiri" w:ascii="Amiri" w:hAnsi="Amiri"/>
          <w:color w:val="111111"/>
          <w:sz w:val="28"/>
          <w:szCs w:val="28"/>
          <w:rtl w:val="true"/>
          <w:lang w:bidi="ar-SA"/>
        </w:rPr>
        <w:t>.</w:t>
      </w:r>
      <w:r>
        <w:rPr>
          <w:rStyle w:val="FootnoteAnchor"/>
          <w:rtl w:val="true"/>
        </w:rPr>
        <w:footnoteReference w:id="448"/>
      </w:r>
    </w:p>
    <w:p>
      <w:pPr>
        <w:pStyle w:val="Heading4"/>
        <w:numPr>
          <w:ilvl w:val="3"/>
          <w:numId w:val="1"/>
        </w:numPr>
        <w:rPr/>
      </w:pPr>
      <w:bookmarkStart w:id="381" w:name="__RefHeading___Toc8089062_2142443653"/>
      <w:bookmarkStart w:id="382" w:name="_Toc145"/>
      <w:bookmarkEnd w:id="381"/>
      <w:r>
        <w:rPr/>
        <w:t>6</w:t>
      </w:r>
      <w:r>
        <w:rPr>
          <w:rtl w:val="true"/>
        </w:rPr>
        <w:t xml:space="preserve"> - </w:t>
      </w:r>
      <w:r>
        <w:rPr>
          <w:rtl w:val="true"/>
        </w:rPr>
        <w:t>معتزله؛ منزلة بين المنزلتين</w:t>
      </w:r>
      <w:bookmarkEnd w:id="382"/>
    </w:p>
    <w:p>
      <w:pPr>
        <w:pStyle w:val="BookText"/>
        <w:rPr/>
      </w:pPr>
      <w:r>
        <w:rPr>
          <w:rFonts w:ascii="IRNazanin" w:hAnsi="IRNazanin" w:eastAsia="IRNazanin"/>
          <w:color w:val="111111"/>
          <w:sz w:val="28"/>
          <w:sz w:val="28"/>
          <w:szCs w:val="28"/>
          <w:rtl w:val="true"/>
          <w:lang w:bidi="fa-IR"/>
        </w:rPr>
        <w:t>معتزله، عقل گرايان جهان اسلام بودند كه گروه هايى از آن ها در استفاده از عقل، افراط كردند و كوشيدند براى همه ى مسائل دينى، توجيه عقلانى ارائه كنند؛ اما با توجه به محدوديت هاى عقل در فهم بسيارى از مسائل غيرمادى، به بى 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ديدگاه هاى متنوعى داشتند؛ اما در معنى اصطلاحى ايمان، براى فرار از افراط خوارج و تفريط مرجئه، نظريه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ابداع كردند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شهرستانى، اختلاف نظر حسن بصرى و واصل بن عطا درباره ى مفهوم ايمان و كفر، زمينه ى به وجود آمدن انديشه ى اعتزال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مجلس درس حسن بصرى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جماعتى پيدا شده اند كه مرتكب كبيره را كافر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ديگر معتقدند كه گناه به ايمان آسيبى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ى تو دراين باره چيست‌؟ حسن در انديشه فرو رفت؛ اما پيش از آن كه لب به سخن بگشايد، يكى از شاگردان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مرتكب كبيره نه مؤمن است و نه كافر؛ بلكه جايگاه او ميان كفر و ايمان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نخستين عقيده ى مكتب اعتزال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گاه به كنار يكى از ستون هاى مسجد رفت و به توضيح عقيده ى خويش</w:t>
      </w:r>
    </w:p>
    <w:p>
      <w:pPr>
        <w:pStyle w:val="BookText"/>
        <w:rPr/>
      </w:pPr>
      <w:r>
        <w:rPr>
          <w:rFonts w:ascii="IRNazanin" w:hAnsi="IRNazanin" w:eastAsia="IRNazanin"/>
          <w:color w:val="111111"/>
          <w:sz w:val="28"/>
          <w:sz w:val="28"/>
          <w:szCs w:val="28"/>
          <w:rtl w:val="true"/>
          <w:lang w:bidi="fa-IR"/>
        </w:rPr>
        <w:t>پرداخت و در پى آن، حسن بصرى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 عنّا 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از ما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واصل و پيروانش به معتزله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نظريه، كسى كه به زبان و قلب، مصدِّق است، اگر مرتكب كبيره شود، نه مؤمن است و نه كافر؛ بلكه مرحله اى ميان ايمان و كفر وجود دارد كه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فاسق نيز خلود در آتش است؛ بدين معنى كه فاسق هميشه در آتش خواهد ماند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البته احكام دنيايى كافر، شامل فاسق نمى شود و ازسويى، عذابش هرچند بسيار شديد است و هميشه در آتش خواهد ماند، اما از عذاب كافر كم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ديدگاه معتزله، آنان را از خوارج جدا مى كند؛ زيرا خوارج مرتكب كبيره را كافر مى دانستند و خون او را مباح مى شمردند؛ اما معتزله چنين اعتقادى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داراى عقايد ديگرى در زمينه ى توحيد، وعد و وعيد، امر به معروف و نهى از منكر، و عدل نيز بودند كه در جاى خود آمده است</w:t>
      </w:r>
      <w:r>
        <w:rPr>
          <w:rFonts w:eastAsia="IRNazanin" w:cs="IRNazanin"/>
          <w:color w:val="111111"/>
          <w:sz w:val="28"/>
          <w:szCs w:val="28"/>
          <w:rtl w:val="true"/>
          <w:lang w:bidi="fa-IR"/>
        </w:rPr>
        <w:t>.</w:t>
      </w:r>
      <w:r>
        <w:rPr>
          <w:rStyle w:val="FootnoteAnchor"/>
          <w:rtl w:val="true"/>
        </w:rPr>
        <w:footnoteReference w:id="45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گفته شد، نظريه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واكنش به ديدگاه هاى خوارج و مرجئه به وجود آمد؛ اما در منابع اسلامى، هيچ دليلى بر اين مدعا وجود ندارد و تنها ناشى از تراوش هاى عقلانى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قرآن، يا مؤمن است يا كافر؛ اما فسق از صفاتى است كه به سبب گناه، بر مؤمن عارض مى شود</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معتزليان و انديشه ى</w:t>
      </w:r>
      <w:bookmarkStart w:id="383" w:name="pg15502_177210"/>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دوره هاى بعدى اسلام، چندان دوام نياورد و ردپاى آن صرفاً در كتاب هاى تاريخى باقى ماند</w:t>
      </w:r>
      <w:r>
        <w:rPr>
          <w:rFonts w:eastAsia="IRNazanin" w:cs="IRNazanin"/>
          <w:color w:val="111111"/>
          <w:sz w:val="28"/>
          <w:szCs w:val="28"/>
          <w:rtl w:val="true"/>
          <w:lang w:bidi="fa-IR"/>
        </w:rPr>
        <w:t>.</w:t>
      </w:r>
    </w:p>
    <w:p>
      <w:pPr>
        <w:pStyle w:val="Heading4"/>
        <w:numPr>
          <w:ilvl w:val="3"/>
          <w:numId w:val="1"/>
        </w:numPr>
        <w:rPr/>
      </w:pPr>
      <w:bookmarkStart w:id="384" w:name="__RefHeading___Toc8089064_2142443653"/>
      <w:bookmarkStart w:id="385" w:name="_Toc146"/>
      <w:bookmarkEnd w:id="384"/>
      <w:r>
        <w:rPr/>
        <w:t>7</w:t>
      </w:r>
      <w:r>
        <w:rPr>
          <w:rtl w:val="true"/>
        </w:rPr>
        <w:t xml:space="preserve"> - </w:t>
      </w:r>
      <w:r>
        <w:rPr>
          <w:rtl w:val="true"/>
        </w:rPr>
        <w:t>ايمان در انديشه ى اسلامى</w:t>
      </w:r>
      <w:bookmarkEnd w:id="385"/>
    </w:p>
    <w:p>
      <w:pPr>
        <w:pStyle w:val="BookText"/>
        <w:rPr/>
      </w:pPr>
      <w:r>
        <w:rPr>
          <w:rFonts w:ascii="IRNazanin" w:hAnsi="IRNazanin" w:eastAsia="IRNazanin"/>
          <w:color w:val="111111"/>
          <w:sz w:val="28"/>
          <w:sz w:val="28"/>
          <w:szCs w:val="28"/>
          <w:rtl w:val="true"/>
          <w:lang w:bidi="fa-IR"/>
        </w:rPr>
        <w:t>درحالى كه مهم ترين انحراف در معنى اصطلاحى ايمان، ريشه در چه گونگى ارتباط ميان ايمان و عمل دارد، بيش تر انديشمندان اسلامى، اعم از شيعه و سنى، بر اين عقيده اند كه نه ميان ايمان و عمل تلازم وجود دارد و نه كلاً عمل از ايمان متأخر و جداست؛ بلكه معنى اصطلاحى ايمان، همان تصديق به زبان و قلب است؛ و گناه، فرد را از ايمان خارج نمى كند، بلكه موجب فسق او مى شود؛ نه به اين معنى كه مرتبه ى ديگرى غير از مرحله ى ايمان و كفر وجود داشته باشد، بلكه فسق دامن گير مؤمن مى شود و تا وقتى عملى كه مستلزم كفر باشد انجام ندهد، مؤمن است؛ اما مؤمنِ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جزء معنى اصطلاحى ايمان نيست و خارج از معنى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زير كاملاً به اين مسأله اشاره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مِنَ اَلصّٰالِحٰاتِ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اعمالش نيكوست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دارد، از هيچ ستم و آسيبى بيمناك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ى شريفه، بيان مى كند كه ايمان غير از عمل است؛ چراكه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ايمان دارد و اعمالش نيكوست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مى توان كسى را تصور كرد كه ايمان دارد، اما اعمالش نيكو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زير نيز اشاره به همين معناست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آوردند و اعمال صالح انجام دادند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طايفه از اهل ايمان با هم به قتال و دشمنى برخيزند، البته شما مؤمنان بين آن ها صلح برقرار داريد و اگر يك قوم بر ديگرى ظلم كرد، با آن طايفه ى ظالم قتال كنيد تا به فرمان خدا بازآيد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ى شريفه بيان مى كند كه حتى جنگ نيز موجب خروج يك گروه يا فرد از ايمان نمى شود؛ چون خداوند نه تنها هنگام جنگ دو طايفه با يك ديگر، هر دو را مؤمن مى شمارد، بلكه در ادامه ى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يكى از آن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ديگرى ستم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شك ستم كردن و بغى، يكى از گناهان بزرگ است؛ اما خداوند اين طايفه را از دايره ى ايمان خارج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تقواى الهى را پيشه كنيد و از راستگويان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ى شريفه، كسانى را كه ايمان دارند، به تقوا كه همان انجام واجبات و ترك محرمات است، توصيه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با عدم تقوا نيز جمع شدنى است؛ اما اگر عمل از اجزاى ايمان بود، بيان و توصيه ى خداوند به مؤمنان به تقوا، بيهوده بود؛ زيرا در اين صورت، خود آن ها تقواى الهى داشته اند كه مؤمن شده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نيز به اين نكته كاملاً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بخارى، هنگامى كه اميرالمؤمنين على عليه السلام مأمور فتح خيبر شد، پيامبر گرامى اسلام صلى الله عليه و آله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چيزى توجه نكن كه خداوند به وسيله ى تو دژهاى خيبر را فتح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با آن ها مبارزه كنم‌؟ پيامبر گرامى اسلام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مبارزه كن تا هنگامى كه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كردند، ديگر خون و اموال آن ها بر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حق و حسابى نسبت به خدا بر گردن آن هاست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شافعى نيز از ابوهريره حديثى نقل مى كند كه پيامبر گرامى اسلام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مى جنگم تا هنگامى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چنين گفتند، خون و مالشان از طرف من محترم است؛ جز آن چه از جانب خدا بر گردن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ى شافعى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مى دانست كه بنا به فرمان خدا تا هنگامى بايد با مشركان مبارزه كند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اگر چنين كردند، خون و مالشان محترم است و فقط حقوق خداوند را بايد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حقوق خدا، احكام و مسائلى است كه خداوند براى آن ها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تا چه اندازه در گفته ى خود صادق يا كاذب هستند و در قلب آنان چه مى گذرد، تنها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قلوب آنان آگاه است و او متولى امور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به همين ترتيب با مردم عمل كرد؛ يعنى بر مبناى آن چه آنان در ظاهر عمل مى كردند و خداوند تنها به امور باطنى آگاه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در منابع شيعى نيز روايات زيادى در اين زمينه ديده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ترين اندازه ى ايمان چيست‌؟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به يكتايى خداوند و رسالت پيامبر گرامى اسلام صلى الله عليه و آله شهادت بدهد و اقرار به اطاعت كند و امام زمان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باشد، مؤمن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اميرالمؤمنين على عليه السلام در مناظره با خوارج كه مرتكب كبيره را كافر مى دانستند، با استناد به عمل پيامبر گرامى اسلام صلى الله عليه و آله كه با مرتكبان كبيره همانند مؤمنان عمل مى كردند،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دانستيد كه پيامبر گرامى اسلام صلى الله عليه و آله زناكار محصنه را سنگسار مى كرد؛ اما سپس بر او نماز مى گذارد و خانواده اش از او ارث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قاتل را قصاص مى كرد؛ اما پس از آن، خانواده اش از وى ارث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w:t>
      </w:r>
    </w:p>
    <w:p>
      <w:pPr>
        <w:pStyle w:val="BookText"/>
        <w:rPr/>
      </w:pPr>
      <w:r>
        <w:rPr>
          <w:rFonts w:ascii="IRNazanin" w:hAnsi="IRNazanin" w:eastAsia="IRNazanin"/>
          <w:color w:val="111111"/>
          <w:sz w:val="28"/>
          <w:sz w:val="28"/>
          <w:szCs w:val="28"/>
          <w:rtl w:val="true"/>
          <w:lang w:bidi="fa-IR"/>
        </w:rPr>
        <w:t>اسلام صلى الله عليه و آله دست دزد را قطع مى كرد؛ بر زناكار حد جارى مى كرد؛ اما سپس سهم آنان را از بيت المال ادا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با توجه به گناهشان آنان را مجازات، و حقوق الهى را بر آن ها جارى مى كرد؛ اما آنان را از اسلام خارج نمى نمود و نام آن ها را از ميان اهلش پاك نمى كرد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به سبب اين آيات و روايات، مى بينيم كه بسيارى از علماى شيعه نيز ايمان را اقرار به زبان و تصديق به قلب معنى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نصير معتقد است كه ايمان، تصديق به قلب و زبان است و تصديق به قلب به تنهايى كفايت نمى كند؛ زيرا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پيش نفس خود به يقين دانستند كه آن ها معجزه ى خداست، باز از كبر و نخوت و ستمگرى آن را انكاركردند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اصطلاح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نيز كفايت نمى كند؛ زيرا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منّت گذارده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جنگ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ايمانتان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وارد نشده است، به حقيقت هنوز ايمان نياورده ايد؛ ليكن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اسلام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خوف جان به ناچار تسليم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در شرح كلام خواجه، اين نظر را تأييد كرده است</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فاضل مقداد نيز چنين عقيده اى دارد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مرحوم مجلسى در بحار مى گويد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عبارت است از تسليم خداوند بودن و تصديق به آن چه نبى آورده است، به زبان و قلب</w:t>
      </w:r>
      <w:r>
        <w:rPr>
          <w:rFonts w:eastAsia="IRNazanin" w:cs="IRNazanin"/>
          <w:color w:val="111111"/>
          <w:sz w:val="28"/>
          <w:szCs w:val="28"/>
          <w:rtl w:val="true"/>
          <w:lang w:bidi="fa-IR"/>
        </w:rPr>
        <w:t>».</w:t>
      </w:r>
      <w:r>
        <w:rPr>
          <w:rStyle w:val="FootnoteAnchor"/>
          <w:rtl w:val="true"/>
        </w:rPr>
        <w:footnoteReference w:id="459"/>
      </w:r>
      <w:bookmarkStart w:id="386" w:name="pg15502_177219"/>
    </w:p>
    <w:p>
      <w:pPr>
        <w:pStyle w:val="Heading4"/>
        <w:numPr>
          <w:ilvl w:val="3"/>
          <w:numId w:val="1"/>
        </w:numPr>
        <w:rPr/>
      </w:pPr>
      <w:bookmarkStart w:id="387" w:name="__RefHeading___Toc8089066_2142443653"/>
      <w:bookmarkStart w:id="388" w:name="_Toc147"/>
      <w:bookmarkEnd w:id="386"/>
      <w:bookmarkEnd w:id="387"/>
      <w:r>
        <w:rPr/>
        <w:t>8</w:t>
      </w:r>
      <w:r>
        <w:rPr>
          <w:rtl w:val="true"/>
        </w:rPr>
        <w:t xml:space="preserve"> - </w:t>
      </w:r>
      <w:r>
        <w:rPr>
          <w:rtl w:val="true"/>
        </w:rPr>
        <w:t>فِرق كلامى اهل سنت و مفهوم ايمان</w:t>
      </w:r>
      <w:bookmarkEnd w:id="388"/>
    </w:p>
    <w:p>
      <w:pPr>
        <w:pStyle w:val="Heading5"/>
        <w:numPr>
          <w:ilvl w:val="4"/>
          <w:numId w:val="1"/>
        </w:numPr>
        <w:rPr/>
      </w:pPr>
      <w:bookmarkStart w:id="389" w:name="__RefHeading___Toc8089068_2142443653"/>
      <w:bookmarkStart w:id="390" w:name="_Toc148"/>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با توجه به آن چه بيان شد، بيش تر مذاهب اسلامى بر اين عقيده اند كه عمل جزء ايمان نيست و از صفات كمال</w:t>
      </w:r>
      <w:r>
        <w:rPr>
          <w:rStyle w:val="FootnoteAnchor"/>
          <w:rtl w:val="true"/>
        </w:rPr>
        <w:footnoteReference w:id="460"/>
      </w:r>
      <w:r>
        <w:rPr>
          <w:rFonts w:ascii="Amiri" w:hAnsi="Amiri" w:eastAsia="Amiri" w:cs="Amiri"/>
          <w:color w:val="111111"/>
          <w:sz w:val="28"/>
          <w:sz w:val="28"/>
          <w:szCs w:val="28"/>
          <w:rtl w:val="true"/>
          <w:lang w:bidi="ar-SA"/>
        </w:rPr>
        <w:t>و يا فروع ايمان</w:t>
      </w:r>
      <w:r>
        <w:rPr>
          <w:rStyle w:val="FootnoteAnchor"/>
          <w:rtl w:val="true"/>
        </w:rPr>
        <w:footnoteReference w:id="461"/>
      </w:r>
      <w:r>
        <w:rPr>
          <w:rFonts w:ascii="IRNazanin" w:hAnsi="IRNazanin" w:eastAsia="IRNazanin"/>
          <w:color w:val="111111"/>
          <w:sz w:val="28"/>
          <w:sz w:val="28"/>
          <w:szCs w:val="28"/>
          <w:rtl w:val="true"/>
          <w:lang w:bidi="fa-IR"/>
        </w:rPr>
        <w:t>شمرده مى شود</w:t>
      </w:r>
      <w:r>
        <w:rPr>
          <w:rFonts w:eastAsia="IRNazanin" w:cs="IRNazanin"/>
          <w:color w:val="111111"/>
          <w:sz w:val="28"/>
          <w:szCs w:val="28"/>
          <w:rtl w:val="true"/>
          <w:lang w:bidi="fa-IR"/>
        </w:rPr>
        <w:t>.</w:t>
      </w:r>
    </w:p>
    <w:p>
      <w:pPr>
        <w:pStyle w:val="Heading5"/>
        <w:numPr>
          <w:ilvl w:val="4"/>
          <w:numId w:val="1"/>
        </w:numPr>
        <w:rPr/>
      </w:pPr>
      <w:bookmarkStart w:id="391" w:name="__RefHeading___Toc8089070_2142443653"/>
      <w:bookmarkStart w:id="392" w:name="_Toc149"/>
      <w:bookmarkEnd w:id="391"/>
      <w:r>
        <w:rPr/>
        <w:t>1</w:t>
      </w:r>
      <w:r>
        <w:rPr>
          <w:rtl w:val="true"/>
        </w:rPr>
        <w:t>‏-‏</w:t>
      </w:r>
      <w:r>
        <w:rPr/>
        <w:t>8</w:t>
      </w:r>
      <w:r>
        <w:rPr>
          <w:rtl w:val="true"/>
        </w:rPr>
        <w:t xml:space="preserve"> - </w:t>
      </w:r>
      <w:r>
        <w:rPr>
          <w:rtl w:val="true"/>
        </w:rPr>
        <w:t>اشاعره</w:t>
      </w:r>
      <w:bookmarkEnd w:id="392"/>
    </w:p>
    <w:p>
      <w:pPr>
        <w:pStyle w:val="BookText"/>
        <w:rPr/>
      </w:pPr>
      <w:r>
        <w:rPr>
          <w:rFonts w:ascii="IRNazanin" w:hAnsi="IRNazanin" w:eastAsia="IRNazanin"/>
          <w:color w:val="111111"/>
          <w:sz w:val="28"/>
          <w:sz w:val="28"/>
          <w:szCs w:val="28"/>
          <w:rtl w:val="true"/>
          <w:lang w:bidi="fa-IR"/>
        </w:rPr>
        <w:t xml:space="preserve">اشاعره به پى روى از رهبر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بالجنان</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معنى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معنى اصطلاحى ايمان، بيش تر به همان معنى لغوى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اشعرى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در نزد شما چيست،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تصديق خداوند است و تمامى اهل لغتى كه قرآن به آن زبان نازل شده است، بر اين معنى اجماع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عذاب قبر و شفاعت ايمان دارد، مراد اين است كه اين امور را تصديق مى كند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شهرستانى كه خود بر مكتب اشعرى است، در ترسيم عقيده ى اشعرى مى گويد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اشعرى معتقد است، ايمان تصديق به قلب است؛</w:t>
      </w:r>
      <w:r>
        <w:rPr>
          <w:rStyle w:val="FootnoteAnchor"/>
          <w:rtl w:val="true"/>
        </w:rPr>
        <w:footnoteReference w:id="464"/>
      </w:r>
      <w:r>
        <w:rPr>
          <w:rFonts w:ascii="IRNazanin" w:hAnsi="IRNazanin" w:eastAsia="IRNazanin"/>
          <w:color w:val="111111"/>
          <w:sz w:val="28"/>
          <w:sz w:val="28"/>
          <w:szCs w:val="28"/>
          <w:rtl w:val="true"/>
          <w:lang w:bidi="fa-IR"/>
        </w:rPr>
        <w:t>اما گفتن به زبان و عمل به اركان، از فروع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قلباً به توحيد خداوند اقرار كند و با قلب، رسالت پيامبران را تصديق نمايد، ايمانش درست است و اگر بر اين حال از دنيا برود، باايمان از دنيا رفته است و از ايمان خارج نمى شود، مگر با انكار يكى از اين موارد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چنان كه مى بينيم، اشعرى در تعريف ايمان، صرفاً تصديق به قلب را بيان مى كند و اقرار به زبان را ذكر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انتقاد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مى گفت كه ايمان، تصديق به قلب است و اين اعتقاد انسانى است كه در آن چه به آن ايمان دارد، صداقت دارد؛ اما اگر اقرار به زبان بدون تصديق قلبى باشد، ايمان نيست و به همين سبب، به منافق، مؤمن گفته نمى شود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باقلانى از عالمان بزرگ اشعرى نيز در تعريف ايمان كه به نوعى پاسخ به پرسش بالاست،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ايمان، تصديق است و محل تصديق،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در قلب تصديق كند كه خداوند واحد است، پيامبر حق است و تمامى آن چه پيامبر آورده، حق است؛ و آن چه بر زبان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اقرار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توسط اعضاى بدن انجام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عمل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آيينه ى چيزى است كه در قلب وجود دارد و دليل آن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در قرآن مجيد نيز آياتى وجود دارد كه محل ايمان را قلب معرفى مى كنند؛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منّت گذارده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جنگ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ايمانتان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وارد نشده است، به حقيقت هنوز ايمان نياورده ايد؛ ليكن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اسلام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خوف جان به ناچار تسليم شديم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ايمان در قلبشان استوار گرديده است</w:t>
      </w:r>
      <w:r>
        <w:rPr>
          <w:rFonts w:eastAsia="IRNazanin" w:cs="IRNazanin"/>
          <w:color w:val="111111"/>
          <w:sz w:val="28"/>
          <w:szCs w:val="28"/>
          <w:rtl w:val="true"/>
          <w:lang w:bidi="fa-IR"/>
        </w:rPr>
        <w:t>».</w:t>
      </w:r>
      <w:bookmarkStart w:id="393" w:name="pg15502_177223"/>
    </w:p>
    <w:p>
      <w:pPr>
        <w:pStyle w:val="BookText"/>
        <w:rPr/>
      </w:pPr>
      <w:bookmarkEnd w:id="393"/>
      <w:r>
        <w:rPr>
          <w:rFonts w:ascii="IRNazanin" w:hAnsi="IRNazanin" w:eastAsia="IRNazanin"/>
          <w:color w:val="111111"/>
          <w:sz w:val="28"/>
          <w:sz w:val="28"/>
          <w:szCs w:val="28"/>
          <w:rtl w:val="true"/>
          <w:lang w:bidi="fa-IR"/>
        </w:rPr>
        <w:t>البته هرچند كسى كه در قلب خود ايمان دارد، معمولاً به زبان نيز اقرار مى كند، اما همان گونه كه از قول خواجه نقل شد، گاه تصديق به قلب وجود دارد، اما اقرار به زبان نيست؛ زيرا ممكن است برخى به سبب لجاجت و عناد، از اقرار به ايمان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معمولاً در تعريف ايمان، تصديق به قلب و اقرار به زبان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نيز مسلماً اقرار به زبان را قبول داشته است، اما چنان كه باقلانى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 ايمان باشد و صداقت در آن وجود داشته باشد، ناگزير زبان و جوارح انسان آن را تصديق خواهند كرد</w:t>
      </w:r>
      <w:r>
        <w:rPr>
          <w:rFonts w:eastAsia="IRNazanin" w:cs="IRNazanin"/>
          <w:color w:val="111111"/>
          <w:sz w:val="28"/>
          <w:szCs w:val="28"/>
          <w:rtl w:val="true"/>
          <w:lang w:bidi="fa-IR"/>
        </w:rPr>
        <w:t>.</w:t>
      </w:r>
    </w:p>
    <w:p>
      <w:pPr>
        <w:pStyle w:val="Heading5"/>
        <w:numPr>
          <w:ilvl w:val="4"/>
          <w:numId w:val="1"/>
        </w:numPr>
        <w:rPr/>
      </w:pPr>
      <w:bookmarkStart w:id="394" w:name="__RefHeading___Toc8089072_2142443653"/>
      <w:bookmarkStart w:id="395" w:name="_Toc150"/>
      <w:bookmarkEnd w:id="394"/>
      <w:r>
        <w:rPr/>
        <w:t>2</w:t>
      </w:r>
      <w:r>
        <w:rPr>
          <w:rtl w:val="true"/>
        </w:rPr>
        <w:t>‏-‏</w:t>
      </w:r>
      <w:r>
        <w:rPr/>
        <w:t>8</w:t>
      </w:r>
      <w:r>
        <w:rPr>
          <w:rtl w:val="true"/>
        </w:rPr>
        <w:t xml:space="preserve"> - </w:t>
      </w:r>
      <w:r>
        <w:rPr>
          <w:rtl w:val="true"/>
        </w:rPr>
        <w:t>ماتريديه</w:t>
      </w:r>
      <w:bookmarkEnd w:id="39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ابومنصور ماتريدى، يكى ديگر از رهبران كلامى اهل سنت، ايمان را تصديق قلبى معنى مى كند و برخى از ماتريديان نيز ايمان را به اقرار به زبان و تصديق به قلب معنى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ماتريدى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به تفصيل به ابطال نظريه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فقط اقرار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و سپس دلايلى را براى اثبات نظريه 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تصديق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 كند كه برخى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لغوى ايمان همان تصديق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ايمان، كفر است و كفر نيز به معنى تكذيب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اصطلاحى ايمان، تصديق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ميان ايمان و اعمال فرق گذاشته است؛ چنان كه در آيات پيشين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مؤمنان ابتدا با واژه ى ايمان خطاب كرده و سپس آنان را به انجام اعمال دستورداده است و اين دلالت بر جدايى ايمان از عمل دارد و</w:t>
      </w:r>
      <w:r>
        <w:rPr>
          <w:rFonts w:eastAsia="IRNazanin" w:cs="IRNazanin"/>
          <w:color w:val="111111"/>
          <w:sz w:val="28"/>
          <w:szCs w:val="28"/>
          <w:rtl w:val="true"/>
          <w:lang w:bidi="fa-IR"/>
        </w:rPr>
        <w:t>...</w:t>
      </w:r>
      <w:r>
        <w:rPr>
          <w:rStyle w:val="FootnoteAnchor"/>
          <w:rtl w:val="true"/>
        </w:rPr>
        <w:footnoteReference w:id="468"/>
      </w:r>
      <w:bookmarkStart w:id="396" w:name="pg15502_177225"/>
    </w:p>
    <w:p>
      <w:pPr>
        <w:pStyle w:val="Heading5"/>
        <w:numPr>
          <w:ilvl w:val="4"/>
          <w:numId w:val="1"/>
        </w:numPr>
        <w:rPr/>
      </w:pPr>
      <w:bookmarkStart w:id="397" w:name="__RefHeading___Toc8089074_2142443653"/>
      <w:bookmarkStart w:id="398" w:name="_Toc151"/>
      <w:bookmarkEnd w:id="396"/>
      <w:bookmarkEnd w:id="397"/>
      <w:r>
        <w:rPr/>
        <w:t>3</w:t>
      </w:r>
      <w:r>
        <w:rPr>
          <w:rtl w:val="true"/>
        </w:rPr>
        <w:t>‏-‏</w:t>
      </w:r>
      <w:r>
        <w:rPr/>
        <w:t>8</w:t>
      </w:r>
      <w:r>
        <w:rPr>
          <w:rtl w:val="true"/>
        </w:rPr>
        <w:t xml:space="preserve"> - </w:t>
      </w:r>
      <w:r>
        <w:rPr>
          <w:rtl w:val="true"/>
        </w:rPr>
        <w:t>طحاويه</w:t>
      </w:r>
      <w:bookmarkEnd w:id="398"/>
    </w:p>
    <w:p>
      <w:pPr>
        <w:pStyle w:val="BookText"/>
        <w:rPr/>
      </w:pPr>
      <w:r>
        <w:rPr>
          <w:rFonts w:ascii="IRNazanin" w:hAnsi="IRNazanin" w:eastAsia="IRNazanin"/>
          <w:color w:val="111111"/>
          <w:sz w:val="28"/>
          <w:sz w:val="28"/>
          <w:szCs w:val="28"/>
          <w:rtl w:val="true"/>
          <w:lang w:bidi="fa-IR"/>
        </w:rPr>
        <w:t xml:space="preserve">ابوجعفر طحاوى يكى ديگر از رهبران كلامى اهل سنت است و بر كتاب وى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ى طحاويه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هاى بسيارى نوشته شده و جالب آن كه بسيارى از اين شروح، به دست وهابيان نگاشته شده است و امروزه در حوزه هاى علميه ى آن ها تدريس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جاكه وهابيان ديدگاه هاى ابوجعفر طحاوى را مطابق انديشه هاى خود نديده اند، همواره به توجيه و تأويل سخنان وى روى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معنى ايمان است كه طحاوى صراحتاً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والإيمان هو الإقرار باللسان والتصديق بالجنان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اقرار به زبان و تصديق به قلب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وهابيان در شرح اين جمله ى طحاوى، توجيهات فراوانى آورده و برخى از آنان كه نتوانسته اند، اين جمله ى صريح وى را توجيه كنند، ادعا كرده اند كه وى در اين مورد اشتباه كرده است</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به طور خلاصه، با توجه به آن چه گفته شد، در تاريخ اسلام سه انحراف مهم در تعريف اصطلاحى ايمان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ايمان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تلازم ميان ايمان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ديدگاه ها نيز به سبب مغايرت با انديشه ى اسلامى، از ميان رفته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مذاهب اسلامى اعم از شيعه و اهل سنت، بر اين عقيده اند كه عمل، خارج از ايمان است و ايمان به معنى تصديق قلبى و اقرار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ى چنين برداشتى، اين واقعيت است كه مرتكب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گناه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قلب و زبان ايمان داشته باشد، كافر نيست و نمى توان حكم كافر را بر وى جارى كرد</w:t>
      </w:r>
      <w:r>
        <w:rPr>
          <w:rFonts w:eastAsia="IRNazanin" w:cs="IRNazanin"/>
          <w:color w:val="111111"/>
          <w:sz w:val="28"/>
          <w:szCs w:val="28"/>
          <w:rtl w:val="true"/>
          <w:lang w:bidi="fa-IR"/>
        </w:rPr>
        <w:t>.</w:t>
      </w:r>
      <w:bookmarkStart w:id="399" w:name="pg15502_177229"/>
    </w:p>
    <w:p>
      <w:pPr>
        <w:pStyle w:val="Heading3"/>
        <w:numPr>
          <w:ilvl w:val="2"/>
          <w:numId w:val="1"/>
        </w:numPr>
        <w:rPr/>
      </w:pPr>
      <w:bookmarkStart w:id="400" w:name="__RefHeading___Toc8089076_2142443653"/>
      <w:bookmarkStart w:id="401" w:name="_Toc152"/>
      <w:bookmarkEnd w:id="399"/>
      <w:bookmarkEnd w:id="400"/>
      <w:r>
        <w:rPr>
          <w:rtl w:val="true"/>
        </w:rPr>
        <w:t>فصل يازدهم</w:t>
      </w:r>
      <w:r>
        <w:rPr>
          <w:rtl w:val="true"/>
        </w:rPr>
        <w:t xml:space="preserve">: </w:t>
      </w:r>
      <w:r>
        <w:rPr>
          <w:rtl w:val="true"/>
        </w:rPr>
        <w:t>مراتب و متعلقات ايمان</w:t>
      </w:r>
      <w:bookmarkEnd w:id="40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2" w:name="__RefHeading___Toc8089078_2142443653"/>
      <w:bookmarkStart w:id="403" w:name="_Toc153"/>
      <w:bookmarkEnd w:id="402"/>
      <w:r>
        <w:rPr>
          <w:rtl w:val="true"/>
        </w:rPr>
        <w:t>اشاره</w:t>
      </w:r>
      <w:bookmarkStart w:id="404" w:name="pg15502_177233"/>
      <w:bookmarkEnd w:id="403"/>
    </w:p>
    <w:p>
      <w:pPr>
        <w:pStyle w:val="Heading4"/>
        <w:numPr>
          <w:ilvl w:val="3"/>
          <w:numId w:val="1"/>
        </w:numPr>
        <w:rPr/>
      </w:pPr>
      <w:bookmarkStart w:id="405" w:name="__RefHeading___Toc8089080_2142443653"/>
      <w:bookmarkStart w:id="406" w:name="_Toc154"/>
      <w:bookmarkEnd w:id="404"/>
      <w:bookmarkEnd w:id="405"/>
      <w:r>
        <w:rPr/>
        <w:t>1</w:t>
      </w:r>
      <w:r>
        <w:rPr>
          <w:rtl w:val="true"/>
        </w:rPr>
        <w:t xml:space="preserve"> - </w:t>
      </w:r>
      <w:r>
        <w:rPr>
          <w:rtl w:val="true"/>
        </w:rPr>
        <w:t>مقدمه</w:t>
      </w:r>
      <w:bookmarkEnd w:id="406"/>
    </w:p>
    <w:p>
      <w:pPr>
        <w:pStyle w:val="BookText"/>
        <w:rPr/>
      </w:pPr>
      <w:r>
        <w:rPr>
          <w:rFonts w:ascii="IRNazanin" w:hAnsi="IRNazanin" w:eastAsia="IRNazanin"/>
          <w:color w:val="111111"/>
          <w:sz w:val="28"/>
          <w:sz w:val="28"/>
          <w:szCs w:val="28"/>
          <w:rtl w:val="true"/>
          <w:lang w:bidi="fa-IR"/>
        </w:rPr>
        <w:t>در فصل گذشته روشن شد كه ايمان، اقرار به زبان و تصديق به قلب است؛ و عمل جزء آن نيست، بلكه خارج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پرسش مطرح مى شود كه اگر عمل خارج از ايمان است، رابطه ى آن دو با يك ديگر چيست و عمل چه نقشى در ايمان انسان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با پاسخ به اين پرسش، به بررسى رابطه 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رابطه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خواهد شد</w:t>
      </w:r>
      <w:r>
        <w:rPr>
          <w:rFonts w:eastAsia="IRNazanin" w:cs="IRNazanin"/>
          <w:color w:val="111111"/>
          <w:sz w:val="28"/>
          <w:szCs w:val="28"/>
          <w:rtl w:val="true"/>
          <w:lang w:bidi="fa-IR"/>
        </w:rPr>
        <w:t>.</w:t>
      </w:r>
    </w:p>
    <w:p>
      <w:pPr>
        <w:pStyle w:val="Heading4"/>
        <w:numPr>
          <w:ilvl w:val="3"/>
          <w:numId w:val="1"/>
        </w:numPr>
        <w:rPr/>
      </w:pPr>
      <w:bookmarkStart w:id="407" w:name="__RefHeading___Toc8089082_2142443653"/>
      <w:bookmarkStart w:id="408" w:name="_Toc155"/>
      <w:bookmarkEnd w:id="407"/>
      <w:r>
        <w:rPr/>
        <w:t>2</w:t>
      </w:r>
      <w:r>
        <w:rPr>
          <w:rtl w:val="true"/>
        </w:rPr>
        <w:t xml:space="preserve"> - </w:t>
      </w:r>
      <w:r>
        <w:rPr>
          <w:rtl w:val="true"/>
        </w:rPr>
        <w:t>رابطه ى ايمان و عمل</w:t>
      </w:r>
      <w:bookmarkEnd w:id="408"/>
    </w:p>
    <w:p>
      <w:pPr>
        <w:pStyle w:val="Heading5"/>
        <w:numPr>
          <w:ilvl w:val="4"/>
          <w:numId w:val="1"/>
        </w:numPr>
        <w:rPr/>
      </w:pPr>
      <w:bookmarkStart w:id="409" w:name="__RefHeading___Toc8089084_2142443653"/>
      <w:bookmarkStart w:id="410" w:name="_Toc156"/>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همان گونه كه در فصل گذشته گفته شد، ريشه ى تمامى اختلافات در مفهوم اصطلاحى ايمان، رابطه ى ايمان و عمل است و اين كه آيا عمل جزء ايمان است يا بيرون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ى اسلامى، هرچند عمل خارج از مفهوم ايمان است، اما رابطه اى تنگاتنگ با آن دارد و در كيفيت و مراتب ايمان، نقشى كليدى را ايفا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پرداختن به رابطه ى ايمان و عمل، توجه به مقدمات زير ضرروى است</w:t>
      </w:r>
      <w:r>
        <w:rPr>
          <w:rFonts w:eastAsia="IRNazanin" w:cs="IRNazanin"/>
          <w:color w:val="111111"/>
          <w:sz w:val="28"/>
          <w:szCs w:val="28"/>
          <w:rtl w:val="true"/>
          <w:lang w:bidi="fa-IR"/>
        </w:rPr>
        <w:t>:</w:t>
      </w:r>
    </w:p>
    <w:p>
      <w:pPr>
        <w:pStyle w:val="Heading5"/>
        <w:numPr>
          <w:ilvl w:val="4"/>
          <w:numId w:val="1"/>
        </w:numPr>
        <w:rPr/>
      </w:pPr>
      <w:bookmarkStart w:id="411" w:name="__RefHeading___Toc8089086_2142443653"/>
      <w:bookmarkStart w:id="412" w:name="_Toc157"/>
      <w:bookmarkEnd w:id="411"/>
      <w:r>
        <w:rPr/>
        <w:t>1</w:t>
      </w:r>
      <w:r>
        <w:rPr>
          <w:rtl w:val="true"/>
        </w:rPr>
        <w:t>‏-‏</w:t>
      </w:r>
      <w:r>
        <w:rPr/>
        <w:t>2</w:t>
      </w:r>
      <w:r>
        <w:rPr>
          <w:rtl w:val="true"/>
        </w:rPr>
        <w:t xml:space="preserve"> - </w:t>
      </w:r>
      <w:r>
        <w:rPr>
          <w:rtl w:val="true"/>
        </w:rPr>
        <w:t>گستره ى عمل</w:t>
      </w:r>
      <w:bookmarkEnd w:id="41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از واژه ى عمل، اعمال جوارحى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متبادر مى شود، اما با عنايت به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بيان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مرتبط با ايمان، صرفاً فعل بدنى نيست؛ بلكه مراد از عمل، گستره ى وسيعى است كه شامل رفتارهاى بدنى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جوارحى</w:t>
      </w:r>
      <w:r>
        <w:rPr>
          <w:rFonts w:eastAsia="IRNazanin" w:cs="IRNazanin"/>
          <w:color w:val="111111"/>
          <w:sz w:val="28"/>
          <w:szCs w:val="28"/>
          <w:rtl w:val="true"/>
          <w:lang w:bidi="fa-IR"/>
        </w:rPr>
        <w:t>)</w:t>
      </w:r>
      <w:bookmarkStart w:id="413" w:name="pg15502_177235"/>
    </w:p>
    <w:p>
      <w:pPr>
        <w:pStyle w:val="BookText"/>
        <w:rPr/>
      </w:pPr>
      <w:bookmarkEnd w:id="413"/>
      <w:r>
        <w:rPr>
          <w:rFonts w:ascii="Amiri" w:hAnsi="Amiri" w:eastAsia="Amiri" w:cs="Amiri"/>
          <w:color w:val="111111"/>
          <w:sz w:val="28"/>
          <w:sz w:val="28"/>
          <w:szCs w:val="28"/>
          <w:rtl w:val="true"/>
          <w:lang w:bidi="ar-SA"/>
        </w:rPr>
        <w:t xml:space="preserve">مانند نماز، روزه، حج، جهاد و زكات، عواطف درونى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جوانحى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محبت، بيم، ترس، خشوع، ذكر و تفكر، و آزمون هاى الهى نيز مى شود</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8089088_2142443653"/>
      <w:bookmarkStart w:id="415" w:name="_Toc158"/>
      <w:bookmarkEnd w:id="414"/>
      <w:r>
        <w:rPr/>
        <w:t>2</w:t>
      </w:r>
      <w:r>
        <w:rPr>
          <w:rtl w:val="true"/>
        </w:rPr>
        <w:t>‏-‏</w:t>
      </w:r>
      <w:r>
        <w:rPr/>
        <w:t>2</w:t>
      </w:r>
      <w:r>
        <w:rPr>
          <w:rtl w:val="true"/>
        </w:rPr>
        <w:t xml:space="preserve"> - </w:t>
      </w:r>
      <w:r>
        <w:rPr>
          <w:rtl w:val="true"/>
        </w:rPr>
        <w:t>مراتب و درجات ايمان</w:t>
      </w:r>
      <w:bookmarkEnd w:id="415"/>
    </w:p>
    <w:p>
      <w:pPr>
        <w:pStyle w:val="BookText"/>
        <w:rPr/>
      </w:pPr>
      <w:r>
        <w:rPr>
          <w:rFonts w:ascii="IRNazanin" w:hAnsi="IRNazanin" w:eastAsia="IRNazanin"/>
          <w:color w:val="111111"/>
          <w:sz w:val="28"/>
          <w:sz w:val="28"/>
          <w:szCs w:val="28"/>
          <w:rtl w:val="true"/>
          <w:lang w:bidi="fa-IR"/>
        </w:rPr>
        <w:t>ايمان، هرچند تصديق به قلب و اقرار به زبان است، مراتب و درجات گوناگونى دارد و همين عامل نقش اساسى در سرنوشت و سعادت انسان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بيش تر درجات ايمان را طى كند و از نردبان يقين و تصديق بالاتر رود، سعادتمندتر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ى مراتب و درجات ايمان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كه آرامش را بر دل هاى مؤمنان نازل كرد، تا ايمانى بر ايمانشان بيفزايد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راستين فقط كسانى اند كه وقتى خدا نزدشان ياد شود، دل هايشان مى ترسد، و هنگامى كه آيات او بر آنان تلاوت گردد، بر ايمانشان مى افزايد، و در كارها و برنامه ها، تنها بر پروردگارشان توكل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آيات قرآن و احاديث، مشاهده مى شود كه آن چه مراتب ايمان را مى سازد و موجب رشد و تعالى انسان مى شود، استحكام ايمان در قلب، و مواظبت و ممارست در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قلب از يقين مستحكم تر و قدرتمندترى برخوردار باشد، مرتبه و درجه ى ايمان، بالاتر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كَلاّٰ سَوْفَ تَعْلَمُونَ كَلاّٰ لَوْ تَعْلَمُونَ عِلْمَ اَلْيَقِينِ لَتَرَوُنَّ اَلْجَحِيمَ ثُمَّ لَتَرَوُنَّهٰا عَيْنَ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چنان نيست كه شما مى 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خواهيد دانست، چنان نيست كه شما گمان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اليقين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اين موهومات و تفاخرها نمى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قطعاً جهنم را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عين اليقين مشاهده خواهيد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ى واقعه نيز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حَقُّ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اين سخن، راست و درست است و شكّ و ترديدى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عنايت به اين آيات، به خوبى مشاهده مى شود كه مراتب يقين، نقش مهمى در درجات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يقين قلبى بيش تر باشد، انسان مى تواند به درجات بالاترى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خود داراى سه مرحله يا سه درجه است</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در آن، انسان از دلايل مختلف، به چيزى ايمان آورد؛ مانند كسى كه با مشاهده ى دود، به وجود آتش ايمان پيدا مى كند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اى كه در آن، انسان به درجه ى مشاهده مى رسد و با چشم خود، مثلاً آتش را مشاهده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مرتبه ى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مرتبه، همانند كسى است كه وارد آتش شده و سوزش آن را لمس كند و به صفات آتش متصف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ى نخست يقين، جنبه ى عمومى دارد؛ مرحله ى دوم، براى پرهيزگاران؛ و مرحله ى سوم، مخصوص خاصان و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پيامبر گرامى اسلام صلى الله عليه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ايم برخى از ياران عيسى عليه السلام روى آب راه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يقينه اشد من ذلك لمشى على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يقينش از آن محكم تر بود، بر هوا راه مى 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طباطبايى پس از ذكر اين حديث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بر محور يقين به خداوند سبحان و محو كردن اسباب جهان تكوين از استقلال در تأثير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قدر اعتقاد و ايمان انسان به قدرت مطلقه ى الهيه بيش تر گردد، اشياء جهان به همان نسبت در برابر او مطيع و منقاد خواهد شد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حوزه ى عمل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بسيارى از قرآن، معيار درجه بندى و ارتقاى وجودى انسان، انجام اعمال صالح و مرضى خداوند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همين فصل، به مناسبت به آن ها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درجات ايمان، مستقيماً تحت تأثير اعمالى است كه فرد آن ها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مرتبه ى ايمان ارتباط مستقيمى با يقين قلبى انسان و ميزان اعمال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ى امام صادق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منزله ى نردبانى است كه ده پله دارد و بايد پله به پله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پله ى دوم قرار دارد، به آن كه در پله ى اول است، نبايد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ايمان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كسى كه در پله ى بالاتر تا پله ى دهم قرار دارد، نبايد افراد پايين تر از خود را بى ايمان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در مرحله ى پايين ترى از ايمان است، او را با آرامى و نرمى به درجه ى ايمان خود بكشانيد و چيزى كه توانايى آن را ندارد به او تحميل نكنيد كه موجب شكست او خواهد شد؛ چراكه هركس مؤمنى را كوچك كند، لازم است براى اصلاح و جبران شكست او اقدام نمايد</w:t>
      </w:r>
      <w:r>
        <w:rPr>
          <w:rFonts w:eastAsia="IRNazanin" w:cs="IRNazanin"/>
          <w:color w:val="111111"/>
          <w:sz w:val="28"/>
          <w:szCs w:val="28"/>
          <w:rtl w:val="true"/>
          <w:lang w:bidi="fa-IR"/>
        </w:rPr>
        <w:t>».</w:t>
      </w:r>
      <w:r>
        <w:rPr>
          <w:rStyle w:val="FootnoteAnchor"/>
          <w:rtl w:val="true"/>
        </w:rPr>
        <w:footnoteReference w:id="47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روايات نيز اصحاب پيامبر گرامى اسلام صلى الله عليه و آله از نظر ايمان درجه بندى شده اند؛ چنان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پله ى هشتم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پله ى 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پله ى دهم قرار داشتند</w:t>
      </w:r>
      <w:r>
        <w:rPr>
          <w:rFonts w:eastAsia="IRNazanin" w:cs="IRNazanin"/>
          <w:color w:val="111111"/>
          <w:sz w:val="28"/>
          <w:szCs w:val="28"/>
          <w:rtl w:val="true"/>
          <w:lang w:bidi="fa-IR"/>
        </w:rPr>
        <w:t>.</w:t>
      </w:r>
      <w:r>
        <w:rPr>
          <w:rStyle w:val="FootnoteAnchor"/>
          <w:rtl w:val="true"/>
        </w:rPr>
        <w:footnoteReference w:id="475"/>
      </w:r>
      <w:bookmarkStart w:id="416" w:name="pg15502_177241"/>
    </w:p>
    <w:p>
      <w:pPr>
        <w:pStyle w:val="Heading4"/>
        <w:numPr>
          <w:ilvl w:val="3"/>
          <w:numId w:val="1"/>
        </w:numPr>
        <w:rPr/>
      </w:pPr>
      <w:bookmarkStart w:id="417" w:name="__RefHeading___Toc8089090_2142443653"/>
      <w:bookmarkStart w:id="418" w:name="_Toc159"/>
      <w:bookmarkEnd w:id="416"/>
      <w:bookmarkEnd w:id="417"/>
      <w:r>
        <w:rPr/>
        <w:t>3</w:t>
      </w:r>
      <w:r>
        <w:rPr>
          <w:rtl w:val="true"/>
        </w:rPr>
        <w:t xml:space="preserve"> - </w:t>
      </w:r>
      <w:r>
        <w:rPr>
          <w:rtl w:val="true"/>
        </w:rPr>
        <w:t>اجتماع ايمان و شرك</w:t>
      </w:r>
      <w:bookmarkEnd w:id="418"/>
    </w:p>
    <w:p>
      <w:pPr>
        <w:pStyle w:val="BookText"/>
        <w:rPr/>
      </w:pPr>
      <w:r>
        <w:rPr>
          <w:rFonts w:ascii="IRNazanin" w:hAnsi="IRNazanin" w:eastAsia="IRNazanin"/>
          <w:color w:val="111111"/>
          <w:sz w:val="28"/>
          <w:sz w:val="28"/>
          <w:szCs w:val="28"/>
          <w:rtl w:val="true"/>
          <w:lang w:bidi="fa-IR"/>
        </w:rPr>
        <w:t>ايمان، امرى است ذومراتب، و ماهيتى نسبى و اضافى دارد؛ بدين معنى كه ممكن است فردى در نخستين مرتبه ى ايمان باشد، اما گرفتار مراتبى از شرك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مرحوم علامه طباطبايى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طور كه ممكن است دل آدمى يك سره بستگى به زندگى دنياى فانى و زينت هاى باطل آن پيدا كرده و به كلى هر حق و حقيقتى را فراموش كند، و نيز ممكن است مانند مخلصين از اولياى خدا، از هرچيز كه دل را مشغول از خداى سبحان مى سازد، منقطع گشته، به تمام معنى و با تمامى دل متوجه خدا شده، لحظه اى از او غافل نشود و در ذات و صفات خود جز به او آرام نگيرد و جز آن چه او مى خواهد نخواهد، هم چنين ممكن است سهمى از آن و سهمى از اين را باهم داشته باشد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قرآن در آيه ى شريفه ى زير با اشاره به اين حقيقت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 ترشان به خدا ايمان نياورند، مگر آن كه مشرك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به اين واقعيت اشاره دارد كه ايمان بيش تر كسانى كه ايمان آوردند، آميخته به شرك است</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برخى از آيات ديگر نيز مى توان درجات پايين ايمان را كه با برخى از اعمال ناشايست جمع مى شوند، مشاهده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يَأْتُونَ اَلصَّلاٰةَ إِلاّٰ وَ هُمْ كُسٰالىٰ وَ لاٰ يُنْفِقُونَ إِلاّٰ وَ هُمْ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نماز نيايند جز با حالت كسالت، و انفاق نكنند جز با حالت كراهت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 أَنْ يُحْمَدُوا بِمٰا لَمْ يَفْعَلُوا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دارند در برابر كارى كه نكرده اند، ستايش شوند</w:t>
      </w:r>
      <w:r>
        <w:rPr>
          <w:rFonts w:eastAsia="Amiri" w:cs="Amiri" w:ascii="Amiri" w:hAnsi="Amiri"/>
          <w:color w:val="111111"/>
          <w:sz w:val="28"/>
          <w:szCs w:val="28"/>
          <w:rtl w:val="true"/>
          <w:lang w:bidi="ar-SA"/>
        </w:rPr>
        <w:t>».</w:t>
      </w:r>
      <w:bookmarkStart w:id="419" w:name="pg15502_177244"/>
    </w:p>
    <w:p>
      <w:pPr>
        <w:pStyle w:val="BookText"/>
        <w:rPr/>
      </w:pPr>
      <w:bookmarkEnd w:id="419"/>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نيست كه در قلبش سفيدى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گناهى بكند، در آن لكه اى سياه هويدا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كند، آن سياهى از ميان مى رود و اگر بر گناه اصرار ورزد، آن لكه ى سياه بيش تر مى شود؛ تاآن جاكه تمامى سفيدى را مى گيرد و آن فرد هيچ گاه به سوى خوبى بازنمى گردد؛ چرا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ازسوى ديگر، با مراجعه به مراتب توحيد و شرك و هم چنين ايمان و كفر، به نظر مى رسد مراتب كامل ايمان براى بيش تر افراد بشر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محدودى از انسان ها هستند كه وجودشان در تمامى ابعاد، خدايى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مختلفى نيز براى نرسيدن به مراتب بالاى ايمان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توحيد و شرك، به تفصيل علل روى آورى انسان به شرك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ايمان و كفر نيز همان موارد، مانند عدم معرفت، دنياپرستى و هواپرستى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اين نكته را فراموش كرد كه هرگز ايمان با شرك جلى، قابل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شركى كه با برخى از مراتب ايمان جمع مى شود، شرك خفى است</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420" w:name="__RefHeading___Toc8089092_2142443653"/>
      <w:bookmarkStart w:id="421" w:name="_Toc160"/>
      <w:bookmarkEnd w:id="420"/>
      <w:r>
        <w:rPr/>
        <w:t>4</w:t>
      </w:r>
      <w:r>
        <w:rPr>
          <w:rtl w:val="true"/>
        </w:rPr>
        <w:t xml:space="preserve"> - </w:t>
      </w:r>
      <w:r>
        <w:rPr>
          <w:rtl w:val="true"/>
        </w:rPr>
        <w:t>عمل بدون ايمان</w:t>
      </w:r>
      <w:bookmarkEnd w:id="42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آيات و روايات، عملى كه عنصر ايمان در آن نباشد، هيچ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بسيارى در قرآن هست كه عمل همراه با كفر و بدون ايمان را بى ارزش مى شمارد؛ هرچند داراى فايده ى مادى براى فرد و ديگران باشد</w:t>
      </w:r>
      <w:r>
        <w:rPr>
          <w:rFonts w:eastAsia="IRNazanin" w:cs="IRNazanin"/>
          <w:color w:val="111111"/>
          <w:sz w:val="28"/>
          <w:szCs w:val="28"/>
          <w:rtl w:val="true"/>
          <w:lang w:bidi="fa-IR"/>
        </w:rPr>
        <w:t>:</w:t>
      </w:r>
      <w:bookmarkStart w:id="422" w:name="pg15502_177246"/>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 وَ وَجَدَ اَللّٰهَ عِنْدَهُ فَوَفّٰاهُ 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كفر ورزيدند، اعمالشان مانند سرابى در بيابانى است كه فرد تشنه، آن را آب مى پندارد؛ تا نزد آن آمد و آن را چيزى نيافت و خدا را نزد آن يافت؛ پس حسابش را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اعمال كسانى كه به پروردگارشان كفر ورزيدند، حكايت خاكسترى است كه در روزى طوفانى، باد آن را پراكنده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فراهم كرده اند، بر هيچ يك قدرت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آمديم به سوى هر عملى كه انجام داده اند و آن را غبارى پراكنده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يادشده به خوبى نشانگر اين واقعيتند كه عمل بدون ايمان، ارزشى ندارد و نقطه ى آغازين حركت به سوى خدا، ايمان مركّب از اقرار به زبان و تصديق به قلب است؛ و سپس اعمال، مراتب كمال را براى انسان فراهم مى كند</w:t>
      </w:r>
      <w:r>
        <w:rPr>
          <w:rFonts w:eastAsia="IRNazanin" w:cs="IRNazanin"/>
          <w:color w:val="111111"/>
          <w:sz w:val="28"/>
          <w:szCs w:val="28"/>
          <w:rtl w:val="true"/>
          <w:lang w:bidi="fa-IR"/>
        </w:rPr>
        <w:t>.</w:t>
      </w:r>
    </w:p>
    <w:p>
      <w:pPr>
        <w:pStyle w:val="Heading4"/>
        <w:numPr>
          <w:ilvl w:val="3"/>
          <w:numId w:val="1"/>
        </w:numPr>
        <w:rPr/>
      </w:pPr>
      <w:bookmarkStart w:id="423" w:name="__RefHeading___Toc8089094_2142443653"/>
      <w:bookmarkStart w:id="424" w:name="_Toc161"/>
      <w:bookmarkEnd w:id="423"/>
      <w:r>
        <w:rPr/>
        <w:t>5</w:t>
      </w:r>
      <w:r>
        <w:rPr>
          <w:rtl w:val="true"/>
        </w:rPr>
        <w:t xml:space="preserve"> - </w:t>
      </w:r>
      <w:r>
        <w:rPr>
          <w:rtl w:val="true"/>
        </w:rPr>
        <w:t>ايمان مقتضاى عمل</w:t>
      </w:r>
      <w:bookmarkEnd w:id="42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گفته شد، رابطه ى ايمان و عمل كاملاً مشخص مى شود؛ بدين معنى كه نقش عمل در ايمان، رقم زدن درجات و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ايمان درحالى كه با اقرار و تصديق در وجود آدمى شكل مى گيرد، جز هنگامى كه مقرون به عمل باشد، رشد و تعالى نمى يابد و انسان را به مراحل كمال نمى رساند؛ پس عمل، نه عين ايمان، بلكه مقتضاى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ديگر، عمل بدون ايمان نيز ارزشى ندارد؛ زيرا ايمان ريشه و جهت دهنده به عمل است و صلاح و شايستگى و حُسن فاعلى فعل</w:t>
      </w:r>
    </w:p>
    <w:p>
      <w:pPr>
        <w:pStyle w:val="BookText"/>
        <w:rPr/>
      </w:pPr>
      <w:r>
        <w:rPr>
          <w:rFonts w:ascii="IRNazanin" w:hAnsi="IRNazanin" w:eastAsia="IRNazanin"/>
          <w:color w:val="111111"/>
          <w:sz w:val="28"/>
          <w:sz w:val="28"/>
          <w:szCs w:val="28"/>
          <w:rtl w:val="true"/>
          <w:lang w:bidi="fa-IR"/>
        </w:rPr>
        <w:t>بستگى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عملى بدون ايمان به خدا انجام شود، در سعادت حقيقى انسان تأثير نخواهد داشت؛ گرچه كردار نيكويى بوده و منافع بسيارى در دنيا براى فرد يا ديگران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و با نگاهى به آيات قرآن، ارتباطى تنگاتنگ ميان عمل و ايمان،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از ابعاد مختلف قابل بررسى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از آيات، به ارتباط اعمال جوارحى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ايمان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اَلَّذِينَ هُمْ فِي صَلاٰتِهِمْ خٰاشِعُونَ وَ اَلَّذِينَ هُمْ عَنِ اَللَّغْوِ مُعْرِضُونَ وَ اَلَّذِينَ هُمْ لِلزَّكٰاةِ فٰاعِلُونَ‌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مؤمنان به سعادت دست يافتند؛ آنان كه در نمازشان فروتن اند؛ و آنان كه از كار بيهوده روى گردان اند؛ و آنان كه اموال خود را به وسيله ى انفاق پاك مى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كسانى اند كه به يكتايى خدا ايمان آورده و رسالت فرستاده ى او را باور كرده و در آن چه بدان گرويده اند، ترديد نكرده اند، و با مال و جانشان در راه خدا كوشيده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رضاى خدا، وظايف مالى و بدنى خود را انجام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اينان اند كه در ادعاى ايمان راست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كسانى به نشانه هاى ربوبيّت ما ايمان دارند كه وقتى آن نشانه ها را به آنان يادآورى كنند، براى سجده به درگاه خدا بر زمين مى افتند و پروردگارشان را همراه با ثنايى شايسته و نيكو، از هر بدى و كاستى پيراسته مى شمرند؛ بى آن كه ذره اى تكبّر ورزند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آيات نيز اعمال به منزله ى صفات و ويژگى هاى مؤمنان آمده است؛ اما تنها به اعمال جوانحى و قلبى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بِآيٰاتِ رَبِّهِمْ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بِرَبِّهِمْ لاٰ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يُؤْتُونَ مٰا آتَوْا وَ قُلُوبُهُمْ وَجِلَةٌ أَنَّهُمْ إِلىٰ رَبِّهِمْ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به آيات پروردگارشان ايمان مى آورند؛ و كسانى كه به پروردگارشان شرك نمى ورزند؛ و آنان كه آن چه را انفاق مى كنند، در حالى انفاق مى كنند كه دل هايشان ترسان است از اين كه به سوى پروردگارشان بازمى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هٰاجَرُوا وَ جٰاهَدُوا فِي سَبِيلِ اَللّٰهِ أُولٰئِكَ يَرْجُونَ رَحْمَتَ اَللّٰهِ وَ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آورده و كسانى كه در راه خدا هجرت كرده و جهاد نموده اند، به رحمت خدا اميدوارند، و خدا آمرزنده و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از آيات، خداوند اعمالى را كه مؤمنان بايد انجام دهند، به آنان يادآور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نيز گاه جوارحى و گاه جوانحى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 از پيامبر و كسانى كه امر شما را در اختيار دارند و از خودتان هستند، پى روى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خدا و روز قيامت ايمان داريد، چنان چه در امرى از امور دين اختلاف كرديد، آن را به خدا و پيامبر ارجاع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شما بهتر و فرجامش نيكوتر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صلح و آشتى درآييد، و از گام هاى شيطان پى روى نكنيد كه او دشمنى آشكار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است؛ همان گونه كه بر كسانى كه پيش از شما بودند، نوشته شد؛ تا پرهيزگار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ذٰلِكُمُ اَلشَّيْطٰانُ يُخَوِّفُ أَوْلِيٰاءَهُ فَلاٰ تَخٰافُوهُمْ وَ خٰافُونِ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فقط شيطان است كه شما مؤمنان را از دوستان شرك پيشه ى خود مى ترساند؛ پس اگر به راستى مؤمن ايد، از آنان نترسيد و از عذاب من بيم داشته باشيد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فَلْيَتَوَكَّلِ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بايد تنها بر خدا توكل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گاه عرصه ى آزمودن و تعيين مرتبه ى ايمان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پنداشته اند به صِرف اين كه گفتند ايمان آورديم، به حال خود رها مى شوند و با سختى هايى كه درستى و نادرستى ايمانشان با آن ها آشكار مى شود، آزموده نمى شوند؟ به يقين ما تمام كسانى را كه پيش از اينان بودند و ادعاى ايمان مى كردند با مشكلات آزموديم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كسانى را كه راست گفته اند و نيز مدعيان دروغ گو را با آشكار شدن آثار صدق و كذبشان، معلوم و مشخص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گاه انسان را به سختى ها و بلايا مبتلا مى كند تا درجه ى ايمان او مشخص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 قَرْحٌ فَقَدْ مَسَّ اَلْقَوْمَ قَرْحٌ مِثْلُهُ وَ تِلْكَ اَلْأَيّٰامُ نُدٰاوِلُهٰا بَيْنَ اَلنّٰاسِ وَ لِيَعْلَمَ اَللّٰهُ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جنگ گزندى به شما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شما كشته و گروهى زخمى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مردم كفرپيشه نيز گزندى مانند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جاى اندوه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روزها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شكست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ميان مردم مى گردانيم تا كارهايى كه بايد انجام شود، به انجام برسد و خدا كسانى را كه ايمان آورده اند، مشخص سازد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يَوْمَ اِلْتَقَى اَلْجَمْعٰانِ فَبِإِذْنِ اَللّٰهِ وَ لِيَعْلَمَ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هايى كه 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آن دو گروه به مصاف هم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رسيد، به اذن خدا بود، تا آن چه را كه بايد انجام شود، به انجام رساند و مؤمنان را مشخص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درمجموع، مى توان چنين نتيجه گرفت كه ايمان و عمل، ارتباطى بسيار وثيق و نزديك با يك ديگر دارند و عمل بدون ايمان،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ازسوى ديگر، راه رشد و كمال انسان نيز تنها از طريق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قلبى و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 زير به خوبى چنين مفهومى را مشخص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يا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شايسته كند و باايمان باشد، قطعاً او را به حياتى پاك زنده خواهيم داشت و به چنين كسانى بر پايه ى بهترين كارى كه انجام مى دادند، پاداش خواهيم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 طُوبىٰ لَهُمْ وَ 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و كارهاى شايسته كرده اند، چون دلشان به ياد خدا آرامش يافته است، خوش ترين زندگى را خواهند داشت و براى آنان فرجامى نيكو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توجه به اين نكته ضرورى است كه در برخى از روايات، در ظاهر، عمل جزو ايمان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پيامبر گرامى اسلام صلى الله عليه و آله نقل شده است كه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الاِيمان معرفة بالقلب وإقرار باللسان وعمل بالاَركان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با توجه به آياتى كه پيرامون جدايى ايمان از عمل ذكر شد و با توجه به مراتب و درجات مختلف ايمان، چنين احاديثى اشاره به مرتبه ى والاى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از پيامبر گرامى اسلام صلى الله عليه و آله نقل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زناكارى زنا نمى كند، در حالى كه مؤمن است؛ و هيچ دزدى سرقت نمى كند، تا وقتى كه مؤمن باشد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شكى نيست كه افراد زناكار و يا سارق، در شريعت مقدس اسلام، داراى مجازات هاى خاصى هستند و انجام اين مجازات، كفاره ى گناه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صفحات پيشين از اميرالمؤمنين على عليه السلام در استدلال با خوارج بيان شد، پيامبر گرامى اسلام صلى الله عليه و آله چنين افرادى را كافر نمى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چنين احاديثى نيز به مراتب كمال ايمان اشاره دارند؛ مانند اين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لجار المسجد الا فى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مراد، نماز كامل است</w:t>
      </w:r>
      <w:r>
        <w:rPr>
          <w:rFonts w:eastAsia="IRNazanin" w:cs="IRNazanin"/>
          <w:color w:val="111111"/>
          <w:sz w:val="28"/>
          <w:szCs w:val="28"/>
          <w:rtl w:val="true"/>
          <w:lang w:bidi="fa-IR"/>
        </w:rPr>
        <w:t>.</w:t>
      </w:r>
      <w:r>
        <w:rPr>
          <w:rStyle w:val="FootnoteAnchor"/>
          <w:rtl w:val="true"/>
        </w:rPr>
        <w:footnoteReference w:id="48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نيز معناى حديث بايد اين باشد كه مراتب بالاى ايمان هيچ گاه به وجود نمى آيد، مگر با شناخت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زبان و عمل به اركان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اين مطلب را تأييد مى كند، بيان متعلقات ايمان در قرآن است؛ بدين معنى كه در قرآن، امورى كه ايمان به آن ها تعلق مى گيرد و در صورت فقدان آن ها، انسان از دايره ى ايمان خارج مى شود، ذكر شده است؛ بنابراين در غير اين موارد،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ممكن است مؤمنِ فاسق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نمى شود</w:t>
      </w:r>
      <w:r>
        <w:rPr>
          <w:rFonts w:eastAsia="IRNazanin" w:cs="IRNazanin"/>
          <w:color w:val="111111"/>
          <w:sz w:val="28"/>
          <w:szCs w:val="28"/>
          <w:rtl w:val="true"/>
          <w:lang w:bidi="fa-IR"/>
        </w:rPr>
        <w:t>.</w:t>
      </w:r>
      <w:r>
        <w:rPr>
          <w:rStyle w:val="FootnoteAnchor"/>
          <w:rtl w:val="true"/>
        </w:rPr>
        <w:footnoteReference w:id="486"/>
      </w:r>
      <w:bookmarkStart w:id="425" w:name="pg15502_177257"/>
    </w:p>
    <w:p>
      <w:pPr>
        <w:pStyle w:val="Heading4"/>
        <w:numPr>
          <w:ilvl w:val="3"/>
          <w:numId w:val="1"/>
        </w:numPr>
        <w:rPr/>
      </w:pPr>
      <w:bookmarkStart w:id="426" w:name="__RefHeading___Toc8089096_2142443653"/>
      <w:bookmarkStart w:id="427" w:name="_Toc162"/>
      <w:bookmarkEnd w:id="425"/>
      <w:bookmarkEnd w:id="426"/>
      <w:r>
        <w:rPr/>
        <w:t>6</w:t>
      </w:r>
      <w:r>
        <w:rPr>
          <w:rtl w:val="true"/>
        </w:rPr>
        <w:t xml:space="preserve"> - </w:t>
      </w:r>
      <w:r>
        <w:rPr>
          <w:rtl w:val="true"/>
        </w:rPr>
        <w:t>رابطه ى اسلام و ايمان</w:t>
      </w:r>
      <w:bookmarkEnd w:id="427"/>
    </w:p>
    <w:p>
      <w:pPr>
        <w:pStyle w:val="BookText"/>
        <w:rPr/>
      </w:pPr>
      <w:r>
        <w:rPr>
          <w:rFonts w:ascii="IRNazanin" w:hAnsi="IRNazanin" w:eastAsia="IRNazanin"/>
          <w:color w:val="111111"/>
          <w:sz w:val="28"/>
          <w:sz w:val="28"/>
          <w:szCs w:val="28"/>
          <w:rtl w:val="true"/>
          <w:lang w:bidi="fa-IR"/>
        </w:rPr>
        <w:t xml:space="preserve">اسلام در لغت، به معنى انقياد و تسليم است و شخص مطيع و فرمان بر را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تسليم و انقيادپذيرى به دو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انقياد ظاهرى و تسليم پذيرى از روى اضطرار و اجبار؛ 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نشينان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نياورده ايد، بلكه بگوييد تسليم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انقياد اختيارى و تسليم حقيقى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أُمِرْتُ أَنْ أَكُونَ أَوَّلَ مَنْ أَسْلَمَ وَ لاٰ تَكُونَنَّ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يافته ام كه نخستين كسى باشم كه تسليم فرمان خدا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اصطلاح به دين وآيينى آسمانى اطلاق مى شود كه از جانب خداوند به پيامبران نازل شده است تا از طريق آن، مردم را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اين معنى، خود به دو قسم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اسلام به معنى عام؛ اسلام بدين معنى شامل تمام اديان آسمانى مى شود كه خداوند از آغاز آفرينش، توسط پيامبران براى هدايت جامعه ى انسانى و براى تمام مكلفين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در نزد خداوند، اسلام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سَمّٰاكُمُ اَلْمُسْلِمِينَ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عليه السلام از قبل شما را مسلمان 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اسلام به معنى خاص؛ اسلام در معنى خاص خود، به آيين و دينى اطلاق مى شود كه كامل ترين مرحله ى اديان آسمانى است و توسط پيامبر گرامى اسلام صلى الله عليه و آله، براى هدايت انسان 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 هاى مهم دين اسلام مى توان به جهان شمول بودن وكامل بودن اين دين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براى همه ى مردم نفرستاديم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پاداش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بترسانى؛ ولى بيش تر مردم نمى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ى خدا به سوى همه ى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چنين درباره ى كامل بودن دين اسلام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را كامل كردم و نعمتم را بر شما تمام 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در تعريف ايمان و اسلام گفته شد، ميان اين دو مفهوم، تفاوت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تسليم در برابر خداست؛ خواه اين تسليم، از عمق جان باشد و يا تنها به زبان آوردن كلمه ى توحيد و گواهى به نبوت پيامبر گرامى اسلام صلى الله عليه و آله باشد؛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 به زبان و تصديق و عقيده ى قلبى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قلمرو اسلام گسترده تر از قلمرو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شامل تسليم ظاهرى و باطنى مى شود؛ ولى ايمان، تنها در تسليم باطنى به كار مى رود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w:t>
      </w:r>
      <w:bookmarkStart w:id="428" w:name="pg15502_177261"/>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ما كان في القلب والاسلام ماعليه التناكح والتوارث وحقنت به الدماء والايمان يشرك الاسلام والاسلام لايشرك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در قلب وجود دارد و اسلام چيزى است كه بر اساس آن، ازدواج و ارث مشروعيت مى يابد و خون محترم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 اسلام شريك است؛ اما اسلام با ايمان شريك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رابطه ى اين دو مفهوم، رابطه ى عموم و خصوص مطلق است؛ يعنى در هر ايمانى، اسلام هست و در هر اسلامى، ايمان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صدوق در مقام تشبيه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مؤمنى مسلمان است، اما هر مسلمانى مؤمن نيست و مثال آن مانند كعبه و مسجد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داخل كعبه شود، داخل مسجد نيز شده است، اما هر كسى كه داخل مسجد شود، داخل كعبه نشده است</w:t>
      </w:r>
      <w:r>
        <w:rPr>
          <w:rFonts w:eastAsia="Amiri" w:cs="Amiri" w:ascii="Amiri" w:hAnsi="Amiri"/>
          <w:color w:val="111111"/>
          <w:sz w:val="28"/>
          <w:szCs w:val="28"/>
          <w:rtl w:val="true"/>
          <w:lang w:bidi="ar-SA"/>
        </w:rPr>
        <w:t>».</w:t>
      </w:r>
      <w:r>
        <w:rPr>
          <w:rStyle w:val="FootnoteAnchor"/>
          <w:rtl w:val="true"/>
        </w:rPr>
        <w:footnoteReference w:id="489"/>
      </w:r>
    </w:p>
    <w:p>
      <w:pPr>
        <w:pStyle w:val="Heading4"/>
        <w:numPr>
          <w:ilvl w:val="3"/>
          <w:numId w:val="1"/>
        </w:numPr>
        <w:rPr/>
      </w:pPr>
      <w:bookmarkStart w:id="429" w:name="__RefHeading___Toc8089098_2142443653"/>
      <w:bookmarkStart w:id="430" w:name="_Toc163"/>
      <w:bookmarkEnd w:id="429"/>
      <w:r>
        <w:rPr/>
        <w:t>7</w:t>
      </w:r>
      <w:r>
        <w:rPr>
          <w:rtl w:val="true"/>
        </w:rPr>
        <w:t xml:space="preserve"> - </w:t>
      </w:r>
      <w:r>
        <w:rPr>
          <w:rtl w:val="true"/>
        </w:rPr>
        <w:t>متعلقات ايمان</w:t>
      </w:r>
      <w:bookmarkEnd w:id="430"/>
    </w:p>
    <w:p>
      <w:pPr>
        <w:pStyle w:val="Heading5"/>
        <w:numPr>
          <w:ilvl w:val="4"/>
          <w:numId w:val="1"/>
        </w:numPr>
        <w:rPr/>
      </w:pPr>
      <w:bookmarkStart w:id="431" w:name="__RefHeading___Toc8089100_2142443653"/>
      <w:bookmarkStart w:id="432" w:name="_Toc164"/>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چنان كه گفته شد، ايمان به معنى اقرار به لسان و تصديق به قلب است، اما متعلق اقرار و تصديق چيست‌؟ يعنى انسان بايد به چه چيزى ايمان داشته باشد تا گرفتار كفر نشود؟ و مرزهاى كفر و ايمان كجاست‌؟</w:t>
      </w:r>
    </w:p>
    <w:p>
      <w:pPr>
        <w:pStyle w:val="BookText"/>
        <w:rPr/>
      </w:pPr>
      <w:r>
        <w:rPr>
          <w:rFonts w:ascii="IRNazanin" w:hAnsi="IRNazanin" w:eastAsia="IRNazanin"/>
          <w:color w:val="111111"/>
          <w:sz w:val="28"/>
          <w:sz w:val="28"/>
          <w:szCs w:val="28"/>
          <w:rtl w:val="true"/>
          <w:lang w:bidi="fa-IR"/>
        </w:rPr>
        <w:t>در قرآن مجيد، آياتى كه به مسأله ى ايمان پرداخته اند، متنوعند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آيات، صرفاً مسلمانان را به ايمان دعوت مى كنند،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آوردند و عمل صالح انجام دادند، خداوند رحمان محبت آنان را در دل ها مى افكند</w:t>
      </w:r>
      <w:r>
        <w:rPr>
          <w:rFonts w:eastAsia="Amiri" w:cs="Amiri" w:ascii="Amiri" w:hAnsi="Amiri"/>
          <w:color w:val="111111"/>
          <w:sz w:val="28"/>
          <w:szCs w:val="28"/>
          <w:rtl w:val="true"/>
          <w:lang w:bidi="ar-SA"/>
        </w:rPr>
        <w:t>».</w:t>
      </w:r>
      <w:bookmarkStart w:id="433" w:name="pg15502_177263"/>
    </w:p>
    <w:p>
      <w:pPr>
        <w:pStyle w:val="BookText"/>
        <w:rPr/>
      </w:pPr>
      <w:bookmarkEnd w:id="4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زن و مرد كار شايسته اى انجام دهد، درحالى كه مؤمن باشد، پس حتماً به او زندگى پاك و پاكيزه اى مى بخشيم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كنار اين دسته از آيات، آياتى هستند كه متعلقات ايمان را بيان كرده اند و توضيح اين آيات شمرده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با استفاده از آيات قرآن، متعلقات ايمان به طور خلاصه بيان مى شود</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8089102_2142443653"/>
      <w:bookmarkStart w:id="435" w:name="_Toc165"/>
      <w:bookmarkEnd w:id="434"/>
      <w:r>
        <w:rPr/>
        <w:t>1</w:t>
      </w:r>
      <w:r>
        <w:rPr>
          <w:rtl w:val="true"/>
        </w:rPr>
        <w:t>‏-‏</w:t>
      </w:r>
      <w:r>
        <w:rPr/>
        <w:t>7</w:t>
      </w:r>
      <w:r>
        <w:rPr>
          <w:rtl w:val="true"/>
        </w:rPr>
        <w:t xml:space="preserve"> - </w:t>
      </w:r>
      <w:r>
        <w:rPr>
          <w:rtl w:val="true"/>
        </w:rPr>
        <w:t>پيامبران و رسالت آن ها</w:t>
      </w:r>
      <w:bookmarkEnd w:id="435"/>
    </w:p>
    <w:p>
      <w:pPr>
        <w:pStyle w:val="BookText"/>
        <w:rPr/>
      </w:pPr>
      <w:r>
        <w:rPr>
          <w:rFonts w:ascii="IRNazanin" w:hAnsi="IRNazanin" w:eastAsia="IRNazanin"/>
          <w:color w:val="111111"/>
          <w:sz w:val="28"/>
          <w:sz w:val="28"/>
          <w:szCs w:val="28"/>
          <w:rtl w:val="true"/>
          <w:lang w:bidi="fa-IR"/>
        </w:rPr>
        <w:t>گام اول در ايمان، اقرار و تصديق به نبوت پيامبر گرامى اسلام صلى الله عليه و آله و ديگر پيامبران الهى است؛ زيرا ايمان به رسالت پيامبر گرامى اسلام صلى الله عليه و آله، لازمه ى اقرار و تصديق به ديگر مبانى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رسالت پيامبر را انكار كند، راهى براى ايمان به مبانى ديگر دين باقى نمى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اَلنَّبِيِّ اَلْأُمِّيِّ اَلَّذِي يُؤْمِنُ بِاللّٰهِ وَ كَلِمٰاتِهِ وَ اِتَّبِعُوهُ 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ايمان بياوريد به خدا و فرستاده اش؛ آن پيامبر درس نخوانده اى كه به خدا و كلماتش ايمان دارد؛ و از او پى روى كنيد تا هدايت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كنار ايمان به رسالت پيامبر گرامى اسلام صلى الله عليه و آله، ايمان به پيامبران ديگر نيز از متعلقات ايمان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ى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يُؤْمِنُونَ بِمٰا أُنْزِلَ إِلَيْكَ وَ مٰا أُنْزِلَ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به اين قرآن كه بر تو فروفرستاده شده و به كتاب هاى آسمانى ديگر كه پيش از تو نازل گرديده است، ايمان دارند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ايمان آورده ايم و به آن چه بر ما نازل شده و آن چه بر ابراهيم و اسماعيل و اسحاق و يعقوب و پيامبران از فرزندان او نازل گرديده،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موسى و عيسى 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داده شده است؛ و در ميان هيچ يك از آن ها جدايى قائل نمى شويم و در برابر فرمان خدا تسليم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پذيرش رسالت پيامبر گرامى اسلام صلى الله عليه و آله، پذيرش امورى كه مستقيم يا غيرمستقيم به مسأله ى رسالت و پيامبرى مربوط مى شود نيز جزء متعلقات ايمان شمرده مى شود؛ مانند ايمان به كتاب هاى آسمانى، از جمله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رسالت پيامبر گرامى اسلام صلى الله عليه و آله را پذيرفت، بايد به مجموعه ى آموزه هايى كه آن حضرت آورده است، به صورت كامل ايمان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فَتُؤْمِنُونَ بِبَعْضِ اَلْكِتٰابِ وَ تَكْفُرُونَ بِبَعْضٍ فَمٰا جَزٰاءُ مَنْ يَفْعَلُ ذٰلِكَ مِنْكُمْ إِلاّٰ خِزْيٌ فِي اَلْحَيٰاةِ اَلدُّنْيٰا وَ يَوْمَ اَلْقِيٰامَةِ يُرَدُّونَ إِلىٰ أَشَدِّ اَلْعَذٰابِ وَ مَا اَللّٰهُ بِغٰافِلٍ عَمّٰا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بعضى از دستورات كتاب آسمانى ايمان مى آوريد و به بعضى كافر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از شما 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در ميان احكام و قوانين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جز رسوايى در اين جهان چيزى نخواهد بود و در روز رستاخيز، به شديدترين عذاب ها گرفتار مى شود؛ و خداوند از آن چه انجام مى دهيد، غافل نيست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گستردگى آموزه هاى دين، انسان به همه ى آن ها اشراف كامل ندارد؛ به همين سبب، آموزه هاى دين را مى توان به دو بخش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هايى كه انسان اجمالاً مى داند كه از جانب خداوند نازل شده اند، و آموزه هايى مانند توحيد، قيامت، و</w:t>
      </w:r>
      <w:bookmarkStart w:id="436" w:name="pg15502_177268"/>
    </w:p>
    <w:p>
      <w:pPr>
        <w:pStyle w:val="BookText"/>
        <w:rPr/>
      </w:pPr>
      <w:bookmarkEnd w:id="436"/>
      <w:r>
        <w:rPr>
          <w:rFonts w:ascii="Amiri" w:hAnsi="Amiri" w:eastAsia="Amiri" w:cs="Amiri"/>
          <w:color w:val="111111"/>
          <w:sz w:val="28"/>
          <w:sz w:val="28"/>
          <w:szCs w:val="28"/>
          <w:rtl w:val="true"/>
          <w:lang w:bidi="ar-SA"/>
        </w:rPr>
        <w:t>وجوب نماز، زكات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انسان به آن ها علم تفصيلى دارد</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در چنين مواردى، ايمان به هر دو بخش، جزء متعلقات ايمان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قاضى عضدالدين ايجى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در نزد ما و نزد ساير بزرگان، مانند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اسفرائينى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تصديق پيامبر در چيزى است كه به آن مبعوث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تفصيلى وجود دارد، ايمان تفصيلى لازم است، و اگر علم اجمالى به آن وجود دارد، ايمان اجمالى كفايت مى كند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به گفته ى تفتازانى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تصديق پيامبر در چيزى است كه به آمدن آن توسط پيامبر علم داريم؛ يعنى ايمان به چيزى كه بودن آن در دين، مشهور است و دانستن آن، نياز به دليل و استدلال ندارد؛ مانند يگانگى آفريدگار، وجوب نماز و حرمت شراب و مانند آن؛ و هر آن چه به صورت اجمال ملاحظه شده است، ايمان اجمالى به آن كفايت مى كند و هرچه به صورت تفصيل بيان شده است، ايمان تفصيلى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 از كسى درباره ى وجوب نماز و حرمت شراب پرسيده شود و وى آن دو را تصديق نكند، كافر است؛ و اين قول، مشهور است و جمهور علما بر اين عقيده اند</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437" w:name="__RefHeading___Toc8089104_2142443653"/>
      <w:bookmarkStart w:id="438" w:name="_Toc166"/>
      <w:bookmarkEnd w:id="437"/>
      <w:r>
        <w:rPr/>
        <w:t>2</w:t>
      </w:r>
      <w:r>
        <w:rPr>
          <w:rtl w:val="true"/>
        </w:rPr>
        <w:t>‏-‏</w:t>
      </w:r>
      <w:r>
        <w:rPr/>
        <w:t>7</w:t>
      </w:r>
      <w:r>
        <w:rPr>
          <w:rtl w:val="true"/>
        </w:rPr>
        <w:t xml:space="preserve"> - </w:t>
      </w:r>
      <w:r>
        <w:rPr>
          <w:rtl w:val="true"/>
        </w:rPr>
        <w:t>غيب</w:t>
      </w:r>
      <w:bookmarkEnd w:id="43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ديده نهان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اين واژه بيش تر به معنى اسم فاعل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شدن از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منظور است،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بودن از ديده</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غيب، يكى ديگر از متعلقات ايمان است</w:t>
      </w:r>
      <w:bookmarkStart w:id="439" w:name="pg15502_177270"/>
    </w:p>
    <w:p>
      <w:pPr>
        <w:pStyle w:val="BookText"/>
        <w:rPr/>
      </w:pPr>
      <w:bookmarkEnd w:id="439"/>
      <w:r>
        <w:rPr>
          <w:rFonts w:ascii="IRNazanin" w:hAnsi="IRNazanin" w:eastAsia="IRNazanin"/>
          <w:color w:val="111111"/>
          <w:sz w:val="28"/>
          <w:sz w:val="28"/>
          <w:szCs w:val="28"/>
          <w:rtl w:val="true"/>
          <w:lang w:bidi="fa-IR"/>
        </w:rPr>
        <w:t>و مؤمن كسى است كه به آن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حدود شصت بار واژه ى غيب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در تقابل با عالم شهادت و به معنى اَخبار و امور نهان است كه خداوند از آن 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قرآن يك بار به عنوان متعلّق ايمان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حس پوشيده و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آورند و نماز را بر پا مى دارند و از آن چه روزى شان كرده ايم، انفاق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ايمان به غيب تنها يك بار به صورت مستقيم در قرآن آمده است، اما داراى مصاديق مختلفى مانند خدا و ملائكه است كه در قرآن بارها به آن ها اشاره شده است</w:t>
      </w:r>
      <w:r>
        <w:rPr>
          <w:rFonts w:eastAsia="IRNazanin" w:cs="IRNazanin"/>
          <w:color w:val="111111"/>
          <w:sz w:val="28"/>
          <w:szCs w:val="28"/>
          <w:rtl w:val="true"/>
          <w:lang w:bidi="fa-IR"/>
        </w:rPr>
        <w:t>.</w:t>
      </w:r>
    </w:p>
    <w:p>
      <w:pPr>
        <w:pStyle w:val="Heading5"/>
        <w:numPr>
          <w:ilvl w:val="4"/>
          <w:numId w:val="1"/>
        </w:numPr>
        <w:rPr/>
      </w:pPr>
      <w:bookmarkStart w:id="440" w:name="__RefHeading___Toc8089106_2142443653"/>
      <w:bookmarkStart w:id="441" w:name="_Toc167"/>
      <w:bookmarkEnd w:id="440"/>
      <w:r>
        <w:rPr/>
        <w:t>3</w:t>
      </w:r>
      <w:r>
        <w:rPr>
          <w:rtl w:val="true"/>
        </w:rPr>
        <w:t>‏-‏</w:t>
      </w:r>
      <w:r>
        <w:rPr/>
        <w:t>7</w:t>
      </w:r>
      <w:r>
        <w:rPr>
          <w:rtl w:val="true"/>
        </w:rPr>
        <w:t xml:space="preserve"> - </w:t>
      </w:r>
      <w:r>
        <w:rPr>
          <w:rtl w:val="true"/>
        </w:rPr>
        <w:t>خدا</w:t>
      </w:r>
      <w:bookmarkEnd w:id="441"/>
    </w:p>
    <w:p>
      <w:pPr>
        <w:pStyle w:val="BookText"/>
        <w:rPr/>
      </w:pPr>
      <w:r>
        <w:rPr>
          <w:rFonts w:ascii="Amiri" w:hAnsi="Amiri" w:eastAsia="Amiri" w:cs="Amiri"/>
          <w:color w:val="111111"/>
          <w:sz w:val="28"/>
          <w:sz w:val="28"/>
          <w:szCs w:val="28"/>
          <w:rtl w:val="true"/>
          <w:lang w:bidi="ar-SA"/>
        </w:rPr>
        <w:t>خدا مهم ترين متعلَّق ايمان در قرآن كريم است؛ بلكه از نظر رتبه و درجه، والاترين و مهم ترين متعلق ايمان است كه بدون اعتقاد به او، ايمان تحقق نخواهد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كه به ايمان به خدا سفارش كرده اند، بسيارند؛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وَ يَعْمَلْ صٰالِحاً يُدْخِلْهُ جَنّٰاتٍ تَجْرِي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هركه به خدا ايمان آورد و كار شايسته كند، او را به بهشت هايى درآورد كه از زير آن ها جوى ها روان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برخى از آيات، حتى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 شده است كه به خدا ايمان 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 ايد، به خداوند ايمان بياوريد</w:t>
      </w:r>
      <w:r>
        <w:rPr>
          <w:rFonts w:eastAsia="Amiri" w:cs="Amiri" w:ascii="Amiri" w:hAnsi="Amiri"/>
          <w:color w:val="111111"/>
          <w:sz w:val="28"/>
          <w:szCs w:val="28"/>
          <w:rtl w:val="true"/>
          <w:lang w:bidi="ar-SA"/>
        </w:rPr>
        <w:t>».</w:t>
      </w:r>
      <w:bookmarkStart w:id="442" w:name="pg15502_177273"/>
    </w:p>
    <w:p>
      <w:pPr>
        <w:pStyle w:val="BookText"/>
        <w:rPr/>
      </w:pPr>
      <w:bookmarkEnd w:id="442"/>
      <w:r>
        <w:rPr>
          <w:rFonts w:ascii="IRNazanin" w:hAnsi="IRNazanin" w:eastAsia="IRNazanin"/>
          <w:color w:val="111111"/>
          <w:sz w:val="28"/>
          <w:sz w:val="28"/>
          <w:szCs w:val="28"/>
          <w:rtl w:val="true"/>
          <w:lang w:bidi="fa-IR"/>
        </w:rPr>
        <w:t>در مفهوم اين كه مراد قرآن از ايمان آوردن مؤمنان به خدا چيست، تفاسير گوناگونى ارائه شده است؛</w:t>
      </w:r>
      <w:r>
        <w:rPr>
          <w:rStyle w:val="FootnoteAnchor"/>
          <w:rtl w:val="true"/>
        </w:rPr>
        <w:footnoteReference w:id="494"/>
      </w:r>
      <w:r>
        <w:rPr>
          <w:rFonts w:ascii="IRNazanin" w:hAnsi="IRNazanin" w:eastAsia="IRNazanin"/>
          <w:color w:val="111111"/>
          <w:sz w:val="28"/>
          <w:sz w:val="28"/>
          <w:szCs w:val="28"/>
          <w:rtl w:val="true"/>
          <w:lang w:bidi="fa-IR"/>
        </w:rPr>
        <w:t>اما به هرحال، نشانگر اهميت خداوند در مسأله 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ايمان به خدا شامل ايمان به همه ى حوزه هاى توحيد، اعم از توحيد نظرى و عملى مى شود</w:t>
      </w:r>
      <w:r>
        <w:rPr>
          <w:rFonts w:eastAsia="IRNazanin" w:cs="IRNazanin"/>
          <w:color w:val="111111"/>
          <w:sz w:val="28"/>
          <w:szCs w:val="28"/>
          <w:rtl w:val="true"/>
          <w:lang w:bidi="fa-IR"/>
        </w:rPr>
        <w:t>.</w:t>
      </w:r>
      <w:r>
        <w:rPr>
          <w:rStyle w:val="FootnoteAnchor"/>
          <w:rtl w:val="true"/>
        </w:rPr>
        <w:footnoteReference w:id="495"/>
      </w:r>
    </w:p>
    <w:p>
      <w:pPr>
        <w:pStyle w:val="Heading5"/>
        <w:numPr>
          <w:ilvl w:val="4"/>
          <w:numId w:val="1"/>
        </w:numPr>
        <w:rPr/>
      </w:pPr>
      <w:bookmarkStart w:id="443" w:name="__RefHeading___Toc8089108_2142443653"/>
      <w:bookmarkStart w:id="444" w:name="_Toc168"/>
      <w:bookmarkEnd w:id="443"/>
      <w:r>
        <w:rPr/>
        <w:t>4</w:t>
      </w:r>
      <w:r>
        <w:rPr>
          <w:rtl w:val="true"/>
        </w:rPr>
        <w:t>‏-‏</w:t>
      </w:r>
      <w:r>
        <w:rPr/>
        <w:t>7</w:t>
      </w:r>
      <w:r>
        <w:rPr>
          <w:rtl w:val="true"/>
        </w:rPr>
        <w:t xml:space="preserve"> - </w:t>
      </w:r>
      <w:r>
        <w:rPr>
          <w:rtl w:val="true"/>
        </w:rPr>
        <w:t>معاد</w:t>
      </w:r>
      <w:bookmarkEnd w:id="444"/>
    </w:p>
    <w:p>
      <w:pPr>
        <w:pStyle w:val="BookText"/>
        <w:rPr/>
      </w:pPr>
      <w:r>
        <w:rPr>
          <w:rFonts w:ascii="IRNazanin" w:hAnsi="IRNazanin" w:eastAsia="IRNazanin"/>
          <w:color w:val="111111"/>
          <w:sz w:val="28"/>
          <w:sz w:val="28"/>
          <w:szCs w:val="28"/>
          <w:rtl w:val="true"/>
          <w:lang w:bidi="fa-IR"/>
        </w:rPr>
        <w:t>قرآن پس از توحيد، بيش ترين اهميت را به معاد و آخرت داده و موضوعات مختلفى را پيرامون آن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معاد چنان روشن تلقى شده است كه تنها متجاوزان و گناهكاران از پذيرش آن سر باز مى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يُكَذِّبُ بِهِ إِلاّٰ كُلُّ مُعْتَدٍ أَثِيمٍ‌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روز جزا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آن را انكار مى كند كه متجاوز و گنهكار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ازسوى ديگر، در بسيارى از آيات، ايمان به آخرت و قيامت در كنار ايمان به خدا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تُؤْمِنُونَ بِاللّٰهِ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مِنْكُمْ يُؤْمِنُ بِاللّٰهِ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از شما كه به خدا و روز قيامت ايمان دارند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اَلْبِرَّ مَنْ آمَنَ بِاللّٰهِ وَ اَلْيَوْمِ اَلْآخِرِ وَ اَلْمَلاٰئِكَةِ وَ اَلْكِتٰابِ وَ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خوبى آن است كه به خدا و روز رستاخيز و فرشتگان و كتاب و پيامبران ايمان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موارد ديگرى از متعلقات ايمان نيز در كتاب خداوند شمرده شده است، اما تصديق موارد يادشده، امورى مانند ايمان به وجود فرشتگان و كتب آسمانى را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اركان اساسى ايمان، اصول يادشده است كه خود شامل موارد ديگرى مى شوند كه اجمالاً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عدم اقرار و عدم تصديق هر يك از محورهاى فوق، مترادف با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بايد توجه داشت كه متعلقات ايمان، به صورت مطلق هستند؛ بدين معنا كه انكار هر يك از آن ها، مستلزم كفر مى شود و بايد به تمامى آن ها ايمان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سه ركن ايمان داشته باشد و تنها يك ركن را نپذيرد، و يا در جايى كه به ايمان تفصيلى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مباحث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ايمان داشته باشد، چيزى مانع كفر او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ى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بِاللّٰهِ وَ رُسُلِهِ وَ يُرِيدُونَ أَنْ يُفَرِّقُوا بَيْنَ اَللّٰهِ وَ رُسُلِهِ وَ يَقُولُونَ نُؤْمِنُ بِبَعْضٍ وَ نَكْفُرُ بِبَعْضٍ وَ يُرِيدُونَ أَنْ يَتَّخِذُوا بَيْنَ ذٰلِكَ سَبِيلاً؛ أُولٰئِكَ هُمُ اَلْكٰافِرُونَ حَقًّا وَ أَعْتَدْنٰا لِلْكٰافِرِينَ عَذٰاباً مُهِيناً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خدا و پيامبرانش كفر مى ورزند، و مى خواهند ميان خدا و پيامبران او جدايى اندازند، و مى گويند ما به بعضى ايمان داريم و بعضى را انكار مى كنيم، و مى خواهند ميان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براى خود اختيار كنند، آنان در حقيقت كافرند و ما براى كافران عذابى خفت آور آماده كرده ايم</w:t>
      </w:r>
      <w:r>
        <w:rPr>
          <w:rFonts w:eastAsia="IRNazanin" w:cs="IRNazanin"/>
          <w:color w:val="111111"/>
          <w:sz w:val="28"/>
          <w:szCs w:val="28"/>
          <w:rtl w:val="true"/>
          <w:lang w:bidi="fa-IR"/>
        </w:rPr>
        <w:t>».</w:t>
      </w:r>
      <w:bookmarkStart w:id="445" w:name="pg15502_177279"/>
    </w:p>
    <w:p>
      <w:pPr>
        <w:pStyle w:val="Heading3"/>
        <w:numPr>
          <w:ilvl w:val="2"/>
          <w:numId w:val="1"/>
        </w:numPr>
        <w:rPr/>
      </w:pPr>
      <w:bookmarkStart w:id="446" w:name="__RefHeading___Toc8089110_2142443653"/>
      <w:bookmarkStart w:id="447" w:name="_Toc169"/>
      <w:bookmarkEnd w:id="445"/>
      <w:bookmarkEnd w:id="446"/>
      <w:r>
        <w:rPr>
          <w:rtl w:val="true"/>
        </w:rPr>
        <w:t>فصل دوازدهم</w:t>
      </w:r>
      <w:r>
        <w:rPr>
          <w:rtl w:val="true"/>
        </w:rPr>
        <w:t xml:space="preserve">: </w:t>
      </w:r>
      <w:r>
        <w:rPr>
          <w:rtl w:val="true"/>
        </w:rPr>
        <w:t>كفر در انديشه ى اسلامى</w:t>
      </w:r>
      <w:bookmarkEnd w:id="44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8" w:name="__RefHeading___Toc8089112_2142443653"/>
      <w:bookmarkStart w:id="449" w:name="_Toc170"/>
      <w:bookmarkEnd w:id="448"/>
      <w:r>
        <w:rPr>
          <w:rtl w:val="true"/>
        </w:rPr>
        <w:t>اشاره</w:t>
      </w:r>
      <w:bookmarkStart w:id="450" w:name="pg15502_177282"/>
      <w:bookmarkEnd w:id="449"/>
    </w:p>
    <w:p>
      <w:pPr>
        <w:pStyle w:val="Heading4"/>
        <w:numPr>
          <w:ilvl w:val="3"/>
          <w:numId w:val="1"/>
        </w:numPr>
        <w:rPr/>
      </w:pPr>
      <w:bookmarkStart w:id="451" w:name="__RefHeading___Toc8089114_2142443653"/>
      <w:bookmarkStart w:id="452" w:name="_Toc171"/>
      <w:bookmarkEnd w:id="450"/>
      <w:bookmarkEnd w:id="451"/>
      <w:r>
        <w:rPr/>
        <w:t>1</w:t>
      </w:r>
      <w:r>
        <w:rPr>
          <w:rtl w:val="true"/>
        </w:rPr>
        <w:t xml:space="preserve"> - </w:t>
      </w:r>
      <w:r>
        <w:rPr>
          <w:rtl w:val="true"/>
        </w:rPr>
        <w:t>مقدمه</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يكى از واژه هاى پركاربرد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مخالفان خود را عموماً به كفر متهم مى كنند و به همين سبب، به وهابيان افراطى،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به اجماع مسلمانان، اهل قبله را نمى توان كافر شمرد و خون، مال و ناموس آنان را مباح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خوارج و وهابيان كه در نظريه و عمل، روش تكفير را برگزيده اند، هيچ يك از مذاهب اسلامى، مذاهب ديگر را به كفر متهم نمى كنند و خون و مال و ناموس آنان را محترم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اهميت بحث كفر و آثار آن در عرصه ى حيات فردى و اجتماعى مسلمانان، در اين فصل مفهوم كفر، انواع و معيارهاى تكفير در ميان مذاهب اسلامى بررسى خواهد شد</w:t>
      </w:r>
      <w:r>
        <w:rPr>
          <w:rFonts w:eastAsia="IRNazanin" w:cs="IRNazanin"/>
          <w:color w:val="111111"/>
          <w:sz w:val="28"/>
          <w:szCs w:val="28"/>
          <w:rtl w:val="true"/>
          <w:lang w:bidi="fa-IR"/>
        </w:rPr>
        <w:t>.</w:t>
      </w:r>
    </w:p>
    <w:p>
      <w:pPr>
        <w:pStyle w:val="Heading4"/>
        <w:numPr>
          <w:ilvl w:val="3"/>
          <w:numId w:val="1"/>
        </w:numPr>
        <w:rPr/>
      </w:pPr>
      <w:bookmarkStart w:id="453" w:name="__RefHeading___Toc8089116_2142443653"/>
      <w:bookmarkStart w:id="454" w:name="_Toc172"/>
      <w:bookmarkEnd w:id="453"/>
      <w:r>
        <w:rPr/>
        <w:t>2</w:t>
      </w:r>
      <w:r>
        <w:rPr>
          <w:rtl w:val="true"/>
        </w:rPr>
        <w:t xml:space="preserve"> - </w:t>
      </w:r>
      <w:r>
        <w:rPr>
          <w:rtl w:val="true"/>
        </w:rPr>
        <w:t>مفهوم كفر</w:t>
      </w:r>
      <w:bookmarkEnd w:id="454"/>
    </w:p>
    <w:p>
      <w:pPr>
        <w:pStyle w:val="Heading5"/>
        <w:numPr>
          <w:ilvl w:val="4"/>
          <w:numId w:val="1"/>
        </w:numPr>
        <w:rPr/>
      </w:pPr>
      <w:bookmarkStart w:id="455" w:name="__RefHeading___Toc8089118_2142443653"/>
      <w:bookmarkStart w:id="456" w:name="_Toc173"/>
      <w:bookmarkEnd w:id="455"/>
      <w:r>
        <w:rPr/>
        <w:t>1</w:t>
      </w:r>
      <w:r>
        <w:rPr>
          <w:rtl w:val="true"/>
        </w:rPr>
        <w:t>‏-‏</w:t>
      </w:r>
      <w:r>
        <w:rPr/>
        <w:t>2</w:t>
      </w:r>
      <w:r>
        <w:rPr>
          <w:rtl w:val="true"/>
        </w:rPr>
        <w:t xml:space="preserve"> - </w:t>
      </w:r>
      <w:r>
        <w:rPr>
          <w:rtl w:val="true"/>
        </w:rPr>
        <w:t>كفر در لغت</w:t>
      </w:r>
      <w:bookmarkEnd w:id="456"/>
    </w:p>
    <w:p>
      <w:pPr>
        <w:pStyle w:val="BookText"/>
        <w:rPr/>
      </w:pPr>
      <w:r>
        <w:rPr>
          <w:rFonts w:ascii="IRNazanin" w:hAnsi="IRNazanin" w:eastAsia="IRNazanin"/>
          <w:color w:val="111111"/>
          <w:sz w:val="28"/>
          <w:sz w:val="28"/>
          <w:szCs w:val="28"/>
          <w:rtl w:val="true"/>
          <w:lang w:bidi="fa-IR"/>
        </w:rPr>
        <w:t>كفر در لغت به معنى پنهان كردن و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تاريك، كافر گفته مى شود؛ زيرا با تاريكى خود همه چيز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 نيز كافر است؛ زيرا بذر و دانه را در دل خاك پنهان مى كند</w:t>
      </w:r>
      <w:r>
        <w:rPr>
          <w:rFonts w:eastAsia="IRNazanin" w:cs="IRNazanin"/>
          <w:color w:val="111111"/>
          <w:sz w:val="28"/>
          <w:szCs w:val="28"/>
          <w:rtl w:val="true"/>
          <w:lang w:bidi="fa-IR"/>
        </w:rPr>
        <w:t>:</w:t>
      </w:r>
      <w:r>
        <w:rPr>
          <w:rStyle w:val="FootnoteAnchor"/>
          <w:rtl w:val="true"/>
        </w:rPr>
        <w:footnoteReference w:id="49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غَيْثٍ أَعْجَبَ اَلْكُفّٰارَ نَبٰاتُهُ‌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457" w:name="pg15502_177284"/>
    </w:p>
    <w:p>
      <w:pPr>
        <w:pStyle w:val="BookText"/>
        <w:rPr/>
      </w:pPr>
      <w:bookmarkEnd w:id="4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و زيورهاى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بارانى است كه كشت برآمده از آن، كشاورزان را خشنود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به شب، دريا، رودخانه ى بزرگ، ابر تاريك، سرزمين وسيع، و زره، كافر مى گويند؛ چون هر يك به نحوى چيزى را مى پوشانند</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458" w:name="__RefHeading___Toc8089120_2142443653"/>
      <w:bookmarkStart w:id="459" w:name="_Toc174"/>
      <w:bookmarkEnd w:id="458"/>
      <w:r>
        <w:rPr/>
        <w:t>2</w:t>
      </w:r>
      <w:r>
        <w:rPr>
          <w:rtl w:val="true"/>
        </w:rPr>
        <w:t>‏-‏</w:t>
      </w:r>
      <w:r>
        <w:rPr/>
        <w:t>2</w:t>
      </w:r>
      <w:r>
        <w:rPr>
          <w:rtl w:val="true"/>
        </w:rPr>
        <w:t xml:space="preserve"> - </w:t>
      </w:r>
      <w:r>
        <w:rPr>
          <w:rtl w:val="true"/>
        </w:rPr>
        <w:t>كفر در اصطلاح</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فقه و علم كلام، تفاوت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در علم فقه معمولاً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حد نصاب مسلمان بودن و خروج از مرز كفر، جارى شدن شهادتين بر زبان است و كسى كه شهادتين را نگويد، كافر مى شود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در اين موارد، كفر بيش تر مربوط به امور ظاهرى است و بيانگر نوع تعامل مسلمانان با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علم فقه بيش تر درباره ى احكام كفر، مانند شيوه ى تعامل مسلمانان در امورى همچون معاملات، ازدواج، و ارث بردن كافر از مسلمان بحث مى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علم كلام، كفر 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مى رود و مفهوم، مرزها و معيارهاى كفر به دقت بررسى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علم كلام، كفر، جداى از انكار لسانى، از افعال قلوب شمرده مى شود</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پس كفر در علم كلام، انكار چيزى است كه شأن آن، ايمان آوردن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انكار هر يك از متعلقات ايمان، موجب كفر مى شود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اين انكار، گاهى در امورى است كه بايد به آن ها ايمان تفصيلى داشت، مانند توحيد، معاد، نماز و</w:t>
      </w:r>
      <w:bookmarkStart w:id="460" w:name="pg15502_177286"/>
    </w:p>
    <w:p>
      <w:pPr>
        <w:pStyle w:val="BookText"/>
        <w:rPr/>
      </w:pPr>
      <w:bookmarkEnd w:id="460"/>
      <w:r>
        <w:rPr>
          <w:rFonts w:ascii="IRNazanin" w:hAnsi="IRNazanin" w:eastAsia="IRNazanin"/>
          <w:color w:val="111111"/>
          <w:sz w:val="28"/>
          <w:sz w:val="28"/>
          <w:szCs w:val="28"/>
          <w:rtl w:val="true"/>
          <w:lang w:bidi="fa-IR"/>
        </w:rPr>
        <w:t>روزه؛ و گاهى در امورى است كه علم تفصيلى به آن ها وجود ندارد و تنها مى دانيم كه اجمالاً در دين مسائلى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ايمان اجمالى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انكار بخش يا تمام رسالت پيامبر گرامى اسلام صلى الله عليه و آله، انكار خداوند با تمامى ابعاد وجودى و صفاتى وى، انكار غيب و هم چنين معاد، فرجامى جز فرو رفتن در ورطه ى كفر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سيد مرتضى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ى استحقاق عقاب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شمارد</w:t>
      </w:r>
      <w:r>
        <w:rPr>
          <w:rFonts w:eastAsia="IRNazanin" w:cs="IRNazanin"/>
          <w:color w:val="111111"/>
          <w:sz w:val="28"/>
          <w:szCs w:val="28"/>
          <w:rtl w:val="true"/>
          <w:lang w:bidi="fa-IR"/>
        </w:rPr>
        <w:t>.</w:t>
      </w:r>
      <w:r>
        <w:rPr>
          <w:rStyle w:val="FootnoteAnchor"/>
          <w:rtl w:val="true"/>
        </w:rPr>
        <w:footnoteReference w:id="501"/>
      </w:r>
    </w:p>
    <w:p>
      <w:pPr>
        <w:pStyle w:val="Heading4"/>
        <w:numPr>
          <w:ilvl w:val="3"/>
          <w:numId w:val="1"/>
        </w:numPr>
        <w:rPr/>
      </w:pPr>
      <w:bookmarkStart w:id="461" w:name="__RefHeading___Toc8089122_2142443653"/>
      <w:bookmarkStart w:id="462" w:name="_Toc175"/>
      <w:bookmarkEnd w:id="461"/>
      <w:r>
        <w:rPr/>
        <w:t>3</w:t>
      </w:r>
      <w:r>
        <w:rPr>
          <w:rtl w:val="true"/>
        </w:rPr>
        <w:t xml:space="preserve"> - </w:t>
      </w:r>
      <w:r>
        <w:rPr>
          <w:rtl w:val="true"/>
        </w:rPr>
        <w:t>متعلقات كفر</w:t>
      </w:r>
      <w:bookmarkEnd w:id="4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متعلقات كفر</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ازآن جاكه كفر در نقطه ى مقابل ايمان قرار دارد، متعلقات آن نيز همان متعلقات ايمان است؛ با اين تفاوت بنيادين كه ايمان، تصديق است و كفر،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آيات بسيارى به متعلقات كفر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آيات، متعلق كفر را خدا و پيامبر صلى الله عليه و آله بيان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يُؤْمِنْ بِاللّٰهِ وَ رَسُولِهِ فَإِنّٰا أَعْتَدْنٰا لِلْكٰافِرِينَ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خدا و پيامبر ايمان نياورد، پس ما براى كافرين آتشى افروخته آماده كرده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آيات، متعلق كفر را قيامت و معاد ذكر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أَفْتَرىٰ عَلَى اَللّٰهِ كَذِباً أَمْ بِهِ جِنَّةٌ بَلِ اَلَّذِينَ لاٰ يُؤْمِنُونَ بِالْآخِرَةِ فِي اَلْعَذٰابِ وَ اَلضَّلاٰلِ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دروغى بسته يا جنونى 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كه به آخرت ايمان ندارند، در عذاب و گم راهى دور و درازند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شرك به خداوند نيز جزء متعلقات كفر قرار مى گيرد؛ زيرا شرك، انكار وحدانيت و احديت خداست و اين امر بى شك از مراتب بالاى كفر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برخى از آيات، انكار آيات الهى را به منزله ى كفر يا تفسيرى از كفر بيان كرده اند كه در حقيقت، به انكار نبوت باز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هُدىً لِلنّٰاسِ وَ أَنْزَلَ اَلْفُرْقٰانَ إِنَّ اَلَّذِينَ كَفَرُوا بِآيٰاتِ اَللّٰهِ لَهُمْ عَذٰابٌ شَدِيدٌ وَ اَللّٰهُ عَزِيزٌ ذُو 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براى رهنمود مردم فرو فرستاد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جداكننده ى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آيات خدا كفر ورزيدند، بى ترديد عذابى سخت خواهند داشت و خداوند شكست ناپذير و صاحب انتقام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در برخى از آيات، انكار آيات خدا و قيامت، باهم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بِآيٰاتِ اَللّٰهِ وَ لِقٰائِهِ أُولٰئِكَ يَئِسُوا مِنْ رَحْمَتِي وَ أُولٰئِكَ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آيات خدا و لقاى او را منكر شدند، كسانى اند كه از رحمت من نااميدند و ايشان را عذابى پردرد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ميان، جامع ترين آيه اى كه موارد و متعلّقات كفر را بيان مى كند، آيه ى شريفه ى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بِاللّٰهِ وَ مَلاٰئِكَتِهِ وَ كُتُبِهِ وَ رُسُلِهِ وَ اَلْيَوْمِ اَلْآخِرِ فَقَدْ ضَلَّ ضَلاٰلاً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به خدا و فرشتگان و كتاب ها و فرستادگان و روز واپسين كافر شود، به راستى گمراه شده، گم راهى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ى شريفه، متعلقات كفر به صورت يك جا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كه در متعلقات ايمان گفته شد، متعلقات كفر نيز به صورت عام بيان شده است و هر يك در دل خود، به عناوين كوچك ترى تقسيم مى شوند</w:t>
      </w:r>
      <w:r>
        <w:rPr>
          <w:rFonts w:eastAsia="IRNazanin" w:cs="IRNazanin"/>
          <w:color w:val="111111"/>
          <w:sz w:val="28"/>
          <w:szCs w:val="28"/>
          <w:rtl w:val="true"/>
          <w:lang w:bidi="fa-IR"/>
        </w:rPr>
        <w:t>.</w:t>
      </w:r>
      <w:bookmarkStart w:id="463" w:name="pg15502_177290"/>
    </w:p>
    <w:p>
      <w:pPr>
        <w:pStyle w:val="Heading4"/>
        <w:numPr>
          <w:ilvl w:val="3"/>
          <w:numId w:val="1"/>
        </w:numPr>
        <w:rPr/>
      </w:pPr>
      <w:bookmarkStart w:id="464" w:name="__RefHeading___Toc8089124_2142443653"/>
      <w:bookmarkStart w:id="465" w:name="_Toc176"/>
      <w:bookmarkEnd w:id="463"/>
      <w:bookmarkEnd w:id="464"/>
      <w:r>
        <w:rPr/>
        <w:t>4</w:t>
      </w:r>
      <w:r>
        <w:rPr>
          <w:rtl w:val="true"/>
        </w:rPr>
        <w:t xml:space="preserve"> - </w:t>
      </w:r>
      <w:r>
        <w:rPr>
          <w:rtl w:val="true"/>
        </w:rPr>
        <w:t>اقسام كفر</w:t>
      </w:r>
      <w:bookmarkEnd w:id="465"/>
    </w:p>
    <w:p>
      <w:pPr>
        <w:pStyle w:val="Heading5"/>
        <w:numPr>
          <w:ilvl w:val="4"/>
          <w:numId w:val="1"/>
        </w:numPr>
        <w:rPr/>
      </w:pPr>
      <w:bookmarkStart w:id="466" w:name="__RefHeading___Toc8089126_2142443653"/>
      <w:bookmarkStart w:id="467" w:name="_Toc177"/>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متكلمان اسلامى با توجه به آيات و روايات، كفر را به اقسام مختلفى تقسيم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تقسيمات، هرچند با عبارت هاى گوناگون بيان شده اند، درمجموع تبيين مشخصى از اقسام كفر ارائه داده اند و به شفاف شدن و تبيين دقيق تر ابعاد و زواياى كفر كمك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كفر را مى توان از چند بُعد تقسيم بندى كرد</w:t>
      </w:r>
      <w:r>
        <w:rPr>
          <w:rFonts w:eastAsia="IRNazanin" w:cs="IRNazanin"/>
          <w:color w:val="111111"/>
          <w:sz w:val="28"/>
          <w:szCs w:val="28"/>
          <w:rtl w:val="true"/>
          <w:lang w:bidi="fa-IR"/>
        </w:rPr>
        <w:t>:</w:t>
      </w:r>
    </w:p>
    <w:p>
      <w:pPr>
        <w:pStyle w:val="Heading5"/>
        <w:numPr>
          <w:ilvl w:val="4"/>
          <w:numId w:val="1"/>
        </w:numPr>
        <w:rPr/>
      </w:pPr>
      <w:bookmarkStart w:id="468" w:name="__RefHeading___Toc8089128_2142443653"/>
      <w:bookmarkStart w:id="469" w:name="_Toc178"/>
      <w:bookmarkEnd w:id="468"/>
      <w:r>
        <w:rPr/>
        <w:t>1</w:t>
      </w:r>
      <w:r>
        <w:rPr>
          <w:rtl w:val="true"/>
        </w:rPr>
        <w:t>‏-‏</w:t>
      </w:r>
      <w:r>
        <w:rPr/>
        <w:t>4</w:t>
      </w:r>
      <w:r>
        <w:rPr>
          <w:rtl w:val="true"/>
        </w:rPr>
        <w:t xml:space="preserve"> - </w:t>
      </w:r>
      <w:r>
        <w:rPr>
          <w:rtl w:val="true"/>
        </w:rPr>
        <w:t>سطوح كفر</w:t>
      </w:r>
      <w:bookmarkEnd w:id="469"/>
    </w:p>
    <w:p>
      <w:pPr>
        <w:pStyle w:val="BookText"/>
        <w:rPr/>
      </w:pPr>
      <w:r>
        <w:rPr>
          <w:rFonts w:ascii="Amiri" w:hAnsi="Amiri" w:eastAsia="Amiri" w:cs="Amiri"/>
          <w:color w:val="111111"/>
          <w:sz w:val="28"/>
          <w:sz w:val="28"/>
          <w:szCs w:val="28"/>
          <w:rtl w:val="true"/>
          <w:lang w:bidi="ar-SA"/>
        </w:rPr>
        <w:t>كفر مى تواند در سطوح مختلف ظاهر شود</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اعتقادى، هر عقيده اى است كه به انكار يكى از متعلقات ايمان بيانجامد يا با عقايد مسلم اسلامى در تضاد باشد؛ مانند انكار خالق، انكار رسالت پيامبر گرامى اسلام صلى الله عليه و آله، و يا انكار يكى از احكام مسلم 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گفتارى، هرگونه گفتارى است كه نشانگر تضاد با عقايد اسلامى است؛ مانند دشنام به خدا و پيامبر گرامى اسلام صلى الله عليه و آله و انكار زبانى مسلمات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هنگامى چنين سخنانى به كفر گفتارى مى انجامند كه سخن، از روى خوف يا تقيه نباشد؛ اما اگر چنين بود، نمى توان فرد را كافر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پس از ايمان آوردن خود به خدا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 سخت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كس كه مجبور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ايمان اطمينان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رفتارى، هر عملى است كه نشانه ى فساد عقيده باشد؛ مانند سجده بر بت به نيت پرستش، و انداختن قرآن در جاى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چنين</w:t>
      </w:r>
      <w:bookmarkStart w:id="470" w:name="pg15502_177292"/>
    </w:p>
    <w:p>
      <w:pPr>
        <w:pStyle w:val="BookText"/>
        <w:rPr/>
      </w:pPr>
      <w:bookmarkEnd w:id="470"/>
      <w:r>
        <w:rPr>
          <w:rFonts w:ascii="IRNazanin" w:hAnsi="IRNazanin" w:eastAsia="IRNazanin"/>
          <w:color w:val="111111"/>
          <w:sz w:val="28"/>
          <w:sz w:val="28"/>
          <w:szCs w:val="28"/>
          <w:rtl w:val="true"/>
          <w:lang w:bidi="fa-IR"/>
        </w:rPr>
        <w:t>رفتارى هنگامى كفر شمرده مى شود كه از روى اختيار باشد، نه از روى اجبار يا نقص در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كفر در سطوح مختلف، در يك فرد جمع شود؛ به اين معنى كه فرد در اعتقاد، گفتار و كردار، گرفتار كفر شود</w:t>
      </w:r>
      <w:r>
        <w:rPr>
          <w:rFonts w:eastAsia="IRNazanin" w:cs="IRNazanin"/>
          <w:color w:val="111111"/>
          <w:sz w:val="28"/>
          <w:szCs w:val="28"/>
          <w:rtl w:val="true"/>
          <w:lang w:bidi="fa-IR"/>
        </w:rPr>
        <w:t>.</w:t>
      </w:r>
    </w:p>
    <w:p>
      <w:pPr>
        <w:pStyle w:val="Heading5"/>
        <w:numPr>
          <w:ilvl w:val="4"/>
          <w:numId w:val="1"/>
        </w:numPr>
        <w:rPr/>
      </w:pPr>
      <w:bookmarkStart w:id="471" w:name="__RefHeading___Toc8089130_2142443653"/>
      <w:bookmarkStart w:id="472" w:name="_Toc179"/>
      <w:bookmarkEnd w:id="471"/>
      <w:r>
        <w:rPr/>
        <w:t>2</w:t>
      </w:r>
      <w:r>
        <w:rPr>
          <w:rtl w:val="true"/>
        </w:rPr>
        <w:t>‏-‏</w:t>
      </w:r>
      <w:r>
        <w:rPr/>
        <w:t>4</w:t>
      </w:r>
      <w:r>
        <w:rPr>
          <w:rtl w:val="true"/>
        </w:rPr>
        <w:t xml:space="preserve"> - </w:t>
      </w:r>
      <w:r>
        <w:rPr>
          <w:rtl w:val="true"/>
        </w:rPr>
        <w:t>انواع كافران</w:t>
      </w:r>
      <w:bookmarkEnd w:id="472"/>
    </w:p>
    <w:p>
      <w:pPr>
        <w:pStyle w:val="BookText"/>
        <w:rPr/>
      </w:pPr>
      <w:r>
        <w:rPr>
          <w:rFonts w:ascii="IRNazanin" w:hAnsi="IRNazanin" w:eastAsia="IRNazanin"/>
          <w:color w:val="111111"/>
          <w:sz w:val="28"/>
          <w:sz w:val="28"/>
          <w:szCs w:val="28"/>
          <w:rtl w:val="true"/>
          <w:lang w:bidi="fa-IR"/>
        </w:rPr>
        <w:t>كافران نيز با توجه به رويكردى كه به كفر دارند، به گروه هاى زير تقسيم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گمراه كافرى است كه متعلقات ايمان را انكار مى كند؛ اما ريشه ى اين انكار، عدم شناخت خداوند و معارف دينى است و همين امر سبب شده است كه گرفتار كفر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اين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آنان كه گرامى شان داشته اى؛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لجوج كسى است كه هرچند خداوند متعال را در قلب خود شناخته است، اما از روى 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انكار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افرادى مانند امية بن ابى صلت و برخى از يهود كه به رسالت پيامبر گرامى اسلام صلى الله عليه و آله اطمينان داشتند، اما آن را انكار مى كردند، در اين دسته قرار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از جانب خداوند كتابى براى آن ها آمد كه موافق نشانه هايى بود كه با خود داشتند و پيش از اين، به خود نويد فتح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كمك او بر دشمنان پيروز</w:t>
      </w:r>
      <w:bookmarkStart w:id="473" w:name="pg15502_177294"/>
    </w:p>
    <w:p>
      <w:pPr>
        <w:pStyle w:val="BookText"/>
        <w:rPr/>
      </w:pPr>
      <w:bookmarkEnd w:id="473"/>
      <w:r>
        <w:rPr>
          <w:rFonts w:ascii="IRNazanin" w:hAnsi="IRNazanin" w:eastAsia="IRNazanin"/>
          <w:color w:val="111111"/>
          <w:sz w:val="28"/>
          <w:sz w:val="28"/>
          <w:szCs w:val="28"/>
          <w:rtl w:val="true"/>
          <w:lang w:bidi="fa-IR"/>
        </w:rPr>
        <w:t>گردند، با اين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اين كتاب و پيامبرى را كه از قبل شناخته بودند نزد آن ها آمد، به او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كافران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ستيزه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معاند يا ستيزه جو، كافرى است كه خداوند را مى شناسد و به وجود او اعتراف مى كند؛ اما با اين حال، به سبب حسد، تكبر، طمع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و پيامبرانش ستيز مى كند و از عبادت خدا سر باز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وليدبن مغيره در دوران پيامبر گرامى اسلام صلى الله عليه و آله بااين كه اعجاز قرآن را به قلب فهميده بود و به زبان نيز اقرار مى كرد، اما آن را سحر مى ناميد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منافق، كافرى است كه به زبان، ادعاى ايمان مى كند، اما به قلب انكار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يكى از بدترين اشكال كفر است كه آيات بسيارى در نكوهش و مذمت آن نازل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منافقان نزد تو آيند،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كه تو واقعاً پيامبر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تو واقعاً پيامبر او هستى و خدا گواهى مى دهد كه منافقان، سخت دروغ گويند</w:t>
      </w:r>
      <w:r>
        <w:rPr>
          <w:rFonts w:eastAsia="IRNazanin" w:cs="IRNazanin"/>
          <w:color w:val="111111"/>
          <w:sz w:val="28"/>
          <w:szCs w:val="28"/>
          <w:rtl w:val="true"/>
          <w:lang w:bidi="fa-IR"/>
        </w:rPr>
        <w:t>».</w:t>
      </w:r>
      <w:r>
        <w:rPr>
          <w:rStyle w:val="FootnoteAnchor"/>
          <w:rtl w:val="true"/>
        </w:rPr>
        <w:footnoteReference w:id="507"/>
      </w:r>
    </w:p>
    <w:p>
      <w:pPr>
        <w:pStyle w:val="Heading4"/>
        <w:numPr>
          <w:ilvl w:val="3"/>
          <w:numId w:val="1"/>
        </w:numPr>
        <w:rPr/>
      </w:pPr>
      <w:bookmarkStart w:id="474" w:name="__RefHeading___Toc8089132_2142443653"/>
      <w:bookmarkStart w:id="475" w:name="_Toc180"/>
      <w:bookmarkEnd w:id="474"/>
      <w:r>
        <w:rPr/>
        <w:t>5</w:t>
      </w:r>
      <w:r>
        <w:rPr>
          <w:rtl w:val="true"/>
        </w:rPr>
        <w:t xml:space="preserve"> - </w:t>
      </w:r>
      <w:r>
        <w:rPr>
          <w:rtl w:val="true"/>
        </w:rPr>
        <w:t>مراتب كفر</w:t>
      </w:r>
      <w:bookmarkEnd w:id="47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ايمان داراى درجات تكاملى است و انسان در پرتو اعمال صالح مى تواند نردبان صعود را يكى پس از ديگرى طى كند، كفر نيز داراى دركات تنازلى است و اصرار و تأكيد بر كفر مى تواند انسان را هرچه بيش تر به حضيض ذلت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ميزان عناد، لجاجت و انكار بيش تر باشد، كافر بيش تر در منجلاب كفر فرو</w:t>
      </w:r>
      <w:bookmarkStart w:id="476" w:name="pg15502_177296"/>
    </w:p>
    <w:p>
      <w:pPr>
        <w:pStyle w:val="BookText"/>
        <w:rPr/>
      </w:pPr>
      <w:bookmarkEnd w:id="476"/>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برخى از مراتب كفر، از برخى ديگر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باوجود آگاهى، عناد مى ورزد، به مراتب وضعيتش اسفناك تر از كسى است كه به سبب جهل و ناآگاهى به ورطه ى كفر گرفتار مى شود؛ و يا كافر منافقى كه كفر خود را در پشت ايمان ظاهرى پنهان مى كند، شرش بيش از كافرى است كه كفرش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به خوبى به مراتب نزولى كفر اشاره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بَعْدَ إِيمٰانِهِمْ ثُمَّ اِزْدٰادُوا كُفْراً لَنْ تُقْبَلَ تَوْبَتُهُمْ وَ أُولٰئِكَ هُمُ اَلضّٰالُّونَ‌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پس از ايمان خود كافر شدند، سپس بر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هرگز توبه ى آنان پذيرفته نخواهد شد و آنان خود گمراهان اند</w:t>
      </w:r>
      <w:r>
        <w:rPr>
          <w:rFonts w:eastAsia="IRNazanin" w:cs="IRNazanin"/>
          <w:color w:val="111111"/>
          <w:sz w:val="28"/>
          <w:szCs w:val="28"/>
          <w:rtl w:val="true"/>
          <w:lang w:bidi="fa-IR"/>
        </w:rPr>
        <w:t>».</w:t>
      </w:r>
    </w:p>
    <w:p>
      <w:pPr>
        <w:pStyle w:val="Heading4"/>
        <w:numPr>
          <w:ilvl w:val="3"/>
          <w:numId w:val="1"/>
        </w:numPr>
        <w:rPr/>
      </w:pPr>
      <w:bookmarkStart w:id="477" w:name="__RefHeading___Toc8089134_2142443653"/>
      <w:bookmarkStart w:id="478" w:name="_Toc181"/>
      <w:bookmarkEnd w:id="477"/>
      <w:r>
        <w:rPr/>
        <w:t>6</w:t>
      </w:r>
      <w:r>
        <w:rPr>
          <w:rtl w:val="true"/>
        </w:rPr>
        <w:t xml:space="preserve"> - </w:t>
      </w:r>
      <w:r>
        <w:rPr>
          <w:rtl w:val="true"/>
        </w:rPr>
        <w:t>فرجام كافران</w:t>
      </w:r>
      <w:bookmarkEnd w:id="478"/>
    </w:p>
    <w:p>
      <w:pPr>
        <w:pStyle w:val="BookText"/>
        <w:rPr/>
      </w:pPr>
      <w:r>
        <w:rPr>
          <w:rFonts w:ascii="IRNazanin" w:hAnsi="IRNazanin" w:eastAsia="IRNazanin"/>
          <w:color w:val="111111"/>
          <w:sz w:val="28"/>
          <w:sz w:val="28"/>
          <w:szCs w:val="28"/>
          <w:rtl w:val="true"/>
          <w:lang w:bidi="fa-IR"/>
        </w:rPr>
        <w:t>قرآن و روايات، بدترين فرجام را براى كافران بيان مى كنند و آن، خلود و جاودانگى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درحالى كه گنهكاران مسلمان، براى هميشه در آتش نمى مانند و پس از مجازات، مورد عفو و رحمت خداوند قرار مى گيرند؛ اما كافران چنين وضعيتى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ضَلَّ ضَلاٰلاً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را كه به او شرك آورده شود، نمى آمرزد و فروتر از آن را بر هر كه بخواهد مى بخشايد؛ و هركس به خدا شرك ورزد، قطعاً دچار گم راهى دور و درازى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خداوند هيچ عذر و بهانه اى را در مقابل كفر نمى پذيرد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مٰاتُوا وَ هُمْ كُفّٰارٌ فَلَنْ يُقْبَلَ مِنْ أَحَدِهِمْ مِلْ‌ءُ اَلْأَرْضِ ذَهَباً وَ لَوِ اِفْتَدىٰ بِهِ أُولٰئِكَ لَهُمْ عَذٰابٌ أَلِيمٌ وَ مٰا لَهُمْ مِنْ نٰاصِرِينَ‌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bookmarkStart w:id="479" w:name="pg15502_177298"/>
    </w:p>
    <w:p>
      <w:pPr>
        <w:pStyle w:val="BookText"/>
        <w:rPr/>
      </w:pPr>
      <w:bookmarkEnd w:id="4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كسانى كه كافر شده و در حال كفر مرده اند، حتى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پر از طلا كنند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دهند، هرگز از هيچ يك از آنان پذيرفته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عذابى دردناك خواهد بود و ياورانى نخواهند داشت</w:t>
      </w:r>
      <w:r>
        <w:rPr>
          <w:rFonts w:eastAsia="IRNazanin" w:cs="IRNazanin"/>
          <w:color w:val="111111"/>
          <w:sz w:val="28"/>
          <w:szCs w:val="28"/>
          <w:rtl w:val="true"/>
          <w:lang w:bidi="fa-IR"/>
        </w:rPr>
        <w:t>».</w:t>
      </w:r>
    </w:p>
    <w:p>
      <w:pPr>
        <w:pStyle w:val="Heading4"/>
        <w:numPr>
          <w:ilvl w:val="3"/>
          <w:numId w:val="1"/>
        </w:numPr>
        <w:rPr/>
      </w:pPr>
      <w:bookmarkStart w:id="480" w:name="__RefHeading___Toc8089136_2142443653"/>
      <w:bookmarkStart w:id="481" w:name="_Toc182"/>
      <w:bookmarkEnd w:id="480"/>
      <w:r>
        <w:rPr/>
        <w:t>7</w:t>
      </w:r>
      <w:r>
        <w:rPr>
          <w:rtl w:val="true"/>
        </w:rPr>
        <w:t xml:space="preserve"> - </w:t>
      </w:r>
      <w:r>
        <w:rPr>
          <w:rtl w:val="true"/>
        </w:rPr>
        <w:t>فتنه ى تكفير</w:t>
      </w:r>
      <w:bookmarkEnd w:id="481"/>
    </w:p>
    <w:p>
      <w:pPr>
        <w:pStyle w:val="Heading5"/>
        <w:numPr>
          <w:ilvl w:val="4"/>
          <w:numId w:val="1"/>
        </w:numPr>
        <w:rPr/>
      </w:pPr>
      <w:bookmarkStart w:id="482" w:name="__RefHeading___Toc8089138_2142443653"/>
      <w:bookmarkStart w:id="483" w:name="_Toc183"/>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يكى از معضلات اساسى در ميان مذاهب اسلامى، مسأله ى تكفير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در برهه هايى از تاريخ، گروه هايى از مسلمانان، مخالفان خود را كافر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تصور شود كه مسأله ى تكفير، تنها ميان شيعيان و اهل سنت بوده است؛ اما با نگاهى به داستان تكفير در جهان اسلام، در ميان فرق مختلف اهل سنت نيز چنين وضعيتى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محمدبن موسى حنفى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دمشق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ها را تكفير كرده؛</w:t>
      </w:r>
      <w:r>
        <w:rPr>
          <w:rStyle w:val="FootnoteAnchor"/>
          <w:rtl w:val="true"/>
        </w:rPr>
        <w:footnoteReference w:id="508"/>
      </w:r>
      <w:r>
        <w:rPr>
          <w:rFonts w:ascii="IRNazanin" w:hAnsi="IRNazanin" w:eastAsia="IRNazanin"/>
          <w:color w:val="111111"/>
          <w:sz w:val="28"/>
          <w:sz w:val="28"/>
          <w:szCs w:val="28"/>
          <w:rtl w:val="true"/>
          <w:lang w:bidi="fa-IR"/>
        </w:rPr>
        <w:t xml:space="preserve">يا ابوحامد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را رمى به كفر نموده است؛ و يا ابن حاتم حنبلى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يكن حنبلياً فليس بمسلم</w:t>
      </w:r>
      <w:r>
        <w:rPr>
          <w:rFonts w:eastAsia="IRNazanin" w:cs="IRNazanin"/>
          <w:color w:val="111111"/>
          <w:sz w:val="28"/>
          <w:szCs w:val="28"/>
          <w:rtl w:val="true"/>
          <w:lang w:bidi="fa-IR"/>
        </w:rPr>
        <w:t>».</w:t>
      </w:r>
      <w:r>
        <w:rPr>
          <w:rStyle w:val="FootnoteAnchor"/>
          <w:rtl w:val="true"/>
        </w:rPr>
        <w:footnoteReference w:id="50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نسبت به اين گونه ديدگاه ها، دو نكته اهميت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چنين فتاوايى، در تاريخ اسلام امر رايجى ميان انديشمندان بزرگ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هرچند چنين نظرياتى در ميان مذاهب ديده مى شود، اما هيچ يك از مذاهب اسلامى، حكم به استباحه ى خون و مال مخالفان خود نداده اند؛</w:t>
      </w:r>
      <w:r>
        <w:rPr>
          <w:rStyle w:val="FootnoteAnchor"/>
          <w:rtl w:val="true"/>
        </w:rPr>
        <w:footnoteReference w:id="510"/>
      </w:r>
      <w:r>
        <w:rPr>
          <w:rFonts w:ascii="IRNazanin" w:hAnsi="IRNazanin" w:eastAsia="IRNazanin"/>
          <w:color w:val="111111"/>
          <w:sz w:val="28"/>
          <w:sz w:val="28"/>
          <w:szCs w:val="28"/>
          <w:rtl w:val="true"/>
          <w:lang w:bidi="fa-IR"/>
        </w:rPr>
        <w:t>اما در تاريخ اسلام، فتنه ى تكفير به همراه اباحه ى خون و مال و ناموس، با خوارج آغاز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بر اساس اين مبنا، خون و مال مسلمانان را مباح مى شمارد و به كشتار و غارت اموال</w:t>
      </w:r>
      <w:bookmarkStart w:id="484" w:name="pg15502_177300"/>
    </w:p>
    <w:p>
      <w:pPr>
        <w:pStyle w:val="BookText"/>
        <w:rPr/>
      </w:pPr>
      <w:bookmarkEnd w:id="484"/>
      <w:r>
        <w:rPr>
          <w:rFonts w:ascii="IRNazanin" w:hAnsi="IRNazanin" w:eastAsia="IRNazanin"/>
          <w:color w:val="111111"/>
          <w:sz w:val="28"/>
          <w:sz w:val="28"/>
          <w:szCs w:val="28"/>
          <w:rtl w:val="true"/>
          <w:lang w:bidi="fa-IR"/>
        </w:rPr>
        <w:t>مسلمانان مى پردازد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در قرن حاضر نيز وهابيت و گروه هاى افراطى سلفى كه تحت حمايت وهابيت افراطى اند، چنين رويكردى را درپيش گرفته و بر اين اساس، تيغ وحشتناك تكفير را در حوزه ى نظر و عمل بر پيكر فرتوت مسلمانان فرود مى آورند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كشتارهايى كه در عراق، افغانستان، پاكستان، الجزاير و ديگر مناطق اسلامى توسط سلفيان تكفيرى صورت مى گيرد، ريشه در همين ديدگاه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توجه به آن چه گفته شد، از ا بعاد مختلف به بررسى فتنه تكفير پرداخته مى شود</w:t>
      </w:r>
      <w:r>
        <w:rPr>
          <w:rFonts w:eastAsia="IRNazanin" w:cs="IRNazanin"/>
          <w:color w:val="111111"/>
          <w:sz w:val="28"/>
          <w:szCs w:val="28"/>
          <w:rtl w:val="true"/>
          <w:lang w:bidi="fa-IR"/>
        </w:rPr>
        <w:t>.</w:t>
      </w:r>
    </w:p>
    <w:p>
      <w:pPr>
        <w:pStyle w:val="Heading5"/>
        <w:numPr>
          <w:ilvl w:val="4"/>
          <w:numId w:val="1"/>
        </w:numPr>
        <w:rPr/>
      </w:pPr>
      <w:bookmarkStart w:id="485" w:name="__RefHeading___Toc8089140_2142443653"/>
      <w:bookmarkStart w:id="486" w:name="_Toc184"/>
      <w:bookmarkEnd w:id="485"/>
      <w:r>
        <w:rPr/>
        <w:t>1</w:t>
      </w:r>
      <w:r>
        <w:rPr>
          <w:rtl w:val="true"/>
        </w:rPr>
        <w:t>‏-‏</w:t>
      </w:r>
      <w:r>
        <w:rPr/>
        <w:t>7</w:t>
      </w:r>
      <w:r>
        <w:rPr>
          <w:rtl w:val="true"/>
        </w:rPr>
        <w:t xml:space="preserve"> - </w:t>
      </w:r>
      <w:r>
        <w:rPr>
          <w:rtl w:val="true"/>
        </w:rPr>
        <w:t>حرمت انسان و مسلمان در انديشه ى اسلامى</w:t>
      </w:r>
      <w:bookmarkEnd w:id="486"/>
    </w:p>
    <w:p>
      <w:pPr>
        <w:pStyle w:val="BookText"/>
        <w:rPr/>
      </w:pPr>
      <w:r>
        <w:rPr>
          <w:rFonts w:ascii="IRNazanin" w:hAnsi="IRNazanin" w:eastAsia="IRNazanin"/>
          <w:color w:val="111111"/>
          <w:sz w:val="28"/>
          <w:sz w:val="28"/>
          <w:szCs w:val="28"/>
          <w:rtl w:val="true"/>
          <w:lang w:bidi="fa-IR"/>
        </w:rPr>
        <w:t>در انديشه ى اسلامى، جان و اموال انسان بسيار محترم و گرامى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روى بر فرزندان اسرائيل مقرر داشتيم كه هركس كسى را جز به قصاص قتل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فسادى در زمين بكشد، چنان است كه گويى همه ى مردم را كشته باشد و هركس كسى را زنده بدارد، چنان است كه گويى تمام مردم را زنده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ازسوى ديگر، از نظر قرآن معيار ايمان و كفر، اظهار شعائر اسلام و اقرار به مسلمانى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كسى اجازه ى تعرض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راه خدا سفر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رسيدگى كنيد و به كسى كه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مى كند، مگوييد تو مؤمن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زندگى دنيا را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اين آيه آمده است كه پس از غزوه ى خيبر، پيامبر گرامى اسلام صلى الله عليه و آله اسامة بن زيد را با جمعى به سوى برخى از قريه هاى يهود در اطراف فدك فرستاد تا آنان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 بن نهيك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حضور اسامه آگاهى يافت، نزديكان و اموال خود را در كنار كوهى جمع نمود و نزد اسامه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أسامه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نزد رسول خدا رفت و جريان را براى آن حضرت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را كشتى كه به لا اله الا اللَّه و انّى رسول اللَّه،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نجات از كشته شدن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دل او را شكافتى تا آگاهى پيدا كنى‌؟</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روايات بسيارى نيز وجود دارد كه مسلمانان را از تكفير هم كيشان خود نهى كرده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 الله عليه و آله مرزهاى بين ايمان و كفر را چنين بيان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قالوها، وصلوا صلاتنا، واستقبلوا قبلتنا، وذبحوا ذبيحتنا، فقد حرمت علينا دماؤهم و اموالهم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شده ام با مردم بجنگم، تا هنگامى كه كلمه ى توحيد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كلمه ى توحيد را گفتند، و نمازها را انجام داده و به سوى قبله ى ما نماز خواندند، و مانند ما گوسفند را ذبح نمودند، اموال و خون آنان بر ما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خيبر، هنگامى كه پيامبر گرامى اسلام صلى الله عليه و آله پرچم را براى فتح قلعه هاى خيبر به اميرالمؤمنين على عليه السلام سپرد، على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زمانى با آنان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كه به لا اله الا اللَّه و محمد رسول اللَّه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كردند، خون و مال آنان از سوى تو محفوظ است؛ جز آن كه خلاف حق را مرتكب شوند و حساب آنان بر خداى بزرگ خواهد بود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پيامبر گرامى اسلام صلى الله عليه و آله به همين مضمون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عن اهل لا اله الا الله لا تكفروهم بذنب فمن اكفر اهل لا اله الا الله فهو الى الكفر اقرب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اهل لا اله الا الله بداريد و آنان را به خاطر يك گناه تكفير نكنيد؛ كه هركس اهل لا اله الا الله را تكفير كند، خود او به كفر نزديك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به گفته ى سماعة بن مهران، امام صادق عليه السلام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عبارت است از شهادت به لا اله الا للَّه و تصديق به رسالت رسول خدا صلى الله عليه و آله؛ و با اين عقيده، خون ها محفوظ، و روابط زناشويى و پيوند ميراث برقرار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مردم بر اين باور هستند</w:t>
      </w:r>
      <w:r>
        <w:rPr>
          <w:rFonts w:eastAsia="IRNazanin" w:cs="IRNazanin"/>
          <w:color w:val="111111"/>
          <w:sz w:val="28"/>
          <w:szCs w:val="28"/>
          <w:rtl w:val="true"/>
          <w:lang w:bidi="fa-IR"/>
        </w:rPr>
        <w:t>».</w:t>
      </w:r>
      <w:r>
        <w:rPr>
          <w:rStyle w:val="FootnoteAnchor"/>
          <w:rtl w:val="true"/>
        </w:rPr>
        <w:footnoteReference w:id="517"/>
      </w:r>
      <w:bookmarkStart w:id="487" w:name="pg15502_177307"/>
    </w:p>
    <w:p>
      <w:pPr>
        <w:pStyle w:val="BookText"/>
        <w:rPr/>
      </w:pPr>
      <w:bookmarkEnd w:id="487"/>
      <w:r>
        <w:rPr>
          <w:rFonts w:ascii="IRNazanin" w:hAnsi="IRNazanin" w:eastAsia="IRNazanin"/>
          <w:color w:val="111111"/>
          <w:sz w:val="28"/>
          <w:sz w:val="28"/>
          <w:szCs w:val="28"/>
          <w:rtl w:val="true"/>
          <w:lang w:bidi="fa-IR"/>
        </w:rPr>
        <w:t>رواياتى كه مسلمانان را به تكفير ديگران نهى مى كند، در متون حديثى فريقين بسيار زياد است كه در اين مختصر نمى گنجد</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488" w:name="__RefHeading___Toc8089142_2142443653"/>
      <w:bookmarkStart w:id="489" w:name="_Toc185"/>
      <w:bookmarkEnd w:id="488"/>
      <w:r>
        <w:rPr/>
        <w:t>2</w:t>
      </w:r>
      <w:r>
        <w:rPr>
          <w:rtl w:val="true"/>
        </w:rPr>
        <w:t>‏-‏</w:t>
      </w:r>
      <w:r>
        <w:rPr/>
        <w:t>7</w:t>
      </w:r>
      <w:r>
        <w:rPr>
          <w:rtl w:val="true"/>
        </w:rPr>
        <w:t xml:space="preserve"> - </w:t>
      </w:r>
      <w:r>
        <w:rPr>
          <w:rtl w:val="true"/>
        </w:rPr>
        <w:t>انديشمندان اسلامى و مسأله ى تكفير</w:t>
      </w:r>
      <w:bookmarkEnd w:id="489"/>
    </w:p>
    <w:p>
      <w:pPr>
        <w:pStyle w:val="BookText"/>
        <w:rPr/>
      </w:pPr>
      <w:r>
        <w:rPr>
          <w:rFonts w:ascii="IRNazanin" w:hAnsi="IRNazanin" w:eastAsia="IRNazanin"/>
          <w:color w:val="111111"/>
          <w:sz w:val="28"/>
          <w:sz w:val="28"/>
          <w:szCs w:val="28"/>
          <w:rtl w:val="true"/>
          <w:lang w:bidi="fa-IR"/>
        </w:rPr>
        <w:t>در نگاه انديشمندان اسلامى، تكفير مسلمان، بسيار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دانشمندان شيعه، به تحريم تكفير مسلمانان ديگر فتوا داده اند؛ از جمله مى توان به شيخ صدوق،</w:t>
      </w:r>
      <w:r>
        <w:rPr>
          <w:rStyle w:val="FootnoteAnchor"/>
          <w:rtl w:val="true"/>
        </w:rPr>
        <w:footnoteReference w:id="519"/>
      </w:r>
      <w:r>
        <w:rPr>
          <w:rFonts w:ascii="Amiri" w:hAnsi="Amiri" w:eastAsia="Amiri" w:cs="Amiri"/>
          <w:color w:val="111111"/>
          <w:sz w:val="28"/>
          <w:sz w:val="28"/>
          <w:szCs w:val="28"/>
          <w:rtl w:val="true"/>
          <w:lang w:bidi="ar-SA"/>
        </w:rPr>
        <w:t>شيخ حسن صاحب جواهر</w:t>
      </w:r>
      <w:r>
        <w:rPr>
          <w:rStyle w:val="FootnoteAnchor"/>
          <w:rtl w:val="true"/>
        </w:rPr>
        <w:footnoteReference w:id="520"/>
      </w:r>
      <w:r>
        <w:rPr>
          <w:rFonts w:ascii="Amiri" w:hAnsi="Amiri" w:eastAsia="Amiri" w:cs="Amiri"/>
          <w:color w:val="111111"/>
          <w:sz w:val="28"/>
          <w:sz w:val="28"/>
          <w:szCs w:val="28"/>
          <w:rtl w:val="true"/>
          <w:lang w:bidi="ar-SA"/>
        </w:rPr>
        <w:t>، مرحوم حكيم</w:t>
      </w:r>
      <w:r>
        <w:rPr>
          <w:rStyle w:val="FootnoteAnchor"/>
          <w:rtl w:val="true"/>
        </w:rPr>
        <w:footnoteReference w:id="521"/>
      </w:r>
      <w:r>
        <w:rPr>
          <w:rFonts w:ascii="IRNazanin" w:hAnsi="IRNazanin" w:eastAsia="IRNazanin"/>
          <w:color w:val="111111"/>
          <w:sz w:val="28"/>
          <w:sz w:val="28"/>
          <w:szCs w:val="28"/>
          <w:rtl w:val="true"/>
          <w:lang w:bidi="fa-IR"/>
        </w:rPr>
        <w:t>، آملى</w:t>
      </w:r>
      <w:r>
        <w:rPr>
          <w:rStyle w:val="FootnoteAnchor"/>
          <w:rtl w:val="true"/>
        </w:rPr>
        <w:footnoteReference w:id="522"/>
      </w:r>
      <w:r>
        <w:rPr>
          <w:rFonts w:ascii="Amiri" w:hAnsi="Amiri" w:eastAsia="Amiri" w:cs="Amiri"/>
          <w:color w:val="111111"/>
          <w:sz w:val="28"/>
          <w:sz w:val="28"/>
          <w:szCs w:val="28"/>
          <w:rtl w:val="true"/>
          <w:lang w:bidi="ar-SA"/>
        </w:rPr>
        <w:t>و علامه مجلسى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صدوق معتقد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عبارت است از گواهى دادن به شهادتين؛ و به وسيله ى آن، جان و مال از تعرض مصون مى ماند؛ و هركس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محمد رسول الله، جان و مالش محفوظ خواهد ماند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مرحوم سيد كاظم يزدى، از علماى بزرگ شيعه نيز مى گويد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كسى است كه منكر الوهيت يا توحيد يا رسالت يا امرى ضرورى از ضروريات 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انكار ضرورى دين در صورتى موجب كفر مى شود كه توجه به ضرورى بودن آن داشته باشد؛ به گونه اى كه انكار آن به انكار رسالت بازگشت كند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به عقيده ى آيت اللّه خويى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تحقق اسلام دخالت دارد و طهارت و احترام مال و جان و غير آن دو بر او مترتب مى 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وحدانيت خدا، نبوت و معاد، كه فرقه هاى اسلامى به آن عقيده دارند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در اين ميان، انديشمند بزرگ شيعه، سيد عبدالحسين شرف الدين، كه آثار بسيارى را در تبيين ديدگاه هاى شيعه در برابر اهل سنت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رشته تحرير درآورده است، اثر ارزشمندى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فى تأليف الامة</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دارد كه در آن به بررسى فتنه ى تكفير و حرمت آن از نگاه شيعه و اهل سنت مى پردازد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سنى، ابن حزم انديشه ها را در زمينه ى تكفير به چند دسته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آن كه بابى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فى من يكفر ولايكفر</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مى گشايد،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اين باب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كسى كه در مسائل اعتقادى و يا در فتوا، سخنى مخالف آنان گفته باشد، نسبت كفر داده اند؛ دسته اى ديگر، برحسب ديدگاه هاى خود، بخشى از نظرات مخالف را تكفير و برخى را موجب فسق دانسته اند؛ دسته ى ديگر كسى را كه در مسأله ى اعتقادى با آن ها مخالف باشد كافر خوانده، مخالف خود در احكام و عبادات را نه كافر و نه فاسق مى شمارند، بلكه او را مجتهدى معذور مى دانند كه اگر خطا كرده باشد، به سبب نيتش مأجور است؛ گروه ديگرى اين مبنا را در عبادات پذيرفته اند، اما درباره ى مسائل اعتقادى گفته اند كه هر مخالفتى در مسأله ى صفات الهى، به كفر مى انجامد و اگر غير اين باشد، فسق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وى سپس به ديدگاه خود و دانشمندان بزرگ اهل سنت اشاره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گفته اند كه به سبب نظريه ى مخالف در مسائل اعتقادى و يا فتوا، هرگز نبايد مسلمانى را تكفير و تفسيق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ديدگاه ابن ابى ليلى، ابو حنيفه، شافعى، سفيان ثورى و داودبن على است و اين عقيده ى هر صحابه اى است كه ديدگاهش را در اين مسأله مى دانيم و هيچ مخالفى را در اين رأى نمى شناسيم</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وى سپس پا را فراتر مى گذارد و به شدت به تضعيف دو روايت نقل شده از پيامبر گرامى اسلام صلى الله عليه و آله مى پردازد كه بر اساس آن، مرجئه و قدريه مجوس امت دانسته شده و افتراق امت به بيش از هفتاد فرقه كه تنها يك فرقه در بهشتند،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گويد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اعتقاد به حجيت خبر واحد دارد، اين احاديث ضعيف السند هستند؛ چه برسد به كسى كه به حجيت خبر واحد اعتقاد ندارد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زاهر سرخسى از شاگردان ابوالحسن اشعرى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اشعرى هنگام مرگ در منزل من بود كه دستور داد همه ى ياران و شاگردان او را جمع كنم؛ وقتى همه جمع شدند، به آن 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باشيد كه من هيچ يك از اهل قبله را به خاطر ارتكاب گناه تكفير نمى كنم؛ زيرا همه ى آن ها يك معبود را مى پرستند و اسلام، تمامى آن ها را دربرمى گيرد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عباراتى نيز از 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شافعيان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هيچ يك از اهل اهواء را به خاطر گناهى تكفير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احدى از اهل قبله را بر اثر گناهى تكفير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همه ى اهل بدعت را به جز خطابيه قبول مى كنم</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ابوجعفر طحاوى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ى طحاويه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بسيارى از انديشمندان اهل سنت شرح هاى گوناگونى بر آن نوشته اند،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 را تا هنگامى كه به تعاليم پيامبر گرامى اسلام صلى الله عليه و آله ايمان داشته باشند، مسلمان و مؤمن 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اهل قبله را به خاطر ارتكاب گناه، مادامى كه آن را حلال نشمارد، تكفير نمى كنيم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قاضى عياض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بزرگ مالكى در 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چيزى درباره ى خداوند بگويد كه با شأن و عظمت خدا منافات دارد، اما دشنام و رد بر خداوند نبوده و قصد كفر نداشته باشد، بلكه سخن وى معلول اجتهاد و تأويل وى باشد، او اهل بدعت مى شود؛ اما اين مورد از مواردى است كه سلف و خلف نسبت به تكفير چنين شخصى اختلاف كرده اند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به گفته ى ملا على قارى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حنفى 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اعتقاد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اين است كه در نظر بيش تر علماى گذشته و حال، ما هرگز اهل بدعت ها و اهواء را تكفير نمى كنيم؛ مگر آن كه سخن يا عمل آنان كفر صريح باشد؛ نه اين كه به دلالت التزامى بر كفر حمل شود؛ زيرا بنا بر نظر دقيق تر، لازمِ يك مذهب، به معنى آن مذهب نيست؛ و به همين سبب در طول تاريخ، مسلمانان با چنين افرادى در ازدواج، نماز بر مردگانشان و دفن آنان در مقابر مسلمين، همانند مسلمانان ديگر عمل مى كرده اند؛ زيرا آن ها، هرچند خطاكار و گناهكارند و بايد ايشان را فاسق و گمراه شمرد، اما آنان از كلام خود، اراده ى كفر نكرده اند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ملا على قارى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پس از آن كه برخى ديدگاه هاى علما را پيرامون تكفير بيان مى كند، در جمع ميان اقوال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اهل قبله تكفير نمى شود و قول برخى مبنى بر كفر كسى كه قائل به خلق قرآن است، يا رؤيت خدا را محال مى داند و يا شيخين را سب و لعن مى كند و مانند آن، مشكل است؛ همان گونه كه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به گفته ى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 متكلمان و فقها معتقدند كه هيچ يك از اهل قبله را نمى توان تكفير كرد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وى سپس در جمع ميان اقوالى كه اهل اهواء را تكفير كرده اند و اقوالى كه تكفير را منع مى كنند، از قول ابن همام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حكم به كفر كسانى از اهل اهواء كه ذكر كرديم، با توجه به آن چه كه از ابوحنيفه و شافعى نسبت به عدم تكفير اهل قبله ثابت شده است، اين است كه چنين اعتقاداتى ذاتاً كفر است؛ گوينده ى آن كلام نيز كفر گفته است؛ اما خودش تكفير</w:t>
      </w:r>
    </w:p>
    <w:p>
      <w:pPr>
        <w:pStyle w:val="BookText"/>
        <w:rPr/>
      </w:pPr>
      <w:r>
        <w:rPr>
          <w:rFonts w:ascii="IRNazanin" w:hAnsi="IRNazanin" w:eastAsia="IRNazanin"/>
          <w:color w:val="111111"/>
          <w:sz w:val="28"/>
          <w:sz w:val="28"/>
          <w:szCs w:val="28"/>
          <w:rtl w:val="true"/>
          <w:lang w:bidi="fa-IR"/>
        </w:rPr>
        <w:t xml:space="preserve">نمى شود؛ زيرا ديدگاه وى نتيجه ى تلاش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 يابى به حقيقت بوده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تقى الدين سبكى، از علماى بزرگ شافعى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 اظهارنظر درباره ى تكفير اهل ايمان كار سخت و مشكلى است و هركس در قلب خود ايمان داشته باشد، تكفير اهل هوى و بدعت، براى او خطرناك است؛ چون كه آنان لااله الاالله و محمد رسول الله مى گويند و تكفير كردن ديگران، كار هولناك و خطر بزرگى دارد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در جاى ديگر، در رابطه با غلات، بدعت گذاران، اهل هوى، متكلمان و فيلسوفان از او 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هركس از خداوند عزوجل بترسد، هرگز جرأت نمى كند به تكفير كسى كه لا اله الا الله و محمد رسول الله مى گويد، زبان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حكم به تكفير كسى نمى كند، مگر اين كه خود از اصول دين بيرون رود و منكر شهادتين باشد و بالاخره از دين اسلام خارج شود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حتى برخى از بزرگان اهل سنت تا بدان جا پيش رفته اند كه از تكفير گروه هايى مانند خوارج نيز پرهيز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نووى، شارح صحيح مسلم مى گويد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مذهب اهل حق اين است كه كسى از اهل قبله به سبب گناهى تكفير نمى شود و حتى اهل اهواء و بدعت، مانند خوارج و معتزله و غير آن ها نيز تكفير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را بايد مرتد و كافر شمرد كه چيزى از ضروريات دين اسلام را انكار كند</w:t>
      </w:r>
      <w:r>
        <w:rPr>
          <w:rFonts w:eastAsia="IRNazanin" w:cs="IRNazanin"/>
          <w:color w:val="111111"/>
          <w:sz w:val="28"/>
          <w:szCs w:val="28"/>
          <w:rtl w:val="true"/>
          <w:lang w:bidi="fa-IR"/>
        </w:rPr>
        <w:t>».</w:t>
      </w:r>
      <w:r>
        <w:rPr>
          <w:rStyle w:val="FootnoteAnchor"/>
          <w:rtl w:val="true"/>
        </w:rPr>
        <w:footnoteReference w:id="540"/>
      </w:r>
      <w:bookmarkStart w:id="490" w:name="pg15502_177318"/>
    </w:p>
    <w:p>
      <w:pPr>
        <w:pStyle w:val="Heading5"/>
        <w:numPr>
          <w:ilvl w:val="4"/>
          <w:numId w:val="1"/>
        </w:numPr>
        <w:rPr/>
      </w:pPr>
      <w:bookmarkStart w:id="491" w:name="__RefHeading___Toc8089144_2142443653"/>
      <w:bookmarkStart w:id="492" w:name="_Toc186"/>
      <w:bookmarkEnd w:id="490"/>
      <w:bookmarkEnd w:id="491"/>
      <w:r>
        <w:rPr/>
        <w:t>3</w:t>
      </w:r>
      <w:r>
        <w:rPr>
          <w:rtl w:val="true"/>
        </w:rPr>
        <w:t>‏-‏</w:t>
      </w:r>
      <w:r>
        <w:rPr/>
        <w:t>7</w:t>
      </w:r>
      <w:r>
        <w:rPr>
          <w:rtl w:val="true"/>
        </w:rPr>
        <w:t xml:space="preserve"> - </w:t>
      </w:r>
      <w:r>
        <w:rPr>
          <w:rtl w:val="true"/>
        </w:rPr>
        <w:t>شيعه و مسأله ى امامت</w:t>
      </w:r>
      <w:bookmarkEnd w:id="492"/>
    </w:p>
    <w:p>
      <w:pPr>
        <w:pStyle w:val="BookText"/>
        <w:rPr/>
      </w:pPr>
      <w:r>
        <w:rPr>
          <w:rFonts w:ascii="IRNazanin" w:hAnsi="IRNazanin" w:eastAsia="IRNazanin"/>
          <w:color w:val="111111"/>
          <w:sz w:val="28"/>
          <w:sz w:val="28"/>
          <w:szCs w:val="28"/>
          <w:rtl w:val="true"/>
          <w:lang w:bidi="fa-IR"/>
        </w:rPr>
        <w:t xml:space="preserve">در انديشه ى شيعه، جداى از اصول دين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ركن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اصول مذهب شمرده مى شود و اين دو اصل، راه شيعه را از اهل سنت جدا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با تكيه بر دلايل عقلى و نقلى، به اثبات امامت مى پردازد؛ اما نكته اى كه نبايد آن را فراموش كرد، اين واقعيت است كه صِرف نپذيرفتن ولايت، هرچند فرد را از دايره ى تشيع خارج مى كند، سبب خروج وى از اسلام و تكفير وى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با توجه به رويكردى كه غير شيعيان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مى توان آن ها را به دو بخش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همه ى اهل سنت هستند كه همانند شيعيان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پس از جنگ صفين، گروهى به سب و لعن اميرالمؤمنين على عليه السلام پرداختند، اما در قرن دوم، احمدبن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تبيين گوشه اى از فضايل اميرالمؤمنين على عليه السلام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 چنين مجموعه ى حديثى وى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لبالب از فضائل اميرالمؤمنين على عليه السلام و خاندان اوست</w:t>
      </w:r>
      <w:r>
        <w:rPr>
          <w:rFonts w:eastAsia="IRNazanin" w:cs="IRNazanin"/>
          <w:color w:val="111111"/>
          <w:sz w:val="28"/>
          <w:szCs w:val="28"/>
          <w:rtl w:val="true"/>
          <w:lang w:bidi="fa-IR"/>
        </w:rPr>
        <w:t>.</w:t>
      </w:r>
      <w:r>
        <w:rPr>
          <w:rStyle w:val="FootnoteAnchor"/>
          <w:rtl w:val="true"/>
        </w:rPr>
        <w:footnoteReference w:id="54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محبت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سنت، فراگير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نيز اشعار بسيار ارزشمندى دارد كه نشانگر ارادت وى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از افرادى همانند امام مالك و ابوحنيفه نيز نظرات مشابهى نقل شده است</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گروه دوم، گروهى معاند و دشنام دهندگان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نمى توان در رديف اهل سنت قرار داد؛ زيرا چنين رويكردى مخالف صريح قرآن، سنت و ديدگاه ارباب مذاهب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از دين بهره اى نبرده اند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حتى اگر از فرق شيعه كسى لب به دشنام و يا سب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بگشايد، از حوزه ى دين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الاثنى عشرية من فرق الشيعة اذا لم يظهر منهم نصب ومعاداة وسبّ لسائر الائمة الذين لا يعتقدون بامامتهم طاهرون، واما مع ظهور ذلك منهم فهم مثل سائر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هاى غير شيعه ى اثنى عشريه، در صورتى كه از آنان دشمنى و ناسزاگويى به امامانى كه امامت آنان را باور ندارند، اظهار نشود، پاك مى باشند؛ و در صورتى كه از آن ها يكى از اين امور نسبت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شود، حكم آنان مانند نواصب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در برخى از روايات و فتاواى بزرگان شيعه آمده است كه انكار ولايت و يا امامت، موجب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مفيد در اين زمينه مى گويد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 كفر كسانى كه با اميرالمؤمنين على عليه السلام جنگيدند، اجماع دارد؛ اما شيخ طوسى آنان را از ملت اسلام خارج نمى كند، زيرا كفر آن ها به سبب تأويل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كافر مرتد خارج از شريعت قلمداد نكرده است، به ويژه آن كه آنان شهادتين را جارى مى كردند و به همين سبب آنان كافر مرتد كه موجب خروج از اسلام مى شود، نيستند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به عبارت ديگر، شيخ مفيد و شيخ طوسى، كفر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تأويلى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خروج از دين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خروج از شريعت است تقسيم مى كنند، و هنگامى كه كسانى را كه در برابر اميرالمؤمنين على عليه اسلام شمشير زده اند، مستحق كفر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شمارند، چه گونه ساير مسلمانان را كافران مرتد به شمار مى آورند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شايد بتوان گفت كسى كه گرفتار كفر تأويلى است، فقط داخل در اسلام است، نه داخل در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آن چه گفته شد، كفرى كه موجب خروج از اسلام مى شود، نصب و عناد با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وجود، هرچند گاهى تكفير در ميان مذاهب مختلف ديده مى شود، اما چنين رويكردى، هرگز سبب فتوا به اباحه ى خون و 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گروه خوارج، بربهارى و وهابيت تكفيرى چنين رويكردى را درپيش گرفته اند</w:t>
      </w:r>
      <w:r>
        <w:rPr>
          <w:rFonts w:eastAsia="IRNazanin" w:cs="IRNazanin"/>
          <w:color w:val="111111"/>
          <w:sz w:val="28"/>
          <w:szCs w:val="28"/>
          <w:rtl w:val="true"/>
          <w:lang w:bidi="fa-IR"/>
        </w:rPr>
        <w:t>.</w:t>
      </w:r>
      <w:bookmarkStart w:id="493" w:name="pg15502_177325"/>
    </w:p>
    <w:p>
      <w:pPr>
        <w:pStyle w:val="Heading3"/>
        <w:numPr>
          <w:ilvl w:val="2"/>
          <w:numId w:val="1"/>
        </w:numPr>
        <w:rPr/>
      </w:pPr>
      <w:bookmarkStart w:id="494" w:name="__RefHeading___Toc8089146_2142443653"/>
      <w:bookmarkStart w:id="495" w:name="_Toc187"/>
      <w:bookmarkEnd w:id="493"/>
      <w:bookmarkEnd w:id="494"/>
      <w:r>
        <w:rPr>
          <w:rtl w:val="true"/>
        </w:rPr>
        <w:t>فصل سيزدهم</w:t>
      </w:r>
      <w:r>
        <w:rPr>
          <w:rtl w:val="true"/>
        </w:rPr>
        <w:t xml:space="preserve">: </w:t>
      </w:r>
      <w:r>
        <w:rPr>
          <w:rtl w:val="true"/>
        </w:rPr>
        <w:t>خاستگاه سلفى گرى تكفيرى</w:t>
      </w:r>
      <w:bookmarkEnd w:id="49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6" w:name="__RefHeading___Toc8089148_2142443653"/>
      <w:bookmarkStart w:id="497" w:name="_Toc188"/>
      <w:bookmarkEnd w:id="496"/>
      <w:r>
        <w:rPr>
          <w:rtl w:val="true"/>
        </w:rPr>
        <w:t>اشاره</w:t>
      </w:r>
      <w:bookmarkStart w:id="498" w:name="pg15502_177328"/>
      <w:bookmarkEnd w:id="497"/>
    </w:p>
    <w:p>
      <w:pPr>
        <w:pStyle w:val="Heading4"/>
        <w:numPr>
          <w:ilvl w:val="3"/>
          <w:numId w:val="1"/>
        </w:numPr>
        <w:rPr/>
      </w:pPr>
      <w:bookmarkStart w:id="499" w:name="__RefHeading___Toc8089150_2142443653"/>
      <w:bookmarkStart w:id="500" w:name="_Toc189"/>
      <w:bookmarkEnd w:id="498"/>
      <w:bookmarkEnd w:id="499"/>
      <w:r>
        <w:rPr/>
        <w:t>1</w:t>
      </w:r>
      <w:r>
        <w:rPr>
          <w:rtl w:val="true"/>
        </w:rPr>
        <w:t xml:space="preserve"> - </w:t>
      </w:r>
      <w:r>
        <w:rPr>
          <w:rtl w:val="true"/>
        </w:rPr>
        <w:t>مقدمه</w:t>
      </w:r>
      <w:bookmarkEnd w:id="500"/>
    </w:p>
    <w:p>
      <w:pPr>
        <w:pStyle w:val="BookText"/>
        <w:rPr/>
      </w:pPr>
      <w:r>
        <w:rPr>
          <w:rFonts w:ascii="IRNazanin" w:hAnsi="IRNazanin" w:eastAsia="IRNazanin"/>
          <w:color w:val="111111"/>
          <w:sz w:val="28"/>
          <w:sz w:val="28"/>
          <w:szCs w:val="28"/>
          <w:rtl w:val="true"/>
          <w:lang w:bidi="fa-IR"/>
        </w:rPr>
        <w:t>همان گونه كه گفته شد، هرچند در ميان مذاهب اسلامى تكفير به چشم مى خورد، اما تكفيرى كه به اباحه ى خون، مال و نواميس مسلمانان بينجامد، تنها در سه گروه خوارج،</w:t>
      </w:r>
      <w:r>
        <w:rPr>
          <w:rStyle w:val="FootnoteAnchor"/>
          <w:rtl w:val="true"/>
        </w:rPr>
        <w:footnoteReference w:id="547"/>
      </w:r>
      <w:r>
        <w:rPr>
          <w:rFonts w:ascii="Amiri" w:hAnsi="Amiri" w:eastAsia="Amiri" w:cs="Amiri"/>
          <w:color w:val="111111"/>
          <w:sz w:val="28"/>
          <w:sz w:val="28"/>
          <w:szCs w:val="28"/>
          <w:rtl w:val="true"/>
          <w:lang w:bidi="ar-SA"/>
        </w:rPr>
        <w:t>بربهاريان</w:t>
      </w:r>
      <w:r>
        <w:rPr>
          <w:rStyle w:val="FootnoteAnchor"/>
          <w:rtl w:val="true"/>
        </w:rPr>
        <w:footnoteReference w:id="548"/>
      </w:r>
      <w:r>
        <w:rPr>
          <w:rFonts w:ascii="IRNazanin" w:hAnsi="IRNazanin" w:eastAsia="IRNazanin"/>
          <w:color w:val="111111"/>
          <w:sz w:val="28"/>
          <w:sz w:val="28"/>
          <w:szCs w:val="28"/>
          <w:rtl w:val="true"/>
          <w:lang w:bidi="fa-IR"/>
        </w:rPr>
        <w:t>و وهابيان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خوارج و بربهاريان، به تاريخ پيوستند و از ديدگاه هاى تند و افراطى آنان، جز در منابع تاريخى چيزى باقى نماند و امروز تنها سلفيان تكفيرى نمايندگى اين دو گروه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گونه هاى سلفى گرى، سلفى گرى تكفيرى، رسماً به تكفير مسلمانان مى پردازد، بى آن كه به متعلقات ايمان و كفر توجهى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ى سلفى گرى تكفيرى هر ديدگاهى كه با عقايد آن ها نسازد، محكوم به كفر و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با توجه به آن كه سلفى گرى تكفيرى، ميراث انديشه ى ابن تيميه است، ديدگاه وى درباره ى تكفير بررسى خواهد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هرچند ابن تيميه نظريه پرداز پروژه ى تكفير در جهان اسلام است، اما در روزگار او، ديدگاه تكفيرى وى از مرز نظريه پيش تر نرفت و در حوزه ى عمل، به اباحه ى خون و مال مسلمانان نينجاميد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خود ابن تيمه نيز در حوزه ى عملى، در اين خصوص با احتياط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مى دانست گروه هايى همانند وهابيت با</w:t>
      </w:r>
      <w:bookmarkStart w:id="501" w:name="pg15502_177330"/>
    </w:p>
    <w:p>
      <w:pPr>
        <w:pStyle w:val="BookText"/>
        <w:rPr/>
      </w:pPr>
      <w:bookmarkEnd w:id="501"/>
      <w:r>
        <w:rPr>
          <w:rFonts w:ascii="IRNazanin" w:hAnsi="IRNazanin" w:eastAsia="IRNazanin"/>
          <w:color w:val="111111"/>
          <w:sz w:val="28"/>
          <w:sz w:val="28"/>
          <w:szCs w:val="28"/>
          <w:rtl w:val="true"/>
          <w:lang w:bidi="fa-IR"/>
        </w:rPr>
        <w:t>تكيه بر ديدگاه هاى وى، خون و اموال هزاران مسلمان را بر باد خواهند داد، شايد نظريات خود را به گونه اى ديگر ارائه مى كرد</w:t>
      </w:r>
      <w:r>
        <w:rPr>
          <w:rFonts w:eastAsia="IRNazanin" w:cs="IRNazanin"/>
          <w:color w:val="111111"/>
          <w:sz w:val="28"/>
          <w:szCs w:val="28"/>
          <w:rtl w:val="true"/>
          <w:lang w:bidi="fa-IR"/>
        </w:rPr>
        <w:t>.</w:t>
      </w:r>
    </w:p>
    <w:p>
      <w:pPr>
        <w:pStyle w:val="Heading4"/>
        <w:numPr>
          <w:ilvl w:val="3"/>
          <w:numId w:val="1"/>
        </w:numPr>
        <w:rPr/>
      </w:pPr>
      <w:bookmarkStart w:id="502" w:name="__RefHeading___Toc8089152_2142443653"/>
      <w:bookmarkStart w:id="503" w:name="_Toc190"/>
      <w:bookmarkEnd w:id="502"/>
      <w:r>
        <w:rPr/>
        <w:t>2</w:t>
      </w:r>
      <w:r>
        <w:rPr>
          <w:rtl w:val="true"/>
        </w:rPr>
        <w:t xml:space="preserve"> - </w:t>
      </w:r>
      <w:r>
        <w:rPr>
          <w:rtl w:val="true"/>
        </w:rPr>
        <w:t>ابن تيميه، بنيان گذار سلفى گرى تكفيرى</w:t>
      </w:r>
      <w:bookmarkEnd w:id="50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تيميه، بنيان گذار سلفى گرى تكفيرى</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حوزه ى نظرى، انديشه ى تكفير در چند قرن گذشته، ريشه در ديدگاه هاى ابن تيميه دارد و وهابيت و ديگر گروه هاى تكفيرى، ديدگاه تكفيرى خود را از ابن تيميه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براى فهم ديدگاه تكفيرى وهابيان، بايد ابن تيميه را نقطه ى عزيمت قرار داد</w:t>
      </w:r>
      <w:r>
        <w:rPr>
          <w:rFonts w:eastAsia="IRNazanin" w:cs="IRNazanin"/>
          <w:color w:val="111111"/>
          <w:sz w:val="28"/>
          <w:szCs w:val="28"/>
          <w:rtl w:val="true"/>
          <w:lang w:bidi="fa-IR"/>
        </w:rPr>
        <w:t>.</w:t>
      </w:r>
    </w:p>
    <w:p>
      <w:pPr>
        <w:pStyle w:val="Heading4"/>
        <w:numPr>
          <w:ilvl w:val="3"/>
          <w:numId w:val="1"/>
        </w:numPr>
        <w:rPr/>
      </w:pPr>
      <w:bookmarkStart w:id="504" w:name="__RefHeading___Toc8089154_2142443653"/>
      <w:bookmarkStart w:id="505" w:name="_Toc191"/>
      <w:bookmarkEnd w:id="504"/>
      <w:r>
        <w:rPr/>
        <w:t>3</w:t>
      </w:r>
      <w:r>
        <w:rPr>
          <w:rtl w:val="true"/>
        </w:rPr>
        <w:t xml:space="preserve"> - </w:t>
      </w:r>
      <w:r>
        <w:rPr>
          <w:rtl w:val="true"/>
        </w:rPr>
        <w:t>ابن تيميه و تكفير</w:t>
      </w:r>
      <w:bookmarkEnd w:id="505"/>
    </w:p>
    <w:p>
      <w:pPr>
        <w:pStyle w:val="BookText"/>
        <w:rPr/>
      </w:pPr>
      <w:r>
        <w:rPr>
          <w:rFonts w:ascii="IRNazanin" w:hAnsi="IRNazanin" w:eastAsia="IRNazanin"/>
          <w:color w:val="111111"/>
          <w:sz w:val="28"/>
          <w:sz w:val="28"/>
          <w:szCs w:val="28"/>
          <w:rtl w:val="true"/>
          <w:lang w:bidi="fa-IR"/>
        </w:rPr>
        <w:t>ديدگاه ابن تيميه درباره ى تكفير نيز همانند ساير انديشه هاى وى، لبالب از تعارض و تضاد است؛ بدين معنى كه با مراجعه به برخى از آثار ابن تيميه، وى را شخصيتى ضدتكفير مى يابيم؛ اما او در برخى ديگر از آثارش، چنان تيغ تكفير را بر فرق جامعه ى اسلامى فرو مى آورد كه انسان شگفت زده مى شود و در جمع ميان آراى تكفيرى و ضدتكفيرى وى مى ماند</w:t>
      </w:r>
      <w:r>
        <w:rPr>
          <w:rFonts w:eastAsia="IRNazanin" w:cs="IRNazanin"/>
          <w:color w:val="111111"/>
          <w:sz w:val="28"/>
          <w:szCs w:val="28"/>
          <w:rtl w:val="true"/>
          <w:lang w:bidi="fa-IR"/>
        </w:rPr>
        <w:t>.</w:t>
      </w:r>
    </w:p>
    <w:p>
      <w:pPr>
        <w:pStyle w:val="Heading4"/>
        <w:numPr>
          <w:ilvl w:val="3"/>
          <w:numId w:val="1"/>
        </w:numPr>
        <w:rPr/>
      </w:pPr>
      <w:bookmarkStart w:id="506" w:name="__RefHeading___Toc8089156_2142443653"/>
      <w:bookmarkStart w:id="507" w:name="_Toc192"/>
      <w:bookmarkEnd w:id="506"/>
      <w:r>
        <w:rPr/>
        <w:t>4</w:t>
      </w:r>
      <w:r>
        <w:rPr>
          <w:rtl w:val="true"/>
        </w:rPr>
        <w:t xml:space="preserve"> - </w:t>
      </w:r>
      <w:r>
        <w:rPr>
          <w:rtl w:val="true"/>
        </w:rPr>
        <w:t>ابن تيميه و انديشه ى ضد تكفيرى</w:t>
      </w:r>
      <w:bookmarkEnd w:id="50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در برخى از كتاب هاى خود،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تفصيل درباره ى اقسام تكفير، شرايط تكفير و حرمت تكفير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اين بخش از سخنان ابن تيميه، وى را مى توان چهره اى ضدتكفيرى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ابتدا تكفير را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تكفير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كلام، فعل يا</w:t>
      </w:r>
    </w:p>
    <w:p>
      <w:pPr>
        <w:pStyle w:val="BookText"/>
        <w:rPr/>
      </w:pPr>
      <w:r>
        <w:rPr>
          <w:rFonts w:ascii="IRNazanin" w:hAnsi="IRNazanin" w:eastAsia="IRNazanin"/>
          <w:color w:val="111111"/>
          <w:sz w:val="28"/>
          <w:sz w:val="28"/>
          <w:szCs w:val="28"/>
          <w:rtl w:val="true"/>
          <w:lang w:bidi="fa-IR"/>
        </w:rPr>
        <w:t>اعتقادى است كه با مبانى اسلام در تضاد و تناقض است؛ هم چنين به صورت مطلق به كسى كه چنين ديدگاهى داشته باشد، كافر اطلاق مى شود؛ اما فرد خاصى مورد نظر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حكم به تكفير شخص معين و خاصى است كه عملى را در تضاد با اصول و مبانى اسلام انجام داده است و به سبب وجود شروط تكفير در وى و نبودن مانع، كافر خوانده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يَجْرِمَنَّكُمْ شَنَآنُ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عداوت گروهى نبايد شما را بر آن دارد كه از راه عدل بيرون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كنيد كه به تقوا نزديك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خدا بترسيد، كه البته خدا به هرچه مى 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ى ابن تيميه، بايد ميان تكفير مطلق و معين تفاوت قائل شد؛ يعنى چنين نيست كه هركس فعلى را كه منطبق با كفر بود انجام داد، كافر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فردى كه در مسأله اى از امور اعتقادى مخالفت كرد، به معنى هلاكت 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شخص مخالف، مجتهدى است كه در اجتهاد خود خطا كرده است و خداوند وى را مى بخشد؛ و گاهى درباره ى موضوع، آگاهى و علم كافى ندارد و به همين سبب، حجت بر وى تمام نشده است؛ و گاهى حسناتى كه دارد، سيئات وى را پوشش مى دهد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ابن تيميه در تبيين تفاوت ميان تكفير مطلق و معين مى گويد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بزرگان سلف گفته اند كه اگر كسى فلان چيز را بگويد، حكمش فلان است، ناظر به تكفير مطلق است و صحيح است؛ اما بايد ميان تكفير مطلق و معين تفاوت</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نخستين مسأله ى بزرگى است كه ميان امت موجب نزاع شده است و آن، مسأله ى وعيد</w:t>
      </w:r>
      <w:r>
        <w:rPr>
          <w:rStyle w:val="FootnoteAnchor"/>
          <w:rtl w:val="true"/>
        </w:rPr>
        <w:footnoteReference w:id="5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وعيد در قرآن مجيد، به صورت مطلق بيان شده است؛ مانند اين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هم چنين گزاره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كند،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موارد، امور مطلق و عام هستند و اين همانند گفته ى سلف است كه كسى كه چنين بگويد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وعيد به واسطه ى توبه، حسنات، مصائبى كه جبران كننده ى گناه است و يا شفاعت مقبول نسبت به فرد معين، منتفى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تكفير نيز مانند 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تكفير تكذيب گفته ى پيامبر گرامى اسلام صلى الله عليه و آله است، اما گاهى فرد، تازه مسلمان است و يا در سرزمين دورى زندگى كرده و از معارف دينى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از روى لجاجت كفر نمى ورزد تا حجتى براى تكفير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فرد، آيات و روايات مربوطه را نشنيده است و يا شنيده، اما نزد او ثابت نشده است، و يا داراى معارضى بوده كه موجب تأويل نص شده است؛ چنين فردى، هرچند خطاكار است، اما مستوجب تكفير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دائم به ياد حديثى مى افتم كه در صحيح مسلم و بخارى درباره ى مردى نقل شده است كه گفت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 مُردم، بدنم را بسوزانيد؛ خاكسترش را بكوبيد؛ سپس در دريا بر باد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خدا توانست مرا به شكل اول درآورد، چنان عذاب كند كه تاكنون كسى را عذاب نكرده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وى 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زمين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گرفته اى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 به شكل اوليه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ادعايى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تو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نيز او را بخشيد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اين مرد به قدرت خدا و اين كه در صورت خاكستر شدن بازگردانده خواهد شد، شك كرد؛ بلكه اعتقاد داشت كه دوباره زنده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اعتقادى در انديشه ى تمامى مسلمانان كفر است؛ اما وى فردى جاهل بود كه چنين چيزى را نمى دانست و مؤمن بود و مى ترسيد كه خداوند عقوبتش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خداوند وى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اهل اجتهاد باشد و تأويل كند، و مقيد باشد كه از پيامبر گرامى اسلام صلى الله عليه و آله پى روى نمايد، به طريق اولى استحقاق بيش ترى براى بخشش دارد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ابن تيميه در جايى ديگر بيان مى دارد كه حتى برخى از ديدگاه هاى جهميه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وى، به صورت مطلق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اعتقاد به خلق قرآن، انكار رؤيت خدا و انكار حضور خداوند بر عرش، موجب نمى شود كه معتقد به اين امور نيز كافر باشد؛ مگر آن كه حجت بر تكفير وى تمام باشد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او هم چنين عقايد باطنيه را كفر مى داند، اما حكم به تكفير افراد باطنى را مشروط به ثبوت شروط تكفير و از ميان رفتن موانع تكفير درباره ى آنان مى داند</w:t>
      </w:r>
      <w:r>
        <w:rPr>
          <w:rFonts w:eastAsia="IRNazanin" w:cs="IRNazanin"/>
          <w:color w:val="111111"/>
          <w:sz w:val="28"/>
          <w:szCs w:val="28"/>
          <w:rtl w:val="true"/>
          <w:lang w:bidi="fa-IR"/>
        </w:rPr>
        <w:t>.</w:t>
      </w:r>
      <w:r>
        <w:rPr>
          <w:rStyle w:val="FootnoteAnchor"/>
          <w:rtl w:val="true"/>
        </w:rPr>
        <w:footnoteReference w:id="55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نمونه هايى در تأييد اين نظريه را از بزرگان سلف، به ويژه احمدبن حنبل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او، هرچند احمدبن حنبل به دليل عدم اعتقاد به خلق قرآن، سال ها توسط معتزله، جهميه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 و شلاق خورد و گاهى هم تكفير شد،</w:t>
      </w:r>
    </w:p>
    <w:p>
      <w:pPr>
        <w:pStyle w:val="BookText"/>
        <w:rPr/>
      </w:pPr>
      <w:r>
        <w:rPr>
          <w:rFonts w:ascii="IRNazanin" w:hAnsi="IRNazanin" w:eastAsia="IRNazanin"/>
          <w:color w:val="111111"/>
          <w:sz w:val="28"/>
          <w:sz w:val="28"/>
          <w:szCs w:val="28"/>
          <w:rtl w:val="true"/>
          <w:lang w:bidi="fa-IR"/>
        </w:rPr>
        <w:t>اما وى آنان را به گونه ى معين تكفير نكرد؛ هرچند به كفر جهميه به صورت مطلق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كسانى كه او را به زندان انداختند، كتكش زدند و تكفيرش كردند، مانند مسلمانان برخورد مى كرد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به گفته ى ابن تيميه، احمدبن حنبل در نماز، حتى به بزرگان جهميه اقتدا مى كرد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ابن تيميه پس از آن، در بيان تفاوت ميان تكفير مطلق و معين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چه آمد، مشخص شد كه هركس به خداوند اقرار كند، داراى ايمان است؛ و اگر به دليل نرسيدن اخبار به وى، حجت بر وى تمام نشد، نبايد به سبب عدم قبول، وى را كافر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اصل، معلوم شد كه عامه ى اهل نماز، به خدا و پيامبر گرامى اسلام صلى الله عليه و آله ايمان دارند، هرچند در ويژگى هاى معبود و صفات خدا، داراى اختلافاتى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كسى كه منافق است و تنها به زبان اظهار اسلام مى كند و در دل به پيامبر گرامى اسلام صلى الله عليه و آله كفر مى ورزد، مؤمن نيست و هركس كه اظهار اسلام كند و منافق نباشد، مؤمن است و به اندازه ى ظرفيت خودش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اهل جهنم نيست؛ هرچند در قلبش تنها به اندازه ى مثقال ذره اى از ايمان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افراد متنازع در صفات و قدر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باوجود اختلافات اعتقادى، در ايمان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كسى وارد بهشت شود كه همانند پيامبر گرامى اسلام صلى الله عليه و آله خدا را بشناسد، امت پيامبر صلى الله عليه و آله هرگز وارد بهشت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آن ها و يا بيش تر آن ها، به اندازه ى پيامبر گرامى اسلام صلى الله عليه و آله قدرت درك خداوند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امت پيامبر</w:t>
      </w:r>
    </w:p>
    <w:p>
      <w:pPr>
        <w:pStyle w:val="BookText"/>
        <w:rPr/>
      </w:pPr>
      <w:r>
        <w:rPr>
          <w:rFonts w:ascii="IRNazanin" w:hAnsi="IRNazanin" w:eastAsia="IRNazanin"/>
          <w:color w:val="111111"/>
          <w:sz w:val="28"/>
          <w:sz w:val="28"/>
          <w:szCs w:val="28"/>
          <w:rtl w:val="true"/>
          <w:lang w:bidi="fa-IR"/>
        </w:rPr>
        <w:t>گرامى اسلام صلى الله عليه و آله وارد بهشت مى شوند؛ اما جايگاه آنان در بهشت با توجه به درجه ى ايمان و معرفتشان مشخص مى شود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ابن تيميه در جايى ديگر، تكفير افراد معين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ديدگاه هاى بدعت آميز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 شمارد و فتوا مى دهد كه هيچ كس نمى تواند احدى از مسلمانان را تكفير كند، هرچند خطاكار باشند، تا وقتى كه حقيقت براى آن ها تبيين شود و شبهه زدوده گردد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ابن تيميه بخش ديگرى از ديدگاه خود را به شرايط و موانع تكفير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شرايط تكفير فرد يا گروه معين، دو اصل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فرد از گفته يا عمل خود قصد كفر كرده باشد؛ بدين معنى كه به مفهوم كفرى ديدگاه خود معتقد باشد؛ اما چنان چه وى معتقد است كه ديدگاهش حاوى معنى كفر نيست، در رمى وى به كفر، اشكال است</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به گفته ى او، اگر لازمه ى سخنى كفر باشد، چنان چه فرد به آن لازم معتقد نباشد، نمى توان او را تكفير كرد؛ هم چنين اگر سخنى داراى وجوه مختلفى است كه برخى از آن ها كفر است و برخى ديگر كفر نيست، بايد حتماً قصد معين از تكلم به آن سخن مشخص شود كه آيا معانى كفرآميز را اراده كرده است يا معانى غير كفرآميز</w:t>
      </w:r>
      <w:r>
        <w:rPr>
          <w:rFonts w:eastAsia="IRNazanin" w:cs="IRNazanin"/>
          <w:color w:val="111111"/>
          <w:sz w:val="28"/>
          <w:szCs w:val="28"/>
          <w:rtl w:val="true"/>
          <w:lang w:bidi="fa-IR"/>
        </w:rPr>
        <w:t>».</w:t>
      </w:r>
      <w:r>
        <w:rPr>
          <w:rStyle w:val="FootnoteAnchor"/>
          <w:rtl w:val="true"/>
        </w:rPr>
        <w:footnoteReference w:id="56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نظر علمى، حجت بر وى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وعيد به كفر، در حق فرد معين ثابت نمى شود، تا هنگامى كه حجت خدا كه توسط پيامبران نازل شده</w:t>
      </w:r>
      <w:bookmarkStart w:id="508" w:name="pg15502_177341"/>
    </w:p>
    <w:p>
      <w:pPr>
        <w:pStyle w:val="BookText"/>
        <w:rPr/>
      </w:pPr>
      <w:bookmarkEnd w:id="508"/>
      <w:r>
        <w:rPr>
          <w:rFonts w:ascii="IRNazanin" w:hAnsi="IRNazanin" w:eastAsia="IRNazanin"/>
          <w:color w:val="111111"/>
          <w:sz w:val="28"/>
          <w:sz w:val="28"/>
          <w:szCs w:val="28"/>
          <w:rtl w:val="true"/>
          <w:lang w:bidi="fa-IR"/>
        </w:rPr>
        <w:t>است، بر فرد تمام شود؛ چنان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كُنّٰا مُعَذِّبِينَ حَتّٰى نَبْعَثَ رَسُولاً</w:t>
      </w:r>
      <w:r>
        <w:rPr>
          <w:rFonts w:eastAsia="IRNazanin" w:cs="IRNazanin"/>
          <w:color w:val="111111"/>
          <w:sz w:val="28"/>
          <w:szCs w:val="28"/>
          <w:rtl w:val="true"/>
          <w:lang w:bidi="fa-IR"/>
        </w:rPr>
        <w:t>»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ابن تيميه موانعى را نيز براى تكفير ذكر مى كند كه در صورت وجود اين موانع نمى توان فردى را كافر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موانع تكفير معين در چهار مورد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خطا، ناتوانى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وى، هر يك از اين موانع مى تواند مانع تكفير فرد يا افراد معين شود</w:t>
      </w:r>
      <w:r>
        <w:rPr>
          <w:rFonts w:eastAsia="IRNazanin" w:cs="IRNazanin"/>
          <w:color w:val="111111"/>
          <w:sz w:val="28"/>
          <w:szCs w:val="28"/>
          <w:rtl w:val="true"/>
          <w:lang w:bidi="fa-IR"/>
        </w:rPr>
        <w:t>.</w:t>
      </w:r>
      <w:r>
        <w:rPr>
          <w:rStyle w:val="FootnoteAnchor"/>
          <w:rtl w:val="true"/>
        </w:rPr>
        <w:footnoteReference w:id="565"/>
      </w:r>
    </w:p>
    <w:p>
      <w:pPr>
        <w:pStyle w:val="Heading4"/>
        <w:numPr>
          <w:ilvl w:val="3"/>
          <w:numId w:val="1"/>
        </w:numPr>
        <w:rPr/>
      </w:pPr>
      <w:bookmarkStart w:id="509" w:name="__RefHeading___Toc8089158_2142443653"/>
      <w:bookmarkStart w:id="510" w:name="_Toc193"/>
      <w:bookmarkEnd w:id="509"/>
      <w:r>
        <w:rPr/>
        <w:t>5</w:t>
      </w:r>
      <w:r>
        <w:rPr>
          <w:rtl w:val="true"/>
        </w:rPr>
        <w:t xml:space="preserve"> - </w:t>
      </w:r>
      <w:r>
        <w:rPr>
          <w:rtl w:val="true"/>
        </w:rPr>
        <w:t>ابن تيميه و تكفير مسلمانان</w:t>
      </w:r>
      <w:bookmarkEnd w:id="510"/>
    </w:p>
    <w:p>
      <w:pPr>
        <w:pStyle w:val="BookText"/>
        <w:rPr/>
      </w:pPr>
      <w:r>
        <w:rPr>
          <w:rFonts w:ascii="IRNazanin" w:hAnsi="IRNazanin" w:eastAsia="IRNazanin"/>
          <w:color w:val="111111"/>
          <w:sz w:val="28"/>
          <w:sz w:val="28"/>
          <w:szCs w:val="28"/>
          <w:rtl w:val="true"/>
          <w:lang w:bidi="fa-IR"/>
        </w:rPr>
        <w:t>اگر فتاوا و ديدگاه هاى تكفيرى ابن تيميه در خصوص مذاهب اسلامى و شخصيت هاى بزرگ اسلام، اعم از شيعه و سنى نبود، با توجه به آن چه گفته شد، نام ابن تيميه در رديف شخصيت هاى معتدل و تقريبى جهان اسلام رقم مى خورد؛ اما متأسفانه با نگاهى به كارنامه ى او در تقابل با مذاهب و شخصيت هاى بزرگ اسلامى، چنين تصورى از ميان مى رود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 رويكردهاى دوگانه در انديشه ى ابن تيميه، بى سابقه نيست و ديدگاه هاى ضد و نقيض در انديشه ى وى بسيار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به شدت با عقل گرايى مخالفت كرده، عقل را بت معرفى مى كند، و گاه چنان خود در مباحث عقلى وارد مى شود كه گويى تنها عقل را منبع مشروعيت مى شناسد؛ با فلسفه و منطق به شدت به مبارزه</w:t>
      </w:r>
    </w:p>
    <w:p>
      <w:pPr>
        <w:pStyle w:val="BookText"/>
        <w:rPr/>
      </w:pPr>
      <w:r>
        <w:rPr>
          <w:rFonts w:ascii="IRNazanin" w:hAnsi="IRNazanin" w:eastAsia="IRNazanin"/>
          <w:color w:val="111111"/>
          <w:sz w:val="28"/>
          <w:sz w:val="28"/>
          <w:szCs w:val="28"/>
          <w:rtl w:val="true"/>
          <w:lang w:bidi="fa-IR"/>
        </w:rPr>
        <w:t>برمى خيزد، اما در استدلال هاى خود، به مناسبت هاى گوناگون، از انگاره هاى منطقى و فلسفى بهره مى گيرد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در مسأله ى تكفير نيز چنين وضعيتى به خوبى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هنگامى كه به صورت كلى به تبيين موضوع تكفير مى پردازد، ديدگاهى نسبتاً معتدل ارائه مى كند؛ اما برخلاف گفته هاى خود، در مواضع ديگر، رويكردى كاملاً تكفيرى درپيش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نظرها و برخوردهاى تند و تعصب آميز وى با ديگر شخصيت هاى اسلامى، براى كسى كه با ديدگاه هاى وى در حوزه ى تكفير آشنا باشد، بسيار شگفت آور و تعجب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يكى از عواملى كه سبب شده است او در ميان مذاهب اسلامى، اعم از شيعه و اهل سنت، منزوى و مطرود شود، همين ديدگاه هاى تكفيرى اوست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البته ابن تيميه از تقسيم تكفير به مطلق و معين، براى تكفير مسلمانان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تقسيم، راه تكفير مذاهب و فرق اسلامى را بر خود هموار كرده است و با اين ادعا كه تكفير مطلق به معنى تكفير افراد و اشخاص متدين به يك مذهب يا فرقه نيست، ابتدا زمينه هاى تكفير فرق و مذاهب را فراهم مى كند؛ سپس با تكيه بر تكفير مطلق و تطبيق آن بر پيروان آن مذهب، تيغ تكفير را بر پيكر آنان فرود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ازسوى ديگر، از نظر منطقى، هنگامى كه مذهب يا فرقه اى تكفيرشد، افراد منتسب به آن نيز كافر قلمداد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وقتى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اشعرى مذهب يا پيرو مذهب شيعه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مذهب اشعرى يا شيعه نيز تكفير شود، تكفير شامل آن شخص نيز مى 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جداى از اين، ابن تيميه بدون توجه به متعلقات ايمان و كفر، هم به صورت مطلق و هم به صورت معين، به تكفير مذاهب و رهبران بزرگ مذاهب اسلامى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درباره ى مكتب معتزله و اشاعره معتقد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معتزله مخانيث</w:t>
      </w:r>
      <w:r>
        <w:rPr>
          <w:rStyle w:val="FootnoteAnchor"/>
          <w:rtl w:val="true"/>
        </w:rPr>
        <w:footnoteReference w:id="568"/>
      </w:r>
      <w:r>
        <w:rPr>
          <w:rFonts w:ascii="Amiri" w:hAnsi="Amiri" w:eastAsia="Amiri" w:cs="Amiri"/>
          <w:color w:val="111111"/>
          <w:sz w:val="28"/>
          <w:sz w:val="28"/>
          <w:szCs w:val="28"/>
          <w:rtl w:val="true"/>
          <w:lang w:bidi="ar-SA"/>
        </w:rPr>
        <w:t>جهميه اند و آنان نزديك ترين افراد به فيلسوفان صابئى مذهب روم هستند</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وى هم چنين هر كسى را كه در مسأله ى صفات، ديدگاهى همانند آنان دارد، در رديف آنان مى شمارد</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وى اشعريه را نيز مخانيث معتزله شمرده است؛</w:t>
      </w:r>
      <w:r>
        <w:rPr>
          <w:rStyle w:val="FootnoteAnchor"/>
          <w:rtl w:val="true"/>
        </w:rPr>
        <w:footnoteReference w:id="571"/>
      </w:r>
      <w:r>
        <w:rPr>
          <w:rFonts w:ascii="IRNazanin" w:hAnsi="IRNazanin" w:eastAsia="IRNazanin"/>
          <w:color w:val="111111"/>
          <w:sz w:val="28"/>
          <w:sz w:val="28"/>
          <w:szCs w:val="28"/>
          <w:rtl w:val="true"/>
          <w:lang w:bidi="fa-IR"/>
        </w:rPr>
        <w:t>سپس درباره ى همه ى آن ها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آن ها گمراه و تكذيب كنندگان پيامبران اند وكسى كه خداوند به او معرفت دين را عطا كرده و چشم بينايى داشته باشد و خاستگاه واقعى اين افراد را بشناسد، قطعاً خواهد دانست كه آن ها در اسماء وآيات خدا ملحد شده اند و پيامبران، قرآن و رسالت پيامبران را تكذيب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مى گويند كه بدعت، مشتق از كفر است؛ و مى گويند معتزله مخانيث فيلسوفان، و اشعريه مخانيث معتزله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عمار نيز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جهميه ى مرد، و اشعريه، جهميه ى زن هستند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هنگامى كه ابن تيميه از الفاظى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كند، آيا شامل فردفرد و يا دست كم اكثريت اشاعره و معتزله نمى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هم چنين رسماً به تكفير فيلسوفان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تقسيم فيلسوفان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گروه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رديف</w:t>
      </w:r>
    </w:p>
    <w:p>
      <w:pPr>
        <w:pStyle w:val="BookText"/>
        <w:rPr/>
      </w:pPr>
      <w:r>
        <w:rPr>
          <w:rFonts w:ascii="IRNazanin" w:hAnsi="IRNazanin" w:eastAsia="IRNazanin"/>
          <w:color w:val="111111"/>
          <w:sz w:val="28"/>
          <w:sz w:val="28"/>
          <w:szCs w:val="28"/>
          <w:rtl w:val="true"/>
          <w:lang w:bidi="fa-IR"/>
        </w:rPr>
        <w:t>كفار مى داند و آموزه هاى آنان را سرشار از كفريات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افرادى مانند ابن سينا، فارابى، غزالى، ابن سبعين و خواجه نصير را در رديف اين گروه قرار مى دهد و وجوب قتل امثال آنان را به اتفاق تمامى اهل ايمان ادعا مى كند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به گفته ى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فلاسفه و باطنيه كافرند و كفر آنان در نزد مسلمانان، ظاهر، و نزد كسى كه علم و ايمان داشته باشد، ثابت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وى در جاى ديگر، كفر آنان را از كفر يهود و نصارى بيش تر مى داند و معتقد است كه اگر اينان ادعاى اسلام هم مى كنند، در واقع منافق اند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ابن تيميه متصوفان و عارفان را كه اكثريت اهل سنت را تشكيل مى دهند، اولياى شيطان مى خواند</w:t>
      </w:r>
      <w:r>
        <w:rPr>
          <w:rStyle w:val="FootnoteAnchor"/>
          <w:rtl w:val="true"/>
        </w:rPr>
        <w:footnoteReference w:id="577"/>
      </w:r>
      <w:r>
        <w:rPr>
          <w:rFonts w:ascii="Amiri" w:hAnsi="Amiri" w:eastAsia="Amiri" w:cs="Amiri"/>
          <w:color w:val="111111"/>
          <w:sz w:val="28"/>
          <w:sz w:val="28"/>
          <w:szCs w:val="28"/>
          <w:rtl w:val="true"/>
          <w:lang w:bidi="ar-SA"/>
        </w:rPr>
        <w:t>و رهبران آنان را مانند محى الدين عربى، ابن سبعين، تلمسانى، ابن فارض و صدرالدين قونوى را به سبب اعتقاد به وحدت وجود، كافر و ملحد معرفى مى كند</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به عقيده ى وى چنين افرادى بايد توبه داده شوند و اگر چنين نكردند، بايد گردن زده شوند</w:t>
      </w:r>
      <w:r>
        <w:rPr>
          <w:rFonts w:eastAsia="IRNazanin" w:cs="IRNazanin"/>
          <w:color w:val="111111"/>
          <w:sz w:val="28"/>
          <w:szCs w:val="28"/>
          <w:rtl w:val="true"/>
          <w:lang w:bidi="fa-IR"/>
        </w:rPr>
        <w:t>.</w:t>
      </w:r>
      <w:r>
        <w:rPr>
          <w:rStyle w:val="FootnoteAnchor"/>
          <w:rtl w:val="true"/>
        </w:rPr>
        <w:footnoteReference w:id="57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هم چنين شيعه را تكفير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شيعه را كليد باب شرك مى شمارد و انديشه ى آن را خاستگاه ملحدان و زنادقه كه هدف آن ها افساد دين است، مى شمارد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وى براى توجيه نظر خود، تهمت ها و افترائاتى را به شيعه نسبت مى دهد كه واقعيت ندارند؛ مانند اين كه شيعه، عامه ى مهاجرين و انصار را تكفير مى كند؛ درحالى كه چنين نيست و بسيارى از مهاجرين و انصار، نزد شيعه بسيار عظمت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چنين ادعا مى كند كه شيعه خون مخالفان خود را حلال مى داند؛ ذبيحه ى آنان را حرام مى شمارد؛ مايعات و روغنى كه اهل سنت به آن ها دست بزنند، نزد شيعه نجس است؛</w:t>
      </w:r>
      <w:r>
        <w:rPr>
          <w:rStyle w:val="FootnoteAnchor"/>
          <w:rtl w:val="true"/>
        </w:rPr>
        <w:footnoteReference w:id="58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وى هم چنين شيعه را به سبب اعتقاد به مسائلى مانند زيارت قبور و ساخت بنا بر روى آن ها كافر مى شمارد؛</w:t>
      </w:r>
      <w:r>
        <w:rPr>
          <w:rStyle w:val="FootnoteAnchor"/>
          <w:rtl w:val="true"/>
        </w:rPr>
        <w:footnoteReference w:id="583"/>
      </w:r>
      <w:r>
        <w:rPr>
          <w:rFonts w:ascii="IRNazanin" w:hAnsi="IRNazanin" w:eastAsia="IRNazanin"/>
          <w:color w:val="111111"/>
          <w:sz w:val="28"/>
          <w:sz w:val="28"/>
          <w:szCs w:val="28"/>
          <w:rtl w:val="true"/>
          <w:lang w:bidi="fa-IR"/>
        </w:rPr>
        <w:t>در حالى كه چنين امورى، تنها در معتقدات شيعه وجود ندارد؛ بلكه جزء اعتقادات همه ى مسلمانان، به جز سلفيان وهابى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ابن تيميه، سپس در تقسيم شيعيان مى گويد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شيعيانى كه به الوهيت حضرت على عليه السلام اعتقاد دارند و يا معتقدند كه حضرت جبرئيل خيانت كرد و به جاى آن كه وحى را براى على عليه السلام بياورد، براى پيامبر صلى الله عليه و آله آورد و على عليه السلام پيامبر است، در كفر اين گروه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كسانى كه معتقدند كه عامه ى صحابه فاسق بوده اند، نيز شكى در كفر آن ها وجود ندارد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اما ابن تيميه كه شاگردان وهابى وى، وى را دانشمندى فرهيخته مى دانند، آيا نمى دانست شيعيان اثنى عشرى هيچ يك از اين امور را قبول ندارند و خود بر اين عقيده اند كه اگر كسى قائل به الوهيت اميرالمؤمنين على عليه السلام و يا نبوت او باشد، كافر است‌؟</w:t>
      </w:r>
    </w:p>
    <w:p>
      <w:pPr>
        <w:pStyle w:val="BookText"/>
        <w:rPr/>
      </w:pPr>
      <w:r>
        <w:rPr>
          <w:rFonts w:ascii="IRNazanin" w:hAnsi="IRNazanin" w:eastAsia="IRNazanin"/>
          <w:color w:val="111111"/>
          <w:sz w:val="28"/>
          <w:sz w:val="28"/>
          <w:szCs w:val="28"/>
          <w:rtl w:val="true"/>
          <w:lang w:bidi="fa-IR"/>
        </w:rPr>
        <w:t>ابن تيميه منهاج السنه را در تقابل اثر گران سنگ علامه ابن مطهر حلى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مطهر حلى عقايد اماميه را در اين كتاب به صورت خلاصه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فراز كتاب عقيده اى مبنى بر الوهيت اميرالمؤمنين على عليه السلام و يا غلو در حق ايشان و يا نبوت او آمده است كه ابن تيميه به دور از ادب و نزاكت به علامه ابن مطهر حلى، ابن منجس اطلاق مى كند؟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به نظر مى رسد ابن تيميه از آنجا كه با توجه به مفهوم كفر، مستمسكى براى تكفير شيعه اثنى عشرى نداشته است و هيچ يك از متعلقات كفر را در عقايد شيعه نيافته است، به افترائات و تهمت هاى بى اساس و بيهوده متوسل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همان گونه كه گفته شد، كليات نظريه ابن تيميه هرگز با مصاديق همخوان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نمونه هاى اين تكفيرها را كنار جملاتى كه در نكوهش تكفير اهل قبله و اهل نماز از ابن تيميه ذكر شد، قرار دهيم، با تضادى بنيادين روبرو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مبناى وى عرصه را بر تكفير مسلمين تنگ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او نسبت به افراد، مذاهب و فرقه هاى اسلامى، كاملاً رنگ و بوى تكفيرى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عليرغم ديدگاه هاى افراطى ابن تيميه نسبت به مسأله تكفير عامه مسلمانان، و وجود برخى فتاوا نسبت به قتل مسلمانان، در عصر ابن تيميه، فتاواى او مستمسك قتل</w:t>
      </w:r>
    </w:p>
    <w:p>
      <w:pPr>
        <w:pStyle w:val="BookText"/>
        <w:rPr/>
      </w:pPr>
      <w:r>
        <w:rPr>
          <w:rFonts w:ascii="IRNazanin" w:hAnsi="IRNazanin" w:eastAsia="IRNazanin"/>
          <w:color w:val="111111"/>
          <w:sz w:val="28"/>
          <w:sz w:val="28"/>
          <w:szCs w:val="28"/>
          <w:rtl w:val="true"/>
          <w:lang w:bidi="fa-IR"/>
        </w:rPr>
        <w:t>و غارت مسلمانان قرار نگرفت و صرفاً انديشه تكفيرى ابن تيميه در حوزه نظرى، مذاهب اسلامى و همچنين پيروان آنها را به چالش كشيد و همين عامل نيز سبب شد كه تمامى مذاهب اسلامى اهل سنت عليه او اقامه دعوا كرده و وى ساليان متمادى از عمر خود را در زندان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نبايد در مورد ابن تيميه فراموش شود، اين واقعيت است كه كسانى كه ابن تيميه را محكوم به زندان كردند و حكم به تبعيد او دادند، شيعه نبوده اند، بلكه همه از فرقه هاى اهل سنت اعم از حنبلى بوده اند و اين نظريه كه ابن تيميه تنها با شيعيان سر جنگ داشته است و با ساير مسلمانان مشكلى نداشته است، كاملاً بى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سلفيان كه خود مخالفان اصلى تقيه هستند و آن را نفاق مى شمارند، خود بيش از سايرين گرفتار تقيه شده اند و نسبت به تكفيرهاى ابن تيميه در مورد بزرگان مذاهب اسلامى و همچنين مذاهب اسلامى، لب فرو بسته و گاه نيز آن را انكار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تكفيرى ابن تيميه هر چند صرفا در حوزه نظر ارايه شد، اما پس از وى دوام نياورد و از ميان رفت، اما در قرن دوازدهم محمد بن عبدالوهاب، بى توجه به مبانى نظرى ابن تيميه در حوزه تكفير، با تكيه بر ديدگاه هاى تكفيرى وى، خون و مال مسلمانان را مباح شمرد و جنايت هاى بسيارى در چند قرن گذشته بر اساس ديدگاه محمد بن عبدالوهاب و اتباع وى در جهان اسلام، شكل گرفته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گونه كه بارها گفته شد، انديشه تكفيرى ابن تيميه پس از وى چندان دوام نيافت و در جهان اسلام فراموش شد، تا اين كه در قرن دوازدهم توسط محمد بن عبدالوهاب با شدت بيشترى دنبال شد و جداى از حوزه نظرى، در حوزه عمل نيز بروز يافت و جان و مال و ناموس مسلمانان اعم از شيعه و اهل سنت را لگدمال كرد</w:t>
      </w:r>
      <w:r>
        <w:rPr>
          <w:rFonts w:eastAsia="IRNazanin" w:cs="IRNazanin"/>
          <w:color w:val="111111"/>
          <w:sz w:val="28"/>
          <w:szCs w:val="28"/>
          <w:rtl w:val="true"/>
          <w:lang w:bidi="fa-IR"/>
        </w:rPr>
        <w:t>.</w:t>
      </w:r>
      <w:bookmarkStart w:id="511" w:name="pg15502_177348"/>
    </w:p>
    <w:p>
      <w:pPr>
        <w:pStyle w:val="Heading4"/>
        <w:numPr>
          <w:ilvl w:val="3"/>
          <w:numId w:val="1"/>
        </w:numPr>
        <w:rPr/>
      </w:pPr>
      <w:bookmarkStart w:id="512" w:name="__RefHeading___Toc8089160_2142443653"/>
      <w:bookmarkStart w:id="513" w:name="_Toc194"/>
      <w:bookmarkEnd w:id="511"/>
      <w:bookmarkEnd w:id="512"/>
      <w:r>
        <w:rPr/>
        <w:t>6</w:t>
      </w:r>
      <w:r>
        <w:rPr>
          <w:rtl w:val="true"/>
        </w:rPr>
        <w:t xml:space="preserve"> - </w:t>
      </w:r>
      <w:r>
        <w:rPr>
          <w:rtl w:val="true"/>
        </w:rPr>
        <w:t>فِرق كلامى اهل سنت و مفهوم ايمان</w:t>
      </w:r>
      <w:bookmarkEnd w:id="513"/>
    </w:p>
    <w:p>
      <w:pPr>
        <w:pStyle w:val="Heading5"/>
        <w:numPr>
          <w:ilvl w:val="4"/>
          <w:numId w:val="1"/>
        </w:numPr>
        <w:rPr/>
      </w:pPr>
      <w:bookmarkStart w:id="514" w:name="__RefHeading___Toc8089162_2142443653"/>
      <w:bookmarkStart w:id="515" w:name="_Toc195"/>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با توجه به آن چه بيان شد، بيش تر مذاهب اسلامى بر اين عقيده اند كه عمل جزء ايمان نيست و از صفات كمال</w:t>
      </w:r>
      <w:r>
        <w:rPr>
          <w:rStyle w:val="FootnoteAnchor"/>
          <w:rtl w:val="true"/>
        </w:rPr>
        <w:footnoteReference w:id="587"/>
      </w:r>
      <w:r>
        <w:rPr>
          <w:rFonts w:ascii="Amiri" w:hAnsi="Amiri" w:eastAsia="Amiri" w:cs="Amiri"/>
          <w:color w:val="111111"/>
          <w:sz w:val="28"/>
          <w:sz w:val="28"/>
          <w:szCs w:val="28"/>
          <w:rtl w:val="true"/>
          <w:lang w:bidi="ar-SA"/>
        </w:rPr>
        <w:t>و يا فروع ايمان</w:t>
      </w:r>
      <w:r>
        <w:rPr>
          <w:rStyle w:val="FootnoteAnchor"/>
          <w:rtl w:val="true"/>
        </w:rPr>
        <w:footnoteReference w:id="588"/>
      </w:r>
      <w:r>
        <w:rPr>
          <w:rFonts w:ascii="IRNazanin" w:hAnsi="IRNazanin" w:eastAsia="IRNazanin"/>
          <w:color w:val="111111"/>
          <w:sz w:val="28"/>
          <w:sz w:val="28"/>
          <w:szCs w:val="28"/>
          <w:rtl w:val="true"/>
          <w:lang w:bidi="fa-IR"/>
        </w:rPr>
        <w:t>شمرده مى شود</w:t>
      </w:r>
      <w:r>
        <w:rPr>
          <w:rFonts w:eastAsia="IRNazanin" w:cs="IRNazanin"/>
          <w:color w:val="111111"/>
          <w:sz w:val="28"/>
          <w:szCs w:val="28"/>
          <w:rtl w:val="true"/>
          <w:lang w:bidi="fa-IR"/>
        </w:rPr>
        <w:t>.</w:t>
      </w:r>
    </w:p>
    <w:p>
      <w:pPr>
        <w:pStyle w:val="Heading5"/>
        <w:numPr>
          <w:ilvl w:val="4"/>
          <w:numId w:val="1"/>
        </w:numPr>
        <w:rPr/>
      </w:pPr>
      <w:bookmarkStart w:id="516" w:name="__RefHeading___Toc8089164_2142443653"/>
      <w:bookmarkStart w:id="517" w:name="_Toc196"/>
      <w:bookmarkEnd w:id="516"/>
      <w:r>
        <w:rPr/>
        <w:t>1</w:t>
      </w:r>
      <w:r>
        <w:rPr>
          <w:rtl w:val="true"/>
        </w:rPr>
        <w:t>‏-‏</w:t>
      </w:r>
      <w:r>
        <w:rPr/>
        <w:t>6</w:t>
      </w:r>
      <w:r>
        <w:rPr>
          <w:rtl w:val="true"/>
        </w:rPr>
        <w:t xml:space="preserve"> - </w:t>
      </w:r>
      <w:r>
        <w:rPr>
          <w:rtl w:val="true"/>
        </w:rPr>
        <w:t>اشاعره</w:t>
      </w:r>
      <w:bookmarkEnd w:id="517"/>
    </w:p>
    <w:p>
      <w:pPr>
        <w:pStyle w:val="BookText"/>
        <w:rPr/>
      </w:pPr>
      <w:r>
        <w:rPr>
          <w:rFonts w:ascii="IRNazanin" w:hAnsi="IRNazanin" w:eastAsia="IRNazanin"/>
          <w:color w:val="111111"/>
          <w:sz w:val="28"/>
          <w:sz w:val="28"/>
          <w:szCs w:val="28"/>
          <w:rtl w:val="true"/>
          <w:lang w:bidi="fa-IR"/>
        </w:rPr>
        <w:t xml:space="preserve">اشاعره به پى روى از رهبر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بالجنان</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معنى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معنى اصطلاحى ايمان، بيش تر به همان معنى لغوى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اشعرى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در نزد شما چيست،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تصديق خداوند است و تمامى اهل لغتى كه قرآن به آن زبان نازل شده است، بر اين معنى اجماع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عذاب قبر و شفاعت ايمان دارد، مراد اين است كه اين امور را تصديق مى كند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شهرستانى كه خود بر مكتب اشعرى است، در ترسيم عقيده ى اشعرى مى گويد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اشعرى معتقد است، ايمان تصديق به قلب است؛</w:t>
      </w:r>
      <w:r>
        <w:rPr>
          <w:rStyle w:val="FootnoteAnchor"/>
          <w:rtl w:val="true"/>
        </w:rPr>
        <w:footnoteReference w:id="591"/>
      </w:r>
      <w:r>
        <w:rPr>
          <w:rFonts w:ascii="IRNazanin" w:hAnsi="IRNazanin" w:eastAsia="IRNazanin"/>
          <w:color w:val="111111"/>
          <w:sz w:val="28"/>
          <w:sz w:val="28"/>
          <w:szCs w:val="28"/>
          <w:rtl w:val="true"/>
          <w:lang w:bidi="fa-IR"/>
        </w:rPr>
        <w:t>اما گفتن به زبان و عمل به اركان، از فروع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قلباً به توحيد خداوند اقرار كند و با قلب، رسالت پيامبران را تصديق نمايد، ايمانش درست است و اگر بر اين حال از دنيا برود، باايمان از دنيا رفته است و از ايمان خارج نمى شود، مگر با انكار يكى از اين موارد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چنان كه مى بينيم، اشعرى در تعريف ايمان، صرفاً تصديق به قلب را بيان مى كند و اقرار به زبان را ذكر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انتقاد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مى گفت كه ايمان، تصديق به قلب است و اين اعتقاد انسانى است كه در آن چه به آن ايمان دارد، صداقت دارد؛ اما اگر اقرار به زبان بدون تصديق قلبى باشد، ايمان نيست و به همين سبب، به منافق، مؤمن گفته نمى شود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و</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باقلانى از عالمان بزرگ اشعرى نيز در تعريف ايمان كه به نوعى پاسخ به پرسش بالاست،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ايمان، تصديق است و محل تصديق،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در قلب تصديق كند كه خداوند واحد است، پيامبر حق است و تمامى آن چه پيامبر آورده، حق است؛ و آن چه بر زبان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اقرار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توسط اعضاى بدن انجام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عمل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آيينه ى چيزى است كه در قلب وجود دارد و دليل آن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در قرآن مجيد نيز آياتى وجود دارد كه محل ايمان را قلب معرفى مى كنند؛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منّت گذارده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جنگ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ايمانتان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وارد نشده است، به حقيقت هنوز ايمان نياورده ايد؛ ليكن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اسلام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خوف جان به ناچار تسليم شديم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ايمان در قلبشان استوار گرديده است</w:t>
      </w:r>
      <w:r>
        <w:rPr>
          <w:rFonts w:eastAsia="IRNazanin" w:cs="IRNazanin"/>
          <w:color w:val="111111"/>
          <w:sz w:val="28"/>
          <w:szCs w:val="28"/>
          <w:rtl w:val="true"/>
          <w:lang w:bidi="fa-IR"/>
        </w:rPr>
        <w:t>».</w:t>
      </w:r>
      <w:bookmarkStart w:id="518" w:name="pg15502_177350"/>
    </w:p>
    <w:p>
      <w:pPr>
        <w:pStyle w:val="BookText"/>
        <w:rPr/>
      </w:pPr>
      <w:bookmarkEnd w:id="518"/>
      <w:r>
        <w:rPr>
          <w:rFonts w:ascii="IRNazanin" w:hAnsi="IRNazanin" w:eastAsia="IRNazanin"/>
          <w:color w:val="111111"/>
          <w:sz w:val="28"/>
          <w:sz w:val="28"/>
          <w:szCs w:val="28"/>
          <w:rtl w:val="true"/>
          <w:lang w:bidi="fa-IR"/>
        </w:rPr>
        <w:t>البته هرچند كسى كه در قلب خود ايمان دارد، معمولاً به زبان نيز اقرار مى كند، اما همان گونه كه از قول خواجه نقل شد، گاه تصديق به قلب وجود دارد، اما اقرار به زبان نيست؛ زيرا ممكن است برخى به سبب لجاجت و عناد، از اقرار به ايمان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معمولاً در تعريف ايمان، تصديق به قلب و اقرار به زبان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نيز مسلماً اقرار به زبان را قبول داشته است، اما چنان كه باقلانى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 ايمان باشد و صداقت در آن وجود داشته باشد، ناگزير زبان و جوارح انسان آن را تصديق خواهند كرد</w:t>
      </w:r>
      <w:r>
        <w:rPr>
          <w:rFonts w:eastAsia="IRNazanin" w:cs="IRNazanin"/>
          <w:color w:val="111111"/>
          <w:sz w:val="28"/>
          <w:szCs w:val="28"/>
          <w:rtl w:val="true"/>
          <w:lang w:bidi="fa-IR"/>
        </w:rPr>
        <w:t>.</w:t>
      </w:r>
    </w:p>
    <w:p>
      <w:pPr>
        <w:pStyle w:val="Heading5"/>
        <w:numPr>
          <w:ilvl w:val="4"/>
          <w:numId w:val="1"/>
        </w:numPr>
        <w:rPr/>
      </w:pPr>
      <w:bookmarkStart w:id="519" w:name="__RefHeading___Toc8089166_2142443653"/>
      <w:bookmarkStart w:id="520" w:name="_Toc197"/>
      <w:bookmarkEnd w:id="519"/>
      <w:r>
        <w:rPr/>
        <w:t>2</w:t>
      </w:r>
      <w:r>
        <w:rPr>
          <w:rtl w:val="true"/>
        </w:rPr>
        <w:t>‏-‏</w:t>
      </w:r>
      <w:r>
        <w:rPr/>
        <w:t>6</w:t>
      </w:r>
      <w:r>
        <w:rPr>
          <w:rtl w:val="true"/>
        </w:rPr>
        <w:t xml:space="preserve"> - </w:t>
      </w:r>
      <w:r>
        <w:rPr>
          <w:rtl w:val="true"/>
        </w:rPr>
        <w:t>ماتريديه</w:t>
      </w:r>
      <w:bookmarkEnd w:id="52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ابومنصور ماتريدى، يكى ديگر از رهبران كلامى اهل سنت، ايمان را تصديق قلبى معنى مى كند و برخى از ماتريديان نيز ايمان را به اقرار به زبان و تصديق به قلب معنى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ماتريدى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به تفصيل به ابطال نظريه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فقط اقرار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و سپس دلايلى را براى اثبات نظريه 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تصديق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 كند كه برخى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لغوى ايمان همان تصديق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ايمان، كفر است و كفر نيز به معنى تكذيب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اصطلاحى ايمان، تصديق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ميان ايمان و اعمال فرق گذاشته است؛ چنان كه در آيات پيشين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مؤمنان ابتدا با واژه ى ايمان خطاب كرده و سپس آنان را به انجام اعمال دستورداده است و اين دلالت بر جدايى ايمان از عمل دارد و</w:t>
      </w:r>
      <w:r>
        <w:rPr>
          <w:rFonts w:eastAsia="IRNazanin" w:cs="IRNazanin"/>
          <w:color w:val="111111"/>
          <w:sz w:val="28"/>
          <w:szCs w:val="28"/>
          <w:rtl w:val="true"/>
          <w:lang w:bidi="fa-IR"/>
        </w:rPr>
        <w:t>...</w:t>
      </w:r>
      <w:r>
        <w:rPr>
          <w:rStyle w:val="FootnoteAnchor"/>
          <w:rtl w:val="true"/>
        </w:rPr>
        <w:footnoteReference w:id="596"/>
      </w:r>
      <w:bookmarkStart w:id="521" w:name="pg15502_177351"/>
    </w:p>
    <w:p>
      <w:pPr>
        <w:pStyle w:val="Heading5"/>
        <w:numPr>
          <w:ilvl w:val="4"/>
          <w:numId w:val="1"/>
        </w:numPr>
        <w:rPr/>
      </w:pPr>
      <w:bookmarkStart w:id="522" w:name="__RefHeading___Toc8089168_2142443653"/>
      <w:bookmarkStart w:id="523" w:name="_Toc198"/>
      <w:bookmarkEnd w:id="521"/>
      <w:bookmarkEnd w:id="522"/>
      <w:r>
        <w:rPr/>
        <w:t>3</w:t>
      </w:r>
      <w:r>
        <w:rPr>
          <w:rtl w:val="true"/>
        </w:rPr>
        <w:t>‏-‏</w:t>
      </w:r>
      <w:r>
        <w:rPr/>
        <w:t>6</w:t>
      </w:r>
      <w:r>
        <w:rPr>
          <w:rtl w:val="true"/>
        </w:rPr>
        <w:t xml:space="preserve"> - </w:t>
      </w:r>
      <w:r>
        <w:rPr>
          <w:rtl w:val="true"/>
        </w:rPr>
        <w:t>طحاويه</w:t>
      </w:r>
      <w:bookmarkEnd w:id="523"/>
    </w:p>
    <w:p>
      <w:pPr>
        <w:pStyle w:val="BookText"/>
        <w:rPr/>
      </w:pPr>
      <w:r>
        <w:rPr>
          <w:rFonts w:ascii="IRNazanin" w:hAnsi="IRNazanin" w:eastAsia="IRNazanin"/>
          <w:color w:val="111111"/>
          <w:sz w:val="28"/>
          <w:sz w:val="28"/>
          <w:szCs w:val="28"/>
          <w:rtl w:val="true"/>
          <w:lang w:bidi="fa-IR"/>
        </w:rPr>
        <w:t xml:space="preserve">ابوجعفر طحاوى يكى ديگر از رهبران كلامى اهل سنت است و بر كتاب وى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ى طحاويه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هاى بسيارى نوشته شده و جالب آن كه بسيارى از اين شروح، به دست وهابيان نگاشته شده است و امروزه در حوزه هاى علميه ى آن ها تدريس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جاكه وهابيان ديدگاه هاى ابوجعفر طحاوى را مطابق انديشه هاى خود نديده اند، همواره به توجيه و تأويل سخنان وى روى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معنى ايمان است كه طحاوى صراحتاً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والإيمان هو الإقرار باللسان والتصديق بالجنان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اقرار به زبان و تصديق به قلب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وهابيان در شرح اين جمله ى طحاوى، توجيهات فراوانى آورده و برخى از آنان كه نتوانسته اند، اين جمله ى صريح وى را توجيه كنند، ادعا كرده اند كه وى در اين مورد اشتباه كرده است</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به طور خلاصه، با توجه به آن چه گفته شد، در تاريخ اسلام سه انحراف مهم در تعريف اصطلاحى ايمان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ايمان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تلازم ميان ايمان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ديدگاه ها نيز به سبب مغايرت با انديشه ى اسلامى، از ميان رفته 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مذاهب اسلامى اعم از شيعه و اهل سنت، بر اين عقيده اند كه عمل، خارج از ايمان است و ايمان به معنى تصديق قلبى و اقرار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ى چنين برداشتى، اين واقعيت است كه مرتكب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گناه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قلب و زبان ايمان داشته باشد، كافر نيست و نمى توان حكم كافر را بر وى جارى كرد</w:t>
      </w:r>
      <w:r>
        <w:rPr>
          <w:rFonts w:eastAsia="IRNazanin" w:cs="IRNazanin"/>
          <w:color w:val="111111"/>
          <w:sz w:val="28"/>
          <w:szCs w:val="28"/>
          <w:rtl w:val="true"/>
          <w:lang w:bidi="fa-IR"/>
        </w:rPr>
        <w:t>.</w:t>
      </w:r>
      <w:bookmarkStart w:id="524" w:name="pg15502_177352"/>
    </w:p>
    <w:p>
      <w:pPr>
        <w:pStyle w:val="Heading3"/>
        <w:numPr>
          <w:ilvl w:val="2"/>
          <w:numId w:val="1"/>
        </w:numPr>
        <w:rPr/>
      </w:pPr>
      <w:bookmarkStart w:id="525" w:name="__RefHeading___Toc8089170_2142443653"/>
      <w:bookmarkStart w:id="526" w:name="_Toc199"/>
      <w:bookmarkEnd w:id="524"/>
      <w:bookmarkEnd w:id="525"/>
      <w:r>
        <w:rPr>
          <w:rtl w:val="true"/>
        </w:rPr>
        <w:t>فصل چهاردهم</w:t>
      </w:r>
      <w:r>
        <w:rPr>
          <w:rtl w:val="true"/>
        </w:rPr>
        <w:t xml:space="preserve">: </w:t>
      </w:r>
      <w:r>
        <w:rPr>
          <w:rtl w:val="true"/>
        </w:rPr>
        <w:t xml:space="preserve">وهابيت تكفيرى </w:t>
      </w:r>
      <w:r>
        <w:rPr>
          <w:rtl w:val="true"/>
        </w:rPr>
        <w:t>(</w:t>
      </w:r>
      <w:r>
        <w:rPr>
          <w:rtl w:val="true"/>
        </w:rPr>
        <w:t>دوران تأسيس و تثبيت</w:t>
      </w:r>
      <w:r>
        <w:rPr>
          <w:rtl w:val="true"/>
        </w:rPr>
        <w:t>)</w:t>
      </w:r>
      <w:bookmarkEnd w:id="52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7" w:name="__RefHeading___Toc8089172_2142443653"/>
      <w:bookmarkStart w:id="528" w:name="_Toc200"/>
      <w:bookmarkEnd w:id="527"/>
      <w:r>
        <w:rPr>
          <w:rtl w:val="true"/>
        </w:rPr>
        <w:t>اشاره</w:t>
      </w:r>
      <w:bookmarkStart w:id="529" w:name="pg15502_177354"/>
      <w:bookmarkEnd w:id="528"/>
    </w:p>
    <w:p>
      <w:pPr>
        <w:pStyle w:val="Heading4"/>
        <w:numPr>
          <w:ilvl w:val="3"/>
          <w:numId w:val="1"/>
        </w:numPr>
        <w:rPr/>
      </w:pPr>
      <w:bookmarkStart w:id="530" w:name="__RefHeading___Toc8089174_2142443653"/>
      <w:bookmarkStart w:id="531" w:name="_Toc201"/>
      <w:bookmarkEnd w:id="529"/>
      <w:bookmarkEnd w:id="530"/>
      <w:r>
        <w:rPr/>
        <w:t>1</w:t>
      </w:r>
      <w:r>
        <w:rPr>
          <w:rtl w:val="true"/>
        </w:rPr>
        <w:t xml:space="preserve"> - </w:t>
      </w:r>
      <w:r>
        <w:rPr>
          <w:rtl w:val="true"/>
        </w:rPr>
        <w:t>مقدمه</w:t>
      </w:r>
      <w:bookmarkEnd w:id="531"/>
    </w:p>
    <w:p>
      <w:pPr>
        <w:pStyle w:val="BookText"/>
        <w:rPr/>
      </w:pPr>
      <w:r>
        <w:rPr>
          <w:rFonts w:ascii="IRNazanin" w:hAnsi="IRNazanin" w:eastAsia="IRNazanin"/>
          <w:color w:val="111111"/>
          <w:sz w:val="28"/>
          <w:sz w:val="28"/>
          <w:szCs w:val="28"/>
          <w:rtl w:val="true"/>
          <w:lang w:bidi="fa-IR"/>
        </w:rPr>
        <w:t>در قرن دوازدهم، با ظهور محمدبن عبدالوهاب در منطقه ى نجد، انديشه ى تكفير، از حوزه ى نظر وارد مرحله ى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محمدبن عبدالوهاب واژه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سادگى درباره ى مسلمانان به كار برد و خون، مال و ناموس آنان را مباح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هاى بعد نيز پيروان وى با تكيه بر ديدگاه هاى افراطى او و با كمك آل سعود و انگلستان، روش وى را هم چنان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ديدگاه هاى تكفيرى محمدبن عبدالوهاب، و تكفيرهاى مطلق و معين وى و پيروانش بررسى خواهد شد</w:t>
      </w:r>
      <w:r>
        <w:rPr>
          <w:rFonts w:eastAsia="IRNazanin" w:cs="IRNazanin"/>
          <w:color w:val="111111"/>
          <w:sz w:val="28"/>
          <w:szCs w:val="28"/>
          <w:rtl w:val="true"/>
          <w:lang w:bidi="fa-IR"/>
        </w:rPr>
        <w:t>.</w:t>
      </w:r>
    </w:p>
    <w:p>
      <w:pPr>
        <w:pStyle w:val="Heading4"/>
        <w:numPr>
          <w:ilvl w:val="3"/>
          <w:numId w:val="1"/>
        </w:numPr>
        <w:rPr/>
      </w:pPr>
      <w:bookmarkStart w:id="532" w:name="__RefHeading___Toc8089176_2142443653"/>
      <w:bookmarkStart w:id="533" w:name="_Toc202"/>
      <w:bookmarkEnd w:id="532"/>
      <w:r>
        <w:rPr/>
        <w:t>2</w:t>
      </w:r>
      <w:r>
        <w:rPr>
          <w:rtl w:val="true"/>
        </w:rPr>
        <w:t xml:space="preserve"> - </w:t>
      </w:r>
      <w:r>
        <w:rPr>
          <w:rtl w:val="true"/>
        </w:rPr>
        <w:t>محمدبن عبدالوهاب و انديشه ى تكفير</w:t>
      </w:r>
      <w:bookmarkEnd w:id="533"/>
    </w:p>
    <w:p>
      <w:pPr>
        <w:pStyle w:val="BookText"/>
        <w:rPr/>
      </w:pPr>
      <w:r>
        <w:rPr>
          <w:rFonts w:ascii="Amiri" w:hAnsi="Amiri" w:eastAsia="Amiri" w:cs="Amiri"/>
          <w:color w:val="111111"/>
          <w:sz w:val="28"/>
          <w:sz w:val="28"/>
          <w:szCs w:val="28"/>
          <w:rtl w:val="true"/>
          <w:lang w:bidi="ar-SA"/>
        </w:rPr>
        <w:t>نه تنها در قرون اخير، بلكه در طول تاريخ اسلام، به جز خوارج، كسى همانند محمدبن عبدالوهاب مسلمانان را تكفير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كتاب ها و رساله هاى اعتقادى وى، لبريز از تكفيرِ نه تنها عوام مسلمانان، بلكه علماى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عبدالوهاب در تكفير، حتى به مبانى ابن تيميه نيز وفادار نماند و خون و مال و ناموس مسلمانان را مباح شمرد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او در برخى از نامه هايش كه بيش تر جنبه ى سياسى دارد، ادعا كرده است كه مسلمانان را تكفير نكرده و نسبت هايى كه به وى در تكفير مسلمانان داده اند، كذب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نامه اى، درباره ى تكفير عموم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تكفير به من بهتان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اما با نگاهى گذرا به آثار وى، به سادگى اوج تكفير مسلمانان، اعم از شيعه وسنى، در انديشه ى وى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برخى از نامه ها ادعا مى كند كه وى هيچ مسلمانى را تكفير نكرده و تنها مشركان را تكفير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نامه اى به اهل رياض و منفوحه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مسلمانان را تكفير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چيزى مى گوييد؟ ما مسلمانان را تكفير نكرده ايم؛ بلكه فقط مشركان را تكفير مى كنيم</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محمدبن عبدالوهاب در اين جملات با توجه به معيار خود، مسلمان و مشرك را تعريف مى كند و چنان كه خواهد آمد، بر اساس معيار وى، نه تنها مردم رياض و منفوحه، بلكه بيش تر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وهابيان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ى كفار قرار مى گيرند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ادعاهايى، ناخودآگاه يادآور گفته هاى ابن تيميه در حوزه ى تكفير است؛ چنان كه از ابن تيميه در حوزه ى نظريه پردازى، شخصيتى مخالف تكفير ديده مى شود؛ اما در مقام عمل، بنيان گذار انديشه ى تكفير در قرون گذشته، كسى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مهم محمدبن عبدالوهاب با ابن تيميه در اين است كه ابن تيميه در مخالفت با تكفير، نظريه پردازى كرد و ديدگاهى علمى را تبيين نمود؛ درحالى كه محمدبن عبدالوهاب، صرفاً در قالب گزاره هايى كلى و سلبى، تكفير را از خود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هرچند ابن تيميه مذاهب، افراد و گروه هاى مختلفى را تكفير كرد، اما اين تكفير هرگز جنبه ى عمل گرايانه به خود نگرفت؛ درحالى كه محمدبن عبدالوهاب به انديشه ى تكفيرى خود جامه ى عمل پوشاند و جنايت هاى بسيارى را شكل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فهم انديشه ى وهابيت در زمينه ى تكفير، بايد به مبناى وى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كفر و ايمان در انديشه ى محمدبن عبدالوهاب، قرائتى است كه وى از مفهوم توحيد ارائه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ان التوحيد لابد ان يكون بالقلب واللسان والعمل، فان اختل شى من هذا لم يكن الرجل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خلافى نيست كه توحيد بايد به قلب، زبان و عمل باشد؛ و اگر خللى در هر يك از اين ها وارد شود، انسان مسلمان نيست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فصول گذشته گفته شد، به عقيده ى وهابيان، توحيدى كه پيامبران براى آن مبعوث شده اند، توحيد الوهى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با توجه به مبناى معنى شناسى وهابيت كه همان ظاهرگرايى است، مطلق خضوع و خشوع، عبادت است و هر عملى كه همراه با خضوع و خشوع باشد و براى غير خدا انجام شود، عبادت تلقى مى شود</w:t>
      </w:r>
      <w:r>
        <w:rPr>
          <w:rFonts w:eastAsia="IRNazanin" w:cs="IRNazanin"/>
          <w:color w:val="111111"/>
          <w:sz w:val="28"/>
          <w:szCs w:val="28"/>
          <w:rtl w:val="true"/>
          <w:lang w:bidi="fa-IR"/>
        </w:rPr>
        <w:t>.</w:t>
      </w:r>
      <w:r>
        <w:rPr>
          <w:rStyle w:val="FootnoteAnchor"/>
          <w:rtl w:val="true"/>
        </w:rPr>
        <w:footnoteReference w:id="603"/>
      </w:r>
      <w:r>
        <w:rPr>
          <w:rFonts w:ascii="Amiri" w:hAnsi="Amiri" w:eastAsia="Amiri" w:cs="Amiri"/>
          <w:color w:val="111111"/>
          <w:sz w:val="28"/>
          <w:sz w:val="28"/>
          <w:szCs w:val="28"/>
          <w:rtl w:val="true"/>
          <w:lang w:bidi="ar-SA"/>
        </w:rPr>
        <w:t xml:space="preserve">اين در حالى است كه توحيد عبادى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متعلقات ايمان است، و خود مركّب از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نيت است</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بنابراين، اگر صورت عملى منافى با توحيد عبادى باشد، اما نيت پرستش و اعتقاد به ربوبيت در آن نباشد، عبادت نيست؛ هرچند ممكن است خودِ صورت عمل نيز مشروع نباشد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از سوى ديگر، محمدبن عبدالوهاب و پيروانش امورى را مصداق كفر مى شمارند كه هيچ يك از مذاهب اسلامى، نه از نظر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نظر نيت، نه تنها آن ها را مصاديق كفر نمى دانند، بلكه با تكيه بر آيات، روايات و سيره ى مسلمانان، آن ها را مشروع و مستحب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امورى مانند توسل، زيارت، طلب شفاعت از اولياى الهى، و سفر براى زيارت را مصداق عبادت مى دانند و آن را موجب خروج از دين و ارتداد مسلمانان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مسلمانان را به خاطر انجام اين اعمال كافر مى شمارد؛ درحالى كه آنان نماز مى خوانند؛ روزه مى گيرند؛ براى خدا حج و عمره به جاى مى آورند؛ و در يك جمله، خداوند را مى پرستند و نه تنها در قلب و زبان، بلكه حتى در عمل نيز موحدند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جداى از اين موارد، در فصول گذشته بيان شد كه فرد با شهادتين، مسلمان، و با تصديق قلبى، مؤمن مى شود؛ اما محمدبن عبدالوهاب حتى مسلمان بودن را مركب از اقرار به زبان، تصديق به قلب، و اعمال مى داند و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توحيد خداوند، موجب حرمت خون و اموال آنان نمى شود</w:t>
      </w:r>
      <w:r>
        <w:rPr>
          <w:rFonts w:eastAsia="IRNazanin" w:cs="IRNazanin"/>
          <w:color w:val="111111"/>
          <w:sz w:val="28"/>
          <w:szCs w:val="28"/>
          <w:rtl w:val="true"/>
          <w:lang w:bidi="fa-IR"/>
        </w:rPr>
        <w:t>».</w:t>
      </w:r>
      <w:r>
        <w:rPr>
          <w:rStyle w:val="FootnoteAnchor"/>
          <w:rtl w:val="true"/>
        </w:rPr>
        <w:footnoteReference w:id="60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چنين قرائتى از توحيد، يادآور انديشه ى خوارج در باب ايمان است كه به تلازم ميان ايمان و عمل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مرتكب كبيره را كافر، و قتل او را جايز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نيز با تعريف ابداعى از توحيد، هر عملى را كه به نظرشان منافى با</w:t>
      </w:r>
      <w:bookmarkStart w:id="534" w:name="pg15502_177358"/>
    </w:p>
    <w:p>
      <w:pPr>
        <w:pStyle w:val="BookText"/>
        <w:rPr/>
      </w:pPr>
      <w:bookmarkEnd w:id="534"/>
      <w:r>
        <w:rPr>
          <w:rFonts w:ascii="IRNazanin" w:hAnsi="IRNazanin" w:eastAsia="IRNazanin"/>
          <w:color w:val="111111"/>
          <w:sz w:val="28"/>
          <w:sz w:val="28"/>
          <w:szCs w:val="28"/>
          <w:rtl w:val="true"/>
          <w:lang w:bidi="fa-IR"/>
        </w:rPr>
        <w:t xml:space="preserve">توحيد وهابى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نيت و انگيزه ى مشركانه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تلقى مى كنند و خون و مال مسلمانان را مباح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عمده ى خوارج با وهابيت اين است كه خوارج گناهانى را موجب خروج از دين مى دانستند كه همه ى مسلمانان به گناه بودن آن اعتقاد داشتند، با اين تفاوت كه خوارج مرتكب گناهان كبيره را خارج از دين مى دانستند، ولى مسلمانان چنين شخصى را فاسق مى شمردند؛ اما وهابيان امورى را شرك و كفر مى شمارند كه مسلمانان آن ها را مصداق شرك و كفر نمى دانند و برعكس، قرآن و حديث و سيره ى مسلمانان، مشروعيت و مقبوليت آن ها را تأييد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مجموع، تمامى علماى وهابيت از آغاز تا كنون، معتقدند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به شهادتين فايده اى ندارد و مانع تكفير نيست</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 xml:space="preserve">و محترم بودن خون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با اعتقاد به توحيد، التزام به احكام آن، دورى از شرك، و برائت از مشركان امكان پذير است</w:t>
      </w:r>
      <w:r>
        <w:rPr>
          <w:rFonts w:eastAsia="IRNazanin" w:cs="IRNazanin"/>
          <w:color w:val="111111"/>
          <w:sz w:val="28"/>
          <w:szCs w:val="28"/>
          <w:rtl w:val="true"/>
          <w:lang w:bidi="fa-IR"/>
        </w:rPr>
        <w:t>».</w:t>
      </w:r>
      <w:r>
        <w:rPr>
          <w:rStyle w:val="FootnoteAnchor"/>
          <w:rtl w:val="true"/>
        </w:rPr>
        <w:footnoteReference w:id="609"/>
      </w:r>
    </w:p>
    <w:p>
      <w:pPr>
        <w:pStyle w:val="Heading4"/>
        <w:numPr>
          <w:ilvl w:val="3"/>
          <w:numId w:val="1"/>
        </w:numPr>
        <w:rPr/>
      </w:pPr>
      <w:bookmarkStart w:id="535" w:name="__RefHeading___Toc8089178_2142443653"/>
      <w:bookmarkStart w:id="536" w:name="_Toc203"/>
      <w:bookmarkEnd w:id="535"/>
      <w:r>
        <w:rPr/>
        <w:t>3</w:t>
      </w:r>
      <w:r>
        <w:rPr>
          <w:rtl w:val="true"/>
        </w:rPr>
        <w:t xml:space="preserve"> - </w:t>
      </w:r>
      <w:r>
        <w:rPr>
          <w:rtl w:val="true"/>
        </w:rPr>
        <w:t>محمد بن عبدالوهاب و تكفير مسلمانان</w:t>
      </w:r>
      <w:bookmarkEnd w:id="536"/>
    </w:p>
    <w:p>
      <w:pPr>
        <w:pStyle w:val="BookText"/>
        <w:rPr/>
      </w:pPr>
      <w:r>
        <w:rPr>
          <w:rFonts w:ascii="IRNazanin" w:hAnsi="IRNazanin" w:eastAsia="IRNazanin"/>
          <w:color w:val="111111"/>
          <w:sz w:val="28"/>
          <w:sz w:val="28"/>
          <w:szCs w:val="28"/>
          <w:rtl w:val="true"/>
          <w:lang w:bidi="fa-IR"/>
        </w:rPr>
        <w:t xml:space="preserve">در تمامى آثار محمد بن عبدالوهاب، از كتاب ها گرفته تا نامه ها، تكفير مسلمانان، مشاهده مى شود،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علماى اسلام را مشركان زمان ناميده و حكم تكفير آنان را صادر كرده است</w:t>
      </w:r>
      <w:r>
        <w:rPr>
          <w:rFonts w:eastAsia="IRNazanin" w:cs="IRNazanin"/>
          <w:color w:val="111111"/>
          <w:sz w:val="28"/>
          <w:szCs w:val="28"/>
          <w:rtl w:val="true"/>
          <w:lang w:bidi="fa-IR"/>
        </w:rPr>
        <w:t>.</w:t>
      </w:r>
      <w:r>
        <w:rPr>
          <w:rStyle w:val="FootnoteAnchor"/>
          <w:rtl w:val="true"/>
        </w:rPr>
        <w:footnoteReference w:id="61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 را از اين فراتر گذاشته، حتى مسلمانان را از مشركان زمان پيامبر گرامى اسلام صلى الله عليه و آله بدتر فرض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آن كه مسلمانان عصر خود را از مشركان بدتر نشان دهد، مشركان را افرادى اهل عبادت، حج و صدقه، و انسان هايى باخدا</w:t>
      </w:r>
    </w:p>
    <w:p>
      <w:pPr>
        <w:pStyle w:val="BookText"/>
        <w:rPr/>
      </w:pPr>
      <w:r>
        <w:rPr>
          <w:rFonts w:ascii="IRNazanin" w:hAnsi="IRNazanin" w:eastAsia="IRNazanin"/>
          <w:color w:val="111111"/>
          <w:sz w:val="28"/>
          <w:sz w:val="28"/>
          <w:szCs w:val="28"/>
          <w:rtl w:val="true"/>
          <w:lang w:bidi="fa-IR"/>
        </w:rPr>
        <w:t>معرفى مى كند و فلسفه ى بعثت پيامبر را صرفاً دعوت آن ها به عدم واسطه قرار دادن مخلوقات ميان خدا و آنان مى داند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ابن عبدالوهاب به ستايش مشركانى مى پردازد كه با پيامبر خدا جنگيدند؛ حتى به صورت زبانى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كردند؛ براى خدا شريك قائل بودند؛ قيامت را قبول نداشتند؛ شراب مى نوشيدند؛ دخترانشان را زنده به گور مى كردند؛ نقشه ى قتل پيامبر را كشيدند؛</w:t>
      </w:r>
      <w:r>
        <w:rPr>
          <w:rStyle w:val="FootnoteAnchor"/>
          <w:rtl w:val="true"/>
        </w:rPr>
        <w:footnoteReference w:id="612"/>
      </w:r>
      <w:r>
        <w:rPr>
          <w:rFonts w:ascii="IRNazanin" w:hAnsi="IRNazanin" w:eastAsia="IRNazanin"/>
          <w:color w:val="111111"/>
          <w:sz w:val="28"/>
          <w:sz w:val="28"/>
          <w:szCs w:val="28"/>
          <w:rtl w:val="true"/>
          <w:lang w:bidi="fa-IR"/>
        </w:rPr>
        <w:t>و به تعبير قرآن، در لبه ى پرتگاه آتش قرار داشتند؛</w:t>
      </w:r>
      <w:r>
        <w:rPr>
          <w:rStyle w:val="FootnoteAnchor"/>
          <w:rtl w:val="true"/>
        </w:rPr>
        <w:footnoteReference w:id="613"/>
      </w:r>
      <w:r>
        <w:rPr>
          <w:rFonts w:ascii="IRNazanin" w:hAnsi="IRNazanin" w:eastAsia="IRNazanin"/>
          <w:color w:val="111111"/>
          <w:sz w:val="28"/>
          <w:sz w:val="28"/>
          <w:szCs w:val="28"/>
          <w:rtl w:val="true"/>
          <w:lang w:bidi="fa-IR"/>
        </w:rPr>
        <w:t>و آن قدر پيامبر را آزار دادند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مانند من اذيت نشد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وى مسلمانانى را نكوهش مى كند و از مشركان پيش از اسلام بدتر مى شمارد كه در وجودشان عشق به اسلام و پيامبر شعله مى كشد؛ حج به جا مى آورند؛ روزه مى گيرند؛ به سوى كعبه نماز مى خوانند؛ به معاد و قيامت اعتقاد دارند؛ مؤمن به</w:t>
      </w:r>
    </w:p>
    <w:p>
      <w:pPr>
        <w:pStyle w:val="BookText"/>
        <w:rPr/>
      </w:pPr>
      <w:r>
        <w:rPr>
          <w:rFonts w:ascii="IRNazanin" w:hAnsi="IRNazanin" w:eastAsia="IRNazanin"/>
          <w:color w:val="111111"/>
          <w:sz w:val="28"/>
          <w:sz w:val="28"/>
          <w:szCs w:val="28"/>
          <w:rtl w:val="true"/>
          <w:lang w:bidi="fa-IR"/>
        </w:rPr>
        <w:t>غيب هستند؛ و درمجموع، تمامى متعلقات ايمان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فضيلت تراشى براى مشركان و آن هم براى تكفير مسلمانان، در جهان اسلام سابقه ندارد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مسلمانان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علما و 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 به صورت مستقيم و غيرمستقيم تكفيرشده اند</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به گفته ى محمدبن عبدالوهاب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توحيدى كه كفار آن را انكار مى كردند، توحيد عبادى بود؛ چيزى كه مشركان زمان ما آن را اعتقاد مى نامند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مراد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كتاب هايى است كه توسط علماى اسلامى در حوزه ى عقايد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نگاه وى، همه ى علماى كلام و عقايد مشركند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پيروان خود را موحد مى خواند و مى گويد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عامى از موحدان، مى تواند هزار عالم از مشركان را شكست دهد</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او هم چنين ادعا مى كند كه از قرآن پاسخ هايى براى مشركان دارد</w:t>
      </w:r>
      <w:r>
        <w:rPr>
          <w:rStyle w:val="FootnoteAnchor"/>
          <w:rtl w:val="true"/>
        </w:rPr>
        <w:footnoteReference w:id="618"/>
      </w:r>
      <w:r>
        <w:rPr>
          <w:rFonts w:ascii="IRNazanin" w:hAnsi="IRNazanin" w:eastAsia="IRNazanin"/>
          <w:color w:val="111111"/>
          <w:sz w:val="28"/>
          <w:sz w:val="28"/>
          <w:szCs w:val="28"/>
          <w:rtl w:val="true"/>
          <w:lang w:bidi="fa-IR"/>
        </w:rPr>
        <w:t>كه مراد وى از مشركان، علماى اسلامى است كه از طريق آيات و روايات به اثبات عقايد اسلامى مى پرداختند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وى در پايان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هركس را كه با عقيده ى وى مخالف باشد، كافر مى شمرد و موانع تكفير را صرفاً اكراه و اجبار معرفى مى نمايد و ادعا مى كند كه اگر كسى عملى را كه وى كفر مى داند انجام دهد يا سخنى بگويد كه بوى كفر بدهد، او پس از ايمان كافر شده است؛ خواه چنين عملى را به سبب ترس، مدارا يا حفظ خانواده، عشيره و مال انجام داده و يا به عنوان مزاح چنين چيزى گفته باشد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محمدبن عبدالوهاب رسماً اعلام مى 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اهل اين دوران و دوران هاى گذشته، خود را به دو چيز فريب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بيش تر آن ها گمان مى كنند كه انتسابشان به اسلام و گفتن شهادتين، خون و مال آنان را محترم مى كند</w:t>
      </w:r>
      <w:r>
        <w:rPr>
          <w:rFonts w:eastAsia="IRNazanin" w:cs="IRNazanin"/>
          <w:color w:val="111111"/>
          <w:sz w:val="28"/>
          <w:szCs w:val="28"/>
          <w:rtl w:val="true"/>
          <w:lang w:bidi="fa-IR"/>
        </w:rPr>
        <w:t>».</w:t>
      </w:r>
      <w:r>
        <w:rPr>
          <w:rStyle w:val="FootnoteAnchor"/>
          <w:rtl w:val="true"/>
        </w:rPr>
        <w:footnoteReference w:id="62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ازسوى ديگر، لازمه ى ديدگاه وهابيت و در رأس آنان محمدبن عبدالوهاب، كفر تمامى مسلمانان، حتى بخش بزرگى از صحابه است؛ چراكه مسائلى همچون طلب</w:t>
      </w:r>
    </w:p>
    <w:p>
      <w:pPr>
        <w:pStyle w:val="BookText"/>
        <w:rPr/>
      </w:pPr>
      <w:r>
        <w:rPr>
          <w:rFonts w:ascii="IRNazanin" w:hAnsi="IRNazanin" w:eastAsia="IRNazanin"/>
          <w:color w:val="111111"/>
          <w:sz w:val="28"/>
          <w:sz w:val="28"/>
          <w:szCs w:val="28"/>
          <w:rtl w:val="true"/>
          <w:lang w:bidi="fa-IR"/>
        </w:rPr>
        <w:t>شفاعت، زيارت و توسل، جزو سيره ى مسلمانان بوده است و در طول تاريخ اسلام، تمامى فرق و مذاهب اسلامى به آن پايبند بوده اند و تا پيش از حمله ى وهابيان به مدينه ى منوره، مسلمانان به پيامبر گرامى اسلام صلى الله عليه و آله و بزرگان آرميده در بقيع متوسل مى شدند و آنان را گرامى مى داشتند و امروز نيز در اقصى نقاط عالم اسلامى، اسلاف بزرگ جهان اسلام، مورد احترام مذاهب اسلامى هستند</w:t>
      </w:r>
      <w:r>
        <w:rPr>
          <w:rFonts w:eastAsia="IRNazanin" w:cs="IRNazanin"/>
          <w:color w:val="111111"/>
          <w:sz w:val="28"/>
          <w:szCs w:val="28"/>
          <w:rtl w:val="true"/>
          <w:lang w:bidi="fa-IR"/>
        </w:rPr>
        <w:t>.</w:t>
      </w:r>
      <w:r>
        <w:rPr>
          <w:rStyle w:val="FootnoteAnchor"/>
          <w:rtl w:val="true"/>
        </w:rPr>
        <w:footnoteReference w:id="62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ى او، علماى نجد و قضات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پيرو مذهب حنبلى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نمى شناسند</w:t>
      </w:r>
      <w:r>
        <w:rPr>
          <w:rStyle w:val="FootnoteAnchor"/>
          <w:rtl w:val="true"/>
        </w:rPr>
        <w:footnoteReference w:id="623"/>
      </w:r>
      <w:r>
        <w:rPr>
          <w:rFonts w:ascii="IRNazanin" w:hAnsi="IRNazanin" w:eastAsia="IRNazanin"/>
          <w:color w:val="111111"/>
          <w:sz w:val="28"/>
          <w:sz w:val="28"/>
          <w:szCs w:val="28"/>
          <w:rtl w:val="true"/>
          <w:lang w:bidi="fa-IR"/>
        </w:rPr>
        <w:t xml:space="preserve">و معنى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دانند و ميان دين محمدبن عبدالله و دين عمربن لحى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گذار بت پرستى در ميان مشركان پيش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نمى گذارند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در حالى كه وهابيان خود را پيرو احمدبن حنبل مى دانند، محمدبن عبدالوهاب علماى حنبلى را گرفتار شرك اكبر و ارتداد مى خواند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ابن فيروز كه خود عالمى حنبلى و مقلد ابن تيميه و ابن قيم است، به سبب نپذيرفتن وهابيت، در نگاه محمدبن عبدالوهاب كافر و مرتد است</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با اين نگاه، تكليف علماى مذاهب ديگر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وى، هر منطقه اى كه دعوت وى را نپذيرد، بلاد كفر است؛ هرچند مردم آن مسلمان و به اسلام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بسيارى از موارد، مكه و مدينه را از بلاد كفر مى شمارد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وى تمامى مسلمانان نجد و حجاز را منكر معاد مى داند</w:t>
      </w:r>
      <w:r>
        <w:rPr>
          <w:rStyle w:val="FootnoteAnchor"/>
          <w:rtl w:val="true"/>
        </w:rPr>
        <w:footnoteReference w:id="628"/>
      </w:r>
      <w:r>
        <w:rPr>
          <w:rFonts w:ascii="IRNazanin" w:hAnsi="IRNazanin" w:eastAsia="IRNazanin"/>
          <w:color w:val="111111"/>
          <w:sz w:val="28"/>
          <w:sz w:val="28"/>
          <w:szCs w:val="28"/>
          <w:rtl w:val="true"/>
          <w:lang w:bidi="fa-IR"/>
        </w:rPr>
        <w:t xml:space="preserve">و درباره ى مسلمانان مكه و مدينه معتقد است كه آن چه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به آن اعتقاد دارند، همان چيزى است كه پيامبر گرامى اسلام صلى الله عليه و آله براى مبارزه با آن مبعوث شد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پيروان محمدبن عبدالوهاب نيز نه تنها مسلمانان مكه و مدينه را كافر و قبرپرست مى خوانند، بلكه كسى را كه منكر كفر آن ها باشد نيز كافر مى شمارند</w:t>
      </w:r>
      <w:r>
        <w:rPr>
          <w:rFonts w:eastAsia="IRNazanin" w:cs="IRNazanin"/>
          <w:color w:val="111111"/>
          <w:sz w:val="28"/>
          <w:szCs w:val="28"/>
          <w:rtl w:val="true"/>
          <w:lang w:bidi="fa-IR"/>
        </w:rPr>
        <w:t>.</w:t>
      </w:r>
      <w:r>
        <w:rPr>
          <w:rStyle w:val="FootnoteAnchor"/>
          <w:rtl w:val="true"/>
        </w:rPr>
        <w:footnoteReference w:id="63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عبدالوهاب، جداى از تكفير مسلمانان حرمين شريفين، عامه ى مسلمانان شبه جزيره ى عرب را كافر و بدتر از يهود و نصارى مى شمارد؛</w:t>
      </w:r>
      <w:r>
        <w:rPr>
          <w:rStyle w:val="FootnoteAnchor"/>
          <w:rtl w:val="true"/>
        </w:rPr>
        <w:footnoteReference w:id="631"/>
      </w:r>
      <w:r>
        <w:rPr>
          <w:rFonts w:ascii="Amiri" w:hAnsi="Amiri" w:eastAsia="Amiri" w:cs="Amiri"/>
          <w:color w:val="111111"/>
          <w:sz w:val="28"/>
          <w:sz w:val="28"/>
          <w:szCs w:val="28"/>
          <w:rtl w:val="true"/>
          <w:lang w:bidi="ar-SA"/>
        </w:rPr>
        <w:t>درحالى كه در ميان</w:t>
      </w:r>
    </w:p>
    <w:p>
      <w:pPr>
        <w:pStyle w:val="BookText"/>
        <w:rPr/>
      </w:pPr>
      <w:r>
        <w:rPr>
          <w:rFonts w:ascii="IRNazanin" w:hAnsi="IRNazanin" w:eastAsia="IRNazanin"/>
          <w:color w:val="111111"/>
          <w:sz w:val="28"/>
          <w:sz w:val="28"/>
          <w:szCs w:val="28"/>
          <w:rtl w:val="true"/>
          <w:lang w:bidi="fa-IR"/>
        </w:rPr>
        <w:t>اقوال علما، هيچ كس عموم مسلمانان را تكفير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قبايل و مناطق مهم شبه جزيره ى عرب، مانند قبيله ى عنزه،</w:t>
      </w:r>
      <w:r>
        <w:rPr>
          <w:rStyle w:val="FootnoteAnchor"/>
          <w:rtl w:val="true"/>
        </w:rPr>
        <w:footnoteReference w:id="632"/>
      </w:r>
      <w:r>
        <w:rPr>
          <w:rFonts w:ascii="Amiri" w:hAnsi="Amiri" w:eastAsia="Amiri" w:cs="Amiri"/>
          <w:color w:val="111111"/>
          <w:sz w:val="28"/>
          <w:sz w:val="28"/>
          <w:szCs w:val="28"/>
          <w:rtl w:val="true"/>
          <w:lang w:bidi="ar-SA"/>
        </w:rPr>
        <w:t>الظفير،</w:t>
      </w:r>
      <w:r>
        <w:rPr>
          <w:rStyle w:val="FootnoteAnchor"/>
          <w:rtl w:val="true"/>
        </w:rPr>
        <w:footnoteReference w:id="633"/>
      </w:r>
      <w:r>
        <w:rPr>
          <w:rFonts w:ascii="IRNazanin" w:hAnsi="IRNazanin" w:eastAsia="IRNazanin"/>
          <w:color w:val="111111"/>
          <w:sz w:val="28"/>
          <w:sz w:val="28"/>
          <w:szCs w:val="28"/>
          <w:rtl w:val="true"/>
          <w:lang w:bidi="fa-IR"/>
        </w:rPr>
        <w:t xml:space="preserve">مردم عيينه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تحصيلش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اهل وشم،</w:t>
      </w:r>
      <w:r>
        <w:rPr>
          <w:rStyle w:val="FootnoteAnchor"/>
          <w:rtl w:val="true"/>
        </w:rPr>
        <w:footnoteReference w:id="635"/>
      </w:r>
      <w:r>
        <w:rPr>
          <w:rFonts w:ascii="Amiri" w:hAnsi="Amiri" w:eastAsia="Amiri" w:cs="Amiri"/>
          <w:color w:val="111111"/>
          <w:sz w:val="28"/>
          <w:sz w:val="28"/>
          <w:szCs w:val="28"/>
          <w:rtl w:val="true"/>
          <w:lang w:bidi="ar-SA"/>
        </w:rPr>
        <w:t>و اهل سدير</w:t>
      </w:r>
      <w:r>
        <w:rPr>
          <w:rStyle w:val="FootnoteAnchor"/>
          <w:rtl w:val="true"/>
        </w:rPr>
        <w:footnoteReference w:id="636"/>
      </w:r>
      <w:r>
        <w:rPr>
          <w:rFonts w:ascii="Amiri" w:hAnsi="Amiri" w:eastAsia="Amiri" w:cs="Amiri"/>
          <w:color w:val="111111"/>
          <w:sz w:val="28"/>
          <w:sz w:val="28"/>
          <w:szCs w:val="28"/>
          <w:rtl w:val="true"/>
          <w:lang w:bidi="ar-SA"/>
        </w:rPr>
        <w:t>را به شدت تكفير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دوران محمدبن عبدالوهاب، بسيارى از پيروان وى در اين كه چه گونه مى توان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تكفير كرد، شك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وى فتوايى را صادر كرد كه اگر كسى در خصوص كفر مسلمانان مخالفش شك داشته باشد و برايش سخت باشد كه آنان را تكفيركند، كافراست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به سبب همين رويكرد، دو جلد نسبتاً بزرگ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السنية فى الاجوبة النجدية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جهاد است كه تمام آن مربوط به جهاد با مسلمانان است و در آن، از جهاد با كفار اصلى، مانند يهود و نصارى و بت پرستان، سخنى به ميان نيامده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حتى برخى از علوم اسلامى را كه در مشروعيت آن ها شكى نيست، كفر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عبدالوهاب در پاسخ به نامه اى كه ابن عيسى براى او نوشته و گفته است كه ديدگاه تو غير از نظر فقهاست، با استناد به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بزرگان دين اين آيه را به چيزى تفسيركرده اند كه شما آن را فقه مى ناميد و اين چيزى است كه خداوند آن را شرك خوانده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در تكفير معين، وى كفر محى الدين عربى را از كفر فرعون شديدتر مى داند و حتى كسى را كه در كفر وى شك كند نيز كافر مى شمرد</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وى هم چنين به تكفير فخر رازى،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مى پردازد</w:t>
      </w:r>
      <w:r>
        <w:rPr>
          <w:rStyle w:val="FootnoteAnchor"/>
          <w:rtl w:val="true"/>
        </w:rPr>
        <w:footnoteReference w:id="642"/>
      </w:r>
      <w:r>
        <w:rPr>
          <w:rFonts w:ascii="IRNazanin" w:hAnsi="IRNazanin" w:eastAsia="IRNazanin"/>
          <w:color w:val="111111"/>
          <w:sz w:val="28"/>
          <w:sz w:val="28"/>
          <w:szCs w:val="28"/>
          <w:rtl w:val="true"/>
          <w:lang w:bidi="fa-IR"/>
        </w:rPr>
        <w:t>و به اين دليل كه فخر رازى كتابى در زمينه ى ستارگان و تأثير آن ها بر كشت و زرع، و نقل اقوال برخى از ستاره شناسان دارد، او را به ستاره پرستى متهم مى كند؛</w:t>
      </w:r>
      <w:r>
        <w:rPr>
          <w:rStyle w:val="FootnoteAnchor"/>
          <w:rtl w:val="true"/>
        </w:rPr>
        <w:footnoteReference w:id="643"/>
      </w:r>
      <w:r>
        <w:rPr>
          <w:rFonts w:ascii="IRNazanin" w:hAnsi="IRNazanin" w:eastAsia="IRNazanin"/>
          <w:color w:val="111111"/>
          <w:sz w:val="28"/>
          <w:sz w:val="28"/>
          <w:szCs w:val="28"/>
          <w:rtl w:val="true"/>
          <w:lang w:bidi="fa-IR"/>
        </w:rPr>
        <w:t>درحالى كه چنين اتهامى به فخر رازى دور از انصاف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تكليف شيعيان نيز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به سادگى علماى حنبلى را تكفير مى كند، وضع شيعيان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شيعيان را تكفير مى كند، بلكه معتقد است كسى هم كه در كفر شيعيان شك كند، كافر است</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محمدبن عبدالوهاب نيز همانند ابن تيميه، ناجوان مردانه نسبت هايى را به شيعه مى دهد كه جز توهم چيزى نيست</w:t>
      </w:r>
      <w:r>
        <w:rPr>
          <w:rFonts w:eastAsia="IRNazanin" w:cs="IRNazanin"/>
          <w:color w:val="111111"/>
          <w:sz w:val="28"/>
          <w:szCs w:val="28"/>
          <w:rtl w:val="true"/>
          <w:lang w:bidi="fa-IR"/>
        </w:rPr>
        <w:t>.</w:t>
      </w:r>
      <w:r>
        <w:rPr>
          <w:rStyle w:val="FootnoteAnchor"/>
          <w:rtl w:val="true"/>
        </w:rPr>
        <w:footnoteReference w:id="645"/>
      </w:r>
      <w:bookmarkStart w:id="537" w:name="pg15502_177366"/>
    </w:p>
    <w:p>
      <w:pPr>
        <w:pStyle w:val="Heading4"/>
        <w:numPr>
          <w:ilvl w:val="3"/>
          <w:numId w:val="1"/>
        </w:numPr>
        <w:rPr/>
      </w:pPr>
      <w:bookmarkStart w:id="538" w:name="__RefHeading___Toc8089180_2142443653"/>
      <w:bookmarkStart w:id="539" w:name="_Toc204"/>
      <w:bookmarkEnd w:id="537"/>
      <w:bookmarkEnd w:id="538"/>
      <w:r>
        <w:rPr/>
        <w:t>4</w:t>
      </w:r>
      <w:r>
        <w:rPr>
          <w:rtl w:val="true"/>
        </w:rPr>
        <w:t xml:space="preserve"> - </w:t>
      </w:r>
      <w:r>
        <w:rPr>
          <w:rtl w:val="true"/>
        </w:rPr>
        <w:t>فتنه ى تكفير، ميراث محمد بن عبدالوهاب</w:t>
      </w:r>
      <w:bookmarkEnd w:id="539"/>
    </w:p>
    <w:p>
      <w:pPr>
        <w:pStyle w:val="BookText"/>
        <w:rPr/>
      </w:pPr>
      <w:r>
        <w:rPr>
          <w:rFonts w:ascii="IRNazanin" w:hAnsi="IRNazanin" w:eastAsia="IRNazanin"/>
          <w:color w:val="111111"/>
          <w:sz w:val="28"/>
          <w:sz w:val="28"/>
          <w:szCs w:val="28"/>
          <w:rtl w:val="true"/>
          <w:lang w:bidi="fa-IR"/>
        </w:rPr>
        <w:t>در طول تاريخ وهابيت، وهابيان هيچ گاه انديشه و مرام خود را به وسيله ى دعوت پيش نبرده اند و هماره در سايه ى شمشير و جنگ توانسته اند بر مسلمانان مستولى شوند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پس از محمدبن عبدالوهاب نيز پيروان او به پى روى از رهبر خود، هم چنان بر كوره ى تكفير دميدند و با اين ترفند، به كشتار مسلمانان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وهابيان به پى روى از رهبر خود، كوشيده اند خود را مخالف با انديشه ى تكفير معرفى كنند؛ اما هم چنان به شدت بذر تكفير را در جهان اسلام پراكنده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عبدالله بن عبدالرحمن ابابطين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1159</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مفتى ديار نجد بود و به عنوان يكى از چهره هاى سرشناس وهابى شناخته مى شود، عنوان نخستين باب از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التحذير من تكفير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ى تكفير، از نخستين بدعت هايى بود كه توسط خوارج در اسلام پديدار شد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وى هم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تكفير مسلمانان به شدت نهى كرده و آنان را شديداً از آن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انسانى امر نشده است كه بر اساس باطن مردم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اى برادر مسلمان كه حكم اشتباه تو در تكفير كافر، بهتر از حكم تو به تكفير مسلمان است</w:t>
      </w:r>
      <w:r>
        <w:rPr>
          <w:rFonts w:eastAsia="IRNazanin" w:cs="IRNazanin"/>
          <w:color w:val="111111"/>
          <w:sz w:val="28"/>
          <w:szCs w:val="28"/>
          <w:rtl w:val="true"/>
          <w:lang w:bidi="fa-IR"/>
        </w:rPr>
        <w:t>».</w:t>
      </w:r>
      <w:r>
        <w:rPr>
          <w:rStyle w:val="FootnoteAnchor"/>
          <w:rtl w:val="true"/>
        </w:rPr>
        <w:footnoteReference w:id="64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كلامى از شوكانى نقل مى كند كه وى مسلمانان را به شدت از تكفير ديگران نهى كرده است؛ به ويژه آن كه عمل كفرآميز بر اثر جهل و نادانى باشد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با اين حال، اين گفته هاى معتدل نيز همانند نظريه ى ابن تيميه و گفته هاى محمدبن عبدالوهاب، صرفاً در حد نظريه باقى مى ماند و خود او حتى در همان كتابش به شدت مخالفان خود را تكفير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از نگاه ابابطين، بيش تر مسلمانان كه به زيارت قبور مى روند، مشرك و كافرند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وى حتى جهل را مانع تكفير نمى شمارد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 از جمله موارد شركى است كه خداوند متعال آن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علما اين افراد را تكفير كرده اند؛ 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برخى از گمراهان مى گويند كه اين افراد چون جاهل هستند، بنابراين معذورند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مانع تكفير نيست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سنت تكفير در نسل محمدبن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ى او همانند پدربزرگ خود، مسلمانان عصر خود را به شرك و كفر متهم كرد و آنان را بدتر از مشركان پيش از اسلام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كه مشركان پيش از اسلام،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مسلمانان مى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وى، مسلمانان متأخر، به ويژه اهل علم كه در برخى از احكام و علم كلام داراى درايت بودند، معنى توحيد در عبادت را نفهميدند و گرفتار شرك شدند و كتاب هايى را براى تشريح اعتقادشان تصنيف كردند و به همين دليل، معروف منكر شد و منكر، معروف</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حال بيش تر افراد اين امت، بعد از سه قرن اوليه ى اسلام است</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نوادگان بعدى محمدبن عبدالوهاب نيز چنين ادعايى را بارها تكرار كرده 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اين زمان، به خدا و توحيد او از مشركان پيش از اسلام جاهل ترند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محمد احمد باشميل، از بزرگان وهابى، پا را فراتر نهاده و معتقد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و ابولهب، توحيدى محكم تر و ايمانى خالص تر از مسلمانانى دارند كه لااله الاالله و محمد رسول الله مى گويند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در اين ميان، سلاطين آل سعود ابزار اجرايى تكفير بودند و براى رسيدن به اهداف سياسى خود، از حربه ى تكفير بهره هاى بسيارى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ملك سعودبن عبدالعزيز</w:t>
      </w:r>
      <w:r>
        <w:rPr>
          <w:rStyle w:val="FootnoteAnchor"/>
          <w:rtl w:val="true"/>
        </w:rPr>
        <w:footnoteReference w:id="656"/>
      </w:r>
      <w:r>
        <w:rPr>
          <w:rFonts w:ascii="IRNazanin" w:hAnsi="IRNazanin" w:eastAsia="IRNazanin"/>
          <w:color w:val="111111"/>
          <w:sz w:val="28"/>
          <w:sz w:val="28"/>
          <w:szCs w:val="28"/>
          <w:rtl w:val="true"/>
          <w:lang w:bidi="fa-IR"/>
        </w:rPr>
        <w:t>پس از سال ها جنگ و خون ريزى توانست بر مكه و مدينه مسلط شود، علماى حرمين را مجبور كرد توبه نامه اى بنويسند كه در آن، مسلمانان اين دو شهر مقدس رسماً تكفير شدند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علماى مكه كه امضايمان تحت اين ورقه است، شهادت مى دهيم دينى كه شيخ محمدبن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قيام كرده است و در راستاى آن، امام مسلمين ملك سعودبن عبدالعزيز مردم را به توحيد و نفى شركى كه در كتاب خدا آمده است، دعوت مى كند، حق است و شك و شبهه اى در آن نيست وآن چه در مكه و مدينه و مصر وشام و ديگر بلاد پيش از اين وجود داشته است، شرك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كفرى است كه موجب اباحه ى خون، مال و خلود در آتش مى شود و كسى كه در اين دين وارد نشود و به آن عمل نكند و با موافقان آن دوست و با دشمنان آن دشمن نباشد، نزد ما كافر به خدا و روز قيامت است و بر امام مسلمين، سعودبن عبدالعزيز و مسلمانان ديگر واجب است كه با وى جهاد و قتال كنند تا هنگامى كه توبه كرده و بر اساس اين دين عمل كند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شبيه اين اعتراف نامه، از علماى مدينه نيز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مردم مكه و مدينه و در رأس آنان علماى اين دو شهر، هرگز به اختيار خود به حكومت وهابيت تن ندادند و وهابيان و آل سعود به كمك لشكر جرار اخوان، پس از سال ها حمله و كشتارهاى شديد در شهرهاى طائف و مدينه توانستند بر اين دو شهر مستولى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علماى شافعى، حنفى، مالكى و حنبلى، در مكه و مدينه حضور داشتند كه مخالفت هاى آنان با حركت انحرافى وهابيت، بر كسى پوشيده نيست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از سوى ديگر، چنان كه در اين اعتراف نامه مشاهده مى شود، سخن از دين محمدبن عبدالوهاب است، نه احياى سنت پيامبر گرامى اسلام صلى الله عليه و آله گويى محمدبن عبدالوهاب پيامبرى است كه دين جديدى را براى مردم آورده و مردم بايد به آن گردن نهند و يا دست كم تا دوران محمدبن عبدالوهاب، دين پيامبر كلاً از ميان رفته بود و محمدبن عبدالوهاب بوده است كه بار ديگر دين را آورده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بعد نيز در ميان فتاواى وهابيان، ردپاى تكفير بسيار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وهابيانى را كه مسلمانان شهرهاى غيروهابى را دوست دارند، كافر مى شمارند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در نگاه آنان، ابن عربى و ابن فارض، كافرترين مردم روى زمين اند؛</w:t>
      </w:r>
      <w:r>
        <w:rPr>
          <w:rStyle w:val="FootnoteAnchor"/>
          <w:rtl w:val="true"/>
        </w:rPr>
        <w:footnoteReference w:id="660"/>
      </w:r>
      <w:r>
        <w:rPr>
          <w:rFonts w:ascii="Amiri" w:hAnsi="Amiri" w:eastAsia="Amiri" w:cs="Amiri"/>
          <w:color w:val="111111"/>
          <w:sz w:val="28"/>
          <w:sz w:val="28"/>
          <w:szCs w:val="28"/>
          <w:rtl w:val="true"/>
          <w:lang w:bidi="ar-SA"/>
        </w:rPr>
        <w:t>نه تنها دولت عثمانى كافر است، بلكه كسى هم كه آن را تكفير نكند كافر است؛</w:t>
      </w:r>
      <w:r>
        <w:rPr>
          <w:rStyle w:val="FootnoteAnchor"/>
          <w:rtl w:val="true"/>
        </w:rPr>
        <w:footnoteReference w:id="661"/>
      </w:r>
      <w:r>
        <w:rPr>
          <w:rFonts w:ascii="IRNazanin" w:hAnsi="IRNazanin" w:eastAsia="IRNazanin"/>
          <w:color w:val="111111"/>
          <w:sz w:val="28"/>
          <w:sz w:val="28"/>
          <w:szCs w:val="28"/>
          <w:rtl w:val="true"/>
          <w:lang w:bidi="fa-IR"/>
        </w:rPr>
        <w:t>كسى كه دعوت وهابيت را بپذيرد، اما اعتقاد داشته باشد اجدادش كه بر دين محمدبن عبدالوهاب نبوده اند، مسلمان از دنيا رفته اند، كافر است و بايد توبه داده شود؛ و اگر توبه نكرد، بايد گردنش زده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كسى كه پيش از پذيرش دعوت وهابى، حج به جا آورده است، بايد دوباره حج به جاى آورد؛ زيرا از شروط صحت حج، اسلام است كه وى نداشته است</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در ديدگاه وهابيان، اشاعره كافرند و معنى شهادتين را نمى دانند؛</w:t>
      </w:r>
      <w:r>
        <w:rPr>
          <w:rStyle w:val="FootnoteAnchor"/>
          <w:rtl w:val="true"/>
        </w:rPr>
        <w:footnoteReference w:id="664"/>
      </w:r>
      <w:r>
        <w:rPr>
          <w:rFonts w:ascii="IRNazanin" w:hAnsi="IRNazanin" w:eastAsia="IRNazanin"/>
          <w:color w:val="111111"/>
          <w:sz w:val="28"/>
          <w:sz w:val="28"/>
          <w:szCs w:val="28"/>
          <w:rtl w:val="true"/>
          <w:lang w:bidi="fa-IR"/>
        </w:rPr>
        <w:t>هرگونه ارتباط با كفار و مشركان، مانند يهود و نصارى، از قبيل استخدام آن ها، معاملات تجارى با آنان، و لباس پوشيدن مانند ايشان موجب كفر است و حتى مسافرت به سرزمين آن ها باعث كفر مى شود؛</w:t>
      </w:r>
      <w:r>
        <w:rPr>
          <w:rStyle w:val="FootnoteAnchor"/>
          <w:rtl w:val="true"/>
        </w:rPr>
        <w:footnoteReference w:id="665"/>
      </w:r>
      <w:r>
        <w:rPr>
          <w:rFonts w:ascii="IRNazanin" w:hAnsi="IRNazanin" w:eastAsia="IRNazanin"/>
          <w:color w:val="111111"/>
          <w:sz w:val="28"/>
          <w:sz w:val="28"/>
          <w:szCs w:val="28"/>
          <w:rtl w:val="true"/>
          <w:lang w:bidi="fa-IR"/>
        </w:rPr>
        <w:t>اين در حالى است كه اگر شخصيت هاى انگليسى مانند كلنل ويليام شكسپير، سنت جون فيلبى و مستشاران انگليسى و آمريكايى را از مكتب وهابيت حذف كنيم، نامى از وهابيت باقى نمى ماند</w:t>
      </w:r>
      <w:r>
        <w:rPr>
          <w:rFonts w:eastAsia="IRNazanin" w:cs="IRNazanin"/>
          <w:color w:val="111111"/>
          <w:sz w:val="28"/>
          <w:szCs w:val="28"/>
          <w:rtl w:val="true"/>
          <w:lang w:bidi="fa-IR"/>
        </w:rPr>
        <w:t>.</w:t>
      </w:r>
      <w:r>
        <w:rPr>
          <w:rStyle w:val="FootnoteAnchor"/>
          <w:rtl w:val="true"/>
        </w:rPr>
        <w:footnoteReference w:id="66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 جاكه دميدن بر كوره ى تكفير، ابعاد آن را گسترده تر مى كند، در بسيارى از مقاطع تاريخى، آتش تكفير دامن خود وهابيان را نيز گرفته است و گروهى از وهابيان، گروهى ديگر را به كفر متهم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رهبرى آن را فيصل الدويش و سلطان بن بجاد برعهده داشتند، يكى از اين نمونه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وهابيان در سايه ى قساوت ها و كشتارهاى گسترده ى حركت اخوان توانستند بر عربستان حاكم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اخوانى وفادارترين افراد به انديشه هاى محمدبن عبدالوهاب بودند؛ اما همين كه آنان مكه را تصرف كردند و به انحرافات عبدالعزيز از عقايد وهابيت اعتراض كردند، توسط علماى وابسته به آل سعود تكفير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كفر و ارتداد اين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 ترين دلايل ارتداد آن ها، سرپيچى از فرامين عبدالعزيز است</w:t>
      </w:r>
      <w:r>
        <w:rPr>
          <w:rFonts w:eastAsia="IRNazanin" w:cs="IRNazanin"/>
          <w:color w:val="111111"/>
          <w:sz w:val="28"/>
          <w:szCs w:val="28"/>
          <w:rtl w:val="true"/>
          <w:lang w:bidi="fa-IR"/>
        </w:rPr>
        <w:t>...».</w:t>
      </w:r>
      <w:r>
        <w:rPr>
          <w:rStyle w:val="FootnoteAnchor"/>
          <w:rtl w:val="true"/>
        </w:rPr>
        <w:footnoteReference w:id="66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فتوا، عبدالعزيز به قلع و قمع گروه اخوان التوحيد پرداخت و خود، فيصل الدويش را به شديدترين وضع كشت</w:t>
      </w:r>
      <w:r>
        <w:rPr>
          <w:rFonts w:eastAsia="IRNazanin" w:cs="IRNazanin"/>
          <w:color w:val="111111"/>
          <w:sz w:val="28"/>
          <w:szCs w:val="28"/>
          <w:rtl w:val="true"/>
          <w:lang w:bidi="fa-IR"/>
        </w:rPr>
        <w:t>.</w:t>
      </w:r>
      <w:r>
        <w:rPr>
          <w:rStyle w:val="FootnoteAnchor"/>
          <w:rtl w:val="true"/>
        </w:rPr>
        <w:footnoteReference w:id="668"/>
      </w:r>
      <w:bookmarkStart w:id="540" w:name="pg15502_177372"/>
    </w:p>
    <w:p>
      <w:pPr>
        <w:pStyle w:val="Heading3"/>
        <w:numPr>
          <w:ilvl w:val="2"/>
          <w:numId w:val="1"/>
        </w:numPr>
        <w:rPr/>
      </w:pPr>
      <w:bookmarkStart w:id="541" w:name="__RefHeading___Toc8089182_2142443653"/>
      <w:bookmarkStart w:id="542" w:name="_Toc205"/>
      <w:bookmarkEnd w:id="540"/>
      <w:bookmarkEnd w:id="541"/>
      <w:r>
        <w:rPr>
          <w:rtl w:val="true"/>
        </w:rPr>
        <w:t>فصل پانزدهم</w:t>
      </w:r>
      <w:r>
        <w:rPr>
          <w:rtl w:val="true"/>
        </w:rPr>
        <w:t xml:space="preserve">: </w:t>
      </w:r>
      <w:r>
        <w:rPr>
          <w:rtl w:val="true"/>
        </w:rPr>
        <w:t xml:space="preserve">وهابيت تكفيرى </w:t>
      </w:r>
      <w:r>
        <w:rPr>
          <w:rtl w:val="true"/>
        </w:rPr>
        <w:t>(</w:t>
      </w:r>
      <w:r>
        <w:rPr>
          <w:rtl w:val="true"/>
        </w:rPr>
        <w:t>دوره ى معاصر</w:t>
      </w:r>
      <w:r>
        <w:rPr>
          <w:rtl w:val="true"/>
        </w:rPr>
        <w:t>)</w:t>
      </w:r>
      <w:bookmarkEnd w:id="54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3" w:name="__RefHeading___Toc8089184_2142443653"/>
      <w:bookmarkStart w:id="544" w:name="_Toc206"/>
      <w:bookmarkEnd w:id="543"/>
      <w:r>
        <w:rPr>
          <w:rtl w:val="true"/>
        </w:rPr>
        <w:t>اشاره</w:t>
      </w:r>
      <w:bookmarkStart w:id="545" w:name="pg15502_177374"/>
      <w:bookmarkEnd w:id="544"/>
    </w:p>
    <w:p>
      <w:pPr>
        <w:pStyle w:val="Heading4"/>
        <w:numPr>
          <w:ilvl w:val="3"/>
          <w:numId w:val="1"/>
        </w:numPr>
        <w:rPr/>
      </w:pPr>
      <w:bookmarkStart w:id="546" w:name="__RefHeading___Toc8089186_2142443653"/>
      <w:bookmarkStart w:id="547" w:name="_Toc207"/>
      <w:bookmarkEnd w:id="545"/>
      <w:bookmarkEnd w:id="546"/>
      <w:r>
        <w:rPr/>
        <w:t>1</w:t>
      </w:r>
      <w:r>
        <w:rPr>
          <w:rtl w:val="true"/>
        </w:rPr>
        <w:t xml:space="preserve"> - </w:t>
      </w:r>
      <w:r>
        <w:rPr>
          <w:rtl w:val="true"/>
        </w:rPr>
        <w:t>مقدمه</w:t>
      </w:r>
      <w:bookmarkEnd w:id="547"/>
    </w:p>
    <w:p>
      <w:pPr>
        <w:pStyle w:val="BookText"/>
        <w:rPr/>
      </w:pPr>
      <w:r>
        <w:rPr>
          <w:rFonts w:ascii="IRNazanin" w:hAnsi="IRNazanin" w:eastAsia="IRNazanin"/>
          <w:color w:val="111111"/>
          <w:sz w:val="28"/>
          <w:sz w:val="28"/>
          <w:szCs w:val="28"/>
          <w:rtl w:val="true"/>
          <w:lang w:bidi="fa-IR"/>
        </w:rPr>
        <w:t>هرچند بيش از سه قرن از آغاز فتنه ى وهابيت مى گذرد و در طول اين مدت، وهابيت با افت وخيزهاى فراوانى روبه رو بوده است، اما هرگز گذر زمان و تحولات داخلى و خارجى، از رويكرد افراطى اين انديشه نكاسته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جريان هاى داخلى وهابيت، در واكنش به واقعيت هاى جهان اسلام و جامعه ى خود، به اعتدال روى آورده اند؛ اما اين گروه ها، نه تنها نتوانسته اند بر فضاى غالب وهابيت تأثير بسزايى داشته باشند، بلكه خود در جامعه ى وهابى مطرود شده اند</w:t>
      </w:r>
      <w:r>
        <w:rPr>
          <w:rFonts w:eastAsia="IRNazanin" w:cs="IRNazanin"/>
          <w:color w:val="111111"/>
          <w:sz w:val="28"/>
          <w:szCs w:val="28"/>
          <w:rtl w:val="true"/>
          <w:lang w:bidi="fa-IR"/>
        </w:rPr>
        <w:t>.</w:t>
      </w:r>
      <w:r>
        <w:rPr>
          <w:rStyle w:val="FootnoteAnchor"/>
          <w:rtl w:val="true"/>
        </w:rPr>
        <w:footnoteReference w:id="66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ازسوى ديگر، در قرن اخير، جهان اسلام شرايط جديدى را تجربه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دشمنان مشترك بزرگى همانند آمريكا و اسرائيل و گسترش موج اسلام ستيزى و</w:t>
      </w:r>
    </w:p>
    <w:p>
      <w:pPr>
        <w:pStyle w:val="BookText"/>
        <w:rPr/>
      </w:pPr>
      <w:r>
        <w:rPr>
          <w:rFonts w:ascii="Amiri" w:hAnsi="Amiri" w:eastAsia="Amiri" w:cs="Amiri"/>
          <w:color w:val="111111"/>
          <w:sz w:val="28"/>
          <w:sz w:val="28"/>
          <w:szCs w:val="28"/>
          <w:rtl w:val="true"/>
          <w:lang w:bidi="ar-SA"/>
        </w:rPr>
        <w:t>اسلام هراسى در غرب، و در مقابل، رشد بيدارى اسلامى،</w:t>
      </w:r>
      <w:r>
        <w:rPr>
          <w:rStyle w:val="FootnoteAnchor"/>
          <w:rtl w:val="true"/>
        </w:rPr>
        <w:footnoteReference w:id="670"/>
      </w:r>
      <w:r>
        <w:rPr>
          <w:rFonts w:ascii="IRNazanin" w:hAnsi="IRNazanin" w:eastAsia="IRNazanin"/>
          <w:color w:val="111111"/>
          <w:sz w:val="28"/>
          <w:sz w:val="28"/>
          <w:szCs w:val="28"/>
          <w:rtl w:val="true"/>
          <w:lang w:bidi="fa-IR"/>
        </w:rPr>
        <w:t>زمينه هاى هم گرايى و تقريب را ميان ملل مسلمان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عمل كرد بد گروه هاى تكفيرى، همانند القاعده، سپاه صحابه، لشكر جهنگوى و حزب التحرير، موجب افول انديشه هاى تكفيرى در جهان اسلام شده و به سلف هراسى انجاميده است</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در اين ميان، مسلمانان خسته از گرايش هاى تند تكفيرى و ارهابى، امروز به دنبال يافتن مسيرى براى وحدت و هم دلى هستند تا بتوانند در برابر دشمنان قدرتمند و متحد خود،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درحالى كه امروز جهان اسلام، بيش از هر زمان ديگرى به وحدت و يك پارچگى نياز دارد، وهابيت تكفيرى هم چنان بر طبل تكفير مى كوبد و همچون اسلاف خود، به جاى مبارزه با دشمنان قسم خورده ى اسلام، بذر تكفير را در جهان اسلام مى پراكند و قواى مسلمين را تحليل مى برد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شرايط امروز وهابيت را با گذشته متفاوت كرده است، روش و استراتژى به كارگرفته شده توسط وهابيان است و آن اين كه اگر آنان در گذشته رسماً به جنگ مسلمانان مى رفتند، امروز به سبب ضعف و افول انديشه ى تكفيرى، دشمنان خود را اولويت بندى كرده اند؛ به اين معنى كه در ظاهر، گاه از تكفير برخى از گروه هاى اهل سنت دست مى كشند و آنان را براى تكفير برخى ديگر از فرقه هاى اسلامى تهييج</w:t>
      </w:r>
      <w:bookmarkStart w:id="548" w:name="pg15502_177376"/>
    </w:p>
    <w:p>
      <w:pPr>
        <w:pStyle w:val="BookText"/>
        <w:rPr/>
      </w:pPr>
      <w:bookmarkEnd w:id="548"/>
      <w:r>
        <w:rPr>
          <w:rFonts w:ascii="IRNazanin" w:hAnsi="IRNazanin" w:eastAsia="IRNazanin"/>
          <w:color w:val="111111"/>
          <w:sz w:val="28"/>
          <w:sz w:val="28"/>
          <w:szCs w:val="28"/>
          <w:rtl w:val="true"/>
          <w:lang w:bidi="fa-IR"/>
        </w:rPr>
        <w:t>مى كنند؛ اما در اصل، از اين فرقه ها استفاده ى ابزارى مى كنند و گفته ها و انديشه هاى بزرگان معاصر وهابيت، هم چنان تضاد اين مكتب با عامه ى مسلمانان را فرياد مى زند</w:t>
      </w:r>
      <w:r>
        <w:rPr>
          <w:rFonts w:eastAsia="IRNazanin" w:cs="IRNazanin"/>
          <w:color w:val="111111"/>
          <w:sz w:val="28"/>
          <w:szCs w:val="28"/>
          <w:rtl w:val="true"/>
          <w:lang w:bidi="fa-IR"/>
        </w:rPr>
        <w:t>.</w:t>
      </w:r>
      <w:r>
        <w:rPr>
          <w:rStyle w:val="FootnoteAnchor"/>
          <w:rtl w:val="true"/>
        </w:rPr>
        <w:footnoteReference w:id="672"/>
      </w:r>
    </w:p>
    <w:p>
      <w:pPr>
        <w:pStyle w:val="Heading4"/>
        <w:numPr>
          <w:ilvl w:val="3"/>
          <w:numId w:val="1"/>
        </w:numPr>
        <w:rPr/>
      </w:pPr>
      <w:bookmarkStart w:id="549" w:name="__RefHeading___Toc8089188_2142443653"/>
      <w:bookmarkStart w:id="550" w:name="_Toc208"/>
      <w:bookmarkEnd w:id="549"/>
      <w:r>
        <w:rPr/>
        <w:t>2</w:t>
      </w:r>
      <w:r>
        <w:rPr>
          <w:rtl w:val="true"/>
        </w:rPr>
        <w:t xml:space="preserve"> - </w:t>
      </w:r>
      <w:r>
        <w:rPr>
          <w:rtl w:val="true"/>
        </w:rPr>
        <w:t>وهابيت و اهل سنت و جماعت</w:t>
      </w:r>
      <w:bookmarkEnd w:id="550"/>
    </w:p>
    <w:p>
      <w:pPr>
        <w:pStyle w:val="BookText"/>
        <w:rPr/>
      </w:pPr>
      <w:r>
        <w:rPr>
          <w:rFonts w:ascii="IRNazanin" w:hAnsi="IRNazanin" w:eastAsia="IRNazanin"/>
          <w:color w:val="111111"/>
          <w:sz w:val="28"/>
          <w:sz w:val="28"/>
          <w:szCs w:val="28"/>
          <w:rtl w:val="true"/>
          <w:lang w:bidi="fa-IR"/>
        </w:rPr>
        <w:t xml:space="preserve">از ديرباز،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تمامى پيروان مذاهب چهارگانه ى فقهى، اطلاق مى شده است كه آن ها نيز با توجه به ديدگاه هاى خود در حوزه ى عقايد، پيرو مكاتب كلامى اشعرى يا ماتريدى هستند؛</w:t>
      </w:r>
      <w:r>
        <w:rPr>
          <w:rStyle w:val="FootnoteAnchor"/>
          <w:rtl w:val="true"/>
        </w:rPr>
        <w:footnoteReference w:id="673"/>
      </w:r>
      <w:r>
        <w:rPr>
          <w:rFonts w:ascii="IRNazanin" w:hAnsi="IRNazanin" w:eastAsia="IRNazanin"/>
          <w:color w:val="111111"/>
          <w:sz w:val="28"/>
          <w:sz w:val="28"/>
          <w:szCs w:val="28"/>
          <w:rtl w:val="true"/>
          <w:lang w:bidi="fa-IR"/>
        </w:rPr>
        <w:t xml:space="preserve">اما وهابيان معاصر تلاش پى گيرى را براى ارائه ى تعريفى جديد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ديدگاهى، هرچند در انديشه ى ابن تيميه ريشه دارد، اما در چند دهه ى گذشته، شتاب بيش ترى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تعريف وهابيان، واژه ى اهل سنت و جماعت، تنها بر آن ها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فوزان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 كه چرا بسيارى از فتاواى ابن تيميه برخلاف فتاواى اهل سنت و جماعت است، مى گويد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دروغ هايى است كه بر شيخ الاسلام ابن تيميه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كلامى برخلاف تمامى ائمه، اعم از ائمه ى اربعه و ائمه ى سلفى كه پيش از آن ها بوده اند،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اين كه مراد سؤال كننده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اشاعره و ماتريديه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 غلطى است؛ زيرا مراد از اهل سنت و جماعت، كسانى اند كه بر شيوه ى پيامبر گرامى اسلام صلى الله عليه و آله و صحابه عمل مى كنند و آن ها فرقه ى ناجيه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اشاعره و ماتريديه با صحابه و تابعين و ائمه ى اربعه، در بسيارى از مسائل اعتقادى و اصول دين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ى اين نيستند كه به آن ها لقب اهل سنت و</w:t>
      </w:r>
    </w:p>
    <w:p>
      <w:pPr>
        <w:pStyle w:val="BookText"/>
        <w:rPr/>
      </w:pPr>
      <w:r>
        <w:rPr>
          <w:rFonts w:ascii="IRNazanin" w:hAnsi="IRNazanin" w:eastAsia="IRNazanin"/>
          <w:color w:val="111111"/>
          <w:sz w:val="28"/>
          <w:sz w:val="28"/>
          <w:szCs w:val="28"/>
          <w:rtl w:val="true"/>
          <w:lang w:bidi="fa-IR"/>
        </w:rPr>
        <w:t>جماعت داده شود و با اين گروه، نه تنها شيخ الاسلام ابن تيميه، بلكه تمامى ائمه و علمايى كه بر روش سلف بوده اند، مخالفت كرده اند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به سادگى مى توان دريافت كه لازمه ى گفته ى فوزان، تخصيص اكثر است؛ به اين معنى كه بيش تر اهل سنت در حوزه ى عقايد، يا پيرو مكتب اشعرى اند و يا پيرو مكتب ماتريدى؛ اما فوزان رسماً آن ها را خارج از قلمرو اهل سنت و جماعت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عثيمين نيز چنين ادعايى را درباره ى اهل سنت تكرار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سنت و جماعت بناميم؛ زيرا اضافه اقتضاى نسبت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منتسب به سنت هستند؛ چون به آن چنگ زده اند؛ درحالى كه اين ها به سبب انحرافات و تحريفاتى كه صورت گرفته است، از سنت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جماعت، در اصل به معنى اجتماع است؛ درحالى كه اين ها در نظريات خود، اجماع ندارند؛ در كتاب هايشان تناقض، آشفتگى و تداخل وجود دارد و برخى، برخى ديگر را گمراه ناميده اند و گاهى سخنان ضد و نقيضى مى گويند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البته اين اشكال در وهله ى اول به خود وهابيان و سلفى ها وارد است؛ زيرا وهابيان تمام مسلمانان را به انحراف متهم مى كنند و تنها قرائت افراطى خود را از دين قبول دارند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 چنين به طلاب نصيحت مى كند كه از كتاب هاى صحيح و سالم كه بر مذهب سلف صالح و اهل سنت و جماعت نگاشته شده است و با كتاب و سنت مطابقت دارد، استفاده كنند و از كتاب هاى مخالف با روش سلف، مانند كتاب هاى اشاعره، معتزله، جهميه و ديگر فرق ضاله پرهيز نمايند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عثيمين حتى شخصيت هايى مانند نووى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را نيز از دايره ى اهل سنت بيرون مى كند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آنان در بحث اسماء و صفات، آنان را از دايره ى اهل سنت و جماعت خارج كرده است</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ازسوى ديگر، وهابيت بر اساس مبناى خود در تقليد، و در راستاى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بلامذهب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خود مذهب جديدى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جنگ مذاهب مختلف اهل سنت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مطيع خدا و پيامبر نيست؛ بلكه پيرو ائمه و بزرگانى است كه از آن ها تقليد مى كند و به آن ها علاقه ى بيش ترى از خدا و پيامبر دارد؛ زيرا اطاعت خدا و پى روى از پيامبر را ترك كرده است و اطاعت غير آن ها را بر اساس دليل غيرمسلم و آشكار برگزيده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قنوجى در بخشى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المذاهب من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 در مقلدان مذاهب كه چه گونه از اموات، علما و اولياء پى روى مى كنند و مى گويند كه فهم كتاب و سنت، اختصاص به آن 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وى فراموش كرده است كه اساس مكتب سلفى گرى و وهابيت، خود بر مبناى تقليد، آن هم تقليد بدون فكر و انديشه از سه قرن نخستين، بنا نهاده شده است</w:t>
      </w:r>
      <w:r>
        <w:rPr>
          <w:rStyle w:val="FootnoteAnchor"/>
          <w:rtl w:val="true"/>
        </w:rPr>
        <w:footnoteReference w:id="680"/>
      </w:r>
      <w:r>
        <w:rPr>
          <w:rFonts w:ascii="IRNazanin" w:hAnsi="IRNazanin" w:eastAsia="IRNazanin"/>
          <w:color w:val="111111"/>
          <w:sz w:val="28"/>
          <w:sz w:val="28"/>
          <w:szCs w:val="28"/>
          <w:rtl w:val="true"/>
          <w:lang w:bidi="fa-IR"/>
        </w:rPr>
        <w:t>و خودشان به ابن تيميه و محمدبن عبدالوهاب، چون پيامبرى نوخاسته مى نگرند؛ ثانياً تقليد مذاهب، در طول پى روى از كتاب خدا و سنت پيامبر قرار دارد، نه در عرض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مدرس متوفى مسجد الحرام، پيدايش مذاهب را بدعت در دين مى شمارد كه پس از سه قرن اوليه ى اسلام به وجود آمد و تمامى تفرقه ى مسلمانان، ريشه در مذاهب دارد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وى سپس درباره ى فلسفه ى شكل گيرى فرق اهل سنت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نيست كه مذهب از بدعت در دين ناشى مى شود؛ و مذاهب را سلاطين و امرا براى اجراى سياست ها و هواهاى نفسانى و يا حفظ جايگاه خود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هر مطالعه كننده ى تاريخى روشن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اما آيا وهابيت، مهم ترين مصداق چنين ديدگاهى نيست‌؟ آيا وهابيت مهم ترين اشتقاق و تفرقه را در ميان مسلمانان دامن نزده است‌؟ و آيا آل سعود از اين جريان انحرافى، بيش ترين استفاده را نبرده است‌؟</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جداى از رد تمامى مذاهب، وهابيان مذاهب معين را نيز تكفير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كه فوزان براى سال اول دوره ى متوسطه در عربستان نگاشته و وزارت تربيت و تعليم عربستان آن را چاپ كرده است، مشركان گذشته، اسلاف مشركان جهميه، معتزله و اشاعره معرفى مى شوند</w:t>
      </w:r>
      <w:r>
        <w:rPr>
          <w:rFonts w:eastAsia="IRNazanin" w:cs="IRNazanin"/>
          <w:color w:val="111111"/>
          <w:sz w:val="28"/>
          <w:szCs w:val="28"/>
          <w:rtl w:val="true"/>
          <w:lang w:bidi="fa-IR"/>
        </w:rPr>
        <w:t>.</w:t>
      </w:r>
      <w:r>
        <w:rPr>
          <w:rStyle w:val="FootnoteAnchor"/>
          <w:rtl w:val="true"/>
        </w:rPr>
        <w:footnoteReference w:id="68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فوزان همانند اسلاف خود، جهان اسلام را آغشته به جهل و شرك توصيف مى كند و علت آن را نيز رهبرى گمراهان بر جامعه ى بشرى مى شمارد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عثيمين نيز همانند اسلاف خود، اين ادعا را تكرار مى كند كه مسلمانان هم چنان گرفتار شرك در عبادتند و بيش تر مردم در خصوص توحيد در عبادت كافر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بسيارى از موارد، علماى اهل سنت به صورت معين تكفير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البانى، شيخ شعراوى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انسانى منحرف در عقيده كه از سنت هيچ نمى داند، معرفى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شعراوى از علماى الازهر است و تمامى آن ها به شدت از سنت دور هستند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علماى وهابى هم چنين به شدت به يوسف قرضاوى حمله مى كنند و عبارات بسيار ناپسندى درباره ى وى به كار مى برند؛ چنان كه مقبل الوادعى، از دانشمندان وهابى،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اسكات الكلب العاوى يوسف بن عبدالله القرضاوى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نيز درباره ى وى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قرضاوى آموزش ازهرى</w:t>
      </w:r>
      <w:r>
        <w:rPr>
          <w:rStyle w:val="FootnoteAnchor"/>
          <w:rtl w:val="true"/>
        </w:rPr>
        <w:footnoteReference w:id="687"/>
      </w:r>
      <w:r>
        <w:rPr>
          <w:rFonts w:ascii="Amiri" w:hAnsi="Amiri" w:eastAsia="Amiri" w:cs="Amiri"/>
          <w:color w:val="111111"/>
          <w:sz w:val="28"/>
          <w:sz w:val="28"/>
          <w:szCs w:val="28"/>
          <w:rtl w:val="true"/>
          <w:lang w:bidi="ar-SA"/>
        </w:rPr>
        <w:t>دارد و بر مبناى كتاب و سنت درس نخوانده است و برخلاف شريعت فتوا مى دهد</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وهابيان هم چنين با ساكنان خود عربستان كه اهل سنت هستند، برخورد تكفيرى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منطقه ى حجاز، مالكى ها و شافعيان، و بخشى نيز از پيروان مكاتب تصوف، حضور دارند، وهابيان به شدت با آنان مقابله مى كنند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نمونه،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الحوالى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وهابى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در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العلوى المالكى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مالكى در مكه</w:t>
      </w:r>
      <w:r>
        <w:rPr>
          <w:rStyle w:val="FootnoteAnchor"/>
          <w:rtl w:val="true"/>
        </w:rPr>
        <w:footnoteReference w:id="689"/>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ملة عمروبن لحى وداعية الشرك فى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الحوالى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ماه ها كتابى در مكه و شهرهاى ديگر منتشر شده است كه توسط دعوت كننده به سوى شرك در اين زمان و احياگر دين عمروبن لحى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علوى المالكى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الفؤاد بزيارة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كه توسط وزارت امور دينى و اوقاف دولت امارات به چاپ رسيده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وى در ادامه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دوگانه پرستى، شرك، بدعت و گمراهى، در همه جا ديده مى شوند و تيرهاى خود و تيرهاى منافقين را به سوى اهل سنت نشانه رفته اند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اين در حالى است كه پيروان مذهب مالكى در شهرهاى مكه و جده بسيار فعالند و امروزه چهره هايى مانند عمر الجيلانى و على اليمانى در مكه، و عبدالله الفدعق در جده، رهبران آن ها شمرده مى شوند</w:t>
      </w:r>
      <w:r>
        <w:rPr>
          <w:rFonts w:eastAsia="IRNazanin" w:cs="IRNazanin"/>
          <w:color w:val="111111"/>
          <w:sz w:val="28"/>
          <w:szCs w:val="28"/>
          <w:rtl w:val="true"/>
          <w:lang w:bidi="fa-IR"/>
        </w:rPr>
        <w:t>.</w:t>
      </w:r>
      <w:r>
        <w:rPr>
          <w:rStyle w:val="FootnoteAnchor"/>
          <w:rtl w:val="true"/>
        </w:rPr>
        <w:footnoteReference w:id="69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گونه كه گفته شد، هنگامى كه آتش تكفير فراگير شود، دامن خود تكفيريان را نيز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سفر الحوالى كه شديدترين مواضع را ضد شيعه اتخاذ كرده است، از سوى عالم بزرگ وهابى، دكتر ربيع مدخلى، از خوارج شمرده شده است</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عمر الكامل، از ديگر علماى وهابى نيز به نكوهش شديد سفر الحوالى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ازسوى ديگر، طرفداران سفر الحوالى كتابى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الشامل على عمر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w:t>
      </w:r>
      <w:bookmarkStart w:id="551" w:name="pg15502_177382"/>
    </w:p>
    <w:p>
      <w:pPr>
        <w:pStyle w:val="BookText"/>
        <w:rPr/>
      </w:pPr>
      <w:bookmarkEnd w:id="551"/>
      <w:r>
        <w:rPr>
          <w:rFonts w:ascii="IRNazanin" w:hAnsi="IRNazanin" w:eastAsia="IRNazanin"/>
          <w:color w:val="111111"/>
          <w:sz w:val="28"/>
          <w:sz w:val="28"/>
          <w:szCs w:val="28"/>
          <w:rtl w:val="true"/>
          <w:lang w:bidi="fa-IR"/>
        </w:rPr>
        <w:t>هم چنين سلمان العودة، يكى از علماى بنام عربستان است كه ديدگاه هاى نسبتاً معتدلى دارد؛ اما وهابيان كتاب هاى بسيارى بر ضد او نوشته اند؛ عثيمين، گوش دادن به سخن رانى هاى وى را منع كرد</w:t>
      </w:r>
      <w:r>
        <w:rPr>
          <w:rStyle w:val="FootnoteAnchor"/>
          <w:rtl w:val="true"/>
        </w:rPr>
        <w:footnoteReference w:id="694"/>
      </w:r>
      <w:r>
        <w:rPr>
          <w:rFonts w:ascii="IRNazanin" w:hAnsi="IRNazanin" w:eastAsia="IRNazanin"/>
          <w:color w:val="111111"/>
          <w:sz w:val="28"/>
          <w:sz w:val="28"/>
          <w:szCs w:val="28"/>
          <w:rtl w:val="true"/>
          <w:lang w:bidi="fa-IR"/>
        </w:rPr>
        <w:t>و حتى شيخ مقبل بن هادى الوادعى وى را بدعت گذار خوانده است؛ شيخ عبيد الجابرى نيز مسلمانان را از امثال وى برحذر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عالم وهابى ديگر، عائض القرنى در قالب شعرى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الحواشى واخرج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انتقاد از دولت پرداخت كه در پى آن، موجى از مخالفت هاى شديد با وى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شيخ احمد النجمى وى را داراى انديشه ى خوارج توصيف كرد</w:t>
      </w:r>
      <w:r>
        <w:rPr>
          <w:rFonts w:eastAsia="IRNazanin" w:cs="IRNazanin"/>
          <w:color w:val="111111"/>
          <w:sz w:val="28"/>
          <w:szCs w:val="28"/>
          <w:rtl w:val="true"/>
          <w:lang w:bidi="fa-IR"/>
        </w:rPr>
        <w:t>.</w:t>
      </w:r>
      <w:r>
        <w:rPr>
          <w:rStyle w:val="FootnoteAnchor"/>
          <w:rtl w:val="true"/>
        </w:rPr>
        <w:footnoteReference w:id="695"/>
      </w:r>
    </w:p>
    <w:p>
      <w:pPr>
        <w:pStyle w:val="Heading4"/>
        <w:numPr>
          <w:ilvl w:val="3"/>
          <w:numId w:val="1"/>
        </w:numPr>
        <w:rPr/>
      </w:pPr>
      <w:bookmarkStart w:id="552" w:name="__RefHeading___Toc8089190_2142443653"/>
      <w:bookmarkStart w:id="553" w:name="_Toc209"/>
      <w:bookmarkEnd w:id="552"/>
      <w:r>
        <w:rPr/>
        <w:t>3</w:t>
      </w:r>
      <w:r>
        <w:rPr>
          <w:rtl w:val="true"/>
        </w:rPr>
        <w:t xml:space="preserve"> - </w:t>
      </w:r>
      <w:r>
        <w:rPr>
          <w:rtl w:val="true"/>
        </w:rPr>
        <w:t>وهابيت معاصر و شيعه</w:t>
      </w:r>
      <w:bookmarkEnd w:id="553"/>
    </w:p>
    <w:p>
      <w:pPr>
        <w:pStyle w:val="BookText"/>
        <w:rPr/>
      </w:pPr>
      <w:r>
        <w:rPr>
          <w:rFonts w:ascii="IRNazanin" w:hAnsi="IRNazanin" w:eastAsia="IRNazanin"/>
          <w:color w:val="111111"/>
          <w:sz w:val="28"/>
          <w:sz w:val="28"/>
          <w:szCs w:val="28"/>
          <w:rtl w:val="true"/>
          <w:lang w:bidi="fa-IR"/>
        </w:rPr>
        <w:t>جداى از شيعيان ديگر كشورهاى اسلامى، در ايالت شرقى عربستان سعودى و حتى خود مكه و مدينه، شيعيان اثنى عشرى حضورى قابل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منطقه ى جنوب عربستان، شيعيان زيدى و اسماعيلى حضور دارند؛ اما وهابيان، نه تنها براى شيعيان كشورهاى ديگر، بلكه براى شيعيان اين كشور نيز شرايط سخت و دشوار دينى، فرهنگى، اجتماعى، سياسى و اقتصادى فراهم كرده 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حركت ضدشيعى كه در عصر ابن تيميه آغاز گرديد و در دوران محمدبن عبدالوهاب، بر شدت آن افزوده شد، در عصر معاصر، ابعاد گسترده ترى يافته است و گاه در ميان فتاواى وهابيان تكفيرى، فتواهايى مبنى بر تخريب و اباحه ى مال و خون شيعيان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بن جبرين، عضو هيأت كبار علماى عربستان، درباره ى پرداخت زكات به شيعيان نيازمند سؤال مى شود،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در آثارشان در باب زكات گفته اند كه نمى توان آن را به كافر و بدعت گذار داد و بى شك، رافضه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كفارند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زكاتش را به آن ها بدهد، بايد دوباره زكاتش را بپردازد؛ زيرا آن را به كسانى داده است كه موجب كمك به كفر و جنگ با اهل سنت</w:t>
      </w:r>
      <w:r>
        <w:rPr>
          <w:rStyle w:val="FootnoteAnchor"/>
          <w:rtl w:val="true"/>
        </w:rPr>
        <w:footnoteReference w:id="696"/>
      </w:r>
      <w:r>
        <w:rPr>
          <w:rFonts w:ascii="IRNazanin" w:hAnsi="IRNazanin" w:eastAsia="IRNazanin"/>
          <w:color w:val="111111"/>
          <w:sz w:val="28"/>
          <w:sz w:val="28"/>
          <w:szCs w:val="28"/>
          <w:rtl w:val="true"/>
          <w:lang w:bidi="fa-IR"/>
        </w:rPr>
        <w:t>مى شود و كسى كه مسئول توزيع زكات است، حرام است كه چيزى از آن را به رافضى بدهد؛ و اگر چنين كند، ذمه اش برى نمى شود و بايد غرامت آن را بپردازد؛ زيرا امانت را به اهلش نرسانده است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http : // ibn-jebreen.com/ book.php?cat = 6&amp;book = 67&amp;page = 3585</w:t>
      </w:r>
    </w:p>
    <w:p>
      <w:pPr>
        <w:pStyle w:val="BookText"/>
        <w:rPr/>
      </w:pPr>
      <w:r>
        <w:rPr>
          <w:rFonts w:ascii="Amiri" w:hAnsi="Amiri" w:eastAsia="Amiri" w:cs="Amiri"/>
          <w:color w:val="111111"/>
          <w:sz w:val="28"/>
          <w:sz w:val="28"/>
          <w:szCs w:val="28"/>
          <w:rtl w:val="true"/>
          <w:lang w:bidi="ar-SA"/>
        </w:rPr>
        <w:t>فتواى بن جبرين درباره ى تخريب اماكن مقدس شيعيان نيز از جمله فتواهايى است كه زمينه ى هدم حرم مطهر عسكريين و عمليات هاى انتحارى را فراهم كرد</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xml:space="preserve">هم چنين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كه حزب الله با تمام توان در برابر اشغال گران قدس شريف مقاومت مى كرد، وى به همراه برخى از علماى وهابى، حمايت از حزب الله را نامشروع شمرد و آنان را خارج از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براى جهان اسلام كه اسرائيل و يهود را دشمن اصلى خود مى دانست، بسيار تأمل برانگيز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الحوالى نيز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گفت</w:t>
      </w:r>
      <w:r>
        <w:rPr>
          <w:rFonts w:eastAsia="IRNazanin" w:cs="IRNazanin"/>
          <w:color w:val="111111"/>
          <w:sz w:val="28"/>
          <w:szCs w:val="28"/>
          <w:rtl w:val="true"/>
          <w:lang w:bidi="fa-IR"/>
        </w:rPr>
        <w:t>:</w:t>
      </w:r>
      <w:bookmarkStart w:id="554" w:name="pg15502_177384"/>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معنى آن حزب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حزب شيطان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حزب الله دعا نكنيد</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در اين ميان، هر از چند گاهى برخى از خطيبان و امامان جمعه ى وهابى، بر طبل تكفير شيعيان مى كوبند و بذر دشمنى را مى پراكنند؛ چنان كه فتواى حذيفى</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جمعه ى مسجد 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عبدالعزيز آل شيخ</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هيأت كبار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تكفير و خروج شيعيان از اسلام، گوشه اى از اين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وهابيان ديگرى كه در برابر شيعه مواضع افراطى گرفته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عبدالعزيزبن باز؛ شيخ عبدالرحمن براك؛ ناصر العمرى؛</w:t>
      </w:r>
      <w:r>
        <w:rPr>
          <w:rStyle w:val="FootnoteAnchor"/>
          <w:rtl w:val="true"/>
        </w:rPr>
        <w:footnoteReference w:id="702"/>
      </w:r>
      <w:r>
        <w:rPr>
          <w:rFonts w:ascii="Amiri" w:hAnsi="Amiri" w:eastAsia="Amiri" w:cs="Amiri"/>
          <w:color w:val="111111"/>
          <w:sz w:val="28"/>
          <w:sz w:val="28"/>
          <w:szCs w:val="28"/>
          <w:rtl w:val="true"/>
          <w:lang w:bidi="ar-SA"/>
        </w:rPr>
        <w:t>و ربيع مدخلى</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8089192_2142443653"/>
      <w:bookmarkStart w:id="556" w:name="_Toc210"/>
      <w:bookmarkEnd w:id="555"/>
      <w:r>
        <w:rPr/>
        <w:t>4</w:t>
      </w:r>
      <w:r>
        <w:rPr>
          <w:rtl w:val="true"/>
        </w:rPr>
        <w:t xml:space="preserve"> - </w:t>
      </w:r>
      <w:r>
        <w:rPr>
          <w:rtl w:val="true"/>
        </w:rPr>
        <w:t>فرق اسلامى و وهابيت تكفيرى</w:t>
      </w:r>
      <w:bookmarkEnd w:id="556"/>
    </w:p>
    <w:p>
      <w:pPr>
        <w:pStyle w:val="BookText"/>
        <w:rPr/>
      </w:pPr>
      <w:r>
        <w:rPr>
          <w:rFonts w:ascii="IRNazanin" w:hAnsi="IRNazanin" w:eastAsia="IRNazanin"/>
          <w:color w:val="111111"/>
          <w:sz w:val="28"/>
          <w:sz w:val="28"/>
          <w:szCs w:val="28"/>
          <w:rtl w:val="true"/>
          <w:lang w:bidi="fa-IR"/>
        </w:rPr>
        <w:t>ابعاد گسترده ى تكفير در انديشه و عمل وهابى، سبب شده است كه بسيارى از علماى فرق و مذاهب اسلامى، از همين زاويه به انتقاد از وهابيت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كسانى كه عامل تكفير در انديشه ى وهابى را نكوهش كرده اند، به سه گروه تقسيم مى شوند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كسانى كه تحت تأثير وهابيت قرار گرفته و گرايش وهابى دارند؛ اما در مسأله ى تكفير، با وهابيت همراه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شوكانى كه خود از حاميان اصلى</w:t>
      </w:r>
    </w:p>
    <w:p>
      <w:pPr>
        <w:pStyle w:val="BookText"/>
        <w:rPr/>
      </w:pPr>
      <w:r>
        <w:rPr>
          <w:rFonts w:ascii="IRNazanin" w:hAnsi="IRNazanin" w:eastAsia="IRNazanin"/>
          <w:color w:val="111111"/>
          <w:sz w:val="28"/>
          <w:sz w:val="28"/>
          <w:szCs w:val="28"/>
          <w:rtl w:val="true"/>
          <w:lang w:bidi="fa-IR"/>
        </w:rPr>
        <w:t>وهابيت است و به ديده ى احترام به محمدبن عبدالوهاب مى نگرد، هنگامى كه به ويژگى تكفير مى رسد، به ناچار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وهابيان عقيده دارند كسى كه حكومت نجد را نپذيرد و فرامين آن را اطاعت نكند، خارج از اسلام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هم چنين منصور حازمى كه خود سلفى است و محمدبن عبدالوهاب را مى ستايد، به وى دو انتقاد مهم وارد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تكفير تمامى مردم زمين به سبب برخى از امور غيرواقعى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 ريختن خون انسان هاى بى گناه بدون دليل و برهان</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شيخ سلفى، محمد صديق حسن خان كه اهل حديث و سلفى است، از وهابيت ابراز برائت مى كند؛ زيرا به عقيده ى وى، آنان چيزى جز ريختن خون نمى شناسند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محدث انورشاه كشميرى كه خود نيز اهل حديث است و گرايش هاى سلفى دارد، وهابيت را مترادف تكفير مى داند و معتقد است كه آنان در حكم به تكفير، درنگ نمى كنند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گروه دوم كسانى اند كه حنبلى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مدعى اند كه به مكتب حنبلى بيش از مكاتب ديگر نزديكند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وهابيت انحرافى است كه از دل مكتب حنبلى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بسيارى از علماى بزرگ حنبلى ديدگاه هاى تكفيرى وهابيت را به چالش كشيده 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عفالق حنبلى</w:t>
      </w:r>
      <w:r>
        <w:rPr>
          <w:rStyle w:val="FootnoteAnchor"/>
          <w:rtl w:val="true"/>
        </w:rPr>
        <w:footnoteReference w:id="707"/>
      </w:r>
      <w:r>
        <w:rPr>
          <w:rFonts w:ascii="IRNazanin" w:hAnsi="IRNazanin" w:eastAsia="IRNazanin"/>
          <w:color w:val="111111"/>
          <w:sz w:val="28"/>
          <w:sz w:val="28"/>
          <w:szCs w:val="28"/>
          <w:rtl w:val="true"/>
          <w:lang w:bidi="fa-IR"/>
        </w:rPr>
        <w:t>درباره ى محمدبن عبدالوهاب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شخص قسم فاسدى خورده است و آن اين كه يهود و مشركان بهتر از امت اسلام هستند</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سليمان بن سحيم حنبلى</w:t>
      </w:r>
      <w:r>
        <w:rPr>
          <w:rStyle w:val="FootnoteAnchor"/>
          <w:rtl w:val="true"/>
        </w:rPr>
        <w:footnoteReference w:id="709"/>
      </w:r>
      <w:r>
        <w:rPr>
          <w:rFonts w:ascii="IRNazanin" w:hAnsi="IRNazanin" w:eastAsia="IRNazanin"/>
          <w:color w:val="111111"/>
          <w:sz w:val="28"/>
          <w:sz w:val="28"/>
          <w:szCs w:val="28"/>
          <w:rtl w:val="true"/>
          <w:lang w:bidi="fa-IR"/>
        </w:rPr>
        <w:t>نيز در توصيف محمدبن عبدالوهاب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وى در تمامى نظراتش موافق نباشد و بر درستى گفته هاى او شهادت ندهد، وى او را كافر مى شمارد؛ و به كسى كه موافق او باشد و او را در همه ى آن چه مى گويد، تصديق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موحدى؛ هرچند فاسق كامل باشد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شيخ عثمان بن منصور حنبلى سلفى نجدى</w:t>
      </w:r>
      <w:r>
        <w:rPr>
          <w:rStyle w:val="FootnoteAnchor"/>
          <w:rtl w:val="true"/>
        </w:rPr>
        <w:footnoteReference w:id="711"/>
      </w:r>
      <w:r>
        <w:rPr>
          <w:rFonts w:ascii="IRNazanin" w:hAnsi="IRNazanin" w:eastAsia="IRNazanin"/>
          <w:color w:val="111111"/>
          <w:sz w:val="28"/>
          <w:sz w:val="28"/>
          <w:szCs w:val="28"/>
          <w:rtl w:val="true"/>
          <w:lang w:bidi="fa-IR"/>
        </w:rPr>
        <w:t>كه از قاضيان آل سعود نيز بوده است، مى گويد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اين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خود را ركن ششم از اركان اسلام قرار داده است</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چنين اشكالى را سليمان بن عبدالوهاب،</w:t>
      </w:r>
      <w:r>
        <w:rPr>
          <w:rStyle w:val="FootnoteAnchor"/>
          <w:rtl w:val="true"/>
        </w:rPr>
        <w:footnoteReference w:id="713"/>
      </w:r>
      <w:r>
        <w:rPr>
          <w:rFonts w:ascii="IRNazanin" w:hAnsi="IRNazanin" w:eastAsia="IRNazanin"/>
          <w:color w:val="111111"/>
          <w:sz w:val="28"/>
          <w:sz w:val="28"/>
          <w:szCs w:val="28"/>
          <w:rtl w:val="true"/>
          <w:lang w:bidi="fa-IR"/>
        </w:rPr>
        <w:t>برادر محمدبن عبدالوهاب نيز بر وى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وى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اسلام چه تعداد است‌؟ وى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آن را شش ركن قرار داده اى؛ ششم، كسى كه از تو اطاعت نكند، مسلمان نيست؛ و اين نزد تو، ركن ششم از اركان اسلام است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گروه سوم نيز شيعيان و ديگر مذاهب اهل سنت هستند كه به دليل گستردگى آن، نياز به بازگويى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ديدگاه هاى اين گروه را شايد بتوان در اين گفته ى صدقى زهاوى</w:t>
      </w:r>
      <w:r>
        <w:rPr>
          <w:rStyle w:val="FootnoteAnchor"/>
          <w:rtl w:val="true"/>
        </w:rPr>
        <w:footnoteReference w:id="715"/>
      </w:r>
      <w:r>
        <w:rPr>
          <w:rFonts w:ascii="Amiri" w:hAnsi="Amiri" w:eastAsia="Amiri" w:cs="Amiri"/>
          <w:color w:val="111111"/>
          <w:sz w:val="28"/>
          <w:sz w:val="28"/>
          <w:szCs w:val="28"/>
          <w:rtl w:val="true"/>
          <w:lang w:bidi="ar-SA"/>
        </w:rPr>
        <w:t>خلاصه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سؤال كند كه مذهب ساختگى وهابيت به چه معنى است و هدف آن چيست، در پاسخ هر دو پرسش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تكفير تمامى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باوجود اختصارش، تعريف كافى براى مذهب وهابيت است</w:t>
      </w:r>
      <w:r>
        <w:rPr>
          <w:rFonts w:eastAsia="IRNazanin" w:cs="IRNazanin"/>
          <w:color w:val="111111"/>
          <w:sz w:val="28"/>
          <w:szCs w:val="28"/>
          <w:rtl w:val="true"/>
          <w:lang w:bidi="fa-IR"/>
        </w:rPr>
        <w:t>».</w:t>
      </w:r>
      <w:r>
        <w:rPr>
          <w:rStyle w:val="FootnoteAnchor"/>
          <w:rtl w:val="true"/>
        </w:rPr>
        <w:footnoteReference w:id="71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زينى دحلان، عالم بزرگ شافعى كه با فتنه ى وهابيت هم زمان است، در معرفى اين مكتب مى گويد</w:t>
      </w:r>
      <w:r>
        <w:rPr>
          <w:rFonts w:eastAsia="IRNazanin" w:cs="IRNazanin"/>
          <w:color w:val="111111"/>
          <w:sz w:val="28"/>
          <w:szCs w:val="28"/>
          <w:rtl w:val="true"/>
          <w:lang w:bidi="fa-IR"/>
        </w:rPr>
        <w:t>:</w:t>
      </w:r>
      <w:bookmarkStart w:id="557" w:name="pg15502_177388"/>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 امت اسلام را از ششصد سال پيش از ظهور خود تكفير مى كردند و نخستين كسى كه تصريح به تكفير مسلمانان كرد، محمدبن عبدالوهاب بود و وهابيان نيز از وى پى 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فردى در دينش وارد مى شد، و پيش از آن حج به جا آورده بود، به وى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حج به جاى آور؛ زيرا حج اوّلت در حالت شرك بود و از تو پذيرفته نمى شود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به گفته ى حداد الحضرمى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فردى بخواهد در دين وى وارد شود، وى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بر خودت كه تو در گذشته كافر بوده اى؛ و شهادت بده كه پدر و مادرت نيز بر كفر از دنيا رفته اند؛ و شهادت بده كه فلان علما نيز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اگر به اين امور شهادت مى داد، وى را قبول مى كرد؛ و اگر شهادت نمى داد، كشته مى شد</w:t>
      </w:r>
      <w:r>
        <w:rPr>
          <w:rFonts w:eastAsia="IRNazanin" w:cs="IRNazanin"/>
          <w:color w:val="111111"/>
          <w:sz w:val="28"/>
          <w:szCs w:val="28"/>
          <w:rtl w:val="true"/>
          <w:lang w:bidi="fa-IR"/>
        </w:rPr>
        <w:t>».</w:t>
      </w:r>
      <w:r>
        <w:rPr>
          <w:rStyle w:val="FootnoteAnchor"/>
          <w:rtl w:val="true"/>
        </w:rPr>
        <w:footnoteReference w:id="718"/>
      </w:r>
    </w:p>
    <w:p>
      <w:pPr>
        <w:pStyle w:val="Heading4"/>
        <w:numPr>
          <w:ilvl w:val="3"/>
          <w:numId w:val="1"/>
        </w:numPr>
        <w:rPr/>
      </w:pPr>
      <w:bookmarkStart w:id="558" w:name="__RefHeading___Toc8089194_2142443653"/>
      <w:bookmarkStart w:id="559" w:name="_Toc211"/>
      <w:bookmarkEnd w:id="558"/>
      <w:r>
        <w:rPr/>
        <w:t>5</w:t>
      </w:r>
      <w:r>
        <w:rPr>
          <w:rtl w:val="true"/>
        </w:rPr>
        <w:t xml:space="preserve"> - </w:t>
      </w:r>
      <w:r>
        <w:rPr>
          <w:rtl w:val="true"/>
        </w:rPr>
        <w:t>محمد بن عبدالوهاب از چشم برادر</w:t>
      </w:r>
      <w:bookmarkEnd w:id="559"/>
    </w:p>
    <w:p>
      <w:pPr>
        <w:pStyle w:val="BookText"/>
        <w:rPr/>
      </w:pPr>
      <w:r>
        <w:rPr>
          <w:rFonts w:ascii="IRNazanin" w:hAnsi="IRNazanin" w:eastAsia="IRNazanin"/>
          <w:color w:val="111111"/>
          <w:sz w:val="28"/>
          <w:sz w:val="28"/>
          <w:szCs w:val="28"/>
          <w:rtl w:val="true"/>
          <w:lang w:bidi="fa-IR"/>
        </w:rPr>
        <w:t xml:space="preserve">در فصول گذشته و نيز در اين فصل، به اجمال به برخى از گفته هاى سليمان بن عبدالوهاب درباره ى وهابيت اشاره شد؛ اما ازآن جاكه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الالهية فى الرد على الوهابية</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يكى از مهم ترين كتاب هايى است كه توسط نزديكان محمدبن عبدالوهاب و يك عالم حنبلى برضد تكفير نگاشته شده است، اشاره اى اجمالى به محتواى آن ضرورى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پس از آن كه علماى وهابى را به دليل تكفير مسلمانان به شدت نكوهش مى كند و آنان را از نظر علمى شايسته ى قضاوت درباره ى كفر و ايمان مسلمانان نمى شمارد، به واكاوى تاريخ اسلام در زمينه ى تكفير مى پردازد، تا در يك بررسى</w:t>
      </w:r>
      <w:bookmarkStart w:id="560" w:name="pg15502_177389"/>
    </w:p>
    <w:p>
      <w:pPr>
        <w:pStyle w:val="BookText"/>
        <w:rPr/>
      </w:pPr>
      <w:bookmarkEnd w:id="560"/>
      <w:r>
        <w:rPr>
          <w:rFonts w:ascii="IRNazanin" w:hAnsi="IRNazanin" w:eastAsia="IRNazanin"/>
          <w:color w:val="111111"/>
          <w:sz w:val="28"/>
          <w:sz w:val="28"/>
          <w:szCs w:val="28"/>
          <w:rtl w:val="true"/>
          <w:lang w:bidi="fa-IR"/>
        </w:rPr>
        <w:t>تاريخى، اوج انحراف وهابيت را از سيره ى پيامبر گرامى اسلام صلى الله عليه و آله و عمل كرد صحابه، تابعين، و تابعين تابعين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فصول</w:t>
      </w:r>
      <w:r>
        <w:rPr>
          <w:rStyle w:val="FootnoteAnchor"/>
          <w:rtl w:val="true"/>
        </w:rPr>
        <w:footnoteReference w:id="720"/>
      </w:r>
      <w:r>
        <w:rPr>
          <w:rFonts w:ascii="IRNazanin" w:hAnsi="IRNazanin" w:eastAsia="IRNazanin"/>
          <w:color w:val="111111"/>
          <w:sz w:val="28"/>
          <w:sz w:val="28"/>
          <w:szCs w:val="28"/>
          <w:rtl w:val="true"/>
          <w:lang w:bidi="fa-IR"/>
        </w:rPr>
        <w:t>مختلف يادآور مى شود كه گروه هايى همانند خوارج، اهل رده، قدريه، معتزله، مرجئه و جهميه، هرچند ديدگاه هايشان با ائمه ى سلف در تضاد بود، اما توسط آنان تكفير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زندگى احمدبن حنبل گزارش مى دهد باآن كه او توسط مخالفانش به زندان افتاد، شكنجه شد و تكفير گرديد، هنگامى كه از زندان رها شد، پشت سر همين افراد نماز مى خواند و آنان را خارج از دين نمى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فصول بعدى،</w:t>
      </w:r>
      <w:r>
        <w:rPr>
          <w:rStyle w:val="FootnoteAnchor"/>
          <w:rtl w:val="true"/>
        </w:rPr>
        <w:footnoteReference w:id="721"/>
      </w:r>
      <w:r>
        <w:rPr>
          <w:rFonts w:ascii="IRNazanin" w:hAnsi="IRNazanin" w:eastAsia="IRNazanin"/>
          <w:color w:val="111111"/>
          <w:sz w:val="28"/>
          <w:sz w:val="28"/>
          <w:szCs w:val="28"/>
          <w:rtl w:val="true"/>
          <w:lang w:bidi="fa-IR"/>
        </w:rPr>
        <w:t>با استناد به آيات و روايات، ثابت مى كند كه هرگز نمى توان اهل قبله را تكفير كرد و پيامبر گرامى اسلام صلى الله عليه و آله، مسلمانان را از چنين كارى به شدت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وهابيت برخلاف آيات، روايات و سيره ى مسلمانان، به تكفير و قتل و غارت مسلمانان پرداخته است</w:t>
      </w:r>
      <w:r>
        <w:rPr>
          <w:rFonts w:eastAsia="IRNazanin" w:cs="IRNazanin"/>
          <w:color w:val="111111"/>
          <w:sz w:val="28"/>
          <w:szCs w:val="28"/>
          <w:rtl w:val="true"/>
          <w:lang w:bidi="fa-IR"/>
        </w:rPr>
        <w:t>.</w:t>
      </w:r>
    </w:p>
    <w:p>
      <w:pPr>
        <w:pStyle w:val="Heading4"/>
        <w:numPr>
          <w:ilvl w:val="3"/>
          <w:numId w:val="1"/>
        </w:numPr>
        <w:rPr/>
      </w:pPr>
      <w:bookmarkStart w:id="561" w:name="__RefHeading___Toc8089196_2142443653"/>
      <w:bookmarkStart w:id="562" w:name="_Toc212"/>
      <w:bookmarkEnd w:id="561"/>
      <w:r>
        <w:rPr/>
        <w:t>6</w:t>
      </w:r>
      <w:r>
        <w:rPr>
          <w:rtl w:val="true"/>
        </w:rPr>
        <w:t xml:space="preserve"> - </w:t>
      </w:r>
      <w:r>
        <w:rPr>
          <w:rtl w:val="true"/>
        </w:rPr>
        <w:t>وهابيان، خوارج معاصر</w:t>
      </w:r>
      <w:bookmarkEnd w:id="56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به مبانى انديشه اى خوارج و وهابيت، به خوبى مى توان ميان خوارج و وهابيت شباهت هاى بسيارى را يافت</w:t>
      </w:r>
      <w:r>
        <w:rPr>
          <w:rFonts w:eastAsia="IRNazanin" w:cs="IRNazanin"/>
          <w:color w:val="111111"/>
          <w:sz w:val="28"/>
          <w:szCs w:val="28"/>
          <w:rtl w:val="true"/>
          <w:lang w:bidi="fa-IR"/>
        </w:rPr>
        <w:t>.</w:t>
      </w:r>
      <w:r>
        <w:rPr>
          <w:rStyle w:val="FootnoteAnchor"/>
          <w:rtl w:val="true"/>
        </w:rPr>
        <w:footnoteReference w:id="722"/>
      </w:r>
      <w:r>
        <w:rPr>
          <w:rFonts w:ascii="Amiri" w:hAnsi="Amiri" w:eastAsia="Amiri" w:cs="Amiri"/>
          <w:color w:val="111111"/>
          <w:sz w:val="28"/>
          <w:sz w:val="28"/>
          <w:szCs w:val="28"/>
          <w:rtl w:val="true"/>
          <w:lang w:bidi="ar-SA"/>
        </w:rPr>
        <w:t>خوارج مسلمانان را كافر شمردند و بر آن ها تيغ كشيدند؛ نه تنها مردان، بلكه كودكان و زنان مسلمان را نيز كشتند و در ميان قربانيان</w:t>
      </w:r>
    </w:p>
    <w:p>
      <w:pPr>
        <w:pStyle w:val="BookText"/>
        <w:rPr/>
      </w:pPr>
      <w:r>
        <w:rPr>
          <w:rFonts w:ascii="IRNazanin" w:hAnsi="IRNazanin" w:eastAsia="IRNazanin"/>
          <w:color w:val="111111"/>
          <w:sz w:val="28"/>
          <w:sz w:val="28"/>
          <w:szCs w:val="28"/>
          <w:rtl w:val="true"/>
          <w:lang w:bidi="fa-IR"/>
        </w:rPr>
        <w:t>خوارج، كم تر كافر اصلى، همچون يهود و نصارى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سرزمين اسلامى را دارالحرب و دارالكفر نام نهادند و به كشتار گسترده ى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نيز همه ى مسلمانان را كافر فرض كرده و تنها خود را مسلمان و موحد معرفى كردند و به همين بهانه، به كشتار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سرزمين هاى مسلمانان را درالكفر تلقى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وهابيان با خوارج اين است كه خوارج هرچند خون مسلمانان را مباح شمردند، اما براى كشتار مسلمانان به كفار متوسل نشدند؛ درحالى كه وهابيت با كمك عناصر انگليسى و آمريكايى و با اتحاد با كفر، به كشتار مسلمانان مى پردازد و درحالى كه مسلمانان را متهم به كفر و شرك مى كند، در تعامل با كفار و دشمنان اصلى اسلام، لحظه اى كوتاهى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خوارج با استفاده از كلمات حق، اراده ى باطل مى كردند؛</w:t>
      </w:r>
      <w:r>
        <w:rPr>
          <w:rStyle w:val="FootnoteAnchor"/>
          <w:rtl w:val="true"/>
        </w:rPr>
        <w:footnoteReference w:id="723"/>
      </w:r>
      <w:r>
        <w:rPr>
          <w:rFonts w:ascii="IRNazanin" w:hAnsi="IRNazanin" w:eastAsia="IRNazanin"/>
          <w:color w:val="111111"/>
          <w:sz w:val="28"/>
          <w:sz w:val="28"/>
          <w:szCs w:val="28"/>
          <w:rtl w:val="true"/>
          <w:lang w:bidi="fa-IR"/>
        </w:rPr>
        <w:t>وهابيان نيز با تكيه بر معنى ظاهرى آيات و تفسير باطل از آن ها، به بى راهه گام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همان گونه كه تلازم ميان ايمان و عمل مبناى فكرى خوارج را تشكيل مى داد و مرتكب كبيره در نگاه آنان، خارج از دين بود، در نگاه وهابيان نيز مسائلى كه مستلزم شرك نيست، شرك شمرده شد و فاعل آن، از نگاه آنان كافر و مهدور الدم و المال تلقى گرديد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وهابيان در تلاوت قرآن، تأكيد بر نمازهاى پنج گانه و درمجموع، انجام ظاهرى مناسك دينى، تقيد زيادى دارند؛ تاآن جاكه گاه عبادات مسلمانان ديگر را برنمى تابند و خود را در اين زمينه، پيشگام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در ميان خوارج نيز كاملاً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بسيار به ظواهر دين مقيد بودند؛ پيشانى هايشان از شدت سجود پينه بسته بود؛ قرآن را به زيبايى تلاوت مى كردند؛ نمازهايشان بسيار طولانى بود؛</w:t>
      </w:r>
    </w:p>
    <w:p>
      <w:pPr>
        <w:pStyle w:val="BookText"/>
        <w:rPr/>
      </w:pPr>
      <w:r>
        <w:rPr>
          <w:rFonts w:ascii="IRNazanin" w:hAnsi="IRNazanin" w:eastAsia="IRNazanin"/>
          <w:color w:val="111111"/>
          <w:sz w:val="28"/>
          <w:sz w:val="28"/>
          <w:szCs w:val="28"/>
          <w:rtl w:val="true"/>
          <w:lang w:bidi="fa-IR"/>
        </w:rPr>
        <w:t>به گمان خود، امر به معروف و نهى از منكر مى كردند؛ و به ديده ى تحقير به عبادات مسلمانان مى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ى پيامبر گرامى اسلام صلى الله عليه و آله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فيكم قوم تحقرون صلاتكم مع صلاتهم، وصيامكم مع صيامهم، وعملكم مع عملهم، يقرؤون القران لا يجاوز حناجرهم، يمرقون من الدين كما يمرق السهم من الرمية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ميان شما پديدار مى شوند كه با نمازهايشان نماز شما، با روزه هايشان روزه ى شما، و با اعمالشان، اعمال شما را تحقير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خوانند، اما از حنجره شان پايين تر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دين خارج مى شوند، همان گونه كه تير از چله ى كمان مى جهد</w:t>
      </w:r>
      <w:r>
        <w:rPr>
          <w:rFonts w:eastAsia="IRNazanin" w:cs="IRNazanin"/>
          <w:color w:val="111111"/>
          <w:sz w:val="28"/>
          <w:szCs w:val="28"/>
          <w:rtl w:val="true"/>
          <w:lang w:bidi="fa-IR"/>
        </w:rPr>
        <w:t>».</w:t>
      </w:r>
      <w:bookmarkStart w:id="563" w:name="pg15502_177392"/>
    </w:p>
    <w:p>
      <w:pPr>
        <w:pStyle w:val="Heading3"/>
        <w:numPr>
          <w:ilvl w:val="2"/>
          <w:numId w:val="1"/>
        </w:numPr>
        <w:rPr/>
      </w:pPr>
      <w:bookmarkStart w:id="564" w:name="__RefHeading___Toc8089198_2142443653"/>
      <w:bookmarkStart w:id="565" w:name="_Toc213"/>
      <w:bookmarkEnd w:id="563"/>
      <w:bookmarkEnd w:id="564"/>
      <w:r>
        <w:rPr>
          <w:rtl w:val="true"/>
        </w:rPr>
        <w:t>نتيجه ى بخش دوم</w:t>
      </w:r>
      <w:bookmarkEnd w:id="565"/>
    </w:p>
    <w:p>
      <w:pPr>
        <w:pStyle w:val="BookText"/>
        <w:rPr/>
      </w:pPr>
      <w:r>
        <w:rPr>
          <w:rFonts w:ascii="IRNazanin" w:hAnsi="IRNazanin" w:eastAsia="IRNazanin"/>
          <w:color w:val="111111"/>
          <w:sz w:val="28"/>
          <w:sz w:val="28"/>
          <w:szCs w:val="28"/>
          <w:rtl w:val="true"/>
          <w:lang w:bidi="fa-IR"/>
        </w:rPr>
        <w:t>يكى از لغزشگاه هاى مهم وهابيت، بحث ايمان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تنها گروهى كه مسلمانان را تكفير كرده و خون ومال وناموس آنان را مباح شمرده است، خوارج است كه به فرموده ى پيامبر گرامى اسلام صلى الله عليه و آله مانند تيرى كه از چله ى كمان خارج مى شود، از دين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نيز همانند خوارج، همه ى مسلمانان را تكفير كرده و در طول تاريخ خود، به اباحه ى خون و مال و ناموس مسلمانان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تحريف معنى ايمان، آن را اقرار به زبان، تصديق به قلب و انجام اعمال معرفى مى كنند كه اين نظريه با انديشه ى اسلامى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ديدگاه غالب در جهان اسلام و آراى مذاهب اسلامى، ايمان، اقرار به زبان و تصديق به قلب است؛ و عمل، درجات ايمان را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ايمان بدون عمل ارزشى ندارد و هرچه عمل بيش تر و خالصانه تر باشد، درجه ى ايمان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ديگر اين كه ايمان داراى متعلقاتى است كه در صورت فقدان هر يك از آن ها، انسان از شريعت اسلامى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آيات قرآن، متعلقات ايمان عبارتند از رسالت پيامبران، خدا، غيب و معاد، كه در صورت فقدان هر يك از اين موارد، انسان از حوزه ى دين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وهابيان مسلمانان را به دليل اعتقاد به مسائل مشروعى مانند توسل، طلب شفاعت و زيارت، كافر دانسته و خون و مال آنان را مباح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بسيارى از آيات و روايات، مسلمانان را از تكفير اهل قبله و كسانى كه شهادتين را به زبان آورده اند، منع مى كند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درمجموع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در تكفير مسلمانان، گوى سبقت را از خوارج ربوده اند؛ چراكه خوارج افراد مرتكب كبيره را تكفير مى كردند، اما وهابيان مسلمانانى را كه به مناسك شرعى خود عمل مى كنند، مانند زيارت، توسل به اولياى الهى و برگزارى مراسم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تأكيد شريعت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ومهدورالدم والمال معرفى مى كنند</w:t>
      </w:r>
      <w:r>
        <w:rPr>
          <w:rFonts w:eastAsia="IRNazanin" w:cs="IRNazanin"/>
          <w:color w:val="111111"/>
          <w:sz w:val="28"/>
          <w:szCs w:val="28"/>
          <w:rtl w:val="true"/>
          <w:lang w:bidi="fa-IR"/>
        </w:rPr>
        <w:t>.</w:t>
      </w:r>
      <w:bookmarkStart w:id="566" w:name="pg15502_177394"/>
    </w:p>
    <w:p>
      <w:pPr>
        <w:pStyle w:val="Heading2"/>
        <w:numPr>
          <w:ilvl w:val="1"/>
          <w:numId w:val="1"/>
        </w:numPr>
        <w:rPr/>
      </w:pPr>
      <w:bookmarkStart w:id="567" w:name="__RefHeading___Toc8089200_2142443653"/>
      <w:bookmarkStart w:id="568" w:name="_Toc214"/>
      <w:bookmarkEnd w:id="566"/>
      <w:bookmarkEnd w:id="567"/>
      <w:r>
        <w:rPr>
          <w:rtl w:val="true"/>
        </w:rPr>
        <w:t>بخش سوم</w:t>
      </w:r>
      <w:r>
        <w:rPr>
          <w:rtl w:val="true"/>
        </w:rPr>
        <w:t xml:space="preserve">: </w:t>
      </w:r>
      <w:r>
        <w:rPr>
          <w:rtl w:val="true"/>
        </w:rPr>
        <w:t>بدعت</w:t>
      </w:r>
      <w:bookmarkEnd w:id="56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9" w:name="__RefHeading___Toc8089202_2142443653"/>
      <w:bookmarkStart w:id="570" w:name="_Toc215"/>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 xml:space="preserve">يكى ديگر از مفاهيمى كه وهابيان قرائتى غيراسلامى از آن ارائه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تفسيرى بدعت آميز از بدعت، بسيارى از اعمال و رفتار مسلمانان را بدعت شمرده و آنان را گمراه مى خوانند؛ تاآن جاكه از همان آغاز ظهور وهابيت، به بهانه ى مبارزه با بدعت، خون و مال مسلمانان را پاى مال كردند و اعمالى را كه مورد قبول تمامى مسلمانان است، تحريم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آنان به سبب قرائت غريب خود از بدعت، فتاوايى صادر مى كنند كه بسيار سخيف و بى ارزشند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ابتدا به مفهوم بدعت در انديشه ى اسلامى پرداخته و سپس قرائت وهابى از بدعت، بررسى و نقد خواهد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كه بسيارى از شبهات وهابيت، همانند مولد النبى، ساختن گنبد و گل دسته، و مراسم سوگوارى براى بزرگان دين، ريشه در همين قرائت وهابى از بدعت دارد</w:t>
      </w:r>
      <w:r>
        <w:rPr>
          <w:rFonts w:eastAsia="IRNazanin" w:cs="IRNazanin"/>
          <w:color w:val="111111"/>
          <w:sz w:val="28"/>
          <w:szCs w:val="28"/>
          <w:rtl w:val="true"/>
          <w:lang w:bidi="fa-IR"/>
        </w:rPr>
        <w:t>.</w:t>
      </w:r>
      <w:bookmarkStart w:id="571" w:name="pg15502_177398"/>
    </w:p>
    <w:p>
      <w:pPr>
        <w:pStyle w:val="Heading3"/>
        <w:numPr>
          <w:ilvl w:val="2"/>
          <w:numId w:val="1"/>
        </w:numPr>
        <w:rPr/>
      </w:pPr>
      <w:bookmarkStart w:id="572" w:name="__RefHeading___Toc8089204_2142443653"/>
      <w:bookmarkStart w:id="573" w:name="_Toc216"/>
      <w:bookmarkEnd w:id="571"/>
      <w:bookmarkEnd w:id="572"/>
      <w:r>
        <w:rPr>
          <w:rtl w:val="true"/>
        </w:rPr>
        <w:t>فصل شانزدهم</w:t>
      </w:r>
      <w:r>
        <w:rPr>
          <w:rtl w:val="true"/>
        </w:rPr>
        <w:t xml:space="preserve">: </w:t>
      </w:r>
      <w:r>
        <w:rPr>
          <w:rtl w:val="true"/>
        </w:rPr>
        <w:t>بدعت در انديشه ى اسلامى</w:t>
      </w:r>
      <w:bookmarkEnd w:id="57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4" w:name="__RefHeading___Toc8089206_2142443653"/>
      <w:bookmarkStart w:id="575" w:name="_Toc217"/>
      <w:bookmarkEnd w:id="574"/>
      <w:r>
        <w:rPr>
          <w:rtl w:val="true"/>
        </w:rPr>
        <w:t>اشاره</w:t>
      </w:r>
      <w:bookmarkStart w:id="576" w:name="pg15502_177400"/>
      <w:bookmarkEnd w:id="575"/>
    </w:p>
    <w:p>
      <w:pPr>
        <w:pStyle w:val="Heading4"/>
        <w:numPr>
          <w:ilvl w:val="3"/>
          <w:numId w:val="1"/>
        </w:numPr>
        <w:rPr/>
      </w:pPr>
      <w:bookmarkStart w:id="577" w:name="__RefHeading___Toc8089208_2142443653"/>
      <w:bookmarkStart w:id="578" w:name="_Toc218"/>
      <w:bookmarkEnd w:id="576"/>
      <w:bookmarkEnd w:id="577"/>
      <w:r>
        <w:rPr/>
        <w:t>1</w:t>
      </w:r>
      <w:r>
        <w:rPr>
          <w:rtl w:val="true"/>
        </w:rPr>
        <w:t xml:space="preserve"> - </w:t>
      </w:r>
      <w:r>
        <w:rPr>
          <w:rtl w:val="true"/>
        </w:rPr>
        <w:t>مقدمه</w:t>
      </w:r>
      <w:bookmarkEnd w:id="578"/>
    </w:p>
    <w:p>
      <w:pPr>
        <w:pStyle w:val="BookText"/>
        <w:rPr/>
      </w:pPr>
      <w:r>
        <w:rPr>
          <w:rFonts w:ascii="IRNazanin" w:hAnsi="IRNazanin" w:eastAsia="IRNazanin"/>
          <w:color w:val="111111"/>
          <w:sz w:val="28"/>
          <w:sz w:val="28"/>
          <w:szCs w:val="28"/>
          <w:rtl w:val="true"/>
          <w:lang w:bidi="fa-IR"/>
        </w:rPr>
        <w:t>بدعت، از جمله مباحث ميان رشته اى است و پيش از آن كه در علم كلام مطرح شود، در مباحث فقهى ريشه دارد؛ اما به سبب آثار آن بر حوزه ى عقايد و كلام، كاربردى كلامى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ديگر، مسلمانان درباره ى اصل بدعت اختلافى ندارند و تمام آنان اعتقاد دارند كه بدعت، امرى ناشايست و ويرانگر است؛ اما در حدود و ثغور آن اختلافاتى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 توجه به معيارهايى كه عامه ى مسلمانان براى بدعت ذكر كرده اند، مى توان مرز ميان بدعت و سنت را بازشناخت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وهابيان با قرائت ويژه ى خود از بدعت، بسيارى از اعمال مسلمانان را بدعت مى شمارند كه چنين ديدگاهى برخلاف انديشه ى تمامى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بدعت در انديشه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 شود و در فصل بعد، برخى از اختلافات موجود ميان مسلمانان در مفهوم بدعت بررسى خواهد شد</w:t>
      </w:r>
      <w:r>
        <w:rPr>
          <w:rFonts w:eastAsia="IRNazanin" w:cs="IRNazanin"/>
          <w:color w:val="111111"/>
          <w:sz w:val="28"/>
          <w:szCs w:val="28"/>
          <w:rtl w:val="true"/>
          <w:lang w:bidi="fa-IR"/>
        </w:rPr>
        <w:t>.</w:t>
      </w:r>
    </w:p>
    <w:p>
      <w:pPr>
        <w:pStyle w:val="Heading4"/>
        <w:numPr>
          <w:ilvl w:val="3"/>
          <w:numId w:val="1"/>
        </w:numPr>
        <w:rPr/>
      </w:pPr>
      <w:bookmarkStart w:id="579" w:name="__RefHeading___Toc8089210_2142443653"/>
      <w:bookmarkStart w:id="580" w:name="_Toc219"/>
      <w:bookmarkEnd w:id="579"/>
      <w:r>
        <w:rPr/>
        <w:t>2</w:t>
      </w:r>
      <w:r>
        <w:rPr>
          <w:rtl w:val="true"/>
        </w:rPr>
        <w:t xml:space="preserve"> - </w:t>
      </w:r>
      <w:r>
        <w:rPr>
          <w:rtl w:val="true"/>
        </w:rPr>
        <w:t>واژه شناسى</w:t>
      </w:r>
      <w:bookmarkEnd w:id="58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ى بدعت در لغت داراى دو ريشه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725"/>
      </w:r>
      <w:r>
        <w:rPr>
          <w:rFonts w:ascii="Amiri" w:hAnsi="Amiri" w:eastAsia="Amiri" w:cs="Amiri"/>
          <w:color w:val="111111"/>
          <w:sz w:val="28"/>
          <w:sz w:val="28"/>
          <w:szCs w:val="28"/>
          <w:rtl w:val="true"/>
          <w:lang w:bidi="ar-SA"/>
        </w:rPr>
        <w:t xml:space="preserve">و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ريشه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xml:space="preserve">به گفته ى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p>
    <w:p>
      <w:pPr>
        <w:pStyle w:val="BookText"/>
        <w:rPr/>
      </w:pPr>
      <w:r>
        <w:rPr>
          <w:rFonts w:ascii="IRNazanin" w:hAnsi="IRNazanin" w:eastAsia="IRNazanin"/>
          <w:color w:val="111111"/>
          <w:sz w:val="28"/>
          <w:sz w:val="28"/>
          <w:szCs w:val="28"/>
          <w:rtl w:val="true"/>
          <w:lang w:bidi="fa-IR"/>
        </w:rPr>
        <w:t>چيزى است كه در گذشته نه نامى از آن بوده، نه آگاهى به آن وجود داشته و نه ايجاد شده است</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هرچند براى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ريشه ذكر شده است، اما هر دو به يك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اما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درست است</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باوجود تفاوت هاى مختصرى كه در معنى لغوى بدعت وجود دارد، درمجموع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ايجاد شيئ يا فعلى گفته مى شود كه در گذشته سابقه نداشته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در برخى از آيات قرآن مجيد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معنى لغوى، به كار رفته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پديدآورنده ى آسمان ها و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ى شريفه،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ايجادكننده ى بدون سابقه در گذشته است، زيرا خداوند آفريننده ى آسمان ها و زمينى است كه در گذشته، هيچ سابقه اى نداشته اند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هم چنين در آيه ى ذيل، خداوند به پيامبر گرامى اسلام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آغازگر پيامبران نيستم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امرى تازه، نوظهور وجديد است كه مسبوق به سابقه نيست</w:t>
      </w:r>
      <w:r>
        <w:rPr>
          <w:rFonts w:eastAsia="Amiri" w:cs="Amiri" w:ascii="Amiri" w:hAnsi="Amiri"/>
          <w:color w:val="111111"/>
          <w:sz w:val="28"/>
          <w:szCs w:val="28"/>
          <w:rtl w:val="true"/>
          <w:lang w:bidi="ar-SA"/>
        </w:rPr>
        <w:t>.</w:t>
      </w:r>
      <w:r>
        <w:rPr>
          <w:rStyle w:val="FootnoteAnchor"/>
          <w:rtl w:val="true"/>
        </w:rPr>
        <w:footnoteReference w:id="731"/>
      </w:r>
      <w:bookmarkStart w:id="581" w:name="pg15502_177402"/>
    </w:p>
    <w:p>
      <w:pPr>
        <w:pStyle w:val="Heading4"/>
        <w:numPr>
          <w:ilvl w:val="3"/>
          <w:numId w:val="1"/>
        </w:numPr>
        <w:rPr/>
      </w:pPr>
      <w:bookmarkStart w:id="582" w:name="__RefHeading___Toc8089212_2142443653"/>
      <w:bookmarkStart w:id="583" w:name="_Toc220"/>
      <w:bookmarkEnd w:id="581"/>
      <w:bookmarkEnd w:id="582"/>
      <w:r>
        <w:rPr/>
        <w:t>3</w:t>
      </w:r>
      <w:r>
        <w:rPr>
          <w:rtl w:val="true"/>
        </w:rPr>
        <w:t xml:space="preserve"> - </w:t>
      </w:r>
      <w:r>
        <w:rPr>
          <w:rtl w:val="true"/>
        </w:rPr>
        <w:t>معناى اصطلاحى</w:t>
      </w:r>
      <w:bookmarkEnd w:id="583"/>
    </w:p>
    <w:p>
      <w:pPr>
        <w:pStyle w:val="BookText"/>
        <w:rPr/>
      </w:pPr>
      <w:r>
        <w:rPr>
          <w:rFonts w:ascii="IRNazanin" w:hAnsi="IRNazanin" w:eastAsia="IRNazanin"/>
          <w:color w:val="111111"/>
          <w:sz w:val="28"/>
          <w:sz w:val="28"/>
          <w:szCs w:val="28"/>
          <w:rtl w:val="true"/>
          <w:lang w:bidi="fa-IR"/>
        </w:rPr>
        <w:t xml:space="preserve">بدعت در اصطلاح، اخص از معنى بدعت در لغت است؛ زيرا بدعت در لغت، هرگونه نوآورى در عرصه هاى مختلف است؛ درحالى كه بدعت در اصطلاح،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نوآورى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انديشمندان اسلامى درباره ى معناى اصطلاحى بدعت، تعريف هاى مختلفى ارائه كرده اند كه به سبب تنوع، ذكر آن ها در اين مختصر نمى گنجد؛</w:t>
      </w:r>
      <w:r>
        <w:rPr>
          <w:rStyle w:val="FootnoteAnchor"/>
          <w:rtl w:val="true"/>
        </w:rPr>
        <w:footnoteReference w:id="732"/>
      </w:r>
      <w:r>
        <w:rPr>
          <w:rFonts w:ascii="IRNazanin" w:hAnsi="IRNazanin" w:eastAsia="IRNazanin"/>
          <w:color w:val="111111"/>
          <w:sz w:val="28"/>
          <w:sz w:val="28"/>
          <w:szCs w:val="28"/>
          <w:rtl w:val="true"/>
          <w:lang w:bidi="fa-IR"/>
        </w:rPr>
        <w:t>اما با نگاهى به تعريف هاى ارائه شده از سوى فريقين، مى توان قدر جامعى را براى معنى بدعت درنظر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بدعت در اصطلاح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كردن چيزى به دين يا خارج كردن چيزى از آن، بدون اجازه ى شارع و با اسناد به وى</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اين تعريف شامل چند قيد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بدعت اصطلاحى، صرفاً در حوزه ى دين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نوآورى در دين، اعم از احكام، عبادات و عقايد، بدعت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نوآورى و ابداع در مسائل مادى و عرفى جامعه، هرچند از نظر لغوى بدعت است، اما اصطلاحاً به آن بدعت گفته نمى شود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براى نمونه، پيشرفت بشر در حوزه هاى صنعتى و فن آورى، هرچند از نظر لغوى بدعت و نوآورى است، اما بدعت اصطلاحى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به مسائل عرفى جامعه، مانند برگزارى اعياد ملى و روابط عرفى ميان جامعه، تا هنگامى كه با احكام دينى در تعارض نباشد، بدعت گفته نمى شود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دوم، بدعت، هم جنبه ى نفى دارد و هم جنبه ى اثبات</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گاه عملى به دين نسبت داده مى شود كه جزء دين نيست، مانند نماز تراويح به صورت جماعت، كه خود خليفه ى دوم آن را بدعت خواند؛</w:t>
      </w:r>
      <w:r>
        <w:rPr>
          <w:rStyle w:val="FootnoteAnchor"/>
          <w:rtl w:val="true"/>
        </w:rPr>
        <w:footnoteReference w:id="737"/>
      </w:r>
      <w:r>
        <w:rPr>
          <w:rFonts w:ascii="IRNazanin" w:hAnsi="IRNazanin" w:eastAsia="IRNazanin"/>
          <w:color w:val="111111"/>
          <w:sz w:val="28"/>
          <w:sz w:val="28"/>
          <w:szCs w:val="28"/>
          <w:rtl w:val="true"/>
          <w:lang w:bidi="fa-IR"/>
        </w:rPr>
        <w:t>و گاه عملى از دين نفى مى شود، درحالى كه جزء دين است، مانند ازدواج موقت كه جزء دين بوده و در سال هاى پس از رحلت پيامبر گرامى اسلام صلى الله عليه و آله انكار شد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به هر دوى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بدعت بايد همراه با اسناد به دين باشد؛</w:t>
      </w:r>
      <w:r>
        <w:rPr>
          <w:rStyle w:val="FootnoteAnchor"/>
          <w:rtl w:val="true"/>
        </w:rPr>
        <w:footnoteReference w:id="739"/>
      </w:r>
      <w:r>
        <w:rPr>
          <w:rFonts w:ascii="IRNazanin" w:hAnsi="IRNazanin" w:eastAsia="IRNazanin"/>
          <w:color w:val="111111"/>
          <w:sz w:val="28"/>
          <w:sz w:val="28"/>
          <w:szCs w:val="28"/>
          <w:rtl w:val="true"/>
          <w:lang w:bidi="fa-IR"/>
        </w:rPr>
        <w:t>يعنى فرد بدعت گذار بايد عمل يا حكم خود را به دين نسبت دهد و آن را گفته ى خداوند يا مطابق سنت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اگر فردى صرفاً به قصد تقرب يا رجاء، عملى مانند نماز يا روزه را در روز مشخصى انجام دهد، نه تنها بدعت نيست، بلكه بسيار پسنديده است؛ اما اگر همين نماز يا روزه در روز مشخصى همراه با حكمى مانند وجوب يا استحباب انجام شود و فرد آن را به كتاب و سنت منتسب كند، درحالى كه چنين چيزى در كتاب و سنت نباشد، اين شخص بدعت گذار است</w:t>
      </w:r>
      <w:r>
        <w:rPr>
          <w:rFonts w:eastAsia="IRNazanin" w:cs="IRNazanin"/>
          <w:color w:val="111111"/>
          <w:sz w:val="28"/>
          <w:szCs w:val="28"/>
          <w:rtl w:val="true"/>
          <w:lang w:bidi="fa-IR"/>
        </w:rPr>
        <w:t>.</w:t>
      </w:r>
      <w:bookmarkStart w:id="584" w:name="pg15502_177404"/>
    </w:p>
    <w:p>
      <w:pPr>
        <w:pStyle w:val="Heading4"/>
        <w:numPr>
          <w:ilvl w:val="3"/>
          <w:numId w:val="1"/>
        </w:numPr>
        <w:rPr/>
      </w:pPr>
      <w:bookmarkStart w:id="585" w:name="__RefHeading___Toc8089214_2142443653"/>
      <w:bookmarkStart w:id="586" w:name="_Toc221"/>
      <w:bookmarkEnd w:id="584"/>
      <w:bookmarkEnd w:id="585"/>
      <w:r>
        <w:rPr/>
        <w:t>4</w:t>
      </w:r>
      <w:r>
        <w:rPr>
          <w:rtl w:val="true"/>
        </w:rPr>
        <w:t xml:space="preserve"> - </w:t>
      </w:r>
      <w:r>
        <w:rPr>
          <w:rtl w:val="true"/>
        </w:rPr>
        <w:t>بدعت در برابر سنت</w:t>
      </w:r>
      <w:bookmarkEnd w:id="586"/>
    </w:p>
    <w:p>
      <w:pPr>
        <w:pStyle w:val="BookText"/>
        <w:rPr/>
      </w:pPr>
      <w:r>
        <w:rPr>
          <w:rFonts w:ascii="IRNazanin" w:hAnsi="IRNazanin" w:eastAsia="IRNazanin"/>
          <w:color w:val="111111"/>
          <w:sz w:val="28"/>
          <w:sz w:val="28"/>
          <w:szCs w:val="28"/>
          <w:rtl w:val="true"/>
          <w:lang w:bidi="fa-IR"/>
        </w:rPr>
        <w:t>در تعابير علماى فقه و عقايد، بدعت معمولاً در برابر سنت قرار مى گيرد</w:t>
      </w:r>
      <w:r>
        <w:rPr>
          <w:rStyle w:val="FootnoteAnchor"/>
          <w:rtl w:val="true"/>
        </w:rPr>
        <w:footnoteReference w:id="740"/>
      </w:r>
      <w:r>
        <w:rPr>
          <w:rFonts w:ascii="IRNazanin" w:hAnsi="IRNazanin" w:eastAsia="IRNazanin"/>
          <w:color w:val="111111"/>
          <w:sz w:val="28"/>
          <w:sz w:val="28"/>
          <w:szCs w:val="28"/>
          <w:rtl w:val="true"/>
          <w:lang w:bidi="fa-IR"/>
        </w:rPr>
        <w:t>و گاه اين دو به عنوان متضاد، در عبارات واحدى جمع مى شوند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در ميان احاديث نيز بدعت در تقابل با سنت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اسلام صلى الله عليه و آله نقل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فرا خواهد رسيد كه چهره ى مردم چهره ى آدمى است، اما قلب هايشان قلوب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در ميان آنان بدعت است و بدعت در ميانشان سنت شمرده مى شود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امام باقر عليه السلام نيز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امتى نيست كه پس از پيامبرش در دين گرفتار بدعت نشود، مگر آن كه در مقابل، سنتى نابود شود</w:t>
      </w:r>
      <w:r>
        <w:rPr>
          <w:rFonts w:eastAsia="IRNazanin" w:cs="IRNazanin"/>
          <w:color w:val="111111"/>
          <w:sz w:val="28"/>
          <w:szCs w:val="28"/>
          <w:rtl w:val="true"/>
          <w:lang w:bidi="fa-IR"/>
        </w:rPr>
        <w:t>».</w:t>
      </w:r>
      <w:r>
        <w:rPr>
          <w:rStyle w:val="FootnoteAnchor"/>
          <w:rtl w:val="true"/>
        </w:rPr>
        <w:footnoteReference w:id="74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در لغت، در معانى گوناگونى مانند دوام و استمرار، راه و روش پسنديده، و مطلق راه و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پسنديده و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r>
        <w:rPr>
          <w:rStyle w:val="FootnoteAnchor"/>
          <w:rtl w:val="true"/>
        </w:rPr>
        <w:footnoteReference w:id="744"/>
      </w:r>
      <w:r>
        <w:rPr>
          <w:rFonts w:ascii="Amiri" w:hAnsi="Amiri" w:eastAsia="Amiri" w:cs="Amiri"/>
          <w:color w:val="111111"/>
          <w:sz w:val="28"/>
          <w:sz w:val="28"/>
          <w:szCs w:val="28"/>
          <w:rtl w:val="true"/>
          <w:lang w:bidi="ar-SA"/>
        </w:rPr>
        <w:t>در آيات و روايات، سنت در دو معناى اخير استفاده شده است؛</w:t>
      </w:r>
      <w:r>
        <w:rPr>
          <w:rStyle w:val="FootnoteAnchor"/>
          <w:rtl w:val="true"/>
        </w:rPr>
        <w:footnoteReference w:id="745"/>
      </w:r>
      <w:r>
        <w:rPr>
          <w:rFonts w:ascii="IRNazanin" w:hAnsi="IRNazanin" w:eastAsia="IRNazanin"/>
          <w:color w:val="111111"/>
          <w:sz w:val="28"/>
          <w:sz w:val="28"/>
          <w:szCs w:val="28"/>
          <w:rtl w:val="true"/>
          <w:lang w:bidi="fa-IR"/>
        </w:rPr>
        <w:t>اما در اصطلاح محدثان، سنت عبارت</w:t>
      </w:r>
      <w:bookmarkStart w:id="587" w:name="pg15502_177405"/>
    </w:p>
    <w:p>
      <w:pPr>
        <w:pStyle w:val="BookText"/>
        <w:rPr/>
      </w:pPr>
      <w:bookmarkEnd w:id="587"/>
      <w:r>
        <w:rPr>
          <w:rFonts w:ascii="Amiri" w:hAnsi="Amiri" w:eastAsia="Amiri" w:cs="Amiri"/>
          <w:color w:val="111111"/>
          <w:sz w:val="28"/>
          <w:sz w:val="28"/>
          <w:szCs w:val="28"/>
          <w:rtl w:val="true"/>
          <w:lang w:bidi="ar-SA"/>
        </w:rPr>
        <w:t xml:space="preserve">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فعل و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البته در فقه، گاهى سنت به معنى مستحب و مندوب نيز به كار مى 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السواك سنة</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در اين ميان، سنتى كه در برابر بدعت قرار دارد، مجموعه ى آموزه هاى دينى است كه خداوند توسط پيامبر گرامى اسلام صلى الله عليه و آله براى بشر تشريع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هرچه در مجموعه ى نظام دينى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هرچه جز اين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در انديشه ى اسلامى يكى از ناپسندترين اعمال است؛ زيرا موجب تحريف دين و تغيير ماهيت آن خواهد شد</w:t>
      </w:r>
      <w:r>
        <w:rPr>
          <w:rFonts w:eastAsia="IRNazanin" w:cs="IRNazanin"/>
          <w:color w:val="111111"/>
          <w:sz w:val="28"/>
          <w:szCs w:val="28"/>
          <w:rtl w:val="true"/>
          <w:lang w:bidi="fa-IR"/>
        </w:rPr>
        <w:t>.</w:t>
      </w:r>
    </w:p>
    <w:p>
      <w:pPr>
        <w:pStyle w:val="Heading4"/>
        <w:numPr>
          <w:ilvl w:val="3"/>
          <w:numId w:val="1"/>
        </w:numPr>
        <w:rPr/>
      </w:pPr>
      <w:bookmarkStart w:id="588" w:name="__RefHeading___Toc8089216_2142443653"/>
      <w:bookmarkStart w:id="589" w:name="_Toc222"/>
      <w:bookmarkEnd w:id="588"/>
      <w:r>
        <w:rPr/>
        <w:t>5</w:t>
      </w:r>
      <w:r>
        <w:rPr>
          <w:rtl w:val="true"/>
        </w:rPr>
        <w:t xml:space="preserve"> - </w:t>
      </w:r>
      <w:r>
        <w:rPr>
          <w:rtl w:val="true"/>
        </w:rPr>
        <w:t>بدعت در قرآن</w:t>
      </w:r>
      <w:bookmarkEnd w:id="589"/>
    </w:p>
    <w:p>
      <w:pPr>
        <w:pStyle w:val="Heading5"/>
        <w:numPr>
          <w:ilvl w:val="4"/>
          <w:numId w:val="1"/>
        </w:numPr>
        <w:rPr/>
      </w:pPr>
      <w:bookmarkStart w:id="590" w:name="__RefHeading___Toc8089218_2142443653"/>
      <w:bookmarkStart w:id="591" w:name="_Toc223"/>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قرآن مجيد به شكل ها و روش هاى مختلف، به نكوهش و مذمت بدعت و نوآورى در دين پرداخته است</w:t>
      </w:r>
      <w:r>
        <w:rPr>
          <w:rFonts w:eastAsia="IRNazanin" w:cs="IRNazanin"/>
          <w:color w:val="111111"/>
          <w:sz w:val="28"/>
          <w:szCs w:val="28"/>
          <w:rtl w:val="true"/>
          <w:lang w:bidi="fa-IR"/>
        </w:rPr>
        <w:t>:</w:t>
      </w:r>
    </w:p>
    <w:p>
      <w:pPr>
        <w:pStyle w:val="Heading5"/>
        <w:numPr>
          <w:ilvl w:val="4"/>
          <w:numId w:val="1"/>
        </w:numPr>
        <w:rPr/>
      </w:pPr>
      <w:bookmarkStart w:id="592" w:name="__RefHeading___Toc8089220_2142443653"/>
      <w:bookmarkStart w:id="593" w:name="_Toc224"/>
      <w:bookmarkEnd w:id="592"/>
      <w:r>
        <w:rPr/>
        <w:t>1</w:t>
      </w:r>
      <w:r>
        <w:rPr>
          <w:rtl w:val="true"/>
        </w:rPr>
        <w:t>‏-‏</w:t>
      </w:r>
      <w:r>
        <w:rPr/>
        <w:t>5</w:t>
      </w:r>
      <w:r>
        <w:rPr>
          <w:rtl w:val="true"/>
        </w:rPr>
        <w:t xml:space="preserve"> - </w:t>
      </w:r>
      <w:r>
        <w:rPr>
          <w:rtl w:val="true"/>
        </w:rPr>
        <w:t>تشريع، فقط مخصوص خداست</w:t>
      </w:r>
      <w:bookmarkEnd w:id="593"/>
    </w:p>
    <w:p>
      <w:pPr>
        <w:pStyle w:val="BookText"/>
        <w:rPr/>
      </w:pPr>
      <w:r>
        <w:rPr>
          <w:rFonts w:ascii="IRNazanin" w:hAnsi="IRNazanin" w:eastAsia="IRNazanin"/>
          <w:color w:val="111111"/>
          <w:sz w:val="28"/>
          <w:sz w:val="28"/>
          <w:szCs w:val="28"/>
          <w:rtl w:val="true"/>
          <w:lang w:bidi="fa-IR"/>
        </w:rPr>
        <w:t>گروهى از آيات، تشريع را مخصوص خدا دانسته و كسى را در تشريع و تبيين آموزه هاى دينى، شريك نمى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أَمَرَ أَلاّٰ تَعْبُدُوا إِلاّٰ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حكم فرماى عالم وجود، خداست؛ امر فرموده است كه جز آن ذات پاك يكتا كسى را نپرستيد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مرد و زن مؤمنى را در كارى كه خدا و رسول حكم كنند، اراده و اختيارى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رأى خلافى اظهار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هركس نافرمانى خدا و رسول او كند، دانسته به گم راهى سختى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بيانگر جايگاه خداوند متعال در تشريع است و نشان مى دهد كه شخص ديگرى نمى تواند در حوزه ى دين، حكمى را وضع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قرآن بيان مى كند كه پيامبر گرامى اسلام صلى الله عليه و آله واسطه ى ميان خدا و انسان هاست و او نيز نمى تواند از طرف خود، چيزى را به دين بيفزايد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يَكُونُ لِي أَنْ أُبَدِّلَهُ مِنْ تِلْقٰاءِ نَفْسِي إِنْ أَتَّبِعُ إِلاّٰ مٰا يُوحىٰ إِلَيَّ إِنِّي أَخٰافُ إِنْ عَصَيْتُ رَبِّي عَذٰابَ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نرسد كه از پيش خود، قرآن را تبديل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از آن چه كه به من وحى مى شود، پى روى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عصيان پروردگارم كنم، از عذاب روز بزرگ قيامت سخت مى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ى شريفه ى زير، به صورت عام، هرگونه پيشى گرفتن بر خداوند و پيامبر گرامى اسلام صلى الله عليه و آله را كه دستورهاى الهى را به انسان ها منتقل مى كند، نهى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هيچ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رسول تقدّم مجوييد و از خدا پروا كنيد، كه خدا شنوا و داناست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يادشده به خوبى نشان مى دهند كه تشريع، تنها ويژه ى خداوند است و كسى از جانب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پيامبر گرامى اسلام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چيزى به دين بيفزايد و يا از آن كم كند</w:t>
      </w:r>
      <w:r>
        <w:rPr>
          <w:rFonts w:eastAsia="IRNazanin" w:cs="IRNazanin"/>
          <w:color w:val="111111"/>
          <w:sz w:val="28"/>
          <w:szCs w:val="28"/>
          <w:rtl w:val="true"/>
          <w:lang w:bidi="fa-IR"/>
        </w:rPr>
        <w:t>.</w:t>
      </w:r>
      <w:bookmarkStart w:id="594" w:name="pg15502_177407"/>
    </w:p>
    <w:p>
      <w:pPr>
        <w:pStyle w:val="Heading5"/>
        <w:numPr>
          <w:ilvl w:val="4"/>
          <w:numId w:val="1"/>
        </w:numPr>
        <w:rPr/>
      </w:pPr>
      <w:bookmarkStart w:id="595" w:name="__RefHeading___Toc8089222_2142443653"/>
      <w:bookmarkStart w:id="596" w:name="_Toc225"/>
      <w:bookmarkEnd w:id="594"/>
      <w:bookmarkEnd w:id="595"/>
      <w:r>
        <w:rPr/>
        <w:t>2</w:t>
      </w:r>
      <w:r>
        <w:rPr>
          <w:rtl w:val="true"/>
        </w:rPr>
        <w:t>‏-‏</w:t>
      </w:r>
      <w:r>
        <w:rPr/>
        <w:t>5</w:t>
      </w:r>
      <w:r>
        <w:rPr>
          <w:rtl w:val="true"/>
        </w:rPr>
        <w:t xml:space="preserve"> - </w:t>
      </w:r>
      <w:r>
        <w:rPr>
          <w:rtl w:val="true"/>
        </w:rPr>
        <w:t>نكوهش بدعت در قرآن</w:t>
      </w:r>
      <w:bookmarkEnd w:id="596"/>
    </w:p>
    <w:p>
      <w:pPr>
        <w:pStyle w:val="BookText"/>
        <w:rPr/>
      </w:pPr>
      <w:r>
        <w:rPr>
          <w:rFonts w:ascii="IRNazanin" w:hAnsi="IRNazanin" w:eastAsia="IRNazanin"/>
          <w:color w:val="111111"/>
          <w:sz w:val="28"/>
          <w:sz w:val="28"/>
          <w:szCs w:val="28"/>
          <w:rtl w:val="true"/>
          <w:lang w:bidi="fa-IR"/>
        </w:rPr>
        <w:t>برخى از آيات، به صورت مطلق بدعت را نكوهيده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اين آيات، آن را به شدت نفى كرده، فرجام بدعت گذاران را گوشزد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نبايد از پيش خود به دروغ چيزى را حلال و چيزى را حرام گوييد و به خدا نسبت دهيد تا بر خدا دروغ بنديد؛ آنان كه بر خدا دروغ بندند، هرگز روى رستگارى نخواهند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بدعت را حلال كردن حرام و تحريم حلال معرفى كرده و به مسأله ى استناد به خداوند نيز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بدعت، چون گفته ى خداوند نيست، دروغ بستن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بدعت را دروغ بستن به خداوند معرفى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 أَوْ كَذَّبَ بِآيٰاتِهِ إِنَّهُ لاٰ يُفْلِحُ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كيست ستمكارتر از آن كس كه بر خدا دروغ بست يا آيات او را تكذيب كرد؟ هرگز ستمكاران را رستگارى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كسانى كه برخلاف دستورهاى الهى حكم مى كنند، كافر، ستمكار و فاسق شمرده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8089224_2142443653"/>
      <w:bookmarkStart w:id="598" w:name="_Toc226"/>
      <w:bookmarkEnd w:id="597"/>
      <w:r>
        <w:rPr/>
        <w:t>3</w:t>
      </w:r>
      <w:r>
        <w:rPr>
          <w:rtl w:val="true"/>
        </w:rPr>
        <w:t>‏-‏</w:t>
      </w:r>
      <w:r>
        <w:rPr/>
        <w:t>5</w:t>
      </w:r>
      <w:r>
        <w:rPr>
          <w:rtl w:val="true"/>
        </w:rPr>
        <w:t xml:space="preserve"> - </w:t>
      </w:r>
      <w:r>
        <w:rPr>
          <w:rtl w:val="true"/>
        </w:rPr>
        <w:t>مصاديق بدعت در قرآن</w:t>
      </w:r>
      <w:bookmarkEnd w:id="59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اى از آيات، به مصاديق بدعت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ها، گاه مربوط به پيروان اديان ديگر و گاه مربوط به مردمان عصر پيامبر گرامى اسلام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رَهْبٰانِيَّةً اِبْتَدَعُوهٰا مٰا كَتَبْنٰاهٰا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رهبانيتى كه از نزد خود ساخته بودند، ما بر آنان مقرّر نكرده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هم چنين به تحريف كتاب هاى آسمانى توسط پيروان ديگر اديان، به ويژه يهود اشاره مى كند، كه مترادف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كسانى كه با دست هايشان نوشته اى را مى نويسند، سپس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خداست؛ تا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زشت و خائنانه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بهايى ناچيز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آنان، از آن چه دست هايشان نوشت؛ و واى بر آنان از آن چه به دست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هنگامى كه عدى بن حاتم خدمت پيامبر گرامى اسلام صلى الله عليه و آله رسيد و صليبى از طلا به گردن داشت، پيامبر گرامى اسلام صلى الله عليه و آله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صليب را دور بينداز كه نشانه ى 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آيه ى زير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دانشمندان و راهِبانشان و مسيح پسر مريم را به جاى خدا به خدايى گرفتند؛ درحالى كه مأمور نبودند مگر به پرستش معبود يگانه اى كه هيچ معبودى جز او نيست؛ او منزّه و پاك است از آن چه برايش شريك قرار مى دهند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ما هرگز راهبان و احبار را نمى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چيزى در تورات و انجيل حلال باشد، ولى آنان آن را حرام كنند يا برعكس، از كدام پى روى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w:t>
      </w:r>
    </w:p>
    <w:p>
      <w:pPr>
        <w:pStyle w:val="BookText"/>
        <w:rPr/>
      </w:pPr>
      <w:r>
        <w:rPr>
          <w:rFonts w:ascii="IRNazanin" w:hAnsi="IRNazanin" w:eastAsia="IRNazanin"/>
          <w:color w:val="111111"/>
          <w:sz w:val="28"/>
          <w:sz w:val="28"/>
          <w:szCs w:val="28"/>
          <w:rtl w:val="true"/>
          <w:lang w:bidi="fa-IR"/>
        </w:rPr>
        <w:t>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را خداوندگاران خويش كرده ايد و حلال و حرام را به دست آنان سپرده ايد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در قرآن مجيد، برخى از آيات به بدعت هاى موجود در عصر پيامبر گرامى اسلام صلى الله عليه و آله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اَلَّذِينَ هٰادُوا سَمّٰاعُونَ لِلْكَذِبِ سَمّٰاعُونَ لِقَوْمٍ آخَرِينَ لَمْ يَأْتُوكَ يُحَرِّفُونَ اَلْكَلِمَ مِنْ بَعْدِ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يهوديان كه خوب به سخنان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 دهند تا دستاويزى براى تكذيب تو بيابند، جاسوسان گروه ديگرى هستند كه خودشان نزد تو نيامده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سخنان را از مفهوم اصلى اش تحريف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نوعى بدعت ايجاد مى كنند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هم چنين مشركان عصر پيامبر گرامى اسلام صلى الله عليه و آله روزى خود را از پيش خود، به دو قسمت حلال و حرام تقسيم مى كردند؛ بدون آن كه خداوند چنين امرى را براى آنان مقرر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نكوهش آنان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حرام و حلال كردن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داده است، يا بر خدا دروغ مى 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ى زير نيز مؤمنان را از حرام دانستن آن چه بر آنان توسط خداوند حلال شده است، بازمى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 لاٰ تَعْتَدُوا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 شما حلال شده است، بر خويش حرام نكنيد</w:t>
      </w:r>
      <w:r>
        <w:rPr>
          <w:rFonts w:eastAsia="IRNazanin" w:cs="IRNazanin"/>
          <w:color w:val="111111"/>
          <w:sz w:val="28"/>
          <w:szCs w:val="28"/>
          <w:rtl w:val="true"/>
          <w:lang w:bidi="fa-IR"/>
        </w:rPr>
        <w:t>».</w:t>
      </w:r>
      <w:r>
        <w:rPr>
          <w:rStyle w:val="FootnoteAnchor"/>
          <w:rtl w:val="true"/>
        </w:rPr>
        <w:footnoteReference w:id="750"/>
      </w:r>
      <w:bookmarkStart w:id="599" w:name="pg15502_177410"/>
    </w:p>
    <w:p>
      <w:pPr>
        <w:pStyle w:val="Heading4"/>
        <w:numPr>
          <w:ilvl w:val="3"/>
          <w:numId w:val="1"/>
        </w:numPr>
        <w:rPr/>
      </w:pPr>
      <w:bookmarkStart w:id="600" w:name="__RefHeading___Toc8089226_2142443653"/>
      <w:bookmarkStart w:id="601" w:name="_Toc227"/>
      <w:bookmarkEnd w:id="599"/>
      <w:bookmarkEnd w:id="600"/>
      <w:r>
        <w:rPr/>
        <w:t>6</w:t>
      </w:r>
      <w:r>
        <w:rPr>
          <w:rtl w:val="true"/>
        </w:rPr>
        <w:t xml:space="preserve"> - </w:t>
      </w:r>
      <w:r>
        <w:rPr>
          <w:rtl w:val="true"/>
        </w:rPr>
        <w:t>بدعت در روايات</w:t>
      </w:r>
      <w:bookmarkEnd w:id="601"/>
    </w:p>
    <w:p>
      <w:pPr>
        <w:pStyle w:val="BookText"/>
        <w:rPr/>
      </w:pPr>
      <w:r>
        <w:rPr>
          <w:rFonts w:ascii="IRNazanin" w:hAnsi="IRNazanin" w:eastAsia="IRNazanin"/>
          <w:color w:val="111111"/>
          <w:sz w:val="28"/>
          <w:sz w:val="28"/>
          <w:szCs w:val="28"/>
          <w:rtl w:val="true"/>
          <w:lang w:bidi="fa-IR"/>
        </w:rPr>
        <w:t>در منابع فريقين، روايات بسيارى در نكوهش بدعت وارد شده است كه در اين مختصر نمى گنجد؛ اما از نظر موضوعى، اين احاديث به موارد زير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هر بدعتى به صورت مطلق، ضلالت و گمراهى،</w:t>
      </w:r>
      <w:r>
        <w:rPr>
          <w:rStyle w:val="FootnoteAnchor"/>
          <w:rtl w:val="true"/>
        </w:rPr>
        <w:footnoteReference w:id="751"/>
      </w:r>
      <w:r>
        <w:rPr>
          <w:rFonts w:ascii="IRNazanin" w:hAnsi="IRNazanin" w:eastAsia="IRNazanin"/>
          <w:color w:val="111111"/>
          <w:sz w:val="28"/>
          <w:sz w:val="28"/>
          <w:szCs w:val="28"/>
          <w:rtl w:val="true"/>
          <w:lang w:bidi="fa-IR"/>
        </w:rPr>
        <w:t>و در برخى ديگر، مردود شمرده شده است</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دسته اى از روايات به وضعيت و فرجام بدعت گذار اشاره دارند؛ به گونه اى كه توبه و اعمال وى را در درگاه خداوند پذيرفته نمى دانند</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رواياتى نيز مسلمانان را از هم نشينى، مصاحبت و حتى لبخند زدن به روى بدعت گذاران برحذر مى دارند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پاره اى از روايات، از علما و دانشمندان مى خواهد در برابر بدعت سكوت نكنند، كه در اين صورت، گرفتار نفرين الهى مى شوند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بخشى از روايات نيز به پيش بينى فتنه هاى ناشى از بدعت در دين اشاره دارند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هم چنين از پيامبر گرامى اسلام صلى الله عليه و آله رواياتى نقل شده است كه درباره ى فرجام كسانى كه بر ايشان دروغ ببندند، بسيار هشدار داده 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يقل علىّ ما لم اقل فليتبوأ مقعده من النار</w:t>
      </w:r>
      <w:r>
        <w:rPr>
          <w:rFonts w:eastAsia="Amiri" w:cs="Amiri" w:ascii="Amiri" w:hAnsi="Amiri"/>
          <w:color w:val="111111"/>
          <w:sz w:val="28"/>
          <w:szCs w:val="28"/>
          <w:rtl w:val="true"/>
          <w:lang w:bidi="ar-SA"/>
        </w:rPr>
        <w:t>».</w:t>
      </w:r>
      <w:r>
        <w:rPr>
          <w:rStyle w:val="FootnoteAnchor"/>
          <w:rtl w:val="true"/>
        </w:rPr>
        <w:footnoteReference w:id="757"/>
      </w:r>
      <w:bookmarkStart w:id="602" w:name="pg15502_177411"/>
    </w:p>
    <w:p>
      <w:pPr>
        <w:pStyle w:val="BookText"/>
        <w:rPr/>
      </w:pPr>
      <w:bookmarkEnd w:id="602"/>
      <w:r>
        <w:rPr>
          <w:rFonts w:ascii="IRNazanin" w:hAnsi="IRNazanin" w:eastAsia="IRNazanin"/>
          <w:color w:val="111111"/>
          <w:sz w:val="28"/>
          <w:sz w:val="28"/>
          <w:szCs w:val="28"/>
          <w:rtl w:val="true"/>
          <w:lang w:bidi="fa-IR"/>
        </w:rPr>
        <w:t>چنين سخنانى، افزون بر اين كه فرجام تلخى را براى بدعت گذاران تصوير مى كند، نشانگر نگرانى عميق پيامبر گرامى اسلام صلى الله عليه و آله از بدعت در دين در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در راستاى همين دغدغه ى پيامبر گرامى اسلام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الناس انه منافق كاذب، لم يقبلوا منه ولم يصدقوا قوله،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ورآه وسمع منه ولقف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اگرمردم مى دانستندكه منافق ودروغگوست، سخنش رانمى پذيرفتند وتصديق نمى كردند ولى مى گويند يار رسول الله صلى الله عليه و آله است، او را ديده و از او شنيده و ضبط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ى اين تذكرات، پس از رحلت پيامبر گرامى اسلام صلى الله عليه و آله و گسترش جغرافيايى سرزمين هاى اسلامى، انديشه هاى انحرافى وارد جهان اسلام شد و افراد بسيارى همچون كعب احبار، عبدالله بن سلام، تميم الدارى و وهب بن منبه،</w:t>
      </w:r>
      <w:r>
        <w:rPr>
          <w:rStyle w:val="FootnoteAnchor"/>
          <w:rtl w:val="true"/>
        </w:rPr>
        <w:footnoteReference w:id="759"/>
      </w:r>
      <w:r>
        <w:rPr>
          <w:rFonts w:ascii="Amiri" w:hAnsi="Amiri" w:eastAsia="Amiri" w:cs="Amiri"/>
          <w:color w:val="111111"/>
          <w:sz w:val="28"/>
          <w:sz w:val="28"/>
          <w:szCs w:val="28"/>
          <w:rtl w:val="true"/>
          <w:lang w:bidi="ar-SA"/>
        </w:rPr>
        <w:t>بسيارى از اسرائيليات و خرافات را به انديشه ى اسلامى وارد كردند</w:t>
      </w:r>
      <w:r>
        <w:rPr>
          <w:rFonts w:eastAsia="Amiri" w:cs="Amiri" w:ascii="Amiri" w:hAnsi="Amiri"/>
          <w:color w:val="111111"/>
          <w:sz w:val="28"/>
          <w:szCs w:val="28"/>
          <w:rtl w:val="true"/>
          <w:lang w:bidi="ar-SA"/>
        </w:rPr>
        <w:t>.</w:t>
      </w:r>
      <w:r>
        <w:rPr>
          <w:rStyle w:val="FootnoteAnchor"/>
          <w:rtl w:val="true"/>
        </w:rPr>
        <w:footnoteReference w:id="760"/>
      </w:r>
    </w:p>
    <w:p>
      <w:pPr>
        <w:pStyle w:val="Heading4"/>
        <w:numPr>
          <w:ilvl w:val="3"/>
          <w:numId w:val="1"/>
        </w:numPr>
        <w:rPr/>
      </w:pPr>
      <w:bookmarkStart w:id="603" w:name="__RefHeading___Toc8089228_2142443653"/>
      <w:bookmarkStart w:id="604" w:name="_Toc228"/>
      <w:bookmarkEnd w:id="603"/>
      <w:r>
        <w:rPr/>
        <w:t>7</w:t>
      </w:r>
      <w:r>
        <w:rPr>
          <w:rtl w:val="true"/>
        </w:rPr>
        <w:t xml:space="preserve"> - </w:t>
      </w:r>
      <w:r>
        <w:rPr>
          <w:rtl w:val="true"/>
        </w:rPr>
        <w:t>بدعت و مقتضيات زمان</w:t>
      </w:r>
      <w:bookmarkEnd w:id="604"/>
    </w:p>
    <w:p>
      <w:pPr>
        <w:pStyle w:val="BookText"/>
        <w:rPr/>
      </w:pPr>
      <w:r>
        <w:rPr>
          <w:rFonts w:ascii="IRNazanin" w:hAnsi="IRNazanin" w:eastAsia="IRNazanin"/>
          <w:color w:val="111111"/>
          <w:sz w:val="28"/>
          <w:sz w:val="28"/>
          <w:szCs w:val="28"/>
          <w:rtl w:val="true"/>
          <w:lang w:bidi="fa-IR"/>
        </w:rPr>
        <w:t>شكى نيست كه دين مبين اسلام، مكتبى كامل و جهان شمول است و پيامبر گرامى اسلام صلى الله عليه و آله خاتم پيامبران الهى مى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رسول خود را با هدايت و دين حق فرستاد تا او را بر همه ى اديان غالب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قرآن دربردارنده ى همه ى نيازهاى انسان تا روز قيامت است و تمامى دوره هاى تاريخ مخاطب قرآن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را كه روشنگر هر چيز است و براى مسلمانان رهنمود و رحمت و بشارتگرى است، بر تو نازل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فرموده ى امام 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هر چيزى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چيزى كه نياز مردم بوده است كم نگذارد تا كسى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مطلب درست بود در قرآن نازل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همه ى نيازمندى هاى بشر را خدا در آن نازل كرده است</w:t>
      </w:r>
      <w:r>
        <w:rPr>
          <w:rFonts w:eastAsia="IRNazanin" w:cs="IRNazanin"/>
          <w:color w:val="111111"/>
          <w:sz w:val="28"/>
          <w:szCs w:val="28"/>
          <w:rtl w:val="true"/>
          <w:lang w:bidi="fa-IR"/>
        </w:rPr>
        <w:t>».</w:t>
      </w:r>
      <w:r>
        <w:rPr>
          <w:rStyle w:val="FootnoteAnchor"/>
          <w:rtl w:val="true"/>
        </w:rPr>
        <w:footnoteReference w:id="76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انسان در دوره هاى مختلف و در هر عصرى، با مسائل جديدى روبه روست و ناگزير است، در برابر آن ها موضعى انتخاب كند كه با شريعت اسلامى نيز همگام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بسيارى از اين مسائل، به صورت مستقيم در منابع دينى نيامده است و حتى گاه شرايط زمان موجب مى شود كه حكم مسأله اى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در حوزه ى فقه، بيش از حوزه هاى ديگر خودنمايى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مثله كردن بدن مسلمان يا جدا كردن عضوى از آن، در منابع دينى حرام شمرده شده است؛ اما امروزه، با توجه به اين كه پيوند اعضاى انسان مرده به بيماران، موجب نجات زندگى مؤمنى مى شود و بيماران بسيارى را از درد و رنج نجات مى دهد، آيا اين حكم هم چنان باقى است‌؟ هم چنين احكام امورى مانند اسكناس، ذبح صنعتى، معاملات</w:t>
      </w:r>
    </w:p>
    <w:p>
      <w:pPr>
        <w:pStyle w:val="BookText"/>
        <w:rPr/>
      </w:pPr>
      <w:r>
        <w:rPr>
          <w:rFonts w:ascii="IRNazanin" w:hAnsi="IRNazanin" w:eastAsia="IRNazanin"/>
          <w:color w:val="111111"/>
          <w:sz w:val="28"/>
          <w:sz w:val="28"/>
          <w:szCs w:val="28"/>
          <w:rtl w:val="true"/>
          <w:lang w:bidi="fa-IR"/>
        </w:rPr>
        <w:t>بين المللى مانند بيع متقابل، و اصول حاكم بر روابط بين الملل در حوزه هاى مختلف سياسى، اجتماعى و فرهنگى، چه گونه از منابع دينى قابل استخراج است‌؟</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در حوزه ى عقايد و كلام نيز چنين وضعيتى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زمان پيامبر گرامى اسلام صلى الله عليه و آله، مباحث كلامى، مانند صفات الهى، جبر و اختيار، و ابعاد مختلف توحيد، مورد كنكاش قرار نمى گرفت؛ اما پس از ايشان، به دليل رويارويى انديشه ى اسلامى با انديشه هاى مخالف، مانند عقايد روم، ايران و يونان، انديشمندان اسلامى ناگزير به تبيين مباحث كلامى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سرشار از مباحث كلامى و اعتقادى است كه بيش تر بر توحيد تمركز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كلامى مختلف اهل سنت، مانند اهل حديث، اشاعره، معتزله، ماتريديه، و طحاويه نيز در واكنش به همين شرايط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 از نظر عقلى و هم با توجه به واقعيت هاى تاريخى، مسلمانان در دوره هاى مختلف، ناچار به ايجاد نوآورى هايى بوده اند كه بدون آن ها زندگى مادى و معنوى ممكن نيست؛ اما همان گونه كه مى دانيم، احكام بسيارى از اين امور، به صورت مستقيم در كتاب و سنت ذكر نشده است؛ درحالى كه به اعتقاد قرآن و همه ى مسلمانان، دين مبين اسلام، عهده دار همه ى نيازهاى زندگى بشر در ابعاد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اگر هر امر جديدى بدعت شمرده شود، نتيجه ى آن، نقص كتاب و سنت در برابر مقتضيات زمان و مسائل مستحدثه در جامعه خواهد بود و چنين نتيجه اى، به اعتقاد همه ى مسلمانان باطل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گفته شد، به هر امر جديدى، بدعت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اركان و شرايطى دارد كه در صورت وجود آن ها، بدعت اصطلاحى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غيراين صورت، اطلاق بدعت بر هر امر جديدى كه مسبوق به سابقه در اسلام نيست و يا</w:t>
      </w:r>
      <w:bookmarkStart w:id="605" w:name="pg15502_177414"/>
    </w:p>
    <w:p>
      <w:pPr>
        <w:pStyle w:val="BookText"/>
        <w:rPr/>
      </w:pPr>
      <w:bookmarkEnd w:id="605"/>
      <w:r>
        <w:rPr>
          <w:rFonts w:ascii="IRNazanin" w:hAnsi="IRNazanin" w:eastAsia="IRNazanin"/>
          <w:color w:val="111111"/>
          <w:sz w:val="28"/>
          <w:sz w:val="28"/>
          <w:szCs w:val="28"/>
          <w:rtl w:val="true"/>
          <w:lang w:bidi="fa-IR"/>
        </w:rPr>
        <w:t>نيازمند ارائه ى حكم ثانوى است، زندگى انسان را در دوران هاى مختلف، ناممكن مى سازد</w:t>
      </w:r>
      <w:r>
        <w:rPr>
          <w:rFonts w:eastAsia="IRNazanin" w:cs="IRNazanin"/>
          <w:color w:val="111111"/>
          <w:sz w:val="28"/>
          <w:szCs w:val="28"/>
          <w:rtl w:val="true"/>
          <w:lang w:bidi="fa-IR"/>
        </w:rPr>
        <w:t>.</w:t>
      </w:r>
    </w:p>
    <w:p>
      <w:pPr>
        <w:pStyle w:val="Heading4"/>
        <w:numPr>
          <w:ilvl w:val="3"/>
          <w:numId w:val="1"/>
        </w:numPr>
        <w:rPr/>
      </w:pPr>
      <w:bookmarkStart w:id="606" w:name="__RefHeading___Toc8089230_2142443653"/>
      <w:bookmarkStart w:id="607" w:name="_Toc229"/>
      <w:bookmarkEnd w:id="606"/>
      <w:r>
        <w:rPr/>
        <w:t>8</w:t>
      </w:r>
      <w:r>
        <w:rPr>
          <w:rtl w:val="true"/>
        </w:rPr>
        <w:t xml:space="preserve"> - </w:t>
      </w:r>
      <w:r>
        <w:rPr>
          <w:rtl w:val="true"/>
        </w:rPr>
        <w:t>اركان بدعت</w:t>
      </w:r>
      <w:bookmarkEnd w:id="607"/>
    </w:p>
    <w:p>
      <w:pPr>
        <w:pStyle w:val="Heading5"/>
        <w:numPr>
          <w:ilvl w:val="4"/>
          <w:numId w:val="1"/>
        </w:numPr>
        <w:rPr/>
      </w:pPr>
      <w:bookmarkStart w:id="608" w:name="__RefHeading___Toc8089232_2142443653"/>
      <w:bookmarkStart w:id="609" w:name="_Toc230"/>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 xml:space="preserve">بدعت اركانى دارد كه در صورت وجود آن ها، بدعت اصطلاحى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 زياد كردن در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بيان اركان بدعت مى پردازيم</w:t>
      </w:r>
      <w:r>
        <w:rPr>
          <w:rFonts w:eastAsia="IRNazanin" w:cs="IRNazanin"/>
          <w:color w:val="111111"/>
          <w:sz w:val="28"/>
          <w:szCs w:val="28"/>
          <w:rtl w:val="true"/>
          <w:lang w:bidi="fa-IR"/>
        </w:rPr>
        <w:t>.</w:t>
      </w:r>
    </w:p>
    <w:p>
      <w:pPr>
        <w:pStyle w:val="Heading5"/>
        <w:numPr>
          <w:ilvl w:val="4"/>
          <w:numId w:val="1"/>
        </w:numPr>
        <w:rPr/>
      </w:pPr>
      <w:bookmarkStart w:id="610" w:name="__RefHeading___Toc8089234_2142443653"/>
      <w:bookmarkStart w:id="611" w:name="_Toc231"/>
      <w:bookmarkEnd w:id="610"/>
      <w:r>
        <w:rPr/>
        <w:t>1</w:t>
      </w:r>
      <w:r>
        <w:rPr>
          <w:rtl w:val="true"/>
        </w:rPr>
        <w:t>‏-‏</w:t>
      </w:r>
      <w:r>
        <w:rPr/>
        <w:t>8</w:t>
      </w:r>
      <w:r>
        <w:rPr>
          <w:rtl w:val="true"/>
        </w:rPr>
        <w:t xml:space="preserve"> - </w:t>
      </w:r>
      <w:r>
        <w:rPr>
          <w:rtl w:val="true"/>
        </w:rPr>
        <w:t>تصرف در دين</w:t>
      </w:r>
      <w:bookmarkEnd w:id="61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گفته شد، در معنى اصطلاحى بدعت،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نيز به خوبى نشان مى دهند كه مراد از بدعت، نوآورى در حوزه ى دين است</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ازسوى ديگر، مسلمانان در دوره هاى مختلف تاريخى، زندگى خود را با شرايط و مقتضيات مادى زمان خويش تطبيق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صحابه، تابعين و تابعين تابعين، با تحولات زمان دستخوش تغييراتى شد كه پيش از آن ها سابقه نداشت</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بنابراين، نوآورى هاى انسان در حوزه ى مادى و فن آورى، در اصطلاح، بدعت نيستند؛ هرچند در لغت بدعت خوانده مى شوند</w:t>
      </w:r>
      <w:r>
        <w:rPr>
          <w:rFonts w:eastAsia="IRNazanin" w:cs="IRNazanin"/>
          <w:color w:val="111111"/>
          <w:sz w:val="28"/>
          <w:szCs w:val="28"/>
          <w:rtl w:val="true"/>
          <w:lang w:bidi="fa-IR"/>
        </w:rPr>
        <w:t>.</w:t>
      </w:r>
      <w:r>
        <w:rPr>
          <w:rStyle w:val="FootnoteAnchor"/>
          <w:rtl w:val="true"/>
        </w:rPr>
        <w:footnoteReference w:id="765"/>
      </w:r>
      <w:bookmarkStart w:id="612" w:name="pg15502_177415"/>
    </w:p>
    <w:p>
      <w:pPr>
        <w:pStyle w:val="BookText"/>
        <w:rPr/>
      </w:pPr>
      <w:bookmarkEnd w:id="612"/>
      <w:r>
        <w:rPr>
          <w:rFonts w:ascii="Amiri" w:hAnsi="Amiri" w:eastAsia="Amiri" w:cs="Amiri"/>
          <w:color w:val="111111"/>
          <w:sz w:val="28"/>
          <w:sz w:val="28"/>
          <w:szCs w:val="28"/>
          <w:rtl w:val="true"/>
          <w:lang w:bidi="ar-SA"/>
        </w:rPr>
        <w:t xml:space="preserve">برخى با توجه به اين اصل، بدعت را به دو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كرده اند</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بر اين اساس، بدعت شرعيه بدعتى است كه به امور دينى مربوط مى شود؛ اما بدعت عاديه به امورى گفته مى شود كه به زندگى مادى انسان، اعم از تكنولوژى و مسائل عرفى همانند جشن ها و اعياد ملى، مربوط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هرگونه تصرفى بدعت است؛ اما در بخش دوم، اصل بر اباحه است؛ مگر آن كه خداوند به طور خاص، از آن نهى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تقسيمى، درست به نظر نمى رسد، چراكه بحث بدعت، تنها در بدعت اصطلاحى كاربرد دارد و گسترش آن به نوآورى هاى مادى و عادى، به گونه اى كه بدعت عاديه قسيم بدعت اصطلاحى قرار گيرد،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يك نوع بدعت وجود دارد و آن نيز بدعت نكوهيده است كه در حوزه ى دين معنى پيدا مى كند</w:t>
      </w:r>
      <w:r>
        <w:rPr>
          <w:rFonts w:eastAsia="IRNazanin" w:cs="IRNazanin"/>
          <w:color w:val="111111"/>
          <w:sz w:val="28"/>
          <w:szCs w:val="28"/>
          <w:rtl w:val="true"/>
          <w:lang w:bidi="fa-IR"/>
        </w:rPr>
        <w:t>.</w:t>
      </w:r>
    </w:p>
    <w:p>
      <w:pPr>
        <w:pStyle w:val="Heading5"/>
        <w:numPr>
          <w:ilvl w:val="4"/>
          <w:numId w:val="1"/>
        </w:numPr>
        <w:rPr/>
      </w:pPr>
      <w:bookmarkStart w:id="613" w:name="__RefHeading___Toc8089236_2142443653"/>
      <w:bookmarkStart w:id="614" w:name="_Toc232"/>
      <w:bookmarkEnd w:id="613"/>
      <w:r>
        <w:rPr/>
        <w:t>2</w:t>
      </w:r>
      <w:r>
        <w:rPr>
          <w:rtl w:val="true"/>
        </w:rPr>
        <w:t>‏-‏</w:t>
      </w:r>
      <w:r>
        <w:rPr/>
        <w:t>8</w:t>
      </w:r>
      <w:r>
        <w:rPr>
          <w:rtl w:val="true"/>
        </w:rPr>
        <w:t xml:space="preserve"> - </w:t>
      </w:r>
      <w:r>
        <w:rPr>
          <w:rtl w:val="true"/>
        </w:rPr>
        <w:t>فقدان نص</w:t>
      </w:r>
      <w:bookmarkEnd w:id="614"/>
    </w:p>
    <w:p>
      <w:pPr>
        <w:pStyle w:val="BookText"/>
        <w:rPr/>
      </w:pPr>
      <w:r>
        <w:rPr>
          <w:rFonts w:ascii="IRNazanin" w:hAnsi="IRNazanin" w:eastAsia="IRNazanin"/>
          <w:color w:val="111111"/>
          <w:sz w:val="28"/>
          <w:sz w:val="28"/>
          <w:szCs w:val="28"/>
          <w:rtl w:val="true"/>
          <w:lang w:bidi="fa-IR"/>
        </w:rPr>
        <w:t>اگر مسأله اى، در قرآن و سنت پيامبر گرامى اسلام صلى الله عليه و آله و اهل بيت عليهم السلام حكم مستقيمى داشته باشد، سنت شمرده مى شود و بى شك، بدعت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بسيارى از تعريف هايى كه براى بدعت ارائه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ما حدث بعد الرسول ولم يرد فيه نص على الخصوص</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علماى مذاهب ديگر نيز چنين ركنى را ذكر كرده اند</w:t>
      </w:r>
      <w:r>
        <w:rPr>
          <w:rFonts w:eastAsia="IRNazanin" w:cs="IRNazanin"/>
          <w:color w:val="111111"/>
          <w:sz w:val="28"/>
          <w:szCs w:val="28"/>
          <w:rtl w:val="true"/>
          <w:lang w:bidi="fa-IR"/>
        </w:rPr>
        <w:t>.</w:t>
      </w:r>
      <w:r>
        <w:rPr>
          <w:rStyle w:val="FootnoteAnchor"/>
          <w:rtl w:val="true"/>
        </w:rPr>
        <w:footnoteReference w:id="76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 مسأله اى حكم مشخصى دارد، اما به دليل عدم وقوع آن مسأله در زمان پيامبر گرامى اسلام صلى الله عليه و آله، آن حكم اجرا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زمان پيامبر گرامى</w:t>
      </w:r>
      <w:bookmarkStart w:id="615" w:name="pg15502_177416"/>
    </w:p>
    <w:p>
      <w:pPr>
        <w:pStyle w:val="BookText"/>
        <w:rPr/>
      </w:pPr>
      <w:bookmarkEnd w:id="615"/>
      <w:r>
        <w:rPr>
          <w:rFonts w:ascii="IRNazanin" w:hAnsi="IRNazanin" w:eastAsia="IRNazanin"/>
          <w:color w:val="111111"/>
          <w:sz w:val="28"/>
          <w:sz w:val="28"/>
          <w:szCs w:val="28"/>
          <w:rtl w:val="true"/>
          <w:lang w:bidi="fa-IR"/>
        </w:rPr>
        <w:t>اسلام صلى الله عليه و آله، نماز آيات تشريع شده بود، ولى به دليل عدم وقوع زلزله يا سيل، زمينه اى براى اجراى آن وجود نداشت؛ اما پس از پيامبر گرامى اسلام صلى الله عليه و آله، به علت وقوع زلزله اى در بصره، ابن عباس نماز آيات را به 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سلفيان منابع تشريع را گسترش داده اند و با تكيه بر حديثى كه به پيامبر گرامى اسلام صلى الله عليه و آله نسبت مى دهند،</w:t>
      </w:r>
      <w:r>
        <w:rPr>
          <w:rStyle w:val="FootnoteAnchor"/>
          <w:rtl w:val="true"/>
        </w:rPr>
        <w:footnoteReference w:id="769"/>
      </w:r>
      <w:r>
        <w:rPr>
          <w:rFonts w:ascii="IRNazanin" w:hAnsi="IRNazanin" w:eastAsia="IRNazanin"/>
          <w:color w:val="111111"/>
          <w:sz w:val="28"/>
          <w:sz w:val="28"/>
          <w:szCs w:val="28"/>
          <w:rtl w:val="true"/>
          <w:lang w:bidi="fa-IR"/>
        </w:rPr>
        <w:t>صحابه، تابعين و تابعين تابعين را نيز از منابع تشريع مى شمارند و به اقوال و سيره ى آن ها براى مشروعيت استدلال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ديدگاهى، خود بدعتى بزرگ است</w:t>
      </w:r>
      <w:r>
        <w:rPr>
          <w:rStyle w:val="FootnoteAnchor"/>
          <w:rtl w:val="true"/>
        </w:rPr>
        <w:footnoteReference w:id="770"/>
      </w:r>
      <w:r>
        <w:rPr>
          <w:rFonts w:ascii="Amiri" w:hAnsi="Amiri" w:eastAsia="Amiri" w:cs="Amiri"/>
          <w:color w:val="111111"/>
          <w:sz w:val="28"/>
          <w:sz w:val="28"/>
          <w:szCs w:val="28"/>
          <w:rtl w:val="true"/>
          <w:lang w:bidi="ar-SA"/>
        </w:rPr>
        <w:t>و در متون دينى ديده نمى شود كه صاحب شريعت، سه قرن اوليه را نيز از منابع تشريع شمرده باشد</w:t>
      </w:r>
      <w:r>
        <w:rPr>
          <w:rFonts w:eastAsia="Amiri" w:cs="Amiri" w:ascii="Amiri" w:hAnsi="Amiri"/>
          <w:color w:val="111111"/>
          <w:sz w:val="28"/>
          <w:szCs w:val="28"/>
          <w:rtl w:val="true"/>
          <w:lang w:bidi="ar-SA"/>
        </w:rPr>
        <w:t>.</w:t>
      </w:r>
      <w:r>
        <w:rPr>
          <w:rStyle w:val="FootnoteAnchor"/>
          <w:rtl w:val="true"/>
        </w:rPr>
        <w:footnoteReference w:id="771"/>
      </w:r>
    </w:p>
    <w:p>
      <w:pPr>
        <w:pStyle w:val="Heading5"/>
        <w:numPr>
          <w:ilvl w:val="4"/>
          <w:numId w:val="1"/>
        </w:numPr>
        <w:rPr/>
      </w:pPr>
      <w:bookmarkStart w:id="616" w:name="__RefHeading___Toc8089238_2142443653"/>
      <w:bookmarkStart w:id="617" w:name="_Toc233"/>
      <w:bookmarkEnd w:id="616"/>
      <w:r>
        <w:rPr/>
        <w:t>3</w:t>
      </w:r>
      <w:r>
        <w:rPr>
          <w:rtl w:val="true"/>
        </w:rPr>
        <w:t>‏-‏</w:t>
      </w:r>
      <w:r>
        <w:rPr/>
        <w:t>8</w:t>
      </w:r>
      <w:r>
        <w:rPr>
          <w:rtl w:val="true"/>
        </w:rPr>
        <w:t xml:space="preserve"> - </w:t>
      </w:r>
      <w:r>
        <w:rPr>
          <w:rtl w:val="true"/>
        </w:rPr>
        <w:t xml:space="preserve">فقدان اصل </w:t>
      </w:r>
      <w:r>
        <w:rPr>
          <w:rtl w:val="true"/>
        </w:rPr>
        <w:t>(</w:t>
      </w:r>
      <w:r>
        <w:rPr>
          <w:rtl w:val="true"/>
        </w:rPr>
        <w:t>عام</w:t>
      </w:r>
      <w:r>
        <w:rPr>
          <w:rtl w:val="true"/>
        </w:rPr>
        <w:t>)</w:t>
      </w:r>
      <w:bookmarkEnd w:id="617"/>
    </w:p>
    <w:p>
      <w:pPr>
        <w:pStyle w:val="BookText"/>
        <w:rPr/>
      </w:pPr>
      <w:r>
        <w:rPr>
          <w:rFonts w:ascii="IRNazanin" w:hAnsi="IRNazanin" w:eastAsia="IRNazanin"/>
          <w:color w:val="111111"/>
          <w:sz w:val="28"/>
          <w:sz w:val="28"/>
          <w:szCs w:val="28"/>
          <w:rtl w:val="true"/>
          <w:lang w:bidi="fa-IR"/>
        </w:rPr>
        <w:t>يكى از مهم ترين اركان بدعت، عدم وجود اصل يا عامى است كه بتوان امر جديد را به آن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ركن، بسيارى از امورى كه در نگاه نخست، امر نو شمرده مى شوند، از حوزه ى بدعت خارج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ما احدث مما لا اصل له فى الشريعة يدل عليه، اما ما كان له اصل من الشرع يدل عليه فليس ببدعة شرعا وان كان بدعة لغة</w:t>
      </w:r>
      <w:r>
        <w:rPr>
          <w:rFonts w:eastAsia="Amiri" w:cs="Amiri" w:ascii="Amiri" w:hAnsi="Amiri"/>
          <w:color w:val="111111"/>
          <w:sz w:val="28"/>
          <w:szCs w:val="28"/>
          <w:rtl w:val="true"/>
          <w:lang w:bidi="ar-SA"/>
        </w:rPr>
        <w:t>».</w:t>
      </w:r>
      <w:r>
        <w:rPr>
          <w:rStyle w:val="FootnoteAnchor"/>
          <w:rtl w:val="true"/>
        </w:rPr>
        <w:footnoteReference w:id="77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ركنى براى بدعت، در منابع شيعه و اهل سنت ديده مى شود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با توجه به اين اصل، اگر فعلى داراى اصلى در شريعت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ظاهر و به صورت مستقيم در</w:t>
      </w:r>
    </w:p>
    <w:p>
      <w:pPr>
        <w:pStyle w:val="BookText"/>
        <w:rPr/>
      </w:pPr>
      <w:r>
        <w:rPr>
          <w:rFonts w:ascii="IRNazanin" w:hAnsi="IRNazanin" w:eastAsia="IRNazanin"/>
          <w:color w:val="111111"/>
          <w:sz w:val="28"/>
          <w:sz w:val="28"/>
          <w:szCs w:val="28"/>
          <w:rtl w:val="true"/>
          <w:lang w:bidi="fa-IR"/>
        </w:rPr>
        <w:t xml:space="preserve">شريعت نيامده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بدعت شمرده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بسيارى از امور، هرچند از نظر لغوى بدعت شمرده مى شوند، چون ذيل اصل يا عامى قرار مى گيرند، در اصطلاح، بدعت شمرده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راهى را براى تسلط كفار بر مؤمنان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قاعده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هرگونه سلطه ى كفار را بر مسلمانان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هرگونه استيلاى دشمن، اعم از فرهنگى، سياسى، اجتماعى، اقتصادى و دينى، نفى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روش استيلا در حوزه هاى مختلف، متفاوت است و اين قاعده، همه ى اين روش ها، اعم از گونه هاى مختلف تهاجم فرهنگى، نظامى، اقتصادى و دينى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ى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چه كسى زينت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براى بندگانش پديد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هاى پاكيزه و مطبوع را حرام كرده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 در زندگى دنيا براى كسانى است كه ايمان آورده اند؛ ولى روز قيامت، مخصوص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آيات را براى مردمى كه مى فهمند، شرح مى دهيم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يكى ديگر از عموماتى است كه از آن، حليت نعمت ها اثبات مى شود و با تمسك به اين دليل، نمى توان نعمتى از نعمت هاى الهى را صرفاً به اين علت كه در</w:t>
      </w:r>
    </w:p>
    <w:p>
      <w:pPr>
        <w:pStyle w:val="BookText"/>
        <w:rPr/>
      </w:pPr>
      <w:r>
        <w:rPr>
          <w:rFonts w:ascii="IRNazanin" w:hAnsi="IRNazanin" w:eastAsia="IRNazanin"/>
          <w:color w:val="111111"/>
          <w:sz w:val="28"/>
          <w:sz w:val="28"/>
          <w:szCs w:val="28"/>
          <w:rtl w:val="true"/>
          <w:lang w:bidi="fa-IR"/>
        </w:rPr>
        <w:t>گذشته استفاده نمى شد و امرى جديد است، حرام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اصل،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يُعَظِّمْ شَعٰائِرَ اَللّٰهِ فَإِنَّهٰا مِنْ تَقْوَى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تعظيم شعائر الهى را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تعظيم نيز مفهومى عام است و هرگونه بزرگ داشتى در حوزه ى دين را شامل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ى شريفه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به مسأله ى تذكير و يادآورى اشاره شده كه مفهومى عام است و مصاديق مختلفى دارد كه هر يك با مقتضيات زمان تعريف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 اَلتَّقْوىٰ وَ لاٰ تَعٰاوَنُوا عَلَى اَلْإِثْمِ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به مسلمانان توصيه مى كند كه به دنبال همكارى و مشورت در امور پسنديده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پسنديده در زمان هاى مختلف متفاوت است و امورى را كه موجب تكامل زندگى مادى و معنوى انسان مى شود،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 چنين مسلمانان را از همكارى در بدى ها و دشمنى ها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ها و دشمنى ها نيز شامل زندگى مادى و معنوى شده و مصاديق فراوانى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هرگز نمى توان هر امرى را كه در ظاهر نوپديد باشد، بدعت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حكمى، نه تنها با آيات قرآن هم آهنگى ندارد، بلكه زندگى مادى و معنوى بشر را با مشكلات اساسى روبه رو مى كند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جداى از روايات بسيارى كه در زمينه ى احياى نام بزرگان دين وارد شده است، آيات فراوانى درباره ى بزرگ داشت اولياى الهى وجود دارد كه مصاديق آن،</w:t>
      </w:r>
    </w:p>
    <w:p>
      <w:pPr>
        <w:pStyle w:val="BookText"/>
        <w:rPr/>
      </w:pPr>
      <w:r>
        <w:rPr>
          <w:rFonts w:ascii="Amiri" w:hAnsi="Amiri" w:eastAsia="Amiri" w:cs="Amiri"/>
          <w:color w:val="111111"/>
          <w:sz w:val="28"/>
          <w:sz w:val="28"/>
          <w:szCs w:val="28"/>
          <w:rtl w:val="true"/>
          <w:lang w:bidi="ar-SA"/>
        </w:rPr>
        <w:t>بسته به عرف و عادات و رسوم هر جامعه اى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آيه ى شريفه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 وَ 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به تكريم و بزرگ داشت مقام شامخ پيامبر گرامى اسلام صلى الله عليه و آله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تكريم، مصاديق و اشكال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رورى كامل گرفته تا يادآورى و تكرار روايات، اوصاف و ويژگى ها، و كرامات او، بزرگ داشت ميلاد با سعادت آن حضرت، و سوگوارى در ايام رحلت ايشان، همه نمونه هايى از تكريم اين شخصيت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اجرى از شما نمى خواهم، جز محبت به نزديكانم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آياتى، با عبارات گوناگون در قرآن آمده است و مسلمانان را به محبت و دوستى با خاندان پيامبر گرامى اسلام صلى الله عليه و آله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نيز همانند موارد يادشده، محبت و دوستى، مصاديق و اشكال گوناگونى دارد كه پى روى از آنان، احياى نام و ياد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محبت و دوستى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مراسمى در زمان صحابه يا تابعين انجام نشده باشد، اما در دوره هاى بعد، به سبب ويژگى هاى اجتماعى و فرهنگى، مانند مولد النبى يا ساخت گل دسته ها و گنبدها به وجود آمده باشد، هرگز بدعت شمرده نمى شود و در راستاى سنت نبوى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مصاديقى كه زيرمجموعه ى عامى قرار مى گيرند، نبايد با حكم ديگرى در تعارض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برگزارى مراسم ميلاد پيامبر گرامى اسلام صلى الله عليه و آله همراه با غنا و موسيقى، حرام است؛ اما نه از اين نظر كه بدعت در دين است، بلكه چون مشمول حكم مجلس لهو و لعب است؛ به ويژه آن كه چنين عمل حرامى، به بهانه ى تعظيم شخصيتى مانند پيامبر گرامى اسلام صلى الله عليه و آله انجام شود</w:t>
      </w:r>
      <w:r>
        <w:rPr>
          <w:rFonts w:eastAsia="IRNazanin" w:cs="IRNazanin"/>
          <w:color w:val="111111"/>
          <w:sz w:val="28"/>
          <w:szCs w:val="28"/>
          <w:rtl w:val="true"/>
          <w:lang w:bidi="fa-IR"/>
        </w:rPr>
        <w:t>.</w:t>
      </w:r>
      <w:bookmarkStart w:id="618" w:name="pg15502_177420"/>
    </w:p>
    <w:p>
      <w:pPr>
        <w:pStyle w:val="Heading3"/>
        <w:numPr>
          <w:ilvl w:val="2"/>
          <w:numId w:val="1"/>
        </w:numPr>
        <w:rPr/>
      </w:pPr>
      <w:bookmarkStart w:id="619" w:name="__RefHeading___Toc8089240_2142443653"/>
      <w:bookmarkStart w:id="620" w:name="_Toc234"/>
      <w:bookmarkEnd w:id="618"/>
      <w:bookmarkEnd w:id="619"/>
      <w:r>
        <w:rPr>
          <w:rtl w:val="true"/>
        </w:rPr>
        <w:t>فصل هفدهم</w:t>
      </w:r>
      <w:r>
        <w:rPr>
          <w:rtl w:val="true"/>
        </w:rPr>
        <w:t xml:space="preserve">: </w:t>
      </w:r>
      <w:r>
        <w:rPr>
          <w:rtl w:val="true"/>
        </w:rPr>
        <w:t>بدعت و قابليت تقسيم</w:t>
      </w:r>
      <w:bookmarkEnd w:id="62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1" w:name="__RefHeading___Toc8089242_2142443653"/>
      <w:bookmarkStart w:id="622" w:name="_Toc235"/>
      <w:bookmarkEnd w:id="621"/>
      <w:r>
        <w:rPr>
          <w:rtl w:val="true"/>
        </w:rPr>
        <w:t>اشاره</w:t>
      </w:r>
      <w:bookmarkStart w:id="623" w:name="pg15502_177422"/>
      <w:bookmarkEnd w:id="622"/>
    </w:p>
    <w:p>
      <w:pPr>
        <w:pStyle w:val="Heading4"/>
        <w:numPr>
          <w:ilvl w:val="3"/>
          <w:numId w:val="1"/>
        </w:numPr>
        <w:rPr/>
      </w:pPr>
      <w:bookmarkStart w:id="624" w:name="__RefHeading___Toc8089244_2142443653"/>
      <w:bookmarkStart w:id="625" w:name="_Toc236"/>
      <w:bookmarkEnd w:id="623"/>
      <w:bookmarkEnd w:id="624"/>
      <w:r>
        <w:rPr/>
        <w:t>1</w:t>
      </w:r>
      <w:r>
        <w:rPr>
          <w:rtl w:val="true"/>
        </w:rPr>
        <w:t xml:space="preserve"> - </w:t>
      </w:r>
      <w:r>
        <w:rPr>
          <w:rtl w:val="true"/>
        </w:rPr>
        <w:t>مقدمه</w:t>
      </w:r>
      <w:bookmarkEnd w:id="625"/>
    </w:p>
    <w:p>
      <w:pPr>
        <w:pStyle w:val="BookText"/>
        <w:rPr/>
      </w:pPr>
      <w:r>
        <w:rPr>
          <w:rFonts w:ascii="IRNazanin" w:hAnsi="IRNazanin" w:eastAsia="IRNazanin"/>
          <w:color w:val="111111"/>
          <w:sz w:val="28"/>
          <w:sz w:val="28"/>
          <w:szCs w:val="28"/>
          <w:rtl w:val="true"/>
          <w:lang w:bidi="fa-IR"/>
        </w:rPr>
        <w:t>هرچند فرق اسلامى درباره ى معنى بدعت و عدم مشروعيت آن، اتفاق نظر دارند، اما پيرامون برخى از مسائل آن، اختلافاتى در ميان آنان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اختلاف ميان انديشمندان اسلامى، امكان تقسيم بدعت به انواع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برخى از انديشمندان اسلامى بدعت را قابل تقسيم مى دانند، طيف گسترده اى، با توجه به اطلاق آيات و روايات و معنى اصطلاحى بدعت، تقسيم آن را باطل مى شمارند و بر اين عقيده اند كه بدعت در حوزه ى شريعت، تنها يك نوع دارد و آن، بدعت باطل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قابليت انقسام بدعت، و در فصل آينده، بدعت از نگاه وهابيت بررسى خواهد شد</w:t>
      </w:r>
      <w:r>
        <w:rPr>
          <w:rFonts w:eastAsia="IRNazanin" w:cs="IRNazanin"/>
          <w:color w:val="111111"/>
          <w:sz w:val="28"/>
          <w:szCs w:val="28"/>
          <w:rtl w:val="true"/>
          <w:lang w:bidi="fa-IR"/>
        </w:rPr>
        <w:t>.</w:t>
      </w:r>
    </w:p>
    <w:p>
      <w:pPr>
        <w:pStyle w:val="Heading4"/>
        <w:numPr>
          <w:ilvl w:val="3"/>
          <w:numId w:val="1"/>
        </w:numPr>
        <w:rPr/>
      </w:pPr>
      <w:bookmarkStart w:id="626" w:name="__RefHeading___Toc8089246_2142443653"/>
      <w:bookmarkStart w:id="627" w:name="_Toc237"/>
      <w:bookmarkEnd w:id="626"/>
      <w:r>
        <w:rPr/>
        <w:t>2</w:t>
      </w:r>
      <w:r>
        <w:rPr>
          <w:rtl w:val="true"/>
        </w:rPr>
        <w:t xml:space="preserve"> - </w:t>
      </w:r>
      <w:r>
        <w:rPr>
          <w:rtl w:val="true"/>
        </w:rPr>
        <w:t>بدعت و قابليت انقسام</w:t>
      </w:r>
      <w:bookmarkEnd w:id="627"/>
    </w:p>
    <w:p>
      <w:pPr>
        <w:pStyle w:val="BookText"/>
        <w:rPr/>
      </w:pPr>
      <w:r>
        <w:rPr>
          <w:rFonts w:ascii="IRNazanin" w:hAnsi="IRNazanin" w:eastAsia="IRNazanin"/>
          <w:color w:val="111111"/>
          <w:sz w:val="28"/>
          <w:sz w:val="28"/>
          <w:szCs w:val="28"/>
          <w:rtl w:val="true"/>
          <w:lang w:bidi="fa-IR"/>
        </w:rPr>
        <w:t>تقسيم بدعت به انواع مختلف در ميان اهل سنت، پيش از آن كه اختلافى مذهبى باشد، اختلافى ميان انديشمندان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گاه بزرگان يك مذهب، دو ديدگاه مختلف در اين زمينه ارائه كرده اند و به همين سبب نمى توان گفت كه مذهب خاصى ديدگاه مشخصى را درباره ى قابليت تقسيم بدعت ارائه نموده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ازسوى ديگر، چنان كه گفته خواهد شد، علت تقسيم بدعت به انواع مختلف در انديشه ى برخى از متفكران، ريشه در خلط ميان معنى لغوى و اصطلاحى بدعت دارد و</w:t>
      </w:r>
      <w:bookmarkStart w:id="628" w:name="pg15502_177423"/>
    </w:p>
    <w:p>
      <w:pPr>
        <w:pStyle w:val="BookText"/>
        <w:rPr/>
      </w:pPr>
      <w:bookmarkEnd w:id="628"/>
      <w:r>
        <w:rPr>
          <w:rFonts w:ascii="IRNazanin" w:hAnsi="IRNazanin" w:eastAsia="IRNazanin"/>
          <w:color w:val="111111"/>
          <w:sz w:val="28"/>
          <w:sz w:val="28"/>
          <w:szCs w:val="28"/>
          <w:rtl w:val="true"/>
          <w:lang w:bidi="fa-IR"/>
        </w:rPr>
        <w:t>به همين سبب، هرچند در ظاهر تقسيم بدعت را پذيرفته اند، اما در حقيقت به همان عدم تقسيم پايبندند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گذشته، ضمن اشاره به ادعاى برخى در تقسيم بدعت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 كه در شريعت، صرفاً از بدعت شرعيه سخن به ميان آمده است؛ بنابراين، تقسيم آن در محدوده ى شرع به دو نوع شرعيه و عاديه، درست نيست</w:t>
      </w:r>
      <w:r>
        <w:rPr>
          <w:rFonts w:eastAsia="IRNazanin" w:cs="IRNazanin"/>
          <w:color w:val="111111"/>
          <w:sz w:val="28"/>
          <w:szCs w:val="28"/>
          <w:rtl w:val="true"/>
          <w:lang w:bidi="fa-IR"/>
        </w:rPr>
        <w:t>.</w:t>
      </w:r>
    </w:p>
    <w:p>
      <w:pPr>
        <w:pStyle w:val="Heading4"/>
        <w:numPr>
          <w:ilvl w:val="3"/>
          <w:numId w:val="1"/>
        </w:numPr>
        <w:rPr/>
      </w:pPr>
      <w:bookmarkStart w:id="629" w:name="__RefHeading___Toc8089248_2142443653"/>
      <w:bookmarkStart w:id="630" w:name="_Toc238"/>
      <w:bookmarkEnd w:id="629"/>
      <w:r>
        <w:rPr/>
        <w:t>3</w:t>
      </w:r>
      <w:r>
        <w:rPr>
          <w:rtl w:val="true"/>
        </w:rPr>
        <w:t xml:space="preserve"> - </w:t>
      </w:r>
      <w:r>
        <w:rPr>
          <w:rtl w:val="true"/>
        </w:rPr>
        <w:t>بدعت خوب و بد</w:t>
      </w:r>
      <w:bookmarkEnd w:id="630"/>
    </w:p>
    <w:p>
      <w:pPr>
        <w:pStyle w:val="BookText"/>
        <w:rPr/>
      </w:pPr>
      <w:r>
        <w:rPr>
          <w:rFonts w:ascii="IRNazanin" w:hAnsi="IRNazanin" w:eastAsia="IRNazanin"/>
          <w:color w:val="111111"/>
          <w:sz w:val="28"/>
          <w:sz w:val="28"/>
          <w:szCs w:val="28"/>
          <w:rtl w:val="true"/>
          <w:lang w:bidi="fa-IR"/>
        </w:rPr>
        <w:t>يكى از تقسيماتى كه براى بدعت ذكر شده است، تقسيم بدعت به 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چنين تقسيمى معتقدند، پيش از هرچيز به ديدگاه ها و آراى برخى از گذشتگان استناد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افراد،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يحيى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شافعى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بدعتى كه موافق سنت باشد، خوب، و بدعتى كه مخالف آن باشد، ناشايست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هم چنين به گفته ى ربيع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شافعى، امورى كه پس از پيامبر گرامى اسلام صلى الله عليه و آله حادث شده است،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نوآورى هايى نيكو و پسنديده اند و اين ها بدعت هاى خوبند؛ و بخشى نوآورى هايى هستند مخالف كتاب و سنت و اجماع، كه بدعت هاى گمراه كننده اند</w:t>
      </w:r>
      <w:r>
        <w:rPr>
          <w:rFonts w:eastAsia="IRNazanin" w:cs="IRNazanin"/>
          <w:color w:val="111111"/>
          <w:sz w:val="28"/>
          <w:szCs w:val="28"/>
          <w:rtl w:val="true"/>
          <w:lang w:bidi="fa-IR"/>
        </w:rPr>
        <w:t>».</w:t>
      </w:r>
      <w:r>
        <w:rPr>
          <w:rStyle w:val="FootnoteAnchor"/>
          <w:rtl w:val="true"/>
        </w:rPr>
        <w:footnoteReference w:id="77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نووى، شارح صحيح مسلم نيز همين تقسيم را پذيرفته است</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وى به نقل از بيهقى، اين سخن را به شافعى نسبت مى دهد كه امور محدَثه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با كتاب يا سنت يا اخبار مأثوره يا اجماع ناسازگارند، بدعت ضلالتند؛ و امورى كه در راه</w:t>
      </w:r>
    </w:p>
    <w:p>
      <w:pPr>
        <w:pStyle w:val="BookText"/>
        <w:rPr/>
      </w:pPr>
      <w:r>
        <w:rPr>
          <w:rFonts w:ascii="IRNazanin" w:hAnsi="IRNazanin" w:eastAsia="IRNazanin"/>
          <w:color w:val="111111"/>
          <w:sz w:val="28"/>
          <w:sz w:val="28"/>
          <w:szCs w:val="28"/>
          <w:rtl w:val="true"/>
          <w:lang w:bidi="fa-IR"/>
        </w:rPr>
        <w:t>خير پديد آمده اند، پديده هاى دينى غيرمذموم به شمار مى روند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سيوطى نيز اجمالاً ديدگاه نووى را تأييد كرده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ابن اثير نيز بدعت را به دو نوع تقسيم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به سوى هدايت پيش مى برد و ديگرى آن كه به گمراهى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هدايت، مصداقى است از امور كلى كه پيامبر گرامى اسلام صلى الله عليه و آله به آن ها سفارش و تشويق كرده است و ممدوح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ضلالت، امرى است برخلاف فرمان خدا و پيامبر گرامى اسلام صلى الله عليه و آله كه سرزنش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كارهايى كه سابقه اى در دين ندارند، اما نيكو به شمار مى روند، بدعت نيستند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عبدالحق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شبه قاره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هرچه پس از پيامبر گرامى اسلام صلى الله عليه و آله پديد آمده،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موافق اصول سنت باشد، بدعت پسنديده، و هر كدام مخالف باشد، بدعت ناپسند و گمراه كننده است</w:t>
      </w:r>
      <w:r>
        <w:rPr>
          <w:rFonts w:eastAsia="IRNazanin" w:cs="IRNazanin"/>
          <w:color w:val="111111"/>
          <w:sz w:val="28"/>
          <w:szCs w:val="28"/>
          <w:rtl w:val="true"/>
          <w:lang w:bidi="fa-IR"/>
        </w:rPr>
        <w:t>».</w:t>
      </w:r>
      <w:r>
        <w:rPr>
          <w:rStyle w:val="FootnoteAnchor"/>
          <w:rtl w:val="true"/>
        </w:rPr>
        <w:footnoteReference w:id="78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نگاهى به برخى از اين تعريف ها، مشخص مى شود كه مراد از تقسيم بدعت به خوب و بد، همان ارجاع به اصل يا عام است و از آن روى كه در ظاهر امرى جديد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چنين اعمالى، چون از نظر ظاهرى، سابقه اى در دين ندارند، از نظر لغوى بدعتند؛ اما از آن جهت كه تحت شمول عام يا اصلى قرار مى گيرند، از نظر اصطلاحى بدعت شمرده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نووى به شافعى نسبت مى دهد، و نيز سخن ابن اثير و كلام عبدالحق دهلوى، تأييد چنين ديدگاهى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عزالدين بن عبدالسلام نيز هنگامى كه بدعت حَسَن و قبيح را توضيح مى دهد، ميان بدعت لغوى و بدعت اصطلاحى خلط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هر عملى را كه مشمول احكام كتاب، سنت و اجماع شود، مندرج در شريعت مى شمرد و تنها از آن روى كه آن عمل امرى جديد است، آن را بدعت مى خواند و به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بر اين اساس، مى توان ادعاى اين گروه را درباره ى تقسيم بدعت، اختلافى لفظى ناميد كه ريشه ى آن، خلط ميان معناى لغوى و اصطلاحى است؛ اما آن چه در اين مقال فراموش شده است، اين واقعيت است كه اساساً بحث بدعت، هنگامى مورد توجه است كه در حوزه ى شرع مطرح شود و به همين دليل است كه هماره در روايات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چنين عامى، ناظر به معنى اصطلاحى بدعت است؛ نه هرگونه نوآورى، اعم از نوآورى در حوزه ى دين و غير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عملى كه مشمول عام يا مطلقى شود، بدعت شمرده نمى شود كه بتوان به آن، بدعت خوب اطلاق كرد؛ بلكه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لغت به دليل نوپديد بودن عملى، به آن بدعت اطلاق مى شود؛ اما چنين بدعتى هيچ ربطى به مباحث بدعت اصطلاحى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به نظر مى رسد منشأ بسيارى از نظرات پيرامون تقسيم بدعت به خوب و بد، جداى از خلط ميان معناى لغوى و اصطلاحى، مشروعيت بخشى به رويدادى تاريخى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ى عبدالرحمن بن عبدالقارى</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از شب هاى ماه مبارك رمضان، با عمر به مسجد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صورت پراكنده در گوشه و كنار مسجد مشغول عبادت و خواندن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اين جمعيت را بر قارى واحد جمع كنيم،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تصميم گرفت و به همه دستور داد پشت سر ابى بن كعب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شب ديگرى با وى به</w:t>
      </w:r>
    </w:p>
    <w:p>
      <w:pPr>
        <w:pStyle w:val="BookText"/>
        <w:rPr/>
      </w:pPr>
      <w:r>
        <w:rPr>
          <w:rFonts w:ascii="IRNazanin" w:hAnsi="IRNazanin" w:eastAsia="IRNazanin"/>
          <w:color w:val="111111"/>
          <w:sz w:val="28"/>
          <w:sz w:val="28"/>
          <w:szCs w:val="28"/>
          <w:rtl w:val="true"/>
          <w:lang w:bidi="fa-IR"/>
        </w:rPr>
        <w:t>مسجد آمديم، مردم پشت سر ابى بن كعب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البدعة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بدعت، بدعت پسنديده اى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اگر بدعت قابل تقسيم به خوب و بد نباشد، با توجه به اقرار خود خليفه ى دوم، عمل وى در رديف بدعت اصطلاحى قرار مى گيرد و شكى در نكوهيده بودن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پرهيز از اين مشكل، برخى معتقد به تقسيم بدعت به دو نوع شده اند تا عمل خليفه، مشروعيت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موافقان تقسيم، رسماً علت تقسيم را همين عمل خليفه ى دوم ذكر كرده اند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در اين ميان، اگر نماز تراويح با جماعت در شريعت وارد شده باشد، برگزارى آن به دو صورت فرادا و جماعت مشروع است و بدعت نخواهد بود، بلكه سنت است؛ و اگر شريعت اجازه ى اقامه ى نماز تراويح را به صورت جماعت نداده باشد، حرام و قبيح است و هيچ كس نمى تواند آن را مشروع كند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ازسوى ديگر، عمل صحابه جنبه ى تشريعى ندارد كه موجب تقسيم بدعت به خوب و بد شود؛ به ويژه آن كه اطلاق آيات و روايات، برخلاف آن گواهى مى دهند</w:t>
      </w:r>
      <w:r>
        <w:rPr>
          <w:rFonts w:eastAsia="IRNazanin" w:cs="IRNazanin"/>
          <w:color w:val="111111"/>
          <w:sz w:val="28"/>
          <w:szCs w:val="28"/>
          <w:rtl w:val="true"/>
          <w:lang w:bidi="fa-IR"/>
        </w:rPr>
        <w:t>.</w:t>
      </w:r>
      <w:r>
        <w:rPr>
          <w:rStyle w:val="FootnoteAnchor"/>
          <w:rtl w:val="true"/>
        </w:rPr>
        <w:footnoteReference w:id="788"/>
      </w:r>
      <w:bookmarkStart w:id="631" w:name="pg15502_177427"/>
    </w:p>
    <w:p>
      <w:pPr>
        <w:pStyle w:val="Heading4"/>
        <w:numPr>
          <w:ilvl w:val="3"/>
          <w:numId w:val="1"/>
        </w:numPr>
        <w:rPr/>
      </w:pPr>
      <w:bookmarkStart w:id="632" w:name="__RefHeading___Toc8089250_2142443653"/>
      <w:bookmarkStart w:id="633" w:name="_Toc239"/>
      <w:bookmarkEnd w:id="631"/>
      <w:bookmarkEnd w:id="632"/>
      <w:r>
        <w:rPr/>
        <w:t>4</w:t>
      </w:r>
      <w:r>
        <w:rPr>
          <w:rtl w:val="true"/>
        </w:rPr>
        <w:t xml:space="preserve"> - </w:t>
      </w:r>
      <w:r>
        <w:rPr>
          <w:rtl w:val="true"/>
        </w:rPr>
        <w:t>تقسيم بدعت به احكام پنج گانه</w:t>
      </w:r>
      <w:bookmarkEnd w:id="633"/>
    </w:p>
    <w:p>
      <w:pPr>
        <w:pStyle w:val="BookText"/>
        <w:rPr/>
      </w:pPr>
      <w:r>
        <w:rPr>
          <w:rFonts w:ascii="IRNazanin" w:hAnsi="IRNazanin" w:eastAsia="IRNazanin"/>
          <w:color w:val="111111"/>
          <w:sz w:val="28"/>
          <w:sz w:val="28"/>
          <w:szCs w:val="28"/>
          <w:rtl w:val="true"/>
          <w:lang w:bidi="fa-IR"/>
        </w:rPr>
        <w:t>گروه ديگرى، بدعت را مطابق با احكام پنج گانه، به پنج نوع تقسيم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بدعت به واجب، مستحب، حرام، مكروه و مباح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تقسيمى را به برخى از علما نسبت داده است</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افرادى همانند ابن عبيده، عزالدين بن عبدالسلام و شاگردش قرافى و نووى نيز چنين ديدگاهى را برگزيده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عابدين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بيان بدعت حرام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بدعت واجب است؛ مانند ارائه ى دليل براى مقابله با فرقه هاى گمراه، و آموزش علم نحو براى فهم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بدعت مستحب است؛ مانند ساخت مدارس و راه ها و همه ى خوبى هايى كه در صدر اسلام نبوده است و بعداً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بدعت ها مكروهند؛ مانند تزئين مساجد؛ و برخى مباحند، مانند خوردن غذاهاى لذيذ، آشاميدنى هاى گوارا و پوشيدن لباس هاى زيبا</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به گفته عزالدين بن عبدالسلام</w:t>
      </w:r>
      <w:r>
        <w:rPr>
          <w:rFonts w:eastAsia="IRNazanin" w:cs="IRNazanin"/>
          <w:color w:val="111111"/>
          <w:sz w:val="28"/>
          <w:szCs w:val="28"/>
          <w:rtl w:val="true"/>
          <w:lang w:bidi="fa-IR"/>
        </w:rPr>
        <w:t>:</w:t>
      </w:r>
      <w:r>
        <w:rPr>
          <w:rStyle w:val="FootnoteAnchor"/>
          <w:rtl w:val="true"/>
        </w:rPr>
        <w:footnoteReference w:id="79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عملى است كه در زمان پيامبر گرامى اسلام صلى الله عليه و آله نبوده است و به بدعت واجب، حرام، مستحب، مكروه و مباح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آنان نيز عرضه ى بدعت به قواعد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ذيل قواعد وجوب قرار گرفت، واجب است؛ اگر در زمره ى قواعد حرمت قرار گرفت، حرام است؛ اگر در شمار قواعد مستحب قرار گرفت، مستحب؛ و اگر در ذيل قواعد مباح قرار گرفت، مباح است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وى سپس براى هر يك نمونه هايى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علماى اهل سنت كه پس از ابن عبدالسلام آمده اند، با تكيه بر نظر وى، بدعت را به اقسام پنج گانه تقسيم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مانند نووى،</w:t>
      </w:r>
      <w:r>
        <w:rPr>
          <w:rStyle w:val="FootnoteAnchor"/>
          <w:rtl w:val="true"/>
        </w:rPr>
        <w:footnoteReference w:id="793"/>
      </w:r>
      <w:r>
        <w:rPr>
          <w:rFonts w:ascii="Amiri" w:hAnsi="Amiri" w:eastAsia="Amiri" w:cs="Amiri"/>
          <w:color w:val="111111"/>
          <w:sz w:val="28"/>
          <w:sz w:val="28"/>
          <w:szCs w:val="28"/>
          <w:rtl w:val="true"/>
          <w:lang w:bidi="ar-SA"/>
        </w:rPr>
        <w:t>زركشى،</w:t>
      </w:r>
      <w:r>
        <w:rPr>
          <w:rStyle w:val="FootnoteAnchor"/>
          <w:rtl w:val="true"/>
        </w:rPr>
        <w:footnoteReference w:id="794"/>
      </w:r>
      <w:r>
        <w:rPr>
          <w:rFonts w:ascii="Amiri" w:hAnsi="Amiri" w:eastAsia="Amiri" w:cs="Amiri"/>
          <w:color w:val="111111"/>
          <w:sz w:val="28"/>
          <w:sz w:val="28"/>
          <w:szCs w:val="28"/>
          <w:rtl w:val="true"/>
          <w:lang w:bidi="ar-SA"/>
        </w:rPr>
        <w:t>ابن حجر هيثمى،</w:t>
      </w:r>
      <w:r>
        <w:rPr>
          <w:rStyle w:val="FootnoteAnchor"/>
          <w:rtl w:val="true"/>
        </w:rPr>
        <w:footnoteReference w:id="795"/>
      </w:r>
      <w:r>
        <w:rPr>
          <w:rFonts w:ascii="IRNazanin" w:hAnsi="IRNazanin" w:eastAsia="IRNazanin"/>
          <w:color w:val="111111"/>
          <w:sz w:val="28"/>
          <w:sz w:val="28"/>
          <w:szCs w:val="28"/>
          <w:rtl w:val="true"/>
          <w:lang w:bidi="fa-IR"/>
        </w:rPr>
        <w:t>سخاوى</w:t>
      </w:r>
      <w:r>
        <w:rPr>
          <w:rStyle w:val="FootnoteAnchor"/>
          <w:rtl w:val="true"/>
        </w:rPr>
        <w:footnoteReference w:id="796"/>
      </w:r>
      <w:r>
        <w:rPr>
          <w:rFonts w:ascii="Amiri" w:hAnsi="Amiri" w:eastAsia="Amiri" w:cs="Amiri"/>
          <w:color w:val="111111"/>
          <w:sz w:val="28"/>
          <w:sz w:val="28"/>
          <w:szCs w:val="28"/>
          <w:rtl w:val="true"/>
          <w:lang w:bidi="ar-SA"/>
        </w:rPr>
        <w:t>و قرافى از اين دسته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نمونه، قرافى، شاگرد عزالدين، با اين كه اذعان مى كند اصحاب در انكار بدعت اتفاق نظر دارند،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تفصيل در اين مسأله است و بدعت به پنج نوع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واجب، كه از ادله ى شرعى مبتنى بر وجوب قابل استنباط است؛ مانند تدوين قرآن و آموزه هاى دينى كه بيم از ميان رفتن آن ها مى رود؛ و يا تبليغ دين در قرون بعد، به اجماع امت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شكى در وجوبشان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كه قواعد تحريم و ادله ى شرعى، بر حرمت آن ها دلالت مى كند؛ مانند قوانينى كه در محاكم قضايى برخلاف قواعد شرعى است و يا واگذارى پست هاى شرعى به افرادى كه لياقت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هاى مستحب، و آن امورى است كه مشمول قواعد استحباب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مانند نماز تراويح و قرار دادن تصاوير بزرگان در مراكز مختلف؛ در صورتى كه در صدر اسلام چنين امرى مرسوم نبوده است، اما امروزه اين امر موجب عظمت و ابهت امرا در ميان مردم مى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مكروه، و آن بدعت هايى است كه تحت شمول ادله ى كراهت قرار دارند؛ مانند قرار دادن ايام خاصى براى نوع خاصى از عبادات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هاى مستحب، و آن مواردى است كه مشمول قواعد اباحه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اگر به قواعد و ادله ى شرعى عرضه شود، تحت شمول هر يك قرار گرفت، همان حكم را پيدا مى كند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در اين جا جداى از درستى يا نادرستى مصاديقى كه وى براى انواع بدعت ذكر مى كند، همان خلط ميان معناى لغوى و معناى اصطلاحى ديده مى شود؛ به اين معنى كه ملاك در اين تقسيمات، معنى لغوى است و بر آن اساس، بدعت تقسيم شده است؛ درحالى كه در فقه و كلام، سخن از بدعت اصطلاحى است، نه لغوى، كه بتوان آن را به اقسام گوناگون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عزالدين پس از آن كه بدعت را به اقسام مختلفى تقسيم مى كند، در پايان، آن ها را به حكم كلى يا قواعد عام ارجاع مى دهد و چنان كه گفته شد، اگر عملى داراى حكم كلى و يا اطلاقى باشد، در زمره ى بدعت قرار نمى گيرد، بلكه همان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قرافى و ديگران نيز سخنشان بيش تر ناظر به قواعد عام است؛ اما آن ها نيز از اين نكته غافل بوده اند كه اگر عمل نوپديد در ذيل عمومات و قواعد عام قرار گيرد، ديگر بدعت نيست، بلكه سنت است و تنها شكل عمل، از نظر لغوى بدعت شمرده مى شود كه مراد ما در اين جا، بدعت لغوى نيست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شاطبى چنين تقسيمى را بدعتى مى شمارد كه دليل شرعى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چنين استدلالى، در ذات خود مردود است؛ زيرا بدعت چيزى است كه در ميان نصوص و قواعد و اصول شرعى، دليلى بر مشروعيت آن وجود نداشته باشد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عملى داراى حكم شرعى از قبيل استحباب، وجوب يا اباحه باشد، بدعت شمرده نمى شود و عمل داخل در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ازيك سو اين موارد بدعت باشد و ازسوى ديگر، دلايل شرعى بر وجوب، استحباب و يا اباحه ى آن ها وجود داشته باشد، جمع ميان متنافيين است</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البته كسانى كه قائل به تقسيم بدعت شده اند، به برخى از روايات استناد كرده اند؛ از آن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فى الاسلام سنة حسنة فله اجرها واجر من عمل بها بعده من غير ان ينقص من اجورهم شىء ومن سن فى الاسلام سنة سيئة كان عليه وزرها ووزر من عمل بها من بعد، من غير ان ينقص من اوزارهم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سنت حسنه اى در اسلام ايجاد كند، پاداش آن عمل، و پاداش كسى كه به آن عمل مى كند، بدون آن كه ذره اى از پاداش كم شود، براى اوست؛ و كسى كه سنت بدى را در اسلام پايه گذارى كند، كيفر آن عمل و كيفر كسى كه به آن عمل كند، به گردن اوست، بدون آن كه ذره اى از اين كيفر كم 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از چند جهت نمى تواند توجيه كننده ى تقسيم بدعت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جريربن عبدالله بجلى، اين حديث در ملاقات ميان پيامبر گرامى اسلام صلى الله عليه و آله و گروهى كه وضعيت مادى اسفناكى داشتند،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يكى از صحابه، وسايلى را در درون دستمالى پيچيد و به آن ها هديه كرد و ديگران نيز اين كار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گرامى اسلام صلى الله عليه و آله حديث را بيان فرمود</w:t>
      </w:r>
      <w:r>
        <w:rPr>
          <w:rFonts w:eastAsia="IRNazanin" w:cs="IRNazanin"/>
          <w:color w:val="111111"/>
          <w:sz w:val="28"/>
          <w:szCs w:val="28"/>
          <w:rtl w:val="true"/>
          <w:lang w:bidi="fa-IR"/>
        </w:rPr>
        <w:t>.</w:t>
      </w:r>
      <w:bookmarkStart w:id="634" w:name="pg15502_177431"/>
    </w:p>
    <w:p>
      <w:pPr>
        <w:pStyle w:val="BookText"/>
        <w:rPr/>
      </w:pPr>
      <w:bookmarkEnd w:id="634"/>
      <w:r>
        <w:rPr>
          <w:rFonts w:ascii="IRNazanin" w:hAnsi="IRNazanin" w:eastAsia="IRNazanin"/>
          <w:color w:val="111111"/>
          <w:sz w:val="28"/>
          <w:sz w:val="28"/>
          <w:szCs w:val="28"/>
          <w:rtl w:val="true"/>
          <w:lang w:bidi="fa-IR"/>
        </w:rPr>
        <w:t>با توجه به شأن ورود روايت، مراد از سنت حسنه در اين حديث، عملى است كه مستند به يكى از عمومات است و آن، صدقه دادن است كه در قالب ها و اشكال مختلف ممكن است اتفاق بيفتد و چنان كه در گذشته نيز گفته شد، اين عمل، هرچند از نظر شكل ظاهرى نو و جديد است، اما به آن بدعت اطلاق نمى شود و زيرمجموعه ى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ايجاد سنت به معنى ايجاد بدعت و يا اختراع نيست؛ بلكه عمل به يكى از آموزه هاى دينى است كه ممكن است از آن غفلت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ازسوى ديگر، مشروعيت سنت با حكم شرع مشخص مى شود و ازاين رو سنتِ مشروع، صرفاً چيزى است كه توسط شرع جايز شمرده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چنين امرى را بدعت نمى گويند؛ و اگر سنتى توسط شرع مشروع شمرده نشده باشد، بى شك حرام و مطرود شرع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نيز اصطلاحاً عملى است كه شرع آن را مجاز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حرام است و نمى توان آن را به خوب و بد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صلى الله عليه و آله به امرى كه ريشه در دين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كرده و آن چه را در دين ريشه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نيز مترادف سنت سيئه اى است كه هيچ ريشه اى در دين ندارد</w:t>
      </w:r>
      <w:r>
        <w:rPr>
          <w:rFonts w:eastAsia="IRNazanin" w:cs="IRNazanin"/>
          <w:color w:val="111111"/>
          <w:sz w:val="28"/>
          <w:szCs w:val="28"/>
          <w:rtl w:val="true"/>
          <w:lang w:bidi="fa-IR"/>
        </w:rPr>
        <w:t>.</w:t>
      </w:r>
    </w:p>
    <w:p>
      <w:pPr>
        <w:pStyle w:val="Heading4"/>
        <w:numPr>
          <w:ilvl w:val="3"/>
          <w:numId w:val="1"/>
        </w:numPr>
        <w:rPr/>
      </w:pPr>
      <w:bookmarkStart w:id="635" w:name="__RefHeading___Toc8089252_2142443653"/>
      <w:bookmarkStart w:id="636" w:name="_Toc240"/>
      <w:bookmarkEnd w:id="635"/>
      <w:r>
        <w:rPr/>
        <w:t>5</w:t>
      </w:r>
      <w:r>
        <w:rPr>
          <w:rtl w:val="true"/>
        </w:rPr>
        <w:t xml:space="preserve"> - </w:t>
      </w:r>
      <w:r>
        <w:rPr>
          <w:rtl w:val="true"/>
        </w:rPr>
        <w:t>بدعت حقيقى و اضافى</w:t>
      </w:r>
      <w:bookmarkEnd w:id="63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بنيان گذار چنين تقسيمى شاطبى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هرچند به شدت مخالف تقسيم بدعت است و هرگونه تقسيمى را نهى مى كند، خود گرفتار تقسيم بدعت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تقسيم شاطبى، ازآن حيث كه هر دوى اين بدعت ها را در رديف بدعت نادرست مى آورد، از نظر وقوعى ممكن است؛ اما آن چه را كه به عنوان بدعت اضافى ذكر مى كند، بدعت نيست ومصاديقى هم كه برمى شمرد، بدعت شمرده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بدعت حقيقى را بدعتى مى داند كه هيچ ريشه اى در آموزه هاى دينى ندارد و كاملاً امرى نوپديد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بدعت حقيقى در نگاه وى، مترادف همان بدعت اصطلاحى است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اما به عقيده ى وى، بدعت اضافى، امرى دووجهى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ازيك سو ريشه در شريعت دارد و ازسوى ديگر، مبتنى بر رأى گرايى شخصى است</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بنابراين، درحالى كه ازيك سو به دليل وجود ريشه در شريعت سنت است، ازسوى ديگر، به علت وابستگى آن به شبهه يا نداشتن ريشه در شريعت، بدعت است</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وى سپس به نمونه هايى اشاره مى كند؛ مانند قرار دادن روز يا روزهاى خاصى براى روزه گرفتن يا انجام نوعى از عبادات، مانند اين كه در فلان روز، چند ركعت نماز خوانده شود يا صدقه داده شود يا قرآن قرائت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وى، اعمالى مانند نماز، روزه، صدقه و قرائت قرآن مشروع است، اما از آن روى كه درباره ى انجام آن در روز يا ساعت خاصى، حكمى وارد نشده است، بدعت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اعمالى را از چند جهت بدعت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شارع اجازه ى تخصيص روزهاى معينى را نداده و فرد از جانب خود اين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تعيين روز خاصى بدعت شمرده مى شود كه فرد، عمل خود را به شرع نسبت دهد؛ در غير اين صورت، تعيين وقت و زمان انجام عمل، در اختيار فرد است و چون مطلق است، او تصميم مى گيرد كه چه زمانى عمل را انجام دهد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امور از امور مشتبه است كه انسان نمى داند حرام است يا 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اصل بر پرهيز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با توجه به پاسخ اول، جايگاهى ندارد؛</w:t>
      </w:r>
    </w:p>
    <w:p>
      <w:pPr>
        <w:pStyle w:val="BookText"/>
        <w:rPr/>
      </w:pPr>
      <w:r>
        <w:rPr>
          <w:rFonts w:ascii="IRNazanin" w:hAnsi="IRNazanin" w:eastAsia="IRNazanin"/>
          <w:color w:val="111111"/>
          <w:sz w:val="28"/>
          <w:sz w:val="28"/>
          <w:szCs w:val="28"/>
          <w:rtl w:val="true"/>
          <w:lang w:bidi="fa-IR"/>
        </w:rPr>
        <w:t>چون با توجه به معنى بدعت، چنين عملى، در رديف اعمال مشتبه قرار نمى گيرد كه به پرهيز از آن نياز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چنين عملى مخالفت با سنت است؛ زيرا در زمان پيامبر گرامى اسلام صلى الله عليه و آله به اين صورت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ندادن عملى با شكل و وضعيتى خاص در صدر اسلام، با توجه به اطلاق دليل، دليلى بر مخالف بودن آن با سنت نيست؛ زيرا چنان كه گفته شد، با توجه به جواز تمامى افراد و اقسام و حالات، انتخاب در دست فرد است كه با توجه به حالات خود آن را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ى تفتازانى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جاهلان، هر امرى را كه در زمان صحابه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شمارند و اگر دليلى بر بد بودن آن نيابند، به گفته ى پيامبر گرامى اسلام صلى الله عليه و آله تمسك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اياكم ومحدثات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نمى دانند كه مراد از اين سخن، داخل كردن چيزى در دين است كه از دين نمى باشد</w:t>
      </w:r>
      <w:r>
        <w:rPr>
          <w:rFonts w:eastAsia="IRNazanin" w:cs="IRNazanin"/>
          <w:color w:val="111111"/>
          <w:sz w:val="28"/>
          <w:szCs w:val="28"/>
          <w:rtl w:val="true"/>
          <w:lang w:bidi="fa-IR"/>
        </w:rPr>
        <w:t>...».</w:t>
      </w:r>
      <w:r>
        <w:rPr>
          <w:rStyle w:val="FootnoteAnchor"/>
          <w:rtl w:val="true"/>
        </w:rPr>
        <w:footnoteReference w:id="80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انجام چنين امورى سبب مى شود كه به مرور زمان، عملى كه سنت نيست، سنت تلقى شود</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چنين ديدگاهى نيز نادرست است؛ زيرا به جاى ترس از تبديل امور شخصى به سنت، بايد به ارشاد جاهلان پرداخت؛ به اين معنى كه افعال و رفتار افراد، تبديل به سنت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استدلالى، هرگز نبايد به انجام امور مطلق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نماز تراويح كه به اعتقاد اهل سنت به صورت جماعت و فرادا درست است، امروزه به صورت جماعت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استدلال، نماز تراويح به صورت جماعت بايد ترك شود تا مبادا جاهل احساس كند كه نماز تراويح در ماه رمضان، تنها به صورت جماعت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نمونه است تأكيد افراد بر نماز در مساجدى كه پيامبر گرامى اسلام صلى الله عليه و آله در آن ها نماز خوانده است؛ زيرا اين امر زيرمجموعه ى عموم دليلى قرار مى گيرد كه نماز در تمامى مساجد را جايز مى داند و فرد براى تبرك، اين مسجد خاص را انتخاب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 مسجد، نه به اين دليل است كه فرد قائل به وجود نص خاصى در اين زمينه است، بلكه به دليل ازدياد تبرك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با توجه به آن چه گفته شد، درمجموع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يكى از اركان بدعت، نبودن اصل يا عامى است كه عمل، به آن ارجاع داده شود؛ اما اگر اصل و عامى وجود داشته باشد، تمامى مصاديق، افراد و حالات را شامل مى شود و نمى توان ميان اقسام آن، بدون دليل تبعيض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قرائت قرآن مستحب است؛ حال اگر در حالت فردى باشد، يا به صورت هم خوانى اجرا شود، يا در مسجد قرائت شود يا در هر مكان ديگر، همه تحت عموم استحباب قرائت قرآن قرار مى گيرند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كه فرد زمان خاصى را براى انجام عملى برمى گزيند يا به صورت خاصى عملى را انجام مى دهد، به اين معنى نيست كه فاعل به وجوب يا استحباب چنين عملى در زمان يا هيأت خاصى اعتقاد دارد؛ بلكه چه بسا علل شخصى، مانند فراغت بيش تر در آن زمان و يا حالات روحى و روانى، وى را به اين اعمال در آن روز خاص واداشته است؛ بدون اين كه به استحباب يا وجوب عمل در آن زمان يا در آن شكل خاص اعتقاد داشته باشد</w:t>
      </w:r>
      <w:r>
        <w:rPr>
          <w:rFonts w:eastAsia="IRNazanin" w:cs="IRNazanin"/>
          <w:color w:val="111111"/>
          <w:sz w:val="28"/>
          <w:szCs w:val="28"/>
          <w:rtl w:val="true"/>
          <w:lang w:bidi="fa-IR"/>
        </w:rPr>
        <w:t>.</w:t>
      </w:r>
      <w:r>
        <w:rPr>
          <w:rStyle w:val="FootnoteAnchor"/>
          <w:rtl w:val="true"/>
        </w:rPr>
        <w:footnoteReference w:id="808"/>
      </w:r>
      <w:bookmarkStart w:id="637" w:name="pg15502_177435"/>
    </w:p>
    <w:p>
      <w:pPr>
        <w:pStyle w:val="Heading4"/>
        <w:numPr>
          <w:ilvl w:val="3"/>
          <w:numId w:val="1"/>
        </w:numPr>
        <w:rPr/>
      </w:pPr>
      <w:bookmarkStart w:id="638" w:name="__RefHeading___Toc8089254_2142443653"/>
      <w:bookmarkStart w:id="639" w:name="_Toc241"/>
      <w:bookmarkEnd w:id="637"/>
      <w:bookmarkEnd w:id="638"/>
      <w:r>
        <w:rPr/>
        <w:t>6</w:t>
      </w:r>
      <w:r>
        <w:rPr>
          <w:rtl w:val="true"/>
        </w:rPr>
        <w:t xml:space="preserve"> - </w:t>
      </w:r>
      <w:r>
        <w:rPr>
          <w:rtl w:val="true"/>
        </w:rPr>
        <w:t>ديدگاه عدم تقسيم</w:t>
      </w:r>
      <w:bookmarkEnd w:id="639"/>
    </w:p>
    <w:p>
      <w:pPr>
        <w:pStyle w:val="BookText"/>
        <w:rPr/>
      </w:pPr>
      <w:r>
        <w:rPr>
          <w:rFonts w:ascii="IRNazanin" w:hAnsi="IRNazanin" w:eastAsia="IRNazanin"/>
          <w:color w:val="111111"/>
          <w:sz w:val="28"/>
          <w:sz w:val="28"/>
          <w:szCs w:val="28"/>
          <w:rtl w:val="true"/>
          <w:lang w:bidi="fa-IR"/>
        </w:rPr>
        <w:t>در برابر ديدگاه تقسيم، طيف گسترده اى از انديشمندان اسلامى، اعم از شيعه و سنى، به عدم تقسيم بدعت اعتقاد دارند و معتقدند كه بدعت فقط بد است و بدعت خوب در حوزه ى شريعت،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بدعت اگر ناظر به معنى لغوى باشد، قابل تقسيم به خوب و بد و انواع ديگر است؛ اما بدعت شرعى قابل تقسيم نيست و نمى توان آن را به بدعت خوب و بد، يا واجب، مستحب، مكروه و حرام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ى شيخ جعفر باقرى، منشأ تقسيم بدعت، از نظر تاريخى به ابن اثير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بدعتِ تقسيم را به وجود آورد و برخى از اهل لغت به پى روى از او اين تقسيم را ذكر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تقسيم ابن اثير پى روى كردند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مهم ترين دليلى كه بر عدم امكان تقسيم دلالت مى كند، اطلاقاتى است كه در روايات درباره ى ضلالت بدعت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رواياتى كه به نكوهش بدعت مى پردازند، معمولاً به صورت عام و مطلق بيان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در حال خطبه خواندن، چشمانش قرمز گرديد و صدايش بلند شد و خشمش فزون گشت؛ گويى به لشكر هشدار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گفته ها، كتاب خدا و بهترين هدايت، هدايت محمد صلى الله عليه و آله است و بدترين امور، امور نو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جديدى بدعت است و هر بدعتى گمراهى است و هر گمراهى پايانش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نيز حديثى نقل مى كند كه پيامبر گرامى اسلام صلى الله عليه و آله فرمود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امور ما امر جديدى اضافه كند كه در آن نيست، مردود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در توضيح اين سخن پيامبر گرامى اسلام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باطلى است و بدعت عبارت است از قول يا فعل يا رأيى كه در دين وارد شده است و هيچ دليل خصوصى يا عمومى در شرع براى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قطعاً حرام است و افترا به خدا و رسول مى باشد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محدث قمى نيز از اين حديث پيامبر گرامى اسلام صلى الله عليه و آله استفاده ى عموم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جاكه بدعت جز بر امر محرم اطلاق نمى شود، پيامبر گرامى اسلام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بدعة ضلالة، وكل ضلالة سبيلها الى النار</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شهيد اول نيز پس از آن كه امور حادث پس از پيامبر گرامى اسلام صلى الله عليه و آله را به انواعى تقسيم مى كند،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ما، نام بدعت فقط بر محرمات آن ها اطلاق مى شود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ابن رجب، اطلاق اين حديث را مى پذيرد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چيزى در دين زياد كند و آن را به دين نسبت دهد و آن امر، اصلى در دين نداشته باشد كه به آن بازگردد، گمراهى است و دين از آن بيزار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جميل زينو، دليل مذموم بودن مطلق بدعت را آيه ى زير 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كامل، و نعمتم را بر شما تمام كردم و دين اسلام را براى شما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آيه ى شريفه، خداوند توسط پيامبر گرامى اسلام صلى الله عليه و آله همه ى ابعاد و زواياى دين را براى انسان ها كامل كرده است و هرگونه دخل و تصرف در دين، بدعت شمرده شده و مخالف با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عقلى نيز بدعت يعنى تشريع احكام و امورى كه خداوند آن را تشريع نكرده است و اين، تقابل تشريع بشرى با تشريع الهى است و چنين امرى، بى شك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ابواسحاق شاطبى</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بدعت، نوعى كنار نهادن شريعت و تضاد با آن است و چنين چيزى، هرگز به دو دسته ى حَسَن و قبيح تقسيم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ممكن است ستيزه جويى با شرع، امرى نيكو و پسنديده تلقى شود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ازسوى ديگر، اعتقاد به بدعت هاى حسن، پى آمدهاى ناگوار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بدعت حسن نشانگر اين است كه دين نواقصى داشته است كه بدعت حسن، آن نواقص را رفع مى كند و يا پيامبر گرامى اسلام صلى الله عليه و آله حقايقى را از بشر كتمان كرده است كه بشر با بدعت هاى حسن، اين حقايق را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هيچ مسلمانى چنين پى آمدهايى را نمى پذيرد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متأسفانه در طول تاريخ پرافت وخيز اسلام، از همان سال هاى نخستين پس از رحلت پيامبر گرامى اسلام صلى الله عليه و آله بدعت هاى مختلفى در جهان اسلام به وجود آمد كه برخى نه تنها افزودن به دين بود، بلكه گاه نصوص صريحى برخلاف آن 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عبدالحسين شرف الدين بسيارى از آن ها را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bookmarkStart w:id="640" w:name="pg15502_177438"/>
    </w:p>
    <w:p>
      <w:pPr>
        <w:pStyle w:val="Heading3"/>
        <w:numPr>
          <w:ilvl w:val="2"/>
          <w:numId w:val="1"/>
        </w:numPr>
        <w:rPr/>
      </w:pPr>
      <w:bookmarkStart w:id="641" w:name="__RefHeading___Toc8089256_2142443653"/>
      <w:bookmarkStart w:id="642" w:name="_Toc242"/>
      <w:bookmarkEnd w:id="640"/>
      <w:bookmarkEnd w:id="641"/>
      <w:r>
        <w:rPr>
          <w:rtl w:val="true"/>
        </w:rPr>
        <w:t>فصل هجدهم</w:t>
      </w:r>
      <w:r>
        <w:rPr>
          <w:rtl w:val="true"/>
        </w:rPr>
        <w:t xml:space="preserve">: </w:t>
      </w:r>
      <w:r>
        <w:rPr>
          <w:rtl w:val="true"/>
        </w:rPr>
        <w:t>بدعت در انديشه ى وهابيت</w:t>
      </w:r>
      <w:bookmarkEnd w:id="64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3" w:name="__RefHeading___Toc8089258_2142443653"/>
      <w:bookmarkStart w:id="644" w:name="_Toc243"/>
      <w:bookmarkEnd w:id="643"/>
      <w:r>
        <w:rPr>
          <w:rtl w:val="true"/>
        </w:rPr>
        <w:t>اشاره</w:t>
      </w:r>
      <w:bookmarkStart w:id="645" w:name="pg15502_177440"/>
      <w:bookmarkEnd w:id="644"/>
    </w:p>
    <w:p>
      <w:pPr>
        <w:pStyle w:val="Heading4"/>
        <w:numPr>
          <w:ilvl w:val="3"/>
          <w:numId w:val="1"/>
        </w:numPr>
        <w:rPr/>
      </w:pPr>
      <w:bookmarkStart w:id="646" w:name="__RefHeading___Toc8089260_2142443653"/>
      <w:bookmarkStart w:id="647" w:name="_Toc244"/>
      <w:bookmarkEnd w:id="645"/>
      <w:bookmarkEnd w:id="646"/>
      <w:r>
        <w:rPr/>
        <w:t>1</w:t>
      </w:r>
      <w:r>
        <w:rPr>
          <w:rtl w:val="true"/>
        </w:rPr>
        <w:t xml:space="preserve"> - </w:t>
      </w:r>
      <w:r>
        <w:rPr>
          <w:rtl w:val="true"/>
        </w:rPr>
        <w:t>مقدمه</w:t>
      </w:r>
      <w:bookmarkEnd w:id="647"/>
    </w:p>
    <w:p>
      <w:pPr>
        <w:pStyle w:val="BookText"/>
        <w:rPr/>
      </w:pPr>
      <w:r>
        <w:rPr>
          <w:rFonts w:ascii="IRNazanin" w:hAnsi="IRNazanin" w:eastAsia="IRNazanin"/>
          <w:color w:val="111111"/>
          <w:sz w:val="28"/>
          <w:sz w:val="28"/>
          <w:szCs w:val="28"/>
          <w:rtl w:val="true"/>
          <w:lang w:bidi="fa-IR"/>
        </w:rPr>
        <w:t>در فصل هاى گذشته، ضمن بررسى ديدگاه مسلمانان درباره ى بدعت، به مهم ترين اختلاف آنان، يعنى مسأله ى قابليت تقسيم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ى قابل توجه در اين جا اين است كه اين اختلافات هرگز موجب تكفير و مباح شمردن خون مخالفان، و نيز بدعت شمردن ارزش ها و هنجارهاى اسلامى توسط فرق و مذاهب اسلامى نشده است؛ بلكه در نهايت موجب شده است برخى با تقسيم بدعت به خوب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تقسيم لغوىِ بدعت ريشه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را كه توسط مسلمانان انجام مى شود، بدعت خوب بنامند؛ اما ديگران، همين اعمال را به دليل داشتن اصل و ريشه در شريعت، بدعت نمى شمرند، بلكه آن ها را در ذيل سنت قرار مى دهند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قرائت وهابى از بدعت، به گونه اى است كه همين اعمال و انديشه هاى اسلامى را بدعت مى شمارد و به همين بهانه، خون و مال مسلمانان را لگدمال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امورى همچون مولد النبى، صلوات پس از شنيدن نام پيامبر گرامى اسلام صلى الله عليه و آله، دعا بعد از اذان، ساخت بنا بر روى قبور، خواندن قرآن در مراسم سوگوارى، بزرگ داشت مواليد بزرگان دين و سوگوارى براى شهادت يا درگذشت آنان را بدعت شمرده اند</w:t>
      </w:r>
      <w:r>
        <w:rPr>
          <w:rFonts w:eastAsia="IRNazanin" w:cs="IRNazanin"/>
          <w:color w:val="111111"/>
          <w:sz w:val="28"/>
          <w:szCs w:val="28"/>
          <w:rtl w:val="true"/>
          <w:lang w:bidi="fa-IR"/>
        </w:rPr>
        <w:t>.</w:t>
      </w:r>
      <w:bookmarkStart w:id="648" w:name="pg15502_177441"/>
    </w:p>
    <w:p>
      <w:pPr>
        <w:pStyle w:val="Heading4"/>
        <w:numPr>
          <w:ilvl w:val="3"/>
          <w:numId w:val="1"/>
        </w:numPr>
        <w:rPr/>
      </w:pPr>
      <w:bookmarkStart w:id="649" w:name="__RefHeading___Toc8089262_2142443653"/>
      <w:bookmarkStart w:id="650" w:name="_Toc245"/>
      <w:bookmarkEnd w:id="648"/>
      <w:bookmarkEnd w:id="649"/>
      <w:r>
        <w:rPr/>
        <w:t>2</w:t>
      </w:r>
      <w:r>
        <w:rPr>
          <w:rtl w:val="true"/>
        </w:rPr>
        <w:t xml:space="preserve"> - </w:t>
      </w:r>
      <w:r>
        <w:rPr>
          <w:rtl w:val="true"/>
        </w:rPr>
        <w:t>مبانى وهابيت و بدعت</w:t>
      </w:r>
      <w:bookmarkEnd w:id="650"/>
    </w:p>
    <w:p>
      <w:pPr>
        <w:pStyle w:val="Heading5"/>
        <w:numPr>
          <w:ilvl w:val="4"/>
          <w:numId w:val="1"/>
        </w:numPr>
        <w:rPr/>
      </w:pPr>
      <w:bookmarkStart w:id="651" w:name="__RefHeading___Toc8089264_2142443653"/>
      <w:bookmarkStart w:id="652" w:name="_Toc246"/>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ديدگاه وهابيت پيرامون بدعت، برآيندى از مبانى روش شناختى و معنى شناسى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وهابيت در اين دو عرصه موجب شده است كه قرائت و تفسير وهابى از مفهوم بدعت، قرائتى غيراسلامى و افراطى باشد</w:t>
      </w:r>
      <w:r>
        <w:rPr>
          <w:rFonts w:eastAsia="IRNazanin" w:cs="IRNazanin"/>
          <w:color w:val="111111"/>
          <w:sz w:val="28"/>
          <w:szCs w:val="28"/>
          <w:rtl w:val="true"/>
          <w:lang w:bidi="fa-IR"/>
        </w:rPr>
        <w:t>.</w:t>
      </w:r>
    </w:p>
    <w:p>
      <w:pPr>
        <w:pStyle w:val="Heading5"/>
        <w:numPr>
          <w:ilvl w:val="4"/>
          <w:numId w:val="1"/>
        </w:numPr>
        <w:rPr/>
      </w:pPr>
      <w:bookmarkStart w:id="653" w:name="__RefHeading___Toc8089266_2142443653"/>
      <w:bookmarkStart w:id="654" w:name="_Toc247"/>
      <w:bookmarkEnd w:id="653"/>
      <w:r>
        <w:rPr/>
        <w:t>1</w:t>
      </w:r>
      <w:r>
        <w:rPr>
          <w:rtl w:val="true"/>
        </w:rPr>
        <w:t>‏-‏</w:t>
      </w:r>
      <w:r>
        <w:rPr/>
        <w:t>2</w:t>
      </w:r>
      <w:r>
        <w:rPr>
          <w:rtl w:val="true"/>
        </w:rPr>
        <w:t xml:space="preserve"> - </w:t>
      </w:r>
      <w:r>
        <w:rPr>
          <w:rtl w:val="true"/>
        </w:rPr>
        <w:t>روش شناسى وهابى</w:t>
      </w:r>
      <w:bookmarkEnd w:id="654"/>
    </w:p>
    <w:p>
      <w:pPr>
        <w:pStyle w:val="BookText"/>
        <w:rPr/>
      </w:pPr>
      <w:r>
        <w:rPr>
          <w:rFonts w:ascii="IRNazanin" w:hAnsi="IRNazanin" w:eastAsia="IRNazanin"/>
          <w:color w:val="111111"/>
          <w:sz w:val="28"/>
          <w:sz w:val="28"/>
          <w:szCs w:val="28"/>
          <w:rtl w:val="true"/>
          <w:lang w:bidi="fa-IR"/>
        </w:rPr>
        <w:t>در گذشته گفته شد كه وهابيان در حوزه ى روش شناسى، نقل گرا هستند؛</w:t>
      </w:r>
      <w:r>
        <w:rPr>
          <w:rStyle w:val="FootnoteAnchor"/>
          <w:rtl w:val="true"/>
        </w:rPr>
        <w:footnoteReference w:id="816"/>
      </w:r>
      <w:r>
        <w:rPr>
          <w:rFonts w:ascii="IRNazanin" w:hAnsi="IRNazanin" w:eastAsia="IRNazanin"/>
          <w:color w:val="111111"/>
          <w:sz w:val="28"/>
          <w:sz w:val="28"/>
          <w:szCs w:val="28"/>
          <w:rtl w:val="true"/>
          <w:lang w:bidi="fa-IR"/>
        </w:rPr>
        <w:t>يعنى به جاى تكيه بر عقل و نقل در كنار يك ديگر، صرفاً بر نقل تكيه مى كنند و تنها امورى را مى پذيرند كه مستند نقلى مستقيمى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رويكردى، تأثيرى عميق بر نگاه آنان به بدعت به وجود آورده است؛ بدين گونه كه آنان مسائلى را كه حكم مستقيم در شريعت ندارند، اما حكم آن ها به صورت كلى در شريعت تأييد شده است، به اين دليل كه در منابع نقلى يا سيره ى پيامبر گرامى اسلام صلى الله عليه و آله و سه قرن نخستين اسلام وجود ندارد، بدعت و از محدوده ى شريعت خارج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تنها امورى مشروعيت دارند كه در منابع منقول ذكر شده باشند و هر عمل يا انديشه اى كه مستقيماً در كتاب، سنت و آثار نيامده باشد، مشروعيت ندارد؛ هرچند حكم آن به صورت عام يا مطلق در منابع دينى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رويكردى، در نقل گرايى مفرط آنان و دورى از عقل و خردورزى ريشه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آمد مهم ديگر نقل گرايى و حديث گرايى افراطى، سلف گرايى افراطى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عقل در استنباط، و نيز نگاه به گذشته، سبب شده است كه آنان صرفاً صورت ظاهر اعمالى را كه توسط سلف انجام شده است، مشروع بشمارند و ديگر به اطلاقات</w:t>
      </w:r>
      <w:bookmarkStart w:id="655" w:name="pg15502_177442"/>
    </w:p>
    <w:p>
      <w:pPr>
        <w:pStyle w:val="BookText"/>
        <w:rPr/>
      </w:pPr>
      <w:bookmarkEnd w:id="655"/>
      <w:r>
        <w:rPr>
          <w:rFonts w:ascii="IRNazanin" w:hAnsi="IRNazanin" w:eastAsia="IRNazanin"/>
          <w:color w:val="111111"/>
          <w:sz w:val="28"/>
          <w:sz w:val="28"/>
          <w:szCs w:val="28"/>
          <w:rtl w:val="true"/>
          <w:lang w:bidi="fa-IR"/>
        </w:rPr>
        <w:t>و عمومات توجهى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گاه در ميان فتاواى ايشان، نظراتى بسيار سخيف ديده مى شود و تنها مستند آنان اين است كه اين اعمال يا اشيا در زمان صحابه، تابعين و تابعين تابعين انجام نشده يا وجود نداشته اند؛ فتاوايى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استفاده از پنكه، اتومبيل و تلگراف، و يا انجام امورى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النبى و دعا بر پيامبر بعد از اذان</w:t>
      </w:r>
      <w:r>
        <w:rPr>
          <w:rFonts w:eastAsia="IRNazanin" w:cs="IRNazanin"/>
          <w:color w:val="111111"/>
          <w:sz w:val="28"/>
          <w:szCs w:val="28"/>
          <w:rtl w:val="true"/>
          <w:lang w:bidi="fa-IR"/>
        </w:rPr>
        <w:t>.</w:t>
      </w:r>
      <w:r>
        <w:rPr>
          <w:rStyle w:val="FootnoteAnchor"/>
          <w:rtl w:val="true"/>
        </w:rPr>
        <w:footnoteReference w:id="817"/>
      </w:r>
    </w:p>
    <w:p>
      <w:pPr>
        <w:pStyle w:val="Heading5"/>
        <w:numPr>
          <w:ilvl w:val="4"/>
          <w:numId w:val="1"/>
        </w:numPr>
        <w:rPr/>
      </w:pPr>
      <w:bookmarkStart w:id="656" w:name="__RefHeading___Toc8089268_2142443653"/>
      <w:bookmarkStart w:id="657" w:name="_Toc248"/>
      <w:bookmarkEnd w:id="656"/>
      <w:r>
        <w:rPr/>
        <w:t>2</w:t>
      </w:r>
      <w:r>
        <w:rPr>
          <w:rtl w:val="true"/>
        </w:rPr>
        <w:t>‏-‏</w:t>
      </w:r>
      <w:r>
        <w:rPr/>
        <w:t>2</w:t>
      </w:r>
      <w:r>
        <w:rPr>
          <w:rtl w:val="true"/>
        </w:rPr>
        <w:t xml:space="preserve"> - </w:t>
      </w:r>
      <w:r>
        <w:rPr>
          <w:rtl w:val="true"/>
        </w:rPr>
        <w:t>معنى شناسى وهابى</w:t>
      </w:r>
      <w:bookmarkEnd w:id="657"/>
    </w:p>
    <w:p>
      <w:pPr>
        <w:pStyle w:val="BookText"/>
        <w:rPr/>
      </w:pPr>
      <w:r>
        <w:rPr>
          <w:rFonts w:ascii="IRNazanin" w:hAnsi="IRNazanin" w:eastAsia="IRNazanin"/>
          <w:color w:val="111111"/>
          <w:sz w:val="28"/>
          <w:sz w:val="28"/>
          <w:szCs w:val="28"/>
          <w:rtl w:val="true"/>
          <w:lang w:bidi="fa-IR"/>
        </w:rPr>
        <w:t>از سوى ديگر، وهابيان در حوزه ى معنى شناسى، به ظاهرگرايى اعتقاد دارند</w:t>
      </w:r>
      <w:r>
        <w:rPr>
          <w:rStyle w:val="FootnoteAnchor"/>
          <w:rtl w:val="true"/>
        </w:rPr>
        <w:footnoteReference w:id="818"/>
      </w:r>
      <w:r>
        <w:rPr>
          <w:rFonts w:ascii="IRNazanin" w:hAnsi="IRNazanin" w:eastAsia="IRNazanin"/>
          <w:color w:val="111111"/>
          <w:sz w:val="28"/>
          <w:sz w:val="28"/>
          <w:szCs w:val="28"/>
          <w:rtl w:val="true"/>
          <w:lang w:bidi="fa-IR"/>
        </w:rPr>
        <w:t>و بنابراين، مَجاز و تأويل در آيات و روايات را برنمى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ظاهرگرايانه ى آن ها نه تنها در حوزه ى صفات خبرى، آنان را به گرداب تجسيم و تشبيه فرو برده است،</w:t>
      </w:r>
      <w:r>
        <w:rPr>
          <w:rStyle w:val="FootnoteAnchor"/>
          <w:rtl w:val="true"/>
        </w:rPr>
        <w:footnoteReference w:id="819"/>
      </w:r>
      <w:r>
        <w:rPr>
          <w:rFonts w:ascii="IRNazanin" w:hAnsi="IRNazanin" w:eastAsia="IRNazanin"/>
          <w:color w:val="111111"/>
          <w:sz w:val="28"/>
          <w:sz w:val="28"/>
          <w:szCs w:val="28"/>
          <w:rtl w:val="true"/>
          <w:lang w:bidi="fa-IR"/>
        </w:rPr>
        <w:t>بلكه به صورت غيرمستقيم، بر قرائت وهابى از بدعت نيز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ظاهرگرايانه به اعمال و آموزه هاى دينى، آنان را از مصاديق مختلف عمومات و اطلاقات غافل كرده و موجب شده است كه ايشان تنها مصاديقى را به رسميت بشناسند كه در سده هاى نخستين اسلام وجود داشته يا انجام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افعالى مانند مولد النبى، با اين كه مشمول حكم عام محبت به پيامبر گرامى اسلام صلى الله عليه و آله مى شود، چون از نظر ظاهرى توسط صحابه، تابعين و تابعين تابعين انجام نشده اند، مشروعيت ندارند و خارج از حريم دين به شمار مى روند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درمجموع، نگاه ظاهرگرايانه و نقل گرايانه اى كه حديث گرايى افراطى را به دنبال دارد، شرايط را براى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كرده است</w:t>
      </w:r>
      <w:r>
        <w:rPr>
          <w:rFonts w:eastAsia="IRNazanin" w:cs="IRNazanin"/>
          <w:color w:val="111111"/>
          <w:sz w:val="28"/>
          <w:szCs w:val="28"/>
          <w:rtl w:val="true"/>
          <w:lang w:bidi="fa-IR"/>
        </w:rPr>
        <w:t>.</w:t>
      </w:r>
      <w:bookmarkStart w:id="658" w:name="pg15502_177443"/>
    </w:p>
    <w:p>
      <w:pPr>
        <w:pStyle w:val="Heading4"/>
        <w:numPr>
          <w:ilvl w:val="3"/>
          <w:numId w:val="1"/>
        </w:numPr>
        <w:rPr/>
      </w:pPr>
      <w:bookmarkStart w:id="659" w:name="__RefHeading___Toc8089270_2142443653"/>
      <w:bookmarkStart w:id="660" w:name="_Toc249"/>
      <w:bookmarkEnd w:id="658"/>
      <w:bookmarkEnd w:id="659"/>
      <w:r>
        <w:rPr/>
        <w:t>3</w:t>
      </w:r>
      <w:r>
        <w:rPr>
          <w:rtl w:val="true"/>
        </w:rPr>
        <w:t xml:space="preserve"> - </w:t>
      </w:r>
      <w:r>
        <w:rPr>
          <w:rtl w:val="true"/>
        </w:rPr>
        <w:t xml:space="preserve">گسترش منابع تشريع </w:t>
      </w:r>
      <w:r>
        <w:rPr>
          <w:rtl w:val="true"/>
        </w:rPr>
        <w:t>(</w:t>
      </w:r>
      <w:r>
        <w:rPr>
          <w:rtl w:val="true"/>
        </w:rPr>
        <w:t>بدعت در بدعت</w:t>
      </w:r>
      <w:r>
        <w:rPr>
          <w:rtl w:val="true"/>
        </w:rPr>
        <w:t>)</w:t>
      </w:r>
      <w:bookmarkEnd w:id="660"/>
    </w:p>
    <w:p>
      <w:pPr>
        <w:pStyle w:val="BookText"/>
        <w:rPr/>
      </w:pPr>
      <w:r>
        <w:rPr>
          <w:rFonts w:ascii="IRNazanin" w:hAnsi="IRNazanin" w:eastAsia="IRNazanin"/>
          <w:color w:val="111111"/>
          <w:sz w:val="28"/>
          <w:sz w:val="28"/>
          <w:szCs w:val="28"/>
          <w:rtl w:val="true"/>
          <w:lang w:bidi="fa-IR"/>
        </w:rPr>
        <w:t>همان گونه كه گفته شد، يكى از نتايج و پى آمدهاى نقل گرايى و حديث گرايى مفرط، سلف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به دليل توجه بيش از اندازه به سلف، تا آن جا پيش رفته اند كه سلف را يكى از منابع تشريع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تكيه بر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القرون قرنى ثم الذين يلونهم ثم الذين يلونهم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منابع تشريع را گسترش داده و سه قرن نخستين اسلام را نيز قادر به تشريع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ديدگاهى سبب شده است كه آنان هر عمل يا انديشه اى را كه از نظر شكلى و ظاهرى جديد است، به اين دليل كه در سه قرن نخست اسلام سابقه ندارد، بدعت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كه در انديشه ى ابن تيميه ريشه دارد، مقام مردمان سه قرن اوليه ى اسلام را تا آن جا بالا مى برد كه اعمال و رفتارشان، سنت شمرده مى شود و در كناركتاب و سنت، سنت سلف را نيز به منزله ى منابع دين ذكرمى كند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هاى گذشته گفته شد دليلى كه ابن تيميه بر عدم جواز تأويل در صفات خبرى مى آورد، سكوت صحابه، تابعين و تابعين تابعين درباره ى تأويل آيات و روايات مربوط به صفات 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پى آمد مهمى مانند فرورفتن در گرداب تشبيه و تجسيم، وى را از چنين ديدگاهى باز نمى دارد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معتقد است كه اسلام واقعى، بازگشت به رفتار، افكار و گفته هاى مسلمانان سه قرن نخست اسلام است</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چنين ديدگاهى با نظريه كامل بودن دين اسلام نيز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گذشته نيز آيات ديگرى بيان شد كه نشانگر اكمال دين و وجود همه ى نيازهاى انسان در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به خوبى نشان مى دهند كه اسلام دين كاملى است و همه ى نيازهاى انسان تا روز قيامت در كتاب و سنت آورده شده است</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بنابراين، نه نيازى است و نه كسى به جز خدا حق دارد، چيزى بر دين بيفزايد يا از آن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پيامبر گرامى اسلام صلى الله عليه و آله نيز مستقلاً چنين حقى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يَكُونُ لِي أَنْ أُبَدِّلَهُ مِنْ تِلْقٰاءِ نَفْسِي إِنْ أَتَّبِعُ إِلاّٰ مٰا يُوحىٰ إِلَيَّ إِنِّي أَخٰافُ إِنْ عَصَيْتُ رَبِّي عَذٰابَ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نرسد كه از پيش خود قرآن را تبديل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 چه را كه به من وحى مى شود، پى روى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پروردگارم نافرمانى كنم، از عذاب روز بزرگ قيامت سخت مى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 كه پيامبر گرامى اسلام صلى الله عليه و آله بدون اذن الهى توانايى كاستن يا افزودن بر دين را ندارد، چه گونه صحابه، تابعين و تابعين تابعين چنين قدرتى را دارند؟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شوكانى در اين زمينه مى گويد</w:t>
      </w:r>
      <w:r>
        <w:rPr>
          <w:rFonts w:eastAsia="IRNazanin" w:cs="IRNazanin"/>
          <w:color w:val="111111"/>
          <w:sz w:val="28"/>
          <w:szCs w:val="28"/>
          <w:rtl w:val="true"/>
          <w:lang w:bidi="fa-IR"/>
        </w:rPr>
        <w:t>:</w:t>
      </w:r>
      <w:bookmarkStart w:id="661" w:name="pg15502_177445"/>
    </w:p>
    <w:p>
      <w:pPr>
        <w:pStyle w:val="BookText"/>
        <w:rPr/>
      </w:pPr>
      <w:bookmarkEnd w:id="6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اين است كه گفته ى صحابى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جز پيامبر گرامى اسلام صلى الله عليه و آله كسى را بر امت مبعوث نكرد و ما جز پيامبر و كتاب خدا، پيامبر و كتابى نداريم و تمامى امت مأمورند كه كتاب و سنت پيامبر را پى روى كنند و پيامبر ما در اين زمينه ميان صحابه و افرادِ پس از آنان فرقى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مسلمانان مكلف به تكاليف شرعى هستند و بايد از كتاب و سنت پى روى كنند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بنابراين، اگر سلف رفتارى انجام دهند كه تحت شمول عمومات و اطلاقات باشد، بدعت شمرده نمى شود؛ و اگر عملى را انجام دهند كه نه مبتنى بر نص باشد و نه اطلاقات آن را دربرگيرند، چنين عملى بى شك بدعت است و هيچ تفاوتى ميان سلف و خلف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بسيارى از بزرگان اهل سنت نيز سنت صحابه، تابعين و تابعين تابعين را نپذيرفته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هايى همانند احمدبن حنبل در روايتى، آمدى،</w:t>
      </w:r>
      <w:r>
        <w:rPr>
          <w:rStyle w:val="FootnoteAnchor"/>
          <w:rtl w:val="true"/>
        </w:rPr>
        <w:footnoteReference w:id="825"/>
      </w:r>
      <w:r>
        <w:rPr>
          <w:rFonts w:ascii="IRNazanin" w:hAnsi="IRNazanin" w:eastAsia="IRNazanin"/>
          <w:color w:val="111111"/>
          <w:sz w:val="28"/>
          <w:sz w:val="28"/>
          <w:szCs w:val="28"/>
          <w:rtl w:val="true"/>
          <w:lang w:bidi="fa-IR"/>
        </w:rPr>
        <w:t>ابن حزم،</w:t>
      </w:r>
      <w:r>
        <w:rPr>
          <w:rStyle w:val="FootnoteAnchor"/>
          <w:rtl w:val="true"/>
        </w:rPr>
        <w:footnoteReference w:id="826"/>
      </w:r>
      <w:r>
        <w:rPr>
          <w:rFonts w:ascii="Amiri" w:hAnsi="Amiri" w:eastAsia="Amiri" w:cs="Amiri"/>
          <w:color w:val="111111"/>
          <w:sz w:val="28"/>
          <w:sz w:val="28"/>
          <w:szCs w:val="28"/>
          <w:rtl w:val="true"/>
          <w:lang w:bidi="ar-SA"/>
        </w:rPr>
        <w:t>نظريه ى متأخر شافعى و بيش تر شافعيان،</w:t>
      </w:r>
      <w:r>
        <w:rPr>
          <w:rStyle w:val="FootnoteAnchor"/>
          <w:rtl w:val="true"/>
        </w:rPr>
        <w:footnoteReference w:id="827"/>
      </w:r>
      <w:r>
        <w:rPr>
          <w:rFonts w:ascii="IRNazanin" w:hAnsi="IRNazanin" w:eastAsia="IRNazanin"/>
          <w:color w:val="111111"/>
          <w:sz w:val="28"/>
          <w:sz w:val="28"/>
          <w:szCs w:val="28"/>
          <w:rtl w:val="true"/>
          <w:lang w:bidi="fa-IR"/>
        </w:rPr>
        <w:t>و غزالى</w:t>
      </w:r>
      <w:r>
        <w:rPr>
          <w:rStyle w:val="FootnoteAnchor"/>
          <w:rtl w:val="true"/>
        </w:rPr>
        <w:footnoteReference w:id="828"/>
      </w:r>
      <w:r>
        <w:rPr>
          <w:rFonts w:ascii="Amiri" w:hAnsi="Amiri" w:eastAsia="Amiri" w:cs="Amiri"/>
          <w:color w:val="111111"/>
          <w:sz w:val="28"/>
          <w:sz w:val="28"/>
          <w:szCs w:val="28"/>
          <w:rtl w:val="true"/>
          <w:lang w:bidi="ar-SA"/>
        </w:rPr>
        <w:t>از اين جمله اند</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8089272_2142443653"/>
      <w:bookmarkStart w:id="663" w:name="_Toc250"/>
      <w:bookmarkEnd w:id="662"/>
      <w:r>
        <w:rPr/>
        <w:t>4</w:t>
      </w:r>
      <w:r>
        <w:rPr>
          <w:rtl w:val="true"/>
        </w:rPr>
        <w:t xml:space="preserve"> - </w:t>
      </w:r>
      <w:r>
        <w:rPr>
          <w:rtl w:val="true"/>
        </w:rPr>
        <w:t>بدعت از ديدگاه وهابيت</w:t>
      </w:r>
      <w:bookmarkEnd w:id="66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گفته شد، بدعت وهابى آميزه اى از مبانى روش شناسى، معنى شناسى و سلف گرايى افراطى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فضايى سبب شده است كه بدعت وهابى داراى ويژگى ها و شرايطى باشد كه در پى مى آيد</w:t>
      </w:r>
      <w:r>
        <w:rPr>
          <w:rFonts w:eastAsia="IRNazanin" w:cs="IRNazanin"/>
          <w:color w:val="111111"/>
          <w:sz w:val="28"/>
          <w:szCs w:val="28"/>
          <w:rtl w:val="true"/>
          <w:lang w:bidi="fa-IR"/>
        </w:rPr>
        <w:t>:</w:t>
      </w:r>
    </w:p>
    <w:p>
      <w:pPr>
        <w:pStyle w:val="BookText"/>
        <w:rPr/>
      </w:pPr>
      <w:r>
        <w:rPr>
          <w:rStyle w:val="FootnoteAnchor"/>
          <w:rtl w:val="true"/>
        </w:rPr>
        <w:footnoteReference w:id="829"/>
      </w:r>
      <w:r>
        <w:rPr>
          <w:rFonts w:ascii="IRNazanin" w:hAnsi="IRNazanin" w:eastAsia="IRNazanin"/>
          <w:color w:val="111111"/>
          <w:sz w:val="28"/>
          <w:sz w:val="28"/>
          <w:szCs w:val="28"/>
          <w:rtl w:val="true"/>
          <w:lang w:bidi="fa-IR"/>
        </w:rPr>
        <w:t>وهابيان به سبب ظاهرگرايى و نقل گرايى مفرط، اطلاقات و عمومات را برنمى تابند و شموليت آن ها را قبول ندارند؛ ازاين رو نگاهى كاملاً بسته و محدود به آموزه هاى دينى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نظر مذاهب اسلامى ديگر، بدعت، عمل يا انديشه اى است كه اصلى در دين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بسيارى از اهل سنت پا را از اين فراتر گذاشته اند و بدعت را به خوب و بد تقسيم مى كنند؛ به اين معنى كه اگر امرى ذاتاً خوب باشد، حتى اگر مستقيماً اصلى آن را حمايت نكند، بدعت خوب شمرده مى شود كه اين مورد پذيرش شيعه نيست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دليل سلف گرايى مفرط، منابع تشريع را گسترش داده اند و به جز خدا و رسول، مسلمانان سه قرن نخست اسلام را نيز متولى تشريع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خود بدعتى در دين است كه هيچ عامى متكفل آن نيست و در مقابل، آيات، روايات و عقل، آن را نفى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ايجاد بدعت در دين، حرمت است و موجب تكفير و اباحه ى خون و مال نمى شود؛ اما وهابيان به بهانه ى بدعت در دين، خون و مال مسلمانان را مباح شمرده و در طول تاريخ به كشتار آنان پرداخته اند كه چنين رويكردى، در ميان هيچ يك از مذاهب اسلامى ديده نمى 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با توجه به قرائت وهابى از بدعت، بسيارى از اعمال و رفتار پسنديده ى مسلمانان را بدعت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اعمالى هم چون بزرگ داشت ولادت پيامبر گرامى اسلام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صلوات فرستادن هنگامى كه در اذان به رسالت آن حضرت شهادت داده مى شود، دعا بعد از اذان، صلوات جمعى بر پيامبر گرامى اسلام صلى الله عليه و آله، قرآن خواندن در مراسم ختم و سوگوارى، و ساخت بنا بر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و گل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w:t>
      </w:r>
      <w:bookmarkStart w:id="664" w:name="pg15502_177447"/>
    </w:p>
    <w:p>
      <w:pPr>
        <w:pStyle w:val="BookText"/>
        <w:rPr/>
      </w:pPr>
      <w:bookmarkEnd w:id="664"/>
      <w:r>
        <w:rPr>
          <w:rFonts w:ascii="IRNazanin" w:hAnsi="IRNazanin" w:eastAsia="IRNazanin"/>
          <w:color w:val="111111"/>
          <w:sz w:val="28"/>
          <w:sz w:val="28"/>
          <w:szCs w:val="28"/>
          <w:rtl w:val="true"/>
          <w:lang w:bidi="fa-IR"/>
        </w:rPr>
        <w:t>رديف بدعت قرار مى گيرند؛</w:t>
      </w:r>
      <w:r>
        <w:rPr>
          <w:rStyle w:val="FootnoteAnchor"/>
          <w:rtl w:val="true"/>
        </w:rPr>
        <w:footnoteReference w:id="830"/>
      </w:r>
      <w:r>
        <w:rPr>
          <w:rFonts w:ascii="IRNazanin" w:hAnsi="IRNazanin" w:eastAsia="IRNazanin"/>
          <w:color w:val="111111"/>
          <w:sz w:val="28"/>
          <w:sz w:val="28"/>
          <w:szCs w:val="28"/>
          <w:rtl w:val="true"/>
          <w:lang w:bidi="fa-IR"/>
        </w:rPr>
        <w:t>درحالى كه با توجه به مبانى اسلامى در زمينه ى بدعت، چنين ديدگاهى كاملاً برخلاف انديشه ى اسلامى است</w:t>
      </w:r>
      <w:r>
        <w:rPr>
          <w:rFonts w:eastAsia="IRNazanin" w:cs="IRNazanin"/>
          <w:color w:val="111111"/>
          <w:sz w:val="28"/>
          <w:szCs w:val="28"/>
          <w:rtl w:val="true"/>
          <w:lang w:bidi="fa-IR"/>
        </w:rPr>
        <w:t>.</w:t>
      </w:r>
    </w:p>
    <w:p>
      <w:pPr>
        <w:pStyle w:val="Heading4"/>
        <w:numPr>
          <w:ilvl w:val="3"/>
          <w:numId w:val="1"/>
        </w:numPr>
        <w:rPr/>
      </w:pPr>
      <w:bookmarkStart w:id="665" w:name="__RefHeading___Toc8089274_2142443653"/>
      <w:bookmarkStart w:id="666" w:name="_Toc251"/>
      <w:bookmarkEnd w:id="665"/>
      <w:r>
        <w:rPr/>
        <w:t>5</w:t>
      </w:r>
      <w:r>
        <w:rPr>
          <w:rtl w:val="true"/>
        </w:rPr>
        <w:t xml:space="preserve"> - </w:t>
      </w:r>
      <w:r>
        <w:rPr>
          <w:rtl w:val="true"/>
        </w:rPr>
        <w:t>وهابيان و بدعت در امور غيردينى</w:t>
      </w:r>
      <w:bookmarkEnd w:id="666"/>
    </w:p>
    <w:p>
      <w:pPr>
        <w:pStyle w:val="BookText"/>
        <w:rPr/>
      </w:pPr>
      <w:r>
        <w:rPr>
          <w:rFonts w:ascii="IRNazanin" w:hAnsi="IRNazanin" w:eastAsia="IRNazanin"/>
          <w:color w:val="111111"/>
          <w:sz w:val="28"/>
          <w:sz w:val="28"/>
          <w:szCs w:val="28"/>
          <w:rtl w:val="true"/>
          <w:lang w:bidi="fa-IR"/>
        </w:rPr>
        <w:t xml:space="preserve">مبانى وهابيان در حوزه ى نقل گرايى و سلف گرايى ازيك سو، و دشمنى آنان با عقل و خردورزى ازسوى ديگر، سبب شده است كه آنان دامنه ى بدعت را در امور غيرشرعى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وارد كنند و بر اين اساس، فتاوايى صادر كنند كه موجب هجو و تمسخر مكتب آنان شده است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در آثار پيشواى وهابيان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فتاوايى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مانند شستن گوشت پيش از پختن آن، در نظر وى بدعت است؛ زيرا صحابه، تابعين و تابعين تابعين، گوشت را پس از ذبح نمى شستند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وى هم چنين علم شيمى و درست كردن الكل را حرام مى داند و بر حرمت آن ادعاى اجمال كرده است؛ درحالى كه يكى از بنيان گذران علم شيمى، جابربن حيان، عالم برجسته ى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ابوزهره، با اشاره به اين ويژگى وهابيان مى گويد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 بعضى از امور عادى را نيز خارج از منطقه ى اسلام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ها در ابتداى امر، قهوه و امثال آن را بر خود حرام كردند؛ اما چنان كه امروزه ديده مى شود، در آن سهل انگارى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ها تنها به دعوت و تبليغ بسنده نكردند، بلكه بر روى</w:t>
      </w:r>
    </w:p>
    <w:p>
      <w:pPr>
        <w:pStyle w:val="BookText"/>
        <w:rPr/>
      </w:pPr>
      <w:r>
        <w:rPr>
          <w:rFonts w:ascii="IRNazanin" w:hAnsi="IRNazanin" w:eastAsia="IRNazanin"/>
          <w:color w:val="111111"/>
          <w:sz w:val="28"/>
          <w:sz w:val="28"/>
          <w:szCs w:val="28"/>
          <w:rtl w:val="true"/>
          <w:lang w:bidi="fa-IR"/>
        </w:rPr>
        <w:t>مخالفان خود شمشير مى كشيدند و مى گفتند با بدعت ها مى 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به امور كوچكى پرداختند كه طبق عقيده ى خود آن ها، نه بت پرستى بود و نه مقدمه ى بت پرستى؛ از جمله ى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علمايشان به حرمت آن فتوا دادند؛ ولى حاكمانشان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ها مفهوم بدعت را به گونه اى غريب گسترش دادند، تا آن حد كه پرده بستن به روضه ى شريف نبوى صلى الله عليه و آله را بدعت شمردند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سران اخوان التوحيد</w:t>
      </w:r>
      <w:r>
        <w:rPr>
          <w:rStyle w:val="FootnoteAnchor"/>
          <w:rtl w:val="true"/>
        </w:rPr>
        <w:footnoteReference w:id="834"/>
      </w:r>
      <w:r>
        <w:rPr>
          <w:rFonts w:ascii="IRNazanin" w:hAnsi="IRNazanin" w:eastAsia="IRNazanin"/>
          <w:color w:val="111111"/>
          <w:sz w:val="28"/>
          <w:sz w:val="28"/>
          <w:szCs w:val="28"/>
          <w:rtl w:val="true"/>
          <w:lang w:bidi="fa-IR"/>
        </w:rPr>
        <w:t>نامه اى به عبدالعزيز نوشتند كه نشانگر نگاه جريان مذهبى وهابى به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دولت خواسته بودند كه از تلگراف و تلفن استفاده نكند و هرجا سيم تلفن يا تلگراف مى ديدند، پاره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اتومبيلى كه وارد عربستان شد، توسط وهابيان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سيارة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به آتش كشيده شد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در سال هاى اخير نيز هنگامى كه از هيأت افتاى عربستان درباره ى اهداى گل براى عيادت از بيماران پرسيده شد، پاسخ دادند به دليل آن كه اين عمل در گذشته ى مسلمانان مرسوم نبوده است، حرام است</w:t>
      </w:r>
      <w:r>
        <w:rPr>
          <w:rFonts w:eastAsia="IRNazanin" w:cs="IRNazanin"/>
          <w:color w:val="111111"/>
          <w:sz w:val="28"/>
          <w:szCs w:val="28"/>
          <w:rtl w:val="true"/>
          <w:lang w:bidi="fa-IR"/>
        </w:rPr>
        <w:t>.</w:t>
      </w:r>
      <w:r>
        <w:rPr>
          <w:rStyle w:val="FootnoteAnchor"/>
          <w:rtl w:val="true"/>
        </w:rPr>
        <w:footnoteReference w:id="83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نويسنده ى مشهور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عبدالرحمن العفرج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كتابى فتاواى عجيب و سخيف وهابيان را گردآورى كرده و با مقايسه ى آن با فتاواى علماى بزرگ گذشته، آن را در قرن بيست ويكم امرى سخيف و بدوى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فتاوايى كه او از علماى وهابى ذكر مى كند،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راديو و تلفن همراه؛ تحريم استفاده از زبان انگليسى در مكالمه؛ تحريم بورسيه ى دانش جويان به خارج از</w:t>
      </w:r>
      <w:bookmarkStart w:id="667" w:name="pg15502_177449"/>
    </w:p>
    <w:p>
      <w:pPr>
        <w:pStyle w:val="BookText"/>
        <w:rPr/>
      </w:pPr>
      <w:bookmarkEnd w:id="667"/>
      <w:r>
        <w:rPr>
          <w:rFonts w:ascii="IRNazanin" w:hAnsi="IRNazanin" w:eastAsia="IRNazanin"/>
          <w:color w:val="111111"/>
          <w:sz w:val="28"/>
          <w:sz w:val="28"/>
          <w:szCs w:val="28"/>
          <w:rtl w:val="true"/>
          <w:lang w:bidi="fa-IR"/>
        </w:rPr>
        <w:t>كشور؛ تحريم فوتبال و رژه ى نظامى؛ تحريم استفاده ى زنان از اينترنت، مگر با حضور محارم؛ حرمت پوشيدن كفش پاشنه بلند؛ حرمت غذا خوردن با قاشق؛ حرمت داشتن راننده يا خدمت كار در منزل؛ دست تكان دادن به بازيكنان فوتبال؛ نوشتن مقاله در مطبوعات؛ انداختن عبا روى كتف؛ و پوشيدن دامن توسط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توجه به اين فتاوا،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كبار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عربستان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صغار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w:t>
      </w:r>
      <w:r>
        <w:rPr>
          <w:rFonts w:eastAsia="IRNazanin" w:cs="IRNazanin"/>
          <w:color w:val="111111"/>
          <w:sz w:val="28"/>
          <w:szCs w:val="28"/>
          <w:rtl w:val="true"/>
          <w:lang w:bidi="fa-IR"/>
        </w:rPr>
        <w:t>.</w:t>
      </w:r>
      <w:r>
        <w:rPr>
          <w:rStyle w:val="FootnoteAnchor"/>
          <w:rtl w:val="true"/>
        </w:rPr>
        <w:footnoteReference w:id="837"/>
      </w:r>
    </w:p>
    <w:p>
      <w:pPr>
        <w:pStyle w:val="Heading4"/>
        <w:numPr>
          <w:ilvl w:val="3"/>
          <w:numId w:val="1"/>
        </w:numPr>
        <w:rPr/>
      </w:pPr>
      <w:bookmarkStart w:id="668" w:name="__RefHeading___Toc8089276_2142443653"/>
      <w:bookmarkStart w:id="669" w:name="_Toc252"/>
      <w:bookmarkEnd w:id="668"/>
      <w:r>
        <w:rPr/>
        <w:t>6</w:t>
      </w:r>
      <w:r>
        <w:rPr>
          <w:rtl w:val="true"/>
        </w:rPr>
        <w:t xml:space="preserve"> - </w:t>
      </w:r>
      <w:r>
        <w:rPr>
          <w:rtl w:val="true"/>
        </w:rPr>
        <w:t>وهابيت، بدعت و تضاد درونى</w:t>
      </w:r>
      <w:bookmarkEnd w:id="669"/>
    </w:p>
    <w:p>
      <w:pPr>
        <w:pStyle w:val="BookText"/>
        <w:rPr/>
      </w:pPr>
      <w:r>
        <w:rPr>
          <w:rFonts w:ascii="IRNazanin" w:hAnsi="IRNazanin" w:eastAsia="IRNazanin"/>
          <w:color w:val="111111"/>
          <w:sz w:val="28"/>
          <w:sz w:val="28"/>
          <w:szCs w:val="28"/>
          <w:rtl w:val="true"/>
          <w:lang w:bidi="fa-IR"/>
        </w:rPr>
        <w:t>نگاه وهابيت به بدعت، سبب شده است انديشه ى وهابى با چالش ها و مشكلات بسيارى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ازيك سو، مكتب وهابيت مكتبى خشك و بى روح و گذشته گراست كه همه چيز را در آيينه ى گذشته مى بيند؛ اما در همين حال، مرزهاى مدرنيسم و استفاده از مظاهر مدرن، سراسر جامعه ى عربستان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شيخى در مسجد النبى، درباره ى حرمت بلندگو به دليل نبودن آن در زمان پيامبر گرامى اسلام صلى الله عليه و آله سخن مى گفت، بيرون مسجد، ديگرى سوار بر خودروهاى آمريكايى، از جديدترين مظاهر تمدنى بهره مى برد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اين پرسش باقى است كه آيا وهابيت در آينده اى نه چندان دور، تغييرى بنيادين در نگاه و نگرش خود به مسائلى همچون بدعت به وجود خواهد آورد و ديدگاه مسلمانان ديگر را در چنين موضوعى خواهد پذيرفت يا هم چنان بر ديدگاه هاى خود پافشارى خواهد كرد تا در زير چرخ دنده هاى صنعت و فن آورى، و در تقابل با انديشه ى اسلامى نابود شود</w:t>
      </w:r>
      <w:r>
        <w:rPr>
          <w:rFonts w:eastAsia="IRNazanin" w:cs="IRNazanin"/>
          <w:color w:val="111111"/>
          <w:sz w:val="28"/>
          <w:szCs w:val="28"/>
          <w:rtl w:val="true"/>
          <w:lang w:bidi="fa-IR"/>
        </w:rPr>
        <w:t>.</w:t>
      </w:r>
      <w:bookmarkStart w:id="670" w:name="pg15502_177450"/>
    </w:p>
    <w:p>
      <w:pPr>
        <w:pStyle w:val="Heading3"/>
        <w:numPr>
          <w:ilvl w:val="2"/>
          <w:numId w:val="1"/>
        </w:numPr>
        <w:rPr/>
      </w:pPr>
      <w:bookmarkStart w:id="671" w:name="__RefHeading___Toc8089278_2142443653"/>
      <w:bookmarkStart w:id="672" w:name="_Toc253"/>
      <w:bookmarkEnd w:id="670"/>
      <w:bookmarkEnd w:id="671"/>
      <w:r>
        <w:rPr>
          <w:rtl w:val="true"/>
        </w:rPr>
        <w:t>نتيجه ى بخش سوم</w:t>
      </w:r>
      <w:bookmarkEnd w:id="672"/>
    </w:p>
    <w:p>
      <w:pPr>
        <w:pStyle w:val="BookText"/>
        <w:rPr/>
      </w:pPr>
      <w:r>
        <w:rPr>
          <w:rFonts w:ascii="Amiri" w:hAnsi="Amiri" w:eastAsia="Amiri" w:cs="Amiri"/>
          <w:color w:val="111111"/>
          <w:sz w:val="28"/>
          <w:sz w:val="28"/>
          <w:szCs w:val="28"/>
          <w:rtl w:val="true"/>
          <w:lang w:bidi="ar-SA"/>
        </w:rPr>
        <w:t>بدعت، به معنى نوآورى در دين، در منابع اسلامى به شدت نكوهش شده است و به همين دليل، مذاهب اسلامى از آن نهى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وهابيان در اين حوزه نيز قرائتى بدعت آميز از بدعت ارائه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بدعت، چند ويژگى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در حوزه ى دين باشد؛ دوم اين كه نصى درباره ى آن در دين نباشد؛ سوم اين كه فعل مورد بدعت، تحت شمول عام يا اطلاقى قرار نگيرد و عام يا اطلاقى كه بتوان حكم امر جديد را از آن به دست آورد نيز در ميان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بدون توجه به ويژگى هاى بدعت، و به دليل مبناى معرفت شناختى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سلف گرايى بيش از حد، هر امرى را كه به ظاهر جديد است، بدعت معرفى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تمامى امور مستحدثه را بايد بدعت ناميد؛ درحالى كه زندگى در چنين شرايطى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درحالى كه وهابيان چنين ديدگاه بسته اى را درباره ى بدعت ارائه مى كنند، خود گرفتار بزرگ ترين بدعت شده اند و آن، تسرّى منابع تشريع به عمل كرد شخصيت هاى اسلامى سه قرن نخستين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كنار كتاب خدا و سنت پيامبر، عمل صحابه، تابعين و تابعين تابعين را نيز مشروعيت مى بخشند؛ هرچند در كتاب و سنت، ريشه اى نداشته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بر اساس قرائت وهابيان از بدعت، اعمالى همانند صلوات بر پيامبر گرامى اسلام صلى الله عليه و آله، دعا پس از اذان، مولد النبى و سوگوارى براى بزرگان دين، در رديف بدعت قرار مى گيرد و فاعل آن، تكفير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اين ديدگاه سبب شده است فتواهاى مسخره آميز بسيارى از سوى وهابيان صادر شود؛ مانند حرمت نوشيدن آب يخ، خوردن بستنى، و بردن گل براى عيادت بيمار</w:t>
      </w:r>
      <w:r>
        <w:rPr>
          <w:rFonts w:eastAsia="IRNazanin" w:cs="IRNazanin"/>
          <w:color w:val="111111"/>
          <w:sz w:val="28"/>
          <w:szCs w:val="28"/>
          <w:rtl w:val="true"/>
          <w:lang w:bidi="fa-IR"/>
        </w:rPr>
        <w:t>.</w:t>
      </w:r>
      <w:bookmarkStart w:id="673" w:name="pg15502_177452"/>
    </w:p>
    <w:p>
      <w:pPr>
        <w:pStyle w:val="Heading2"/>
        <w:numPr>
          <w:ilvl w:val="1"/>
          <w:numId w:val="1"/>
        </w:numPr>
        <w:rPr/>
      </w:pPr>
      <w:bookmarkStart w:id="674" w:name="__RefHeading___Toc8089280_2142443653"/>
      <w:bookmarkStart w:id="675" w:name="_Toc254"/>
      <w:bookmarkEnd w:id="673"/>
      <w:bookmarkEnd w:id="674"/>
      <w:r>
        <w:rPr>
          <w:rtl w:val="true"/>
        </w:rPr>
        <w:t>بخش چهارم</w:t>
      </w:r>
      <w:r>
        <w:rPr>
          <w:rtl w:val="true"/>
        </w:rPr>
        <w:t xml:space="preserve">: </w:t>
      </w:r>
      <w:r>
        <w:rPr>
          <w:rtl w:val="true"/>
        </w:rPr>
        <w:t>حيات برزخى</w:t>
      </w:r>
      <w:bookmarkEnd w:id="67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6" w:name="__RefHeading___Toc8089282_2142443653"/>
      <w:bookmarkStart w:id="677" w:name="_Toc255"/>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حيات برزخى مورد تأييد همه ى مذاهب اسلامى و نيز وهابيت است و كسى در وجود آن شك ندارد؛ اما تفاوت انديشه ى وهابيت با ديگر مذاهب اسلامى، در كيفيت و نوع ارتباط اموات با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وهابيت از وضعيت اموات در حيات برزخى، نه تنها با قرائت همه ى مسلمانان متفاوت است، بلكه عقايد مسلّم مذاهب اسلامى، همچون توسل، شفاعت خواهى و طلب حاجت را به چالش مى كشد و اين امور را افزون بر شرك خواندن، موهوم و بى فايده مى شمارد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مبانى وهابيت در اين حوزه نقد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ديدگاه آنان درباره ى موهوم بودن امورى همانند زيارت، توسل، طلب حاجت و تعظيم قبور، بررسى و نقد خواهد شد</w:t>
      </w:r>
      <w:r>
        <w:rPr>
          <w:rFonts w:eastAsia="IRNazanin" w:cs="IRNazanin"/>
          <w:color w:val="111111"/>
          <w:sz w:val="28"/>
          <w:szCs w:val="28"/>
          <w:rtl w:val="true"/>
          <w:lang w:bidi="fa-IR"/>
        </w:rPr>
        <w:t>.</w:t>
      </w:r>
      <w:bookmarkStart w:id="678" w:name="pg15502_177456"/>
    </w:p>
    <w:p>
      <w:pPr>
        <w:pStyle w:val="Heading3"/>
        <w:numPr>
          <w:ilvl w:val="2"/>
          <w:numId w:val="1"/>
        </w:numPr>
        <w:rPr/>
      </w:pPr>
      <w:bookmarkStart w:id="679" w:name="__RefHeading___Toc8089284_2142443653"/>
      <w:bookmarkStart w:id="680" w:name="_Toc256"/>
      <w:bookmarkEnd w:id="678"/>
      <w:bookmarkEnd w:id="679"/>
      <w:r>
        <w:rPr>
          <w:rtl w:val="true"/>
        </w:rPr>
        <w:t>فصل نوزدهم</w:t>
      </w:r>
      <w:r>
        <w:rPr>
          <w:rtl w:val="true"/>
        </w:rPr>
        <w:t xml:space="preserve">: </w:t>
      </w:r>
      <w:r>
        <w:rPr>
          <w:rtl w:val="true"/>
        </w:rPr>
        <w:t>حيات برزخى در انديشه ى اسلامى</w:t>
      </w:r>
      <w:bookmarkEnd w:id="68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1" w:name="__RefHeading___Toc8089286_2142443653"/>
      <w:bookmarkStart w:id="682" w:name="_Toc257"/>
      <w:bookmarkEnd w:id="681"/>
      <w:r>
        <w:rPr>
          <w:rtl w:val="true"/>
        </w:rPr>
        <w:t>اشاره</w:t>
      </w:r>
      <w:bookmarkStart w:id="683" w:name="pg15502_177458"/>
      <w:bookmarkEnd w:id="682"/>
    </w:p>
    <w:p>
      <w:pPr>
        <w:pStyle w:val="Heading4"/>
        <w:numPr>
          <w:ilvl w:val="3"/>
          <w:numId w:val="1"/>
        </w:numPr>
        <w:rPr/>
      </w:pPr>
      <w:bookmarkStart w:id="684" w:name="__RefHeading___Toc8089288_2142443653"/>
      <w:bookmarkStart w:id="685" w:name="_Toc258"/>
      <w:bookmarkEnd w:id="683"/>
      <w:bookmarkEnd w:id="684"/>
      <w:r>
        <w:rPr/>
        <w:t>1</w:t>
      </w:r>
      <w:r>
        <w:rPr>
          <w:rtl w:val="true"/>
        </w:rPr>
        <w:t xml:space="preserve"> - </w:t>
      </w:r>
      <w:r>
        <w:rPr>
          <w:rtl w:val="true"/>
        </w:rPr>
        <w:t>مقدمه</w:t>
      </w:r>
      <w:bookmarkEnd w:id="685"/>
    </w:p>
    <w:p>
      <w:pPr>
        <w:pStyle w:val="BookText"/>
        <w:rPr/>
      </w:pPr>
      <w:r>
        <w:rPr>
          <w:rFonts w:ascii="IRNazanin" w:hAnsi="IRNazanin" w:eastAsia="IRNazanin"/>
          <w:color w:val="111111"/>
          <w:sz w:val="28"/>
          <w:sz w:val="28"/>
          <w:szCs w:val="28"/>
          <w:rtl w:val="true"/>
          <w:lang w:bidi="fa-IR"/>
        </w:rPr>
        <w:t>در نظام آفرينش، انسان مسافرى است كه در طول سفر خود، از مرحله اى به مرحله ديگر وارد مى شود و از منزلى به منزل ديگر در حال نقل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دنيا مى آيد؛ عمرى را در جهان مادى و در قالب تن، سپرى مى كند و پس از پرشدن پيمانه، روح او از كالبد مادى خارج شده، به سوى جهانى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هنگامى كه قيامت فرا مى رسد، دوباره روح در قالب تن آرام مى گيرد و در برابر دادگاه عدل الهى، كارنامه ى خود را دريافت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آخرين مرحله ى اين سفر پرفرازونشيب، فرا مى رسد و آن نيز خانه ى ابدى او در بهشت يا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 جابه جايى ها، آن چه سفر مى كند،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اين دنيا به دليل شرايط مادى، تخت بند تن مى شود و پس از عروج از عالم ملك به ملكوت، تن را وامى گذارد و در قالبى ديگر به سير خود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ى مذاهب و فرق اسلامى، به چنين منازل و مراحلى براى انسان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چه گونگى اين سفر و منزلگاه هاى مختلف آن، تفاوت هايى ديده مى 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به تبيين برزخ و حيات برزخى با تأكيد بر مسائل اختلافى ميان مسلمانان و وهابيان خواهيم پرداخت</w:t>
      </w:r>
      <w:r>
        <w:rPr>
          <w:rFonts w:eastAsia="IRNazanin" w:cs="IRNazanin"/>
          <w:color w:val="111111"/>
          <w:sz w:val="28"/>
          <w:szCs w:val="28"/>
          <w:rtl w:val="true"/>
          <w:lang w:bidi="fa-IR"/>
        </w:rPr>
        <w:t>.</w:t>
      </w:r>
      <w:r>
        <w:rPr>
          <w:rStyle w:val="FootnoteAnchor"/>
          <w:rtl w:val="true"/>
        </w:rPr>
        <w:footnoteReference w:id="838"/>
      </w:r>
      <w:bookmarkStart w:id="686" w:name="pg15502_177459"/>
    </w:p>
    <w:p>
      <w:pPr>
        <w:pStyle w:val="Heading4"/>
        <w:numPr>
          <w:ilvl w:val="3"/>
          <w:numId w:val="1"/>
        </w:numPr>
        <w:rPr/>
      </w:pPr>
      <w:bookmarkStart w:id="687" w:name="__RefHeading___Toc8089290_2142443653"/>
      <w:bookmarkStart w:id="688" w:name="_Toc259"/>
      <w:bookmarkEnd w:id="686"/>
      <w:bookmarkEnd w:id="687"/>
      <w:r>
        <w:rPr/>
        <w:t>2</w:t>
      </w:r>
      <w:r>
        <w:rPr>
          <w:rtl w:val="true"/>
        </w:rPr>
        <w:t xml:space="preserve"> - </w:t>
      </w:r>
      <w:r>
        <w:rPr>
          <w:rtl w:val="true"/>
        </w:rPr>
        <w:t>واژه شناسى</w:t>
      </w:r>
      <w:bookmarkEnd w:id="688"/>
    </w:p>
    <w:p>
      <w:pPr>
        <w:pStyle w:val="BookText"/>
        <w:rPr/>
      </w:pPr>
      <w:r>
        <w:rPr>
          <w:rFonts w:ascii="IRNazanin" w:hAnsi="IRNazanin" w:eastAsia="IRNazanin"/>
          <w:color w:val="111111"/>
          <w:sz w:val="28"/>
          <w:sz w:val="28"/>
          <w:szCs w:val="28"/>
          <w:rtl w:val="true"/>
          <w:lang w:bidi="fa-IR"/>
        </w:rPr>
        <w:t>برزخ در لغت به معنى هر چيزى است كه ميان دو شيئ حائل شود؛</w:t>
      </w:r>
      <w:r>
        <w:rPr>
          <w:rStyle w:val="FootnoteAnchor"/>
          <w:rtl w:val="true"/>
        </w:rPr>
        <w:footnoteReference w:id="839"/>
      </w:r>
      <w:r>
        <w:rPr>
          <w:rFonts w:ascii="IRNazanin" w:hAnsi="IRNazanin" w:eastAsia="IRNazanin"/>
          <w:color w:val="111111"/>
          <w:sz w:val="28"/>
          <w:sz w:val="28"/>
          <w:szCs w:val="28"/>
          <w:rtl w:val="true"/>
          <w:lang w:bidi="fa-IR"/>
        </w:rPr>
        <w:t>به گونه اى كه ميان آن دو، هيچ ارتباطى نباشد</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به گفته ى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مرز و مانع بين دو چيز را برزخ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ى اين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عربى به برزخ تبديل شده است</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واژه ى برزخ سه بار در قرآن آمده كه دو بار آن در معنى لغوى به 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درياى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شيرين، و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هم قرار داد؛ درحالى كه با هم تماس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 دو، برزخى است كه يكى بر ديگرى غلبه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نمى آميزند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ى فرقان نيز برزخ به همين معنى به كار رفته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مَرَجَ اَلْبَحْرَيْنِ هٰذٰا عَذْبٌ فُرٰاتٌ وَ هٰذٰا مِلْحٌ أُجٰاجٌ وَ جَعَلَ بَيْنَهُمٰا بَرْزَخاً وَ حِجْراً مَحْجُوراً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دو دريا را در كنار هم قرار داد، يكى گوارا و شيرين، و ديگرى شور و تلخ؛ و در ميان آن ها برزخى قرار داد تا با هم مخلوط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هر يك به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و نزديك نيا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در اصطلاح به جهان ميان دنيا و آخرت گفته مى شود؛</w:t>
      </w:r>
      <w:r>
        <w:rPr>
          <w:rStyle w:val="FootnoteAnchor"/>
          <w:rtl w:val="true"/>
        </w:rPr>
        <w:footnoteReference w:id="842"/>
      </w:r>
      <w:r>
        <w:rPr>
          <w:rFonts w:ascii="IRNazanin" w:hAnsi="IRNazanin" w:eastAsia="IRNazanin"/>
          <w:color w:val="111111"/>
          <w:sz w:val="28"/>
          <w:sz w:val="28"/>
          <w:szCs w:val="28"/>
          <w:rtl w:val="true"/>
          <w:lang w:bidi="fa-IR"/>
        </w:rPr>
        <w:t>جهانى كه با مرگ انسان آغاز مى شود و تا قيامت كبرى كه همه ى انسان ها محشور مى شوند و پايان جهان است، ادامه دارد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 آنان برزخى است تا روزى كه برانگيخته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ذيل اين آيه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به معنى مانع است و منظور از مانع در اين جا مانع و فاصله ى ميان مرگ و رستاخيز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سيوطى نيز چنين معنايى را از برزخ ارائه مى دهد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در منابع دينى، از عالم برزخ به نام هاى ديگرى، مانند عالم قبر ياد شده است؛ چنان كه پيامبر گرامى اسلام صلى الله عليه و 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يا باغى از باغ هاى بهشت است يا گودالى از گودال هاى جهنم</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امام صادق عليه السلام 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 قبر است و آن، ثواب و عقاب بين دنيا و آخرت است</w:t>
      </w:r>
      <w:r>
        <w:rPr>
          <w:rFonts w:eastAsia="Amiri" w:cs="Amiri" w:ascii="Amiri" w:hAnsi="Amiri"/>
          <w:color w:val="111111"/>
          <w:sz w:val="28"/>
          <w:szCs w:val="28"/>
          <w:rtl w:val="true"/>
          <w:lang w:bidi="ar-SA"/>
        </w:rPr>
        <w:t>».</w:t>
      </w:r>
      <w:r>
        <w:rPr>
          <w:rStyle w:val="FootnoteAnchor"/>
          <w:rtl w:val="true"/>
        </w:rPr>
        <w:footnoteReference w:id="84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پيداست كه مراد از عالم قبر، قبر مادى نيست؛ چراكه برخى از انسان ها در آتش مى سوزند يا در دريا غرق مى شوند و يا طعمه ى درندگان مى شوند؛ و قبر خاكى را تجربه نمى كنند، با اين حال اينان نيز داراى عالم قبر هستند</w:t>
      </w:r>
      <w:r>
        <w:rPr>
          <w:rFonts w:eastAsia="IRNazanin" w:cs="IRNazanin"/>
          <w:color w:val="111111"/>
          <w:sz w:val="28"/>
          <w:szCs w:val="28"/>
          <w:rtl w:val="true"/>
          <w:lang w:bidi="fa-IR"/>
        </w:rPr>
        <w:t>.</w:t>
      </w:r>
      <w:r>
        <w:rPr>
          <w:rStyle w:val="FootnoteAnchor"/>
          <w:rtl w:val="true"/>
        </w:rPr>
        <w:footnoteReference w:id="848"/>
      </w:r>
      <w:bookmarkStart w:id="689" w:name="pg15502_177461"/>
    </w:p>
    <w:p>
      <w:pPr>
        <w:pStyle w:val="BookText"/>
        <w:rPr/>
      </w:pPr>
      <w:bookmarkEnd w:id="689"/>
      <w:r>
        <w:rPr>
          <w:rFonts w:ascii="IRNazanin" w:hAnsi="IRNazanin" w:eastAsia="IRNazanin"/>
          <w:color w:val="111111"/>
          <w:sz w:val="28"/>
          <w:sz w:val="28"/>
          <w:szCs w:val="28"/>
          <w:rtl w:val="true"/>
          <w:lang w:bidi="fa-IR"/>
        </w:rPr>
        <w:t xml:space="preserve">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 است؛ زيرا نمونه و مثالى از قيامت است و به قدر ظرفيت خود، از قيامت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گاه به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چنان كه پيامبر گرامى اسلام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بميرد، قيامت او برپا شده است</w:t>
      </w:r>
      <w:r>
        <w:rPr>
          <w:rFonts w:eastAsia="IRNazanin" w:cs="IRNazanin"/>
          <w:color w:val="111111"/>
          <w:sz w:val="28"/>
          <w:szCs w:val="28"/>
          <w:rtl w:val="true"/>
          <w:lang w:bidi="fa-IR"/>
        </w:rPr>
        <w:t>».</w:t>
      </w:r>
    </w:p>
    <w:p>
      <w:pPr>
        <w:pStyle w:val="Heading4"/>
        <w:numPr>
          <w:ilvl w:val="3"/>
          <w:numId w:val="1"/>
        </w:numPr>
        <w:rPr/>
      </w:pPr>
      <w:bookmarkStart w:id="690" w:name="__RefHeading___Toc8089292_2142443653"/>
      <w:bookmarkStart w:id="691" w:name="_Toc260"/>
      <w:bookmarkEnd w:id="690"/>
      <w:r>
        <w:rPr/>
        <w:t>3</w:t>
      </w:r>
      <w:r>
        <w:rPr>
          <w:rtl w:val="true"/>
        </w:rPr>
        <w:t xml:space="preserve"> - </w:t>
      </w:r>
      <w:r>
        <w:rPr>
          <w:rtl w:val="true"/>
        </w:rPr>
        <w:t>انسان در عالم برزخ</w:t>
      </w:r>
      <w:bookmarkEnd w:id="691"/>
    </w:p>
    <w:p>
      <w:pPr>
        <w:pStyle w:val="BookText"/>
        <w:rPr/>
      </w:pPr>
      <w:r>
        <w:rPr>
          <w:rFonts w:ascii="IRNazanin" w:hAnsi="IRNazanin" w:eastAsia="IRNazanin"/>
          <w:color w:val="111111"/>
          <w:sz w:val="28"/>
          <w:sz w:val="28"/>
          <w:szCs w:val="28"/>
          <w:rtl w:val="true"/>
          <w:lang w:bidi="fa-IR"/>
        </w:rPr>
        <w:t>با نگاهى به آيات و روايات، آن چه در وجود انسان اصالت دارد، ساحت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نيز همواره نيازمند قالبى است كه در آن آرام گيرد؛ اما شكل و شمايل اين قالب، در عوالم مختلف گوناگون است و با ويژگى هاى آن عالم هم 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انسان در اين دنيا نيازمند قالبى خاكى و مادى است و بدنش مطابق با قوانين عالم طبيعت نظام يافته است، در قيامت، همين جسم با ويژگى هاى به مراتب تكامل يافته ترى محشور مى شود كه هم آهنگ با شرايط و ويژگى هاى قيامت است؛ به گونه اى كه براى نمونه، فرد كافر هرچه مى سوزد، بدنش ازبين نمى رود؛ يا بهشتيان باوجود استفاده از غذاها و شراب هاى بهشتى، به تخليه ى مواد زائد نياز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تسامح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در حركت خود از عالم خاكى به عالم قيامت، در حال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در دنيا محدوديت هاى او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عالم برزخ مى آيد، روح در بدنى قرار مى گيرد كه قابليت هاى بيش ترى دارد و در قيامت، اين جسم به اوج تكامل مى رسد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قالبى كه در عالم برزخ ميزبان روح انسان است، مناسب با شرايط و مقتضيات عالم برزخ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جسم برزخى جسم لطيفى است كه با اين اجسام مادى</w:t>
      </w:r>
      <w:bookmarkStart w:id="692" w:name="pg15502_177462"/>
    </w:p>
    <w:p>
      <w:pPr>
        <w:pStyle w:val="BookText"/>
        <w:rPr/>
      </w:pPr>
      <w:bookmarkEnd w:id="692"/>
      <w:r>
        <w:rPr>
          <w:rFonts w:ascii="IRNazanin" w:hAnsi="IRNazanin" w:eastAsia="IRNazanin"/>
          <w:color w:val="111111"/>
          <w:sz w:val="28"/>
          <w:sz w:val="28"/>
          <w:szCs w:val="28"/>
          <w:rtl w:val="true"/>
          <w:lang w:bidi="fa-IR"/>
        </w:rPr>
        <w:t>تفاوت هاى بسيارى دارد؛ اما ازسوى ديگر، از نظر ظاهرى شبيه جسم خاكى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ارواح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بدن هايى شبيه بدن هاى دنيوى آنان است</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از آن روى به قالب برزخى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نه به كلى مجرد است و نه مادى محض مى باشد؛ بلكه داراى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پژوهشگران، آن را به وضع روح در حالت خواب تشبيه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عالم خواب با مشاهده ى نعمت ها، به راستى لذت مى برد و با ديدن مناظر هولناك، معذّب و ناراحت مى شود؛ آن گونه كه گاه واكنش آن در همين بدن نيز ظاهر مى شود و به هنگام ديدن خواب هاى هولناك، فرياد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در بسيارى از روايات، خواب را مثال خوبى براى عالم برزخ و بدن برزخى دانسته اند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تعلق روح به بدن مثالى در جهان برزخ، تا قيامت ادامه دارد و هنگام قيامت، به فرمان خدا دوباره به بدن هاى نخستين با تكامل بيش تر، برمى گردد</w:t>
      </w:r>
      <w:r>
        <w:rPr>
          <w:rFonts w:eastAsia="IRNazanin" w:cs="IRNazanin"/>
          <w:color w:val="111111"/>
          <w:sz w:val="28"/>
          <w:szCs w:val="28"/>
          <w:rtl w:val="true"/>
          <w:lang w:bidi="fa-IR"/>
        </w:rPr>
        <w:t>.</w:t>
      </w:r>
    </w:p>
    <w:p>
      <w:pPr>
        <w:pStyle w:val="Heading4"/>
        <w:numPr>
          <w:ilvl w:val="3"/>
          <w:numId w:val="1"/>
        </w:numPr>
        <w:rPr/>
      </w:pPr>
      <w:bookmarkStart w:id="693" w:name="__RefHeading___Toc8089294_2142443653"/>
      <w:bookmarkStart w:id="694" w:name="_Toc261"/>
      <w:bookmarkEnd w:id="693"/>
      <w:r>
        <w:rPr/>
        <w:t>4</w:t>
      </w:r>
      <w:r>
        <w:rPr>
          <w:rtl w:val="true"/>
        </w:rPr>
        <w:t xml:space="preserve"> - </w:t>
      </w:r>
      <w:r>
        <w:rPr>
          <w:rtl w:val="true"/>
        </w:rPr>
        <w:t>قرآن و حيات برزخى</w:t>
      </w:r>
      <w:bookmarkEnd w:id="694"/>
    </w:p>
    <w:p>
      <w:pPr>
        <w:pStyle w:val="Heading5"/>
        <w:numPr>
          <w:ilvl w:val="4"/>
          <w:numId w:val="1"/>
        </w:numPr>
        <w:rPr/>
      </w:pPr>
      <w:bookmarkStart w:id="695" w:name="__RefHeading___Toc8089296_2142443653"/>
      <w:bookmarkStart w:id="696" w:name="_Toc262"/>
      <w:bookmarkEnd w:id="695"/>
      <w:r>
        <w:rPr>
          <w:rtl w:val="true"/>
        </w:rPr>
        <w:t>اشاره</w:t>
      </w:r>
      <w:bookmarkEnd w:id="696"/>
    </w:p>
    <w:p>
      <w:pPr>
        <w:pStyle w:val="BookText"/>
        <w:rPr/>
      </w:pPr>
      <w:r>
        <w:rPr>
          <w:rFonts w:ascii="Amiri" w:hAnsi="Amiri" w:eastAsia="Amiri" w:cs="Amiri"/>
          <w:color w:val="111111"/>
          <w:sz w:val="28"/>
          <w:sz w:val="28"/>
          <w:szCs w:val="28"/>
          <w:rtl w:val="true"/>
          <w:lang w:bidi="ar-SA"/>
        </w:rPr>
        <w:t xml:space="preserve">در قرآن مجيد، تنها يك آيه به صورت مستقيم به عالم برزخ اشاره كرده و به صراحت، فاصله ى ميان دو دنيا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اين در حالى است كه آيه شريفه بيان مى كند كه مشركان پس از مرگ تقاضا مى كنند به دنيا بازگردند تا عمل صالح انجام دهند؛ اما تقاضايشان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تقاضايى نشانگر وجود حيات و شعور 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يوم يبعثون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اين است كه آنان تا روز قيامت در عالم برزخ قرار دارند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bookmarkStart w:id="697" w:name="pg15502_177463"/>
    </w:p>
    <w:p>
      <w:pPr>
        <w:pStyle w:val="BookText"/>
        <w:rPr/>
      </w:pPr>
      <w:bookmarkEnd w:id="6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 آنان برزخى است تا روزى كه برانگيخته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كه به عالم برزخ اشاره كرده اند، بيش تر به شرايط و ويژگى هاى اين جهان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توصيف وضعيت انسان ها در آن جهان، مانند حيات آن ها، عذاب يا پاداش براى آنان و پرسش و پاسخ از ايشان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آيات مربوط به عالم برزخ، همه به يك نتيجه مى رسند و آن نيز وجود حيات برزخى در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درمجموع، آياتى را كه به حيات برزخى مربوطند، مى توان به چند گروه تقسيم كرد</w:t>
      </w:r>
      <w:r>
        <w:rPr>
          <w:rFonts w:eastAsia="IRNazanin" w:cs="IRNazanin"/>
          <w:color w:val="111111"/>
          <w:sz w:val="28"/>
          <w:szCs w:val="28"/>
          <w:rtl w:val="true"/>
          <w:lang w:bidi="fa-IR"/>
        </w:rPr>
        <w:t>:</w:t>
      </w:r>
    </w:p>
    <w:p>
      <w:pPr>
        <w:pStyle w:val="Heading5"/>
        <w:numPr>
          <w:ilvl w:val="4"/>
          <w:numId w:val="1"/>
        </w:numPr>
        <w:rPr/>
      </w:pPr>
      <w:bookmarkStart w:id="698" w:name="__RefHeading___Toc8089298_2142443653"/>
      <w:bookmarkStart w:id="699" w:name="_Toc263"/>
      <w:bookmarkEnd w:id="698"/>
      <w:r>
        <w:rPr/>
        <w:t>1</w:t>
      </w:r>
      <w:r>
        <w:rPr>
          <w:rtl w:val="true"/>
        </w:rPr>
        <w:t>‏-‏</w:t>
      </w:r>
      <w:r>
        <w:rPr/>
        <w:t>4</w:t>
      </w:r>
      <w:r>
        <w:rPr>
          <w:rtl w:val="true"/>
        </w:rPr>
        <w:t xml:space="preserve"> - </w:t>
      </w:r>
      <w:r>
        <w:rPr>
          <w:rtl w:val="true"/>
        </w:rPr>
        <w:t>گفت وگوى فرشتگان با صالحان</w:t>
      </w:r>
      <w:bookmarkEnd w:id="699"/>
    </w:p>
    <w:p>
      <w:pPr>
        <w:pStyle w:val="BookText"/>
        <w:rPr/>
      </w:pPr>
      <w:r>
        <w:rPr>
          <w:rFonts w:ascii="IRNazanin" w:hAnsi="IRNazanin" w:eastAsia="IRNazanin"/>
          <w:color w:val="111111"/>
          <w:sz w:val="28"/>
          <w:sz w:val="28"/>
          <w:szCs w:val="28"/>
          <w:rtl w:val="true"/>
          <w:lang w:bidi="fa-IR"/>
        </w:rPr>
        <w:t>گروهى از آيات، از گفت وگوى افراد نيكوكاربا فرشتگان، پس ازمرگ حكايت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كه فرشتگان جانشان را مى گيرند؛ درحالى كه از شرك و گناه پيراسته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كارهايى كه مى كرديد، به بهشت درآييد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افزون بر اين كه نشانگر عالم برزخ و حيات برزخى است، به وجود بهشت در عالم برزخ نيز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زير نيز در همين راستاست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 قٰالَ يٰا لَيْتَ قَوْمِي يَعْلَمُونَ بِمٰا غَفَرَ لِي رَبِّي وَ جَعَلَنِي مِنَ اَلْمُكْرَمِينَ‌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700" w:name="pg15502_177464"/>
    </w:p>
    <w:p>
      <w:pPr>
        <w:pStyle w:val="BookText"/>
        <w:rPr/>
      </w:pPr>
      <w:bookmarkEnd w:id="7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مردم انطاكيه، آن مرد مؤمن با اخلاص را كشتند؛ و بى درنگ از جانب خدا به او ندا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آن سراى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قوم من مى دانستند كه پروردگارم گناهانم را بخشيد و مرا از بزرگواران درگاهش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ى زير، خداوند متعال از پيامبر گرامى اسلام صلى الله عليه و آله مى خواهد كه از پيامبران پيش از خود سؤالى بپرسد؛ پيامبرانى كه از جهان مادى رخت بربسته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پيامبران پيشين بپرس، آيا غير از خداى رحمان، خدايى قرار داديم كه مورد پرستش قرار گيرد؟</w:t>
      </w:r>
      <w:r>
        <w:rPr>
          <w:rFonts w:eastAsia="IRNazanin" w:cs="IRNazanin"/>
          <w:color w:val="111111"/>
          <w:sz w:val="28"/>
          <w:szCs w:val="28"/>
          <w:rtl w:val="true"/>
          <w:lang w:bidi="fa-IR"/>
        </w:rPr>
        <w:t>».</w:t>
      </w:r>
    </w:p>
    <w:p>
      <w:pPr>
        <w:pStyle w:val="Heading5"/>
        <w:numPr>
          <w:ilvl w:val="4"/>
          <w:numId w:val="1"/>
        </w:numPr>
        <w:rPr/>
      </w:pPr>
      <w:bookmarkStart w:id="701" w:name="__RefHeading___Toc8089300_2142443653"/>
      <w:bookmarkStart w:id="702" w:name="_Toc264"/>
      <w:bookmarkEnd w:id="701"/>
      <w:r>
        <w:rPr/>
        <w:t>2</w:t>
      </w:r>
      <w:r>
        <w:rPr>
          <w:rtl w:val="true"/>
        </w:rPr>
        <w:t>‏-‏</w:t>
      </w:r>
      <w:r>
        <w:rPr/>
        <w:t>4</w:t>
      </w:r>
      <w:r>
        <w:rPr>
          <w:rtl w:val="true"/>
        </w:rPr>
        <w:t xml:space="preserve"> - </w:t>
      </w:r>
      <w:r>
        <w:rPr>
          <w:rtl w:val="true"/>
        </w:rPr>
        <w:t>گفت وگوى فرشتگان با بدكاران</w:t>
      </w:r>
      <w:bookmarkEnd w:id="702"/>
    </w:p>
    <w:p>
      <w:pPr>
        <w:pStyle w:val="BookText"/>
        <w:rPr/>
      </w:pPr>
      <w:r>
        <w:rPr>
          <w:rFonts w:ascii="IRNazanin" w:hAnsi="IRNazanin" w:eastAsia="IRNazanin"/>
          <w:color w:val="111111"/>
          <w:sz w:val="28"/>
          <w:sz w:val="28"/>
          <w:szCs w:val="28"/>
          <w:rtl w:val="true"/>
          <w:lang w:bidi="fa-IR"/>
        </w:rPr>
        <w:t>گروهى از آيات به گفت وگوى فاسدان و مشركان با فرشتگان در عالم برزخ اشاره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پشت سر افكندن معارف الهى و احكام دين، بر خود ستم كرده اند، فرشتگان هنگامى كه جانشان را مى گيرند، 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بوديد؟ چرا به دين الهى پايبند نبوديد؟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سرزمين تحت سيطره ى كفر و شرك، ناتوان شمرده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زمين خدا گسترده نبود كه در آن هجرت كنيد و به سرزمينى برويد كه بتوانيد دين خود را نگه داريد؟ ازاين رو، آنان جايگاهشان دوزخ است و آن، بد بازگشت گاهى است</w:t>
      </w:r>
      <w:r>
        <w:rPr>
          <w:rFonts w:eastAsia="IRNazanin" w:cs="IRNazanin"/>
          <w:color w:val="111111"/>
          <w:sz w:val="28"/>
          <w:szCs w:val="28"/>
          <w:rtl w:val="true"/>
          <w:lang w:bidi="fa-IR"/>
        </w:rPr>
        <w:t>».</w:t>
      </w:r>
      <w:bookmarkStart w:id="703" w:name="pg15502_177465"/>
    </w:p>
    <w:p>
      <w:pPr>
        <w:pStyle w:val="Heading5"/>
        <w:numPr>
          <w:ilvl w:val="4"/>
          <w:numId w:val="1"/>
        </w:numPr>
        <w:rPr/>
      </w:pPr>
      <w:bookmarkStart w:id="704" w:name="__RefHeading___Toc8089302_2142443653"/>
      <w:bookmarkStart w:id="705" w:name="_Toc265"/>
      <w:bookmarkEnd w:id="703"/>
      <w:bookmarkEnd w:id="704"/>
      <w:r>
        <w:rPr/>
        <w:t>3</w:t>
      </w:r>
      <w:r>
        <w:rPr>
          <w:rtl w:val="true"/>
        </w:rPr>
        <w:t>‏-‏</w:t>
      </w:r>
      <w:r>
        <w:rPr/>
        <w:t>4</w:t>
      </w:r>
      <w:r>
        <w:rPr>
          <w:rtl w:val="true"/>
        </w:rPr>
        <w:t xml:space="preserve"> - </w:t>
      </w:r>
      <w:r>
        <w:rPr>
          <w:rtl w:val="true"/>
        </w:rPr>
        <w:t>خطابات قرآن</w:t>
      </w:r>
      <w:bookmarkEnd w:id="705"/>
    </w:p>
    <w:p>
      <w:pPr>
        <w:pStyle w:val="BookText"/>
        <w:rPr/>
      </w:pPr>
      <w:r>
        <w:rPr>
          <w:rFonts w:ascii="IRNazanin" w:hAnsi="IRNazanin" w:eastAsia="IRNazanin"/>
          <w:color w:val="111111"/>
          <w:sz w:val="28"/>
          <w:sz w:val="28"/>
          <w:szCs w:val="28"/>
          <w:rtl w:val="true"/>
          <w:lang w:bidi="fa-IR"/>
        </w:rPr>
        <w:t>در برخى از آيات، قرآن پيشينيان را مستقيماً خطاب قرار داده كه نشانگر قدرت آن ها در فهم و درك است؛ چراكه مخاطب قرار دادن اشياى بى جانى كه قدرت فهم و درك ندارند، كارى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قرآن به برخى از صالحان كه از دنيا رفته اند، سلام مى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قرآن بر مسلمانان تكليف مى كند كه همراه با خدا و فرشتگان، بر پيامبر گرامى اسلام صلى الله عليه و آله درود و تهنيت بفرستند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اگر مخاطبان اين آيات، قدرت شنيدن نداشته باشند، ابلاغ چنين سلام هايى بى 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سلام هايى، هر روز در نمازهاى يوميه نيز تكرار مى شود؛ چنان كه همه ى مسلمانان در تشهد نماز، پيامبر را مخاطب قرار داده و به او درود مى فرستند</w:t>
      </w:r>
      <w:r>
        <w:rPr>
          <w:rFonts w:eastAsia="IRNazanin" w:cs="IRNazanin"/>
          <w:color w:val="111111"/>
          <w:sz w:val="28"/>
          <w:szCs w:val="28"/>
          <w:rtl w:val="true"/>
          <w:lang w:bidi="fa-IR"/>
        </w:rPr>
        <w:t>.</w:t>
      </w:r>
      <w:r>
        <w:rPr>
          <w:rStyle w:val="FootnoteAnchor"/>
          <w:rtl w:val="true"/>
        </w:rPr>
        <w:footnoteReference w:id="854"/>
      </w:r>
    </w:p>
    <w:p>
      <w:pPr>
        <w:pStyle w:val="Heading5"/>
        <w:numPr>
          <w:ilvl w:val="4"/>
          <w:numId w:val="1"/>
        </w:numPr>
        <w:rPr/>
      </w:pPr>
      <w:bookmarkStart w:id="706" w:name="__RefHeading___Toc8089304_2142443653"/>
      <w:bookmarkStart w:id="707" w:name="_Toc266"/>
      <w:bookmarkEnd w:id="706"/>
      <w:r>
        <w:rPr/>
        <w:t>4</w:t>
      </w:r>
      <w:r>
        <w:rPr>
          <w:rtl w:val="true"/>
        </w:rPr>
        <w:t>‏-‏</w:t>
      </w:r>
      <w:r>
        <w:rPr/>
        <w:t>4</w:t>
      </w:r>
      <w:r>
        <w:rPr>
          <w:rtl w:val="true"/>
        </w:rPr>
        <w:t xml:space="preserve"> - </w:t>
      </w:r>
      <w:r>
        <w:rPr>
          <w:rtl w:val="true"/>
        </w:rPr>
        <w:t>حيات و بهشت برزخى نيكان</w:t>
      </w:r>
      <w:bookmarkEnd w:id="707"/>
    </w:p>
    <w:p>
      <w:pPr>
        <w:pStyle w:val="BookText"/>
        <w:rPr/>
      </w:pPr>
      <w:r>
        <w:rPr>
          <w:rFonts w:ascii="IRNazanin" w:hAnsi="IRNazanin" w:eastAsia="IRNazanin"/>
          <w:color w:val="111111"/>
          <w:sz w:val="28"/>
          <w:sz w:val="28"/>
          <w:szCs w:val="28"/>
          <w:rtl w:val="true"/>
          <w:lang w:bidi="fa-IR"/>
        </w:rPr>
        <w:t>برخى از آيات قرآن به زندگى غرق نعمت و شادى اولياى الهى و شهدا اشاره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كه در راه خدا كشته مى شوند، مرده نگوييد؛ بلكه آنان زنده اند، ولى شما نمى فهميد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ى شريفه، نشانگر حيات برزخى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فريقين نيز بر دلالت اين آيه بر حيات برزخى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طبرسى در تفسير آيه ى يادشده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آنان نمرده اند و تا روز رستاخيز زنده خواهند بود و اين، سخن درستى است</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علماى اهل سنت نيز بر اين باورند كه اين آيه ى شريفه به صراحت بر حيات برزخى شهدا دلالت مى كند</w:t>
      </w:r>
      <w:r>
        <w:rPr>
          <w:rFonts w:eastAsia="Amiri" w:cs="Amiri" w:ascii="Amiri" w:hAnsi="Amiri"/>
          <w:color w:val="111111"/>
          <w:sz w:val="28"/>
          <w:szCs w:val="28"/>
          <w:rtl w:val="true"/>
          <w:lang w:bidi="ar-SA"/>
        </w:rPr>
        <w:t>.</w:t>
      </w:r>
      <w:r>
        <w:rPr>
          <w:rStyle w:val="FootnoteAnchor"/>
          <w:rtl w:val="true"/>
        </w:rPr>
        <w:footnoteReference w:id="856"/>
      </w:r>
      <w:r>
        <w:rPr>
          <w:rFonts w:ascii="IRNazanin" w:hAnsi="IRNazanin" w:eastAsia="IRNazanin"/>
          <w:color w:val="111111"/>
          <w:sz w:val="28"/>
          <w:sz w:val="28"/>
          <w:szCs w:val="28"/>
          <w:rtl w:val="true"/>
          <w:lang w:bidi="fa-IR"/>
        </w:rPr>
        <w:t>ابن جرير طبرى در تفسير اين آيه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با استعانت از صبر در طاعت، در جهاد دشمنان و ترك معاصى شركت كرده ايد، به كسانى كه در راه من كشته مى شوند، مرده نگوييد؛ بلكه آنان نزد من زنده اند و در نعمت، رزق و كرامت من به سر مى برند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در اين ميان،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نشانگر اين واقعيت است كه مراد از زنده بودن شهدا، زنده بودن نام آن ها در ميان مردم نيست؛ بلكه واقعاً زندگى ديگرى غير از زندگى مادى دارند كه براى انسان ها قابل درك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ى ذيل نيز همين معنى را مى 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يَسْتَبْشِرُونَ بِنِعْمَةٍ مِنَ اَللّٰهِ وَ فَضْلٍ وَ أَنَّ اَللّٰهَ لاٰ يُضِيعُ أَجْرَ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در راه خدا كشته شده اند، مرده مپندار؛ بلكه آنان زنده اند و نزد پروردگارشان از نعمت هاى بهشت به آنان روزى مى دهند؛ به آن چه خدا از فضل خود به آنان داده است، شادمان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مؤمنان راستينى كه پس از آنان اند و هنوز به ايشان نپيوسته اند، مسرورند كه ترسى آنان را فرا نمى گيرد و اندوهگين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نعمت و فضلى كه از جانب خداست و اين كه خدا پاداش مؤمنان را تباه نمى كند، شادمان اند</w:t>
      </w:r>
      <w:r>
        <w:rPr>
          <w:rFonts w:eastAsia="IRNazanin" w:cs="IRNazanin"/>
          <w:color w:val="111111"/>
          <w:sz w:val="28"/>
          <w:szCs w:val="28"/>
          <w:rtl w:val="true"/>
          <w:lang w:bidi="fa-IR"/>
        </w:rPr>
        <w:t>».</w:t>
      </w:r>
      <w:bookmarkStart w:id="708" w:name="pg15502_177467"/>
    </w:p>
    <w:p>
      <w:pPr>
        <w:pStyle w:val="BookText"/>
        <w:rPr/>
      </w:pPr>
      <w:bookmarkEnd w:id="708"/>
      <w:r>
        <w:rPr>
          <w:rFonts w:ascii="IRNazanin" w:hAnsi="IRNazanin" w:eastAsia="IRNazanin"/>
          <w:color w:val="111111"/>
          <w:sz w:val="28"/>
          <w:sz w:val="28"/>
          <w:szCs w:val="28"/>
          <w:rtl w:val="true"/>
          <w:lang w:bidi="fa-IR"/>
        </w:rPr>
        <w:t>اين آيه ى شريفه نيز افزون بر اين كه حيات برزخى شهدا را يادآور مى شود، رسماً به حالات و روحيات آنان در عالم برزخ اشاره مى كند و بيان مى دارد كه آنان به حال و هواى نيكانى كه هنوز به آن ها در عالم برزخ ملحق نشده اند، آگاه و واقفند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فراموش كرد كه هرچند آيات يادشده، حيات را براى شهيدان اثبات مى كنند، اما مسلماً حيات برزخى تنها به شهيدان اختصاص ندارد؛ بلكه مقام پيامبران، اوليا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 بالاتر است و بى ترديد آنان نيز از حيات برزخى بهره مند و در نعمت هاى الهى غرقند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كه نشانگر جهان برزخ، حيات برزخى، عقاب و پاداش در برزخ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قرآن فراوان آمده است</w:t>
      </w:r>
      <w:r>
        <w:rPr>
          <w:rFonts w:eastAsia="IRNazanin" w:cs="IRNazanin"/>
          <w:color w:val="111111"/>
          <w:sz w:val="28"/>
          <w:szCs w:val="28"/>
          <w:rtl w:val="true"/>
          <w:lang w:bidi="fa-IR"/>
        </w:rPr>
        <w:t>.</w:t>
      </w:r>
      <w:r>
        <w:rPr>
          <w:rStyle w:val="FootnoteAnchor"/>
          <w:rtl w:val="true"/>
        </w:rPr>
        <w:footnoteReference w:id="858"/>
      </w:r>
    </w:p>
    <w:p>
      <w:pPr>
        <w:pStyle w:val="Heading5"/>
        <w:numPr>
          <w:ilvl w:val="4"/>
          <w:numId w:val="1"/>
        </w:numPr>
        <w:rPr/>
      </w:pPr>
      <w:bookmarkStart w:id="709" w:name="__RefHeading___Toc8089306_2142443653"/>
      <w:bookmarkStart w:id="710" w:name="_Toc267"/>
      <w:bookmarkEnd w:id="709"/>
      <w:r>
        <w:rPr/>
        <w:t>5</w:t>
      </w:r>
      <w:r>
        <w:rPr>
          <w:rtl w:val="true"/>
        </w:rPr>
        <w:t>‏-‏</w:t>
      </w:r>
      <w:r>
        <w:rPr/>
        <w:t>4</w:t>
      </w:r>
      <w:r>
        <w:rPr>
          <w:rtl w:val="true"/>
        </w:rPr>
        <w:t xml:space="preserve"> - </w:t>
      </w:r>
      <w:r>
        <w:rPr>
          <w:rtl w:val="true"/>
        </w:rPr>
        <w:t>حيات و دوزخ برزخى كافران</w:t>
      </w:r>
      <w:bookmarkEnd w:id="710"/>
    </w:p>
    <w:p>
      <w:pPr>
        <w:pStyle w:val="BookText"/>
        <w:rPr/>
      </w:pPr>
      <w:r>
        <w:rPr>
          <w:rFonts w:ascii="IRNazanin" w:hAnsi="IRNazanin" w:eastAsia="IRNazanin"/>
          <w:color w:val="111111"/>
          <w:sz w:val="28"/>
          <w:sz w:val="28"/>
          <w:szCs w:val="28"/>
          <w:rtl w:val="true"/>
          <w:lang w:bidi="fa-IR"/>
        </w:rPr>
        <w:t>آياتى از قرآن كريم، حيات پردرد و رنج گنهكاران را در عالم برزخ تبيين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دليل گناهانشان غرق شدند و در آتش دوزخ وارد گشتند، و جز خدا ياورانى براى خود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ى شريفه افزون بر حيات برزخى كافران، به جهنم برزخى نيز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زير نيز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آتش است كه بامدادان و عصرگاهان بر آن عرضه مى شوند؛ و روزى كه قيامت برپا گردد، فرمان رسد كه فرعونيان را به سخت ترين عذاب درآوريد</w:t>
      </w:r>
      <w:r>
        <w:rPr>
          <w:rFonts w:eastAsia="IRNazanin" w:cs="IRNazanin"/>
          <w:color w:val="111111"/>
          <w:sz w:val="28"/>
          <w:szCs w:val="28"/>
          <w:rtl w:val="true"/>
          <w:lang w:bidi="fa-IR"/>
        </w:rPr>
        <w:t>».</w:t>
      </w:r>
      <w:bookmarkStart w:id="711" w:name="pg15502_177468"/>
    </w:p>
    <w:p>
      <w:pPr>
        <w:pStyle w:val="BookText"/>
        <w:rPr/>
      </w:pPr>
      <w:bookmarkEnd w:id="711"/>
      <w:r>
        <w:rPr>
          <w:rFonts w:ascii="Amiri" w:hAnsi="Amiri" w:eastAsia="Amiri" w:cs="Amiri"/>
          <w:color w:val="111111"/>
          <w:sz w:val="28"/>
          <w:sz w:val="28"/>
          <w:szCs w:val="28"/>
          <w:rtl w:val="true"/>
          <w:lang w:bidi="ar-SA"/>
        </w:rPr>
        <w:t>اين آيه ى شريفه، به عذابى دردناك براى آل فرعون در عالم برزخ اشاره دارد و به خوبى آن را از عذاب روز قيامت جدا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ازآن جاكه در قيامت صبح و عصرى وجود ندارد و زمين و زمان درهم مى ريزد، مسلماً مراد، عذاب در عالم برزخ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ى شريفه زير نيز به حيات برزخى بدكاران اشاره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لِلَّذِينَ ظَلَمُوا عَذٰاباً دُونَ ذٰلِكَ وَ لٰكِنَّ أَكْثَرَهُمْ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براى كسانى كه ستم كرده اند،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خواهد بود كه در عالم برزخ دامنگيرشان مى شود؛ ولى بيش ترشان از آن بى 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علماى فريقين، اين عذاب را به عذاب قبر تفسير كرده اند</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البته ميان بهشت و دوزخ، در برزخ و قيامت، تفاوت هايى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كه بهشت و دوزخ برزخى، موقتى اند و تنها تا قيامت وجود دارند؛ درحالى كه بهشت و دوزخ قيامت دائمى اند</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دوم اين كه در برزخ، قالب مثالى يا جسم لطيف، عذاب مى كشد يا متنعم مى شود؛ درحالى كه در قيامت، پس از نفخ صور و جاى گرفتن ارواح در پيكرهاى مادى، پاداش و كيفر بر همين جسم ها وارد خواهد شد</w:t>
      </w:r>
      <w:r>
        <w:rPr>
          <w:rFonts w:eastAsia="IRNazanin" w:cs="IRNazanin"/>
          <w:color w:val="111111"/>
          <w:sz w:val="28"/>
          <w:szCs w:val="28"/>
          <w:rtl w:val="true"/>
          <w:lang w:bidi="fa-IR"/>
        </w:rPr>
        <w:t>.</w:t>
      </w:r>
      <w:r>
        <w:rPr>
          <w:rStyle w:val="FootnoteAnchor"/>
          <w:rtl w:val="true"/>
        </w:rPr>
        <w:footnoteReference w:id="861"/>
      </w:r>
    </w:p>
    <w:p>
      <w:pPr>
        <w:pStyle w:val="Heading4"/>
        <w:numPr>
          <w:ilvl w:val="3"/>
          <w:numId w:val="1"/>
        </w:numPr>
        <w:rPr/>
      </w:pPr>
      <w:bookmarkStart w:id="712" w:name="__RefHeading___Toc8089308_2142443653"/>
      <w:bookmarkStart w:id="713" w:name="_Toc268"/>
      <w:bookmarkEnd w:id="712"/>
      <w:r>
        <w:rPr/>
        <w:t>5</w:t>
      </w:r>
      <w:r>
        <w:rPr>
          <w:rtl w:val="true"/>
        </w:rPr>
        <w:t xml:space="preserve"> - </w:t>
      </w:r>
      <w:r>
        <w:rPr>
          <w:rtl w:val="true"/>
        </w:rPr>
        <w:t>عالم برزخ در روايات</w:t>
      </w:r>
      <w:bookmarkEnd w:id="713"/>
    </w:p>
    <w:p>
      <w:pPr>
        <w:pStyle w:val="Heading5"/>
        <w:numPr>
          <w:ilvl w:val="4"/>
          <w:numId w:val="1"/>
        </w:numPr>
        <w:rPr/>
      </w:pPr>
      <w:bookmarkStart w:id="714" w:name="__RefHeading___Toc8089310_2142443653"/>
      <w:bookmarkStart w:id="715" w:name="_Toc269"/>
      <w:bookmarkEnd w:id="714"/>
      <w:r>
        <w:rPr>
          <w:rtl w:val="true"/>
        </w:rPr>
        <w:t>اشاره</w:t>
      </w:r>
      <w:bookmarkEnd w:id="71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گزارش بيش ترى از عالم برزخ ارائه كرده و نماى روشنى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تصوير نموده اند</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با توجه به گستردگى روايات، بيان آن ها در</w:t>
      </w:r>
      <w:bookmarkStart w:id="716" w:name="pg15502_177469"/>
    </w:p>
    <w:p>
      <w:pPr>
        <w:pStyle w:val="BookText"/>
        <w:rPr/>
      </w:pPr>
      <w:bookmarkEnd w:id="716"/>
      <w:r>
        <w:rPr>
          <w:rFonts w:ascii="IRNazanin" w:hAnsi="IRNazanin" w:eastAsia="IRNazanin"/>
          <w:color w:val="111111"/>
          <w:sz w:val="28"/>
          <w:sz w:val="28"/>
          <w:szCs w:val="28"/>
          <w:rtl w:val="true"/>
          <w:lang w:bidi="fa-IR"/>
        </w:rPr>
        <w:t>اين مختصر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بر محورهايى تأكيد مى شود كه ناظر به اختلافات ميان وهابيان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مى توان روايات مربوط به برزخ را به چند بخش تقسيم كرد</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717" w:name="__RefHeading___Toc8089312_2142443653"/>
      <w:bookmarkStart w:id="718" w:name="_Toc270"/>
      <w:bookmarkEnd w:id="717"/>
      <w:r>
        <w:rPr/>
        <w:t>1</w:t>
      </w:r>
      <w:r>
        <w:rPr>
          <w:rtl w:val="true"/>
        </w:rPr>
        <w:t>‏-‏</w:t>
      </w:r>
      <w:r>
        <w:rPr/>
        <w:t>5</w:t>
      </w:r>
      <w:r>
        <w:rPr>
          <w:rtl w:val="true"/>
        </w:rPr>
        <w:t xml:space="preserve"> - </w:t>
      </w:r>
      <w:r>
        <w:rPr>
          <w:rtl w:val="true"/>
        </w:rPr>
        <w:t xml:space="preserve">شنيدن ارواح </w:t>
      </w:r>
      <w:r>
        <w:rPr>
          <w:rtl w:val="true"/>
        </w:rPr>
        <w:t>(</w:t>
      </w:r>
      <w:r>
        <w:rPr>
          <w:rtl w:val="true"/>
        </w:rPr>
        <w:t>سماع موتى</w:t>
      </w:r>
      <w:r>
        <w:rPr>
          <w:rtl w:val="true"/>
        </w:rPr>
        <w:t>)</w:t>
      </w:r>
      <w:bookmarkEnd w:id="7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شنيدن ارواح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 موتى</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يكى از مهم ترين محورهايى كه روايات آن را تأييد مى كنند، قدرت اموات در شنيدن صداى زندگان است؛ موضوعى كه به شدت مورد انكار وهابيان قرار دارد</w:t>
      </w:r>
      <w:r>
        <w:rPr>
          <w:rFonts w:eastAsia="IRNazanin" w:cs="IRNazanin"/>
          <w:color w:val="111111"/>
          <w:sz w:val="28"/>
          <w:szCs w:val="28"/>
          <w:rtl w:val="true"/>
          <w:lang w:bidi="fa-IR"/>
        </w:rPr>
        <w:t>.</w:t>
      </w:r>
      <w:r>
        <w:rPr>
          <w:rStyle w:val="FootnoteAnchor"/>
          <w:rtl w:val="true"/>
        </w:rPr>
        <w:footnoteReference w:id="86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وگوى پيامبر گرامى اسلام صلى الله عليه و آله با كشتگان كفار در جنگ بدر، از مهم ترين رواياتى است كه مؤيد شنيدن اموات است؛ به گونه اى كه وهابيان نيز نتوانسته اند آن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جنگ بدر به نفع مسلمانان پايان يافت، تعدادى از اجساد سران كفار را در درون چاهى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گرامى اسلام صلى الله عليه و آله نگاهى به اجساد آنان در درون چاه افكند و خطاب به سران كفر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عتبة بن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شيبة بن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به من وعده داده بود،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نيز وعده ى پروردگار را به حق يافتيد؟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پس از آن كه گفت وگوى پيامبر گرامى اسلام صلى الله عليه و آله را با اجساد كفار شنيد، با تعجب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هاكه بدن هايى بى جان بيش نيستند؛ چه گونه باآن ها سخن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تو از آن ها شنواتر نيستى؛ اما آنان نمى توانند پاسخ بگويند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http : //hadith.al-islam.com/Display/Display.asp?hnum = 1281&amp;doc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 چنين به گفته ى ابن رجب حنبلى، هنگامى كه پيامبر گرامى اسلام صلى الله عليه و آله از كنار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محجن</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مى گذشت، بر او نماز خواند و پس از نماز، از صاحب قبر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عملى را با فضيلت تر يافتى‌؟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اطرافيان از 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انتم بأسمع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او شنواتر نيستيد</w:t>
      </w:r>
      <w:r>
        <w:rPr>
          <w:rFonts w:eastAsia="IRNazanin" w:cs="IRNazanin"/>
          <w:color w:val="111111"/>
          <w:sz w:val="28"/>
          <w:szCs w:val="28"/>
          <w:rtl w:val="true"/>
          <w:lang w:bidi="fa-IR"/>
        </w:rPr>
        <w:t>».</w:t>
      </w:r>
      <w:r>
        <w:rPr>
          <w:rStyle w:val="FootnoteAnchor"/>
          <w:rtl w:val="true"/>
        </w:rPr>
        <w:footnoteReference w:id="86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شبيه چنين گفت وگويى، در قرآن نيز آمده است؛ آن جا كه صالح عليه السلام با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علت گناه و عصيان گرفتار عذاب شده و مرده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فِي دٰارِهِمْ جٰاثِمِينَ فَتَوَلّٰى عَنْهُمْ وَ قٰالَ يٰا قَوْمِ لَقَدْ أَبْلَغْتُكُمْ رِسٰالَةَ رَبِّي وَ نَصَحْتُ لَكُمْ وَ لٰكِنْ لاٰ تُحِبُّونَ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زلزله اى آنان را فرا گرفت و در خانه هاى خويش، بى جان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روى برگردانيد و سربرتافت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هاى خداوند را رسانيدم و شما را اندرز دادم؛ اما شما ناصحان را دوست نمى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اميرالمؤمنين على عليه السلام از جنگ صفين بازمى گشت، در نزديكى شهر كوفه، در كنار قبرستانى كه بيرون دروازه قرار داشت، رو به سوى قبرها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ساكنان خانه هاى وحشت و مكان هاى خالى و قبرهاى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خاك 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تنهايان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وحشت 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راه بر ما پيشى گرفتيد و ما نيز به شما ملحق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اخبار دنيا بپرسيد،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هايتان را ديگران ساكن شدند؛ همسرانتان به ازدواج ديگران درآمدند و اموالتان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خبرهايى است كه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يارانش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ها اجازه ى سخن گفتن داده شود، حتماً به شما خبر مى دهند كه بهترين زاد و توشه براى اين سفر، پرهيزكارى است</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هم چنين اصبغ بن نباته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از كوفه خارج شد و به نزديك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 به او رسيديم، حضرت روى زمين دراز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عبايم را زير پاى شما پهن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سرزمينى است كه خاك هاى مؤمنان در آن قرار دارد و اين كار تو، مزاحمت براى آن هاست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خاك مؤمن را فهميدم؛ اما مزاحمت آن ها چه معنى دارد؟ حضرت فرمود</w:t>
      </w:r>
      <w:r>
        <w:rPr>
          <w:rFonts w:eastAsia="IRNazanin" w:cs="IRNazanin"/>
          <w:color w:val="111111"/>
          <w:sz w:val="28"/>
          <w:szCs w:val="28"/>
          <w:rtl w:val="true"/>
          <w:lang w:bidi="fa-IR"/>
        </w:rPr>
        <w:t>:</w:t>
      </w:r>
      <w:bookmarkStart w:id="719" w:name="pg15502_177472"/>
    </w:p>
    <w:p>
      <w:pPr>
        <w:pStyle w:val="BookText"/>
        <w:rPr/>
      </w:pPr>
      <w:bookmarkEnd w:id="7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از مقابل چشم شما برداشته شود، ارواح مؤمنان را مى بينيد كه در اين جا حلقه حلقه نشسته اند و يك ديگر را ملاقات مى كنند و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جايگاه مؤمنان است و وادى برهوت، جايگاه ارواح كافران</w:t>
      </w:r>
      <w:r>
        <w:rPr>
          <w:rFonts w:eastAsia="IRNazanin" w:cs="IRNazanin"/>
          <w:color w:val="111111"/>
          <w:sz w:val="28"/>
          <w:szCs w:val="28"/>
          <w:rtl w:val="true"/>
          <w:lang w:bidi="fa-IR"/>
        </w:rPr>
        <w:t>».</w:t>
      </w:r>
      <w:r>
        <w:rPr>
          <w:rStyle w:val="FootnoteAnchor"/>
          <w:rtl w:val="true"/>
        </w:rPr>
        <w:footnoteReference w:id="870"/>
      </w:r>
    </w:p>
    <w:p>
      <w:pPr>
        <w:pStyle w:val="Heading5"/>
        <w:numPr>
          <w:ilvl w:val="4"/>
          <w:numId w:val="1"/>
        </w:numPr>
        <w:rPr/>
      </w:pPr>
      <w:bookmarkStart w:id="720" w:name="__RefHeading___Toc8089314_2142443653"/>
      <w:bookmarkStart w:id="721" w:name="_Toc271"/>
      <w:bookmarkEnd w:id="720"/>
      <w:r>
        <w:rPr/>
        <w:t>2</w:t>
      </w:r>
      <w:r>
        <w:rPr>
          <w:rtl w:val="true"/>
        </w:rPr>
        <w:t>‏-‏</w:t>
      </w:r>
      <w:r>
        <w:rPr/>
        <w:t>5</w:t>
      </w:r>
      <w:r>
        <w:rPr>
          <w:rtl w:val="true"/>
        </w:rPr>
        <w:t xml:space="preserve"> - </w:t>
      </w:r>
      <w:r>
        <w:rPr>
          <w:rtl w:val="true"/>
        </w:rPr>
        <w:t>پاسخ ارواح</w:t>
      </w:r>
      <w:bookmarkEnd w:id="721"/>
    </w:p>
    <w:p>
      <w:pPr>
        <w:pStyle w:val="BookText"/>
        <w:rPr/>
      </w:pPr>
      <w:r>
        <w:rPr>
          <w:rFonts w:ascii="IRNazanin" w:hAnsi="IRNazanin" w:eastAsia="IRNazanin"/>
          <w:color w:val="111111"/>
          <w:sz w:val="28"/>
          <w:sz w:val="28"/>
          <w:szCs w:val="28"/>
          <w:rtl w:val="true"/>
          <w:lang w:bidi="fa-IR"/>
        </w:rPr>
        <w:t>بخش ديگرى از روايات، اموات را قادر به پاسخ گفتن به زندگان مى شمارند؛ هرچند اهل دنيا به سبب محدوديت هاى مادى، قادر به فهم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پيامبر گرامى اسلام صلى الله عليه و آله روايت كرده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احد يمرّ على قبر اخيه المؤمن كان يعرفه فى الدنيا يسلم عليه الا عرفه وردّ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نيست كه از كنار قبر برادر مؤمنش كه او را در دنيا مى شناخته عبور كند و به او سلام دهد، مگر اين كه صاحب قبر او را بشناسد و پاسخ سلامش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منابع نقل شده است كه پيامبر گرامى اسلام صلى الله عليه و آله در بازگشت از احد، بر مزار مصعب بن عمير ايستاد و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 دهم كه شما در نزد خداوند زنده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زيارت كنيد و به آنان سلام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جانم در دست اوست، تا روز قيامت كسى به آنان سلام نمى كند، مگر آن كه آنان به او پاسخ مى دهند</w:t>
      </w:r>
      <w:r>
        <w:rPr>
          <w:rFonts w:eastAsia="IRNazanin" w:cs="IRNazanin"/>
          <w:color w:val="111111"/>
          <w:sz w:val="28"/>
          <w:szCs w:val="28"/>
          <w:rtl w:val="true"/>
          <w:lang w:bidi="fa-IR"/>
        </w:rPr>
        <w:t>».</w:t>
      </w:r>
      <w:r>
        <w:rPr>
          <w:rStyle w:val="FootnoteAnchor"/>
          <w:rtl w:val="true"/>
        </w:rPr>
        <w:footnoteReference w:id="872"/>
      </w:r>
      <w:bookmarkStart w:id="722" w:name="pg15502_177473"/>
    </w:p>
    <w:p>
      <w:pPr>
        <w:pStyle w:val="BookText"/>
        <w:rPr/>
      </w:pPr>
      <w:bookmarkEnd w:id="722"/>
      <w:r>
        <w:rPr>
          <w:rFonts w:ascii="IRNazanin" w:hAnsi="IRNazanin" w:eastAsia="IRNazanin"/>
          <w:color w:val="111111"/>
          <w:sz w:val="28"/>
          <w:sz w:val="28"/>
          <w:szCs w:val="28"/>
          <w:rtl w:val="true"/>
          <w:lang w:bidi="fa-IR"/>
        </w:rPr>
        <w:t>عايشه از پيامبر گرامى اسلام صلى الله عليه و آله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نيست كه به زيارت مزار برادر مؤمنش برود و نزد او بنشيند،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مؤمنش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انس مى گيرد و پاسخ او را مى دهد تا زمانى كه بازگردد</w:t>
      </w:r>
      <w:r>
        <w:rPr>
          <w:rFonts w:eastAsia="IRNazanin" w:cs="IRNazanin"/>
          <w:color w:val="111111"/>
          <w:sz w:val="28"/>
          <w:szCs w:val="28"/>
          <w:rtl w:val="true"/>
          <w:lang w:bidi="fa-IR"/>
        </w:rPr>
        <w:t>».</w:t>
      </w:r>
      <w:r>
        <w:rPr>
          <w:rStyle w:val="FootnoteAnchor"/>
          <w:rtl w:val="true"/>
        </w:rPr>
        <w:footnoteReference w:id="873"/>
      </w:r>
    </w:p>
    <w:p>
      <w:pPr>
        <w:pStyle w:val="Heading5"/>
        <w:numPr>
          <w:ilvl w:val="4"/>
          <w:numId w:val="1"/>
        </w:numPr>
        <w:rPr/>
      </w:pPr>
      <w:bookmarkStart w:id="723" w:name="__RefHeading___Toc8089316_2142443653"/>
      <w:bookmarkStart w:id="724" w:name="_Toc272"/>
      <w:bookmarkEnd w:id="723"/>
      <w:r>
        <w:rPr/>
        <w:t>3</w:t>
      </w:r>
      <w:r>
        <w:rPr>
          <w:rtl w:val="true"/>
        </w:rPr>
        <w:t>‏-‏</w:t>
      </w:r>
      <w:r>
        <w:rPr/>
        <w:t>5</w:t>
      </w:r>
      <w:r>
        <w:rPr>
          <w:rtl w:val="true"/>
        </w:rPr>
        <w:t xml:space="preserve"> - </w:t>
      </w:r>
      <w:r>
        <w:rPr>
          <w:rtl w:val="true"/>
        </w:rPr>
        <w:t>ارواح و بستگان</w:t>
      </w:r>
      <w:bookmarkEnd w:id="724"/>
    </w:p>
    <w:p>
      <w:pPr>
        <w:pStyle w:val="BookText"/>
        <w:rPr/>
      </w:pPr>
      <w:r>
        <w:rPr>
          <w:rFonts w:ascii="IRNazanin" w:hAnsi="IRNazanin" w:eastAsia="IRNazanin"/>
          <w:color w:val="111111"/>
          <w:sz w:val="28"/>
          <w:sz w:val="28"/>
          <w:szCs w:val="28"/>
          <w:rtl w:val="true"/>
          <w:lang w:bidi="fa-IR"/>
        </w:rPr>
        <w:t>يكى ديگر از محورهايى كه در روايات ديده مى شود، ارتباط ارواح در عالم برزخ با اقوام و بستگانشان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اعمالتان بر نزديكان و خويشاوندانتان عرضه مى شود؛ پس اگر خير باشد، شادمان مى شوند و اگر غير آن باشد، دعا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نميران تا همان گونه كه ما را هدايت كردى، هدايتشان فرمايى</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مالك بن انس از نعمان بن بشير نقل مى كند كه پيامبر گرامى اسلام صلى الله عليه و آله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شمارا توصيه مى كنم به برادران درخاك رفته 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اعمالتان به آنان عرضه مى شود</w:t>
      </w:r>
      <w:r>
        <w:rPr>
          <w:rFonts w:eastAsia="Amiri" w:cs="Amiri" w:ascii="Amiri" w:hAnsi="Amiri"/>
          <w:color w:val="111111"/>
          <w:sz w:val="28"/>
          <w:szCs w:val="28"/>
          <w:rtl w:val="true"/>
          <w:lang w:bidi="ar-SA"/>
        </w:rPr>
        <w:t>».</w:t>
      </w:r>
      <w:r>
        <w:rPr>
          <w:rStyle w:val="FootnoteAnchor"/>
          <w:rtl w:val="true"/>
        </w:rPr>
        <w:footnoteReference w:id="875"/>
      </w:r>
      <w:bookmarkStart w:id="725" w:name="pg15502_177474"/>
    </w:p>
    <w:p>
      <w:pPr>
        <w:pStyle w:val="Heading4"/>
        <w:numPr>
          <w:ilvl w:val="3"/>
          <w:numId w:val="1"/>
        </w:numPr>
        <w:rPr/>
      </w:pPr>
      <w:bookmarkStart w:id="726" w:name="__RefHeading___Toc8089318_2142443653"/>
      <w:bookmarkStart w:id="727" w:name="_Toc273"/>
      <w:bookmarkEnd w:id="725"/>
      <w:bookmarkEnd w:id="726"/>
      <w:r>
        <w:rPr/>
        <w:t>6</w:t>
      </w:r>
      <w:r>
        <w:rPr>
          <w:rtl w:val="true"/>
        </w:rPr>
        <w:t xml:space="preserve"> - </w:t>
      </w:r>
      <w:r>
        <w:rPr>
          <w:rtl w:val="true"/>
        </w:rPr>
        <w:t>روح پيامبر گرامى اسلام صلى الله عليه و آله و عالم دنيا</w:t>
      </w:r>
      <w:bookmarkEnd w:id="727"/>
    </w:p>
    <w:p>
      <w:pPr>
        <w:pStyle w:val="BookText"/>
        <w:rPr/>
      </w:pPr>
      <w:r>
        <w:rPr>
          <w:rFonts w:ascii="IRNazanin" w:hAnsi="IRNazanin" w:eastAsia="IRNazanin"/>
          <w:color w:val="111111"/>
          <w:sz w:val="28"/>
          <w:sz w:val="28"/>
          <w:szCs w:val="28"/>
          <w:rtl w:val="true"/>
          <w:lang w:bidi="fa-IR"/>
        </w:rPr>
        <w:t>همان گونه كه در آيات و روايات بيان شد، ارواح در جهان برزخ با اهل دنيا ارتباط دارند و هرچه جايگاهشان نزد خدا بالاتر باشد، قدرت ارتباطشان با اين دنيا بيش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بى شك پيامبر گرامى اسلام صلى الله عليه و آله و امامان معصوم عليهم السلام و اولياى الهى، با توجه به مراتبشان، بيش از ديگران قدرت ارتباط با جهان مادى را دارند؛ هرچند انسان هاى گرفتار در حجاب ماده، در ظاهر نمى توانند اين ارتباط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ى آيات و رواياتى كه بيانگر حيات برزخى و ارتباط ارواح با عالم دنيا هستند، به طريق اولى، ارتباط پيامبر گرامى اسلام صلى الله عليه و آله و امامان معصوم عليهم السلام را با جهان مادى و مردم آن ثابت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جداى از اين، رواياتى كه در منابع فريقين در اين زمينه وجود دارد،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لِللّه ملائكة سياحين يبلغون من امتى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فرشتگانى دارد كه در رفت وآمدند و سلام امت مرا به من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حديث ديگرى مى فرمايد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زندگانيم براى شما خير است؛ زيرا من با شما سخن مى گويم و شما با من سخن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وفاتم نيز براى شما خير است؛ چون اعمالتان بر من عرضه مى شود؛ هر عمل خيرى كه مشاهده كنم، خدا را سپاس مى گويم و هر آن چه از بد اعمالتان ببينم، برايتان طلب مغفرت خواهم كرد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از مجموع آن چه گفته شد، مى توان نتيجه گرفت كه نه تنها ميان دنيا و آخرت، عالم برزخ وجود دارد، بلكه برزخيان زندگى ويژه اى را كه مخصوص به آن جهان است، تجربه مى كنند و به احوال اين جهان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اذا ماتوا 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خوابند؛ هنگامى كه مردند، بيدار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مطهرى در توضيح اين حديث معتقد است كه درجه ى حيات پس از مردن، در مقايسه با پيش از مرگ، كامل تر و بالاتر است؛ همان گونه كه انسان در حال خواب، از درجه ى درك و احساس ضعيفى برخوردار است و حالتى نيمه زنده و نيمه مرده دارد و هنگام بيدارى، آن حيات كامل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حالت حيات انسان در دنيا، در مقايسه با حيات برزخى، درجه اى ضعيف تر است و با انتقال انسان به عالم برزخ، كامل تر مى شود</w:t>
      </w:r>
      <w:r>
        <w:rPr>
          <w:rFonts w:eastAsia="IRNazanin" w:cs="IRNazanin"/>
          <w:color w:val="111111"/>
          <w:sz w:val="28"/>
          <w:szCs w:val="28"/>
          <w:rtl w:val="true"/>
          <w:lang w:bidi="fa-IR"/>
        </w:rPr>
        <w:t>.</w:t>
      </w:r>
      <w:r>
        <w:rPr>
          <w:rStyle w:val="FootnoteAnchor"/>
          <w:rtl w:val="true"/>
        </w:rPr>
        <w:footnoteReference w:id="87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هرچه مقام و منزلت فرد نزد خدا بالاتر باشد، قدرت وى براى ارتباط با اين جهان بيش تر است و شكى نيست كه روح پيامبران، امامان و اولياى الهى، بيش از ديگران در ارتباط با انسان ها هستند؛ صداى آن ها را مى شنوند و قدرت پاسخ گويى به آنان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كه در دنيا مى توان از آن ها مدد جست، در جهان برزخ نيز همان روح، ناظر و حاضر است و امكان مدد جستن و توسل به ارواح بزرگان دين، هم چنان وجود دارد</w:t>
      </w:r>
      <w:r>
        <w:rPr>
          <w:rFonts w:eastAsia="IRNazanin" w:cs="IRNazanin"/>
          <w:color w:val="111111"/>
          <w:sz w:val="28"/>
          <w:szCs w:val="28"/>
          <w:rtl w:val="true"/>
          <w:lang w:bidi="fa-IR"/>
        </w:rPr>
        <w:t>.</w:t>
      </w:r>
      <w:r>
        <w:rPr>
          <w:rStyle w:val="FootnoteAnchor"/>
          <w:rtl w:val="true"/>
        </w:rPr>
        <w:footnoteReference w:id="880"/>
      </w:r>
      <w:bookmarkStart w:id="728" w:name="pg15502_177476"/>
    </w:p>
    <w:p>
      <w:pPr>
        <w:pStyle w:val="Heading3"/>
        <w:numPr>
          <w:ilvl w:val="2"/>
          <w:numId w:val="1"/>
        </w:numPr>
        <w:rPr/>
      </w:pPr>
      <w:bookmarkStart w:id="729" w:name="__RefHeading___Toc8089320_2142443653"/>
      <w:bookmarkStart w:id="730" w:name="_Toc274"/>
      <w:bookmarkEnd w:id="728"/>
      <w:bookmarkEnd w:id="729"/>
      <w:r>
        <w:rPr>
          <w:rtl w:val="true"/>
        </w:rPr>
        <w:t>فصل بيستم</w:t>
      </w:r>
      <w:r>
        <w:rPr>
          <w:rtl w:val="true"/>
        </w:rPr>
        <w:t xml:space="preserve">: </w:t>
      </w:r>
      <w:r>
        <w:rPr>
          <w:rtl w:val="true"/>
        </w:rPr>
        <w:t>وهابيت و سماع موتى</w:t>
      </w:r>
      <w:bookmarkEnd w:id="73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1" w:name="__RefHeading___Toc8089322_2142443653"/>
      <w:bookmarkStart w:id="732" w:name="_Toc275"/>
      <w:bookmarkEnd w:id="731"/>
      <w:r>
        <w:rPr>
          <w:rtl w:val="true"/>
        </w:rPr>
        <w:t>اشاره</w:t>
      </w:r>
      <w:bookmarkStart w:id="733" w:name="pg15502_177478"/>
      <w:bookmarkEnd w:id="732"/>
    </w:p>
    <w:p>
      <w:pPr>
        <w:pStyle w:val="Heading4"/>
        <w:numPr>
          <w:ilvl w:val="3"/>
          <w:numId w:val="1"/>
        </w:numPr>
        <w:rPr/>
      </w:pPr>
      <w:bookmarkStart w:id="734" w:name="__RefHeading___Toc8089324_2142443653"/>
      <w:bookmarkStart w:id="735" w:name="_Toc276"/>
      <w:bookmarkEnd w:id="733"/>
      <w:bookmarkEnd w:id="734"/>
      <w:r>
        <w:rPr/>
        <w:t>1</w:t>
      </w:r>
      <w:r>
        <w:rPr>
          <w:rtl w:val="true"/>
        </w:rPr>
        <w:t xml:space="preserve"> - </w:t>
      </w:r>
      <w:r>
        <w:rPr>
          <w:rtl w:val="true"/>
        </w:rPr>
        <w:t>مقدمه</w:t>
      </w:r>
      <w:bookmarkEnd w:id="735"/>
    </w:p>
    <w:p>
      <w:pPr>
        <w:pStyle w:val="BookText"/>
        <w:rPr/>
      </w:pPr>
      <w:r>
        <w:rPr>
          <w:rFonts w:ascii="IRNazanin" w:hAnsi="IRNazanin" w:eastAsia="IRNazanin"/>
          <w:color w:val="111111"/>
          <w:sz w:val="28"/>
          <w:sz w:val="28"/>
          <w:szCs w:val="28"/>
          <w:rtl w:val="true"/>
          <w:lang w:bidi="fa-IR"/>
        </w:rPr>
        <w:t>برخى از شبهات وهابيت، در بيش از يك مبنا ريشه دارد و وهابيت به گمان خود مى كوشد در دو يا چند جبهه با عقايد اسلامى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شبهاتى همچون نامشروع بودن توسل، زيارت، طلب شفاعت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ازيك سو ريشه در قرائت وهابى از توحيد دارد و ايشان اين امور را به اين دليل كه درخواست از غير خدا موجب شرك است، رد مى كنند، كه در بخش اول، به تفصيل به آن پرداخته شد؛ و ازسوى ديگر، همين شبهات، ريشه در نگرش وهابيت به حيات برزخى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ديدگاه ابداعى خود كه مردگان، پس از مرگ با اين جهان هيچ ارتباطى ندارند و قادر به شنيدن نيستند، اعمالى همچون توسل، زيارت و طلب شفاعت را افزون بر شرك بودن، بى فايده و بى ثمر مى دانند؛ درحالى كه رهبران پيشين آن ها، همانند ابن قيم، بر شنيدن اموات پس از مرگ، اعتراف دارند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نگاه انحرافى آنان به حيات برزخى سبب شده است كه افزون بر جسارت به مقابر اولياى الهى، حتى در صورت قدرت، مرقد مطهر پيامبر گرامى اسلام صلى الله عليه و آله را نيز ويران كنند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گذشته، ضمن بررسى تفصيلى قدرت اموات درشنيدن صداى زندگان، گفته شد آن چه مى ميرد، كالبد خاكى انسان است؛ اما روح انسان در كالبدى ديگر به بقاى خود ادامه خواهدداد وآيات و روايات به خوبى نشانگر ارتباط مردگان با اين دنيا هستند</w:t>
      </w:r>
      <w:r>
        <w:rPr>
          <w:rFonts w:eastAsia="IRNazanin" w:cs="IRNazanin"/>
          <w:color w:val="111111"/>
          <w:sz w:val="28"/>
          <w:szCs w:val="28"/>
          <w:rtl w:val="true"/>
          <w:lang w:bidi="fa-IR"/>
        </w:rPr>
        <w:t>.</w:t>
      </w:r>
      <w:bookmarkStart w:id="736" w:name="pg15502_177479"/>
    </w:p>
    <w:p>
      <w:pPr>
        <w:pStyle w:val="BookText"/>
        <w:rPr/>
      </w:pPr>
      <w:bookmarkEnd w:id="736"/>
      <w:r>
        <w:rPr>
          <w:rFonts w:ascii="IRNazanin" w:hAnsi="IRNazanin" w:eastAsia="IRNazanin"/>
          <w:color w:val="111111"/>
          <w:sz w:val="28"/>
          <w:sz w:val="28"/>
          <w:szCs w:val="28"/>
          <w:rtl w:val="true"/>
          <w:lang w:bidi="fa-IR"/>
        </w:rPr>
        <w:t>البته وهابيان منكر اصل وجود حيات برزخى نيستند؛ اما آن را زندگى خاصى مى دانند كه روح مردگان در آن، هرگز قادر به شنيدن صداى زندگان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نيز همانند انديشه هاى ديگر وهابيان، مورد تأييد مذاهب اسلامى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ناگفته پيداست كه وهابيان توسل به زندگان را جايز مى دانند و علت آن را نيز حيات آنان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قدرت مردگان در شنيدن صداى زندگان و ارتباط با آنان اثبات شود، همان دلايلى كه توسل، طلب شفاعت و زيارت را در دوران حيات اثبات مى كنند، ثابت كننده ى همين مقامات براى ارواح بزرگان دين در حيات برزخى نيز خواهند بود؛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به صورت مستقل بر قدرت مردگان در حيات برزخى دلالت مى كنند</w:t>
      </w:r>
      <w:r>
        <w:rPr>
          <w:rFonts w:eastAsia="IRNazanin" w:cs="IRNazanin"/>
          <w:color w:val="111111"/>
          <w:sz w:val="28"/>
          <w:szCs w:val="28"/>
          <w:rtl w:val="true"/>
          <w:lang w:bidi="fa-IR"/>
        </w:rPr>
        <w:t>.</w:t>
      </w:r>
      <w:r>
        <w:rPr>
          <w:rStyle w:val="FootnoteAnchor"/>
          <w:rtl w:val="true"/>
        </w:rPr>
        <w:footnoteReference w:id="882"/>
      </w:r>
    </w:p>
    <w:p>
      <w:pPr>
        <w:pStyle w:val="Heading4"/>
        <w:numPr>
          <w:ilvl w:val="3"/>
          <w:numId w:val="1"/>
        </w:numPr>
        <w:rPr/>
      </w:pPr>
      <w:bookmarkStart w:id="737" w:name="__RefHeading___Toc8089326_2142443653"/>
      <w:bookmarkStart w:id="738" w:name="_Toc277"/>
      <w:bookmarkEnd w:id="737"/>
      <w:r>
        <w:rPr/>
        <w:t>2</w:t>
      </w:r>
      <w:r>
        <w:rPr>
          <w:rtl w:val="true"/>
        </w:rPr>
        <w:t xml:space="preserve"> - </w:t>
      </w:r>
      <w:r>
        <w:rPr>
          <w:rtl w:val="true"/>
        </w:rPr>
        <w:t>حيات برزخى و هستى شناسى وهابيت</w:t>
      </w:r>
      <w:bookmarkEnd w:id="738"/>
    </w:p>
    <w:p>
      <w:pPr>
        <w:pStyle w:val="BookText"/>
        <w:rPr/>
      </w:pPr>
      <w:r>
        <w:rPr>
          <w:rFonts w:ascii="IRNazanin" w:hAnsi="IRNazanin" w:eastAsia="IRNazanin"/>
          <w:color w:val="111111"/>
          <w:sz w:val="28"/>
          <w:sz w:val="28"/>
          <w:szCs w:val="28"/>
          <w:rtl w:val="true"/>
          <w:lang w:bidi="fa-IR"/>
        </w:rPr>
        <w:t>ديدگاه وهابيت درباره ى حيات برزخى، در رويكرد هستى شناسانه ى آنان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هستى شناسى، درباره ى معيارهاى وجود، و اين كه چه عواملى سبب مى شود يك چيز وجود داشته باشد، بحث مى شود</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بى ترديد، نگاه هستى شناسانه ى انسان، بر جهان بينى و نگرش فرد به عالم هستى، تأثيرى عميق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ازسوى ديگر، اگر مبناى هستى شناسى وهابيت در كنار ديگر مبانى انديشه ى وهابى بررسى گردد و به منظومه ى فكرى وهابيت به صورت يك كل نگاه شود، بهتر مى توان رويكرد هستى شناسانه ى آن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شد،</w:t>
      </w:r>
      <w:r>
        <w:rPr>
          <w:rStyle w:val="FootnoteAnchor"/>
          <w:rtl w:val="true"/>
        </w:rPr>
        <w:footnoteReference w:id="884"/>
      </w:r>
      <w:r>
        <w:rPr>
          <w:rFonts w:ascii="IRNazanin" w:hAnsi="IRNazanin" w:eastAsia="IRNazanin"/>
          <w:color w:val="111111"/>
          <w:sz w:val="28"/>
          <w:sz w:val="28"/>
          <w:szCs w:val="28"/>
          <w:rtl w:val="true"/>
          <w:lang w:bidi="fa-IR"/>
        </w:rPr>
        <w:t>نقل گرايى، سلفيان را به</w:t>
      </w:r>
    </w:p>
    <w:p>
      <w:pPr>
        <w:pStyle w:val="BookText"/>
        <w:rPr/>
      </w:pPr>
      <w:r>
        <w:rPr>
          <w:rFonts w:ascii="IRNazanin" w:hAnsi="IRNazanin" w:eastAsia="IRNazanin"/>
          <w:color w:val="111111"/>
          <w:sz w:val="28"/>
          <w:sz w:val="28"/>
          <w:szCs w:val="28"/>
          <w:rtl w:val="true"/>
          <w:lang w:bidi="fa-IR"/>
        </w:rPr>
        <w:t xml:space="preserve">دامن عقل ستيزى و حديث گرايى افكنده است؛ ازسوى ديگر، نقل گرايى و حديث گرايى كه مترادف با عقل ستيزى است، آنان را در حوزه ى معنى شناسى به دامن ظاهرگرايى مى افكند كه تشبيه و تجسيم در صفات خبرى را به دنبال دارد و هر سه مبنا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نقل گرايى، حديث گرايى و ظاهرگرايى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ى هستى شناسى، به ناچار آنان را گرفتار حس گرايى مفرط كرده است؛ به گونه اى كه در حوزه ى شناخت هستى، حس را معيار وجود معرفى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اين حس گرايى نيز بيش از همه، در نگرش به عالم برزخ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نگرش، بر ديگر حوزه هاى فكرى وهابيت نيز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رويكرد حس گرايانه ى آن ها به همراه نگرش ظاهرگرايانه شان، آنان را در حوزه ى توحيد، گرفتار تجسيم و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ذهن و فكر حس گرا و غيرعقلانى آنان، نمى تواند خدايى را تصور كند كه داراى دست و پا نباشد؛ ننشيند؛ نخندد و در همه جا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خدايى را مى پرستند كه خانه ى او در بهشت، ديواربه ديوار خانه ى پيامبر گرامى اسلام صلى الله عليه و آله است؛ دستان بزرگى دارد؛ بر تخت مى نشيند؛ دندان آسياب دارد؛ و اگر كسى بگويد كه خدا در داخل جهان است، كافر و مرتد است</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نگاه حس گرايانه، بيش از آن كه خود را در حوزه ى خداشناسى نشان دهد، در حوزه ى فرجام شناسى و حيات برزخى نمود دارد؛ به اين معنى كه حيات انسان پس از مرگ، چون با حواس ظاهرى، قابل ادراك نيست، ديگر وجود ندارد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رويكردى در هستى شناسى، يادآور انديشه ى پوزيتيويسم يا اثبات گرايى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تنها امورى را مصداق وجود مى دانستند كه با حواس ظاهرى قابل درك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آنان عالم متافيزيك و ماوراءالطبيعه را به اين دليل كه قابل</w:t>
      </w:r>
    </w:p>
    <w:p>
      <w:pPr>
        <w:pStyle w:val="BookText"/>
        <w:rPr/>
      </w:pPr>
      <w:r>
        <w:rPr>
          <w:rFonts w:ascii="Amiri" w:hAnsi="Amiri" w:eastAsia="Amiri" w:cs="Amiri"/>
          <w:color w:val="111111"/>
          <w:sz w:val="28"/>
          <w:sz w:val="28"/>
          <w:szCs w:val="28"/>
          <w:rtl w:val="true"/>
          <w:lang w:bidi="ar-SA"/>
        </w:rPr>
        <w:t>ديدن و ادراك نيست، نفى مى كردند</w:t>
      </w:r>
      <w:r>
        <w:rPr>
          <w:rFonts w:eastAsia="Amiri" w:cs="Amiri" w:ascii="Amiri" w:hAnsi="Amiri"/>
          <w:color w:val="111111"/>
          <w:sz w:val="28"/>
          <w:szCs w:val="28"/>
          <w:rtl w:val="true"/>
          <w:lang w:bidi="ar-SA"/>
        </w:rPr>
        <w:t>.</w:t>
      </w:r>
      <w:r>
        <w:rPr>
          <w:rStyle w:val="FootnoteAnchor"/>
          <w:rtl w:val="true"/>
        </w:rPr>
        <w:footnoteReference w:id="886"/>
      </w:r>
      <w:r>
        <w:rPr>
          <w:rFonts w:ascii="IRNazanin" w:hAnsi="IRNazanin" w:eastAsia="IRNazanin"/>
          <w:color w:val="111111"/>
          <w:sz w:val="28"/>
          <w:sz w:val="28"/>
          <w:szCs w:val="28"/>
          <w:rtl w:val="true"/>
          <w:lang w:bidi="fa-IR"/>
        </w:rPr>
        <w:t>اين ديدگاه، در نيمه ى دوم قرن بيستم، رفته رفته به محاق رفت و غرب به اين نتيجه رسيد كه با نگاه اثبات گرايانه نمى توان حقايق عالم هستى را تفسير كرد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با تسامح، مى توان وهابيان را پوزيتويست هاى جهان اسلام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هرچند به جهان ماوراء اعتقاد دارند، اما به سبب حس گرايى، ميان جهان مادى و ماوراء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ارتباطى يك طرفه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عالم بزرگ وهابى</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شخصى كه زنده وحاضراست و قدرت بر عمل دارد، خواه به صورت شفاهى، خواه ازطريق مكاتبه وخواه ازطريق تلفن ياديگر روش هاى ارتباطى جديدى كه زمينه ى ارتباط انسان را فراهم مى كند،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شرك در جايى است كه مرده يا غايبى را به غير از روش هاى ارتباطى متداول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باشى كه فرد مرده صدايت را مى شنود و به تو سود مى رساند؛ درحالى كه او غايب است و ميان تو و او ارتباط حسى شناخته شده اى</w:t>
      </w:r>
      <w:r>
        <w:rPr>
          <w:rStyle w:val="FootnoteAnchor"/>
          <w:rtl w:val="true"/>
        </w:rPr>
        <w:footnoteReference w:id="888"/>
      </w:r>
      <w:r>
        <w:rPr>
          <w:rFonts w:ascii="Amiri" w:hAnsi="Amiri" w:eastAsia="Amiri" w:cs="Amiri"/>
          <w:color w:val="111111"/>
          <w:sz w:val="28"/>
          <w:sz w:val="28"/>
          <w:szCs w:val="28"/>
          <w:rtl w:val="true"/>
          <w:lang w:bidi="ar-SA"/>
        </w:rPr>
        <w:t>وجود ندارد؛ نه از راه نوشتار، و نه از طريق تلفن يا تلكس</w:t>
      </w:r>
      <w:r>
        <w:rPr>
          <w:rFonts w:eastAsia="Amiri" w:cs="Amiri" w:ascii="Amiri" w:hAnsi="Amiri"/>
          <w:color w:val="111111"/>
          <w:sz w:val="28"/>
          <w:szCs w:val="28"/>
          <w:rtl w:val="true"/>
          <w:lang w:bidi="ar-SA"/>
        </w:rPr>
        <w:t>».</w:t>
      </w:r>
      <w:r>
        <w:rPr>
          <w:rStyle w:val="FootnoteAnchor"/>
          <w:rtl w:val="true"/>
        </w:rPr>
        <w:footnoteReference w:id="889"/>
      </w:r>
      <w:bookmarkStart w:id="739" w:name="pg15502_177482"/>
    </w:p>
    <w:p>
      <w:pPr>
        <w:pStyle w:val="BookText"/>
        <w:rPr/>
      </w:pPr>
      <w:bookmarkEnd w:id="739"/>
      <w:r>
        <w:rPr>
          <w:rFonts w:ascii="IRNazanin" w:hAnsi="IRNazanin" w:eastAsia="IRNazanin"/>
          <w:color w:val="111111"/>
          <w:sz w:val="28"/>
          <w:sz w:val="28"/>
          <w:szCs w:val="28"/>
          <w:rtl w:val="true"/>
          <w:lang w:bidi="fa-IR"/>
        </w:rPr>
        <w:t xml:space="preserve">چنان كه ديده مى شود، الدرب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مشروعيت نداشتن خواندن اموات را نبود تماس حسى با آن ها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به گفته ى عصام العماد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خود، وهابيت را تجربه كرده و از آن به تشيع گرويده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ماترياليست يا ماركسيست بوده اند و به اسلام جذب شده اند، بيش از همه ى مذاهب، وهابيت برايشان جذاب بوده است؛ چون كه وهابيت بيش از ديگر مذاهب اسلامى به انديشه هاى مادى گرايانه نزديك است</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عدم پذيرش مسائلى معنوى، همچون توسل، زيارت، طلب شفاعت، و پالايش روح در ارتباط با ارواح مقدسه ى صالحان، شهدا، پيامبران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وهابيت، اين مكتب را براى مادى گرايان جذاب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گونه كه انديشه ى پوزيتيويسم در غرب نتوانست به حيات خود ادامه دهد، انديشه ى وهابيت كه بر اثر تأثير انديشه ى اثبات گرايى در جهان اسلام رشد كرده است نيز به پايان عمر خود نزديك مى شود</w:t>
      </w:r>
      <w:r>
        <w:rPr>
          <w:rFonts w:eastAsia="IRNazanin" w:cs="IRNazanin"/>
          <w:color w:val="111111"/>
          <w:sz w:val="28"/>
          <w:szCs w:val="28"/>
          <w:rtl w:val="true"/>
          <w:lang w:bidi="fa-IR"/>
        </w:rPr>
        <w:t>.</w:t>
      </w:r>
    </w:p>
    <w:p>
      <w:pPr>
        <w:pStyle w:val="Heading4"/>
        <w:numPr>
          <w:ilvl w:val="3"/>
          <w:numId w:val="1"/>
        </w:numPr>
        <w:rPr/>
      </w:pPr>
      <w:bookmarkStart w:id="740" w:name="__RefHeading___Toc8089328_2142443653"/>
      <w:bookmarkStart w:id="741" w:name="_Toc278"/>
      <w:bookmarkEnd w:id="740"/>
      <w:r>
        <w:rPr/>
        <w:t>3</w:t>
      </w:r>
      <w:r>
        <w:rPr>
          <w:rtl w:val="true"/>
        </w:rPr>
        <w:t xml:space="preserve"> - </w:t>
      </w:r>
      <w:r>
        <w:rPr>
          <w:rtl w:val="true"/>
        </w:rPr>
        <w:t>وهابيت و سماع موتى</w:t>
      </w:r>
      <w:bookmarkEnd w:id="741"/>
    </w:p>
    <w:p>
      <w:pPr>
        <w:pStyle w:val="Heading5"/>
        <w:numPr>
          <w:ilvl w:val="4"/>
          <w:numId w:val="1"/>
        </w:numPr>
        <w:rPr/>
      </w:pPr>
      <w:bookmarkStart w:id="742" w:name="__RefHeading___Toc8089330_2142443653"/>
      <w:bookmarkStart w:id="743" w:name="_Toc279"/>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با توجه به انبوه آيات و رواياتى كه پيرامون حيات برزخى وجود دارد، وهابيان نتوانسته اند منكر حيات برزخى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ى بن باز</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ميت در قبر، مانند حيات دنيوى او نيست؛ بلكه يك حيات خاص برزخى است كه مانند زندگى دنيا به غذا و نوشيدنى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برزخى، نوعى حيات خاص</w:t>
      </w:r>
    </w:p>
    <w:p>
      <w:pPr>
        <w:pStyle w:val="BookText"/>
        <w:rPr/>
      </w:pPr>
      <w:r>
        <w:rPr>
          <w:rFonts w:ascii="IRNazanin" w:hAnsi="IRNazanin" w:eastAsia="IRNazanin"/>
          <w:color w:val="111111"/>
          <w:sz w:val="28"/>
          <w:sz w:val="28"/>
          <w:szCs w:val="28"/>
          <w:rtl w:val="true"/>
          <w:lang w:bidi="fa-IR"/>
        </w:rPr>
        <w:t>همراه با پرسش و پاسخ است كه روحش پس از آن پرسش و پاسخ، در صورت داشتن ايمان، به علّيّين مى رود و اگر از اهل جهنم باشد، روحش به جهنم مى رود</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وى در جاى ديگر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تكيه بر ضرورت دين و دلايل شرعى دانسته شد كه پيامبر گرامى اسلام صلى الله عليه و آله، در هر مكانى نيست؛ بلكه جسدش فقط در قبرش در مدينه مى باشد و روحش در رفيق اعلى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مسلمانان، اعم از صحابه و ديگران اجماع دارند كه پيامبر گرامى اسلام صلى الله عليه و آله در خانه ى عايشه و در مجاورت مسجد شريفش دفن شد و بدنش تا اين تاريخ در همان جاست؛ اما روح او و روح ديگر انبياء و مرسلين و روح مؤمنان ديگر، در بهشت است</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او در فتوايى ديگر معتقد است كه تنها تا اين اندازه كه مرده صداى كفش تشييع كنندگانش را مى شنود درست است و غير از اين، چيزى وجود ندارد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با نگاهى به محتواى سخنان وهابيان درباره ى حيات برزخى، مى توان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حيات برزخى از نظر وهابيان، حياتى بسيار محدود و خاص است كه پس از پرسش و پاسخ ابتدايى، فرد به بهشت و يا دوزخ مى رود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وهابيان به دليل رويكرد حس گرايانه شان، پنداشته اند كه مراد مسلمانان از ارتباط با مردگان، ارتباطى حسى است؛ درحالى كه هيچ يك از مذاهب اسلامى، چنين ديدگاهى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پيامبر گرامى اسلام صلى الله عليه و آله در خانه اش دفن شده است، مورد تأييد همه 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بايد به تفاوت ميان حيات ارواح و حيات مادى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جداى از اين دو ويژگى، آن چه بيش از هر چيز راه وهابيان را از مسلمانان جدا مى كند، ديدگاه آنان درباره ى سماع 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ى ديدگاه وهابيت درباره ى سماع موتى، در فتواى هيأت كبار العلماى عربستان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ان الأموات عموما لا يسمعون نداء الاحياء من بنى آدم ولا دعائهم،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انت بمسمع من فى القبور</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ولم يثبت فى الكتاب ولا فى السنة الصحيحة ما يدل على ان النبى صلى الله عليه وسلم يسمع كل دعاء او نداء من البشر حتى يكون ذلك خصوصية له</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اين هيأت كه بالاترين نهاد علمى وهابيان است، در فتواى ديگرى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مردگان اين است كه آنان نمى توانند صداى مردمى كه آن ها را خطاب مى كنند بشنوند و پاسخ آنان را بدهند و نمى توانند با هيچ انسانى سخن بگويند؛ هرچند مردگان پيامبر باشند؛ بلكه عمل آن ها با مرگشان قطع مى شود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به گفته ى بن باز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اهل سنت قائل به حيات برزخى در قبر براى امواتند؛ ولى اين بدان معنى نيست كه علم غيب مى دانند يا از امور اهل دنيا اطلاع دارند؛ بلكه اين امور با مرگ از آن ها منقطع شده است</w:t>
      </w:r>
      <w:r>
        <w:rPr>
          <w:rFonts w:eastAsia="IRNazanin" w:cs="IRNazanin"/>
          <w:color w:val="111111"/>
          <w:sz w:val="28"/>
          <w:szCs w:val="28"/>
          <w:rtl w:val="true"/>
          <w:lang w:bidi="fa-IR"/>
        </w:rPr>
        <w:t>».</w:t>
      </w:r>
      <w:r>
        <w:rPr>
          <w:rStyle w:val="FootnoteAnchor"/>
          <w:rtl w:val="true"/>
        </w:rPr>
        <w:footnoteReference w:id="89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ناصرالدين البانى كتابى را در همين زمينه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البينات فى عدم سماع</w:t>
      </w:r>
      <w:bookmarkStart w:id="744" w:name="pg15502_177485"/>
    </w:p>
    <w:p>
      <w:pPr>
        <w:pStyle w:val="BookText"/>
        <w:rPr/>
      </w:pPr>
      <w:bookmarkEnd w:id="744"/>
      <w:r>
        <w:rPr>
          <w:rFonts w:ascii="IRNazanin" w:hAnsi="IRNazanin" w:eastAsia="IRNazanin"/>
          <w:color w:val="111111"/>
          <w:sz w:val="28"/>
          <w:sz w:val="28"/>
          <w:szCs w:val="28"/>
          <w:rtl w:val="true"/>
          <w:lang w:bidi="fa-IR"/>
        </w:rPr>
        <w:t>الاموات</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تأليف كرده و كوشيده است با تكيه بر آراء و نظرات انديشمندان اسلامى، منكر شنيدن مردگان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اعتقاد نداشتن به سماع موتى را با مشروعيت نداشتن استعانت از ارواح برابر مى داند؛ اما بيش تر آن چه وى از علماى مذاهب اسلامى نقل مى كند، ناظر به ارتباط فيزيكى و مادى مردگان و زندگان است كه در اين نظريه اختلافى وجود ندارد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در فصل گذشته، به تفصيل حيات برزخى از منظر قرآن و حديث ثابت شد و گفته شد كه مردگان صداى زندگان را مى شنوند و حتى قادر به پاسخ گويى به زندگان هستند؛ اما محدوديت هاى مادى انسان، مانع شنيدن صداى آن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وهابيان با تمسك به ظاهر برخى آيات و روايات، منكر شنيدن مردگان شده اند كه در ادامه، دلايل ايشان بررسى و نقد خواهد شد</w:t>
      </w:r>
      <w:r>
        <w:rPr>
          <w:rFonts w:eastAsia="IRNazanin" w:cs="IRNazanin"/>
          <w:color w:val="111111"/>
          <w:sz w:val="28"/>
          <w:szCs w:val="28"/>
          <w:rtl w:val="true"/>
          <w:lang w:bidi="fa-IR"/>
        </w:rPr>
        <w:t>:</w:t>
      </w:r>
    </w:p>
    <w:p>
      <w:pPr>
        <w:pStyle w:val="Heading5"/>
        <w:numPr>
          <w:ilvl w:val="4"/>
          <w:numId w:val="1"/>
        </w:numPr>
        <w:rPr/>
      </w:pPr>
      <w:bookmarkStart w:id="745" w:name="__RefHeading___Toc8089332_2142443653"/>
      <w:bookmarkStart w:id="746" w:name="_Toc280"/>
      <w:bookmarkEnd w:id="745"/>
      <w:r>
        <w:rPr/>
        <w:t>1</w:t>
      </w:r>
      <w:r>
        <w:rPr>
          <w:rtl w:val="true"/>
        </w:rPr>
        <w:t>‏-‏</w:t>
      </w:r>
      <w:r>
        <w:rPr/>
        <w:t>3</w:t>
      </w:r>
      <w:r>
        <w:rPr>
          <w:rtl w:val="true"/>
        </w:rPr>
        <w:t xml:space="preserve"> - </w:t>
      </w:r>
      <w:r>
        <w:rPr>
          <w:rtl w:val="true"/>
        </w:rPr>
        <w:t>آيه ى سماع موتى</w:t>
      </w:r>
      <w:bookmarkEnd w:id="746"/>
    </w:p>
    <w:p>
      <w:pPr>
        <w:pStyle w:val="BookText"/>
        <w:rPr/>
      </w:pPr>
      <w:r>
        <w:rPr>
          <w:rFonts w:ascii="IRNazanin" w:hAnsi="IRNazanin" w:eastAsia="IRNazanin"/>
          <w:color w:val="111111"/>
          <w:sz w:val="28"/>
          <w:sz w:val="28"/>
          <w:szCs w:val="28"/>
          <w:rtl w:val="true"/>
          <w:lang w:bidi="fa-IR"/>
        </w:rPr>
        <w:t>يكى از آياتى كه وهابيان براى عدم قدرت مردگان براى شنيدن صداى زندگان به آن استدلال مى كنند، آيه ى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 وَ لاٰ تُسْمِعُ اَلصُّمَّ اَلدُّعٰاءَ إِذٰا وَلَّوْا مُدْبِرِينَ‌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كارشان را به خدا واگذار؛ زيرا آنان مردگان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نمى توانى سخن خود را به مردگان بشنوانى و آنان را هدايت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ناشنوايانى هستند كه تو از شنواندن و رساندن دعوتت به آنان ناتوانى؛ به ويژه آن گاه كه از تو روى برمى تابند و پشت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آيه با همين عبارات، در سوره ى روم، آيه 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با استناد به اين آيه ى شريفه كه خداوند فرموده است تو نمى توانى سخن خود را به مردگان بشنوانى، كوشيده اند ديدگاه خود را تأييد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گمراهى وهابيان در استدلال به اين آيه، ريشه در مبناى معنى شناسى آنان دارد؛ چون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معنى ظاهرى آن، يعنى كسانى كه روح از بدنشان مفارقت كرده است، حمل مى كنند؛</w:t>
      </w:r>
      <w:r>
        <w:rPr>
          <w:rStyle w:val="FootnoteAnchor"/>
          <w:rtl w:val="true"/>
        </w:rPr>
        <w:footnoteReference w:id="900"/>
      </w:r>
      <w:r>
        <w:rPr>
          <w:rFonts w:ascii="IRNazanin" w:hAnsi="IRNazanin" w:eastAsia="IRNazanin"/>
          <w:color w:val="111111"/>
          <w:sz w:val="28"/>
          <w:sz w:val="28"/>
          <w:szCs w:val="28"/>
          <w:rtl w:val="true"/>
          <w:lang w:bidi="fa-IR"/>
        </w:rPr>
        <w:t>اما در گذشته بيان شد كه تكيه بر معنى ظاهرى آيات، بدون توجه به قرائن و شواهد، موجب انحراف و گمراهى است و پى آمدهاى بسيار ناگوارى دارد و هرگز با منطق قرآن و ديدگاه مسلمانان سازگار نيست</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اين در حالى است كه قرائن و شواهد در اين آيه و آيات نزديك به آن، به خوبى نشان مى دهد كه مراد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معنى ظاهرى نيست؛ بلكه كفارى هستند كه قلوب آنان مرده است و بر چشم ها و گوش هايشان مهر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پيامبر گرامى اسلام صلى الله عليه و آله نمى تواند به آنان چيزى بشنواند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بعد قرينه ى محكمى بر اين تفسير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بِهٰادِي اَلْعُمْيِ عَنْ ضَلاٰلَتِهِمْ إِنْ تُسْمِعُ إِلاّٰ مَنْ يُؤْمِنُ بِآيٰاتِنٰا فَهُمْ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كورند و به بى راهه مى روند و تو نمى توانى كوران را راه بنمايى و آنان را از گم راهى باز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مى توانى سخنت را به كسانى بشنوانى و آنان را هدايت كنى كه در آيات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بيان گر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بينديشند و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كه در برابر ما تسليم مى شوند و ايمان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ى شريفه كفار را به نابينايان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درمجموع، آيات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نمل، مردم را به چهار گروه تقسيم مى كنند</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گروه مردگان كه هيچ حقيقتى را درك نمى كنند؛ هرچند در ظاهر زنده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لاٰ تُسْمِعُ اَلْمَوْتىٰ‌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ناشنوايان كه آمادگى شنيدن سخن حق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تُسْمِعُ اَلصُّمَّ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از ديدن چهره ى حق محرومند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بِهٰادِ اَلْعُمْيِ عَنْ ضَلاٰلَتِهِمْ‌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واقعى كه دل هايى دانا، گوش هايى شنوا و چشمانى بينا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يُؤْمِنُ بِآيٰاتِنٰا فَهُمْ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ديده مى شود، قرآن براى فهم بيش تر مخاطب، از روش تمثيل يا تشبيه معقول به محسوس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كافران در عدم پذيرش حق، به مردگان تشبيه شده اند تا براى انسان ها بهتر قابل 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شكى نيست كه مراد از شنواندن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پذيرفتن است؛ چراكه مشركين و كفار از نظر ظاهرى قدرت شنيدن دارند و پيامبر گرامى اسلام صلى الله عليه و آله مى تواند صداى خود را به گوش آنان برساند؛ اما شنيدن غير از پذيرفتن است و خداوند در اين آيه ى شريفه به پيامبر خود صلى الله عليه و 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هرچند در ظاهر مى شنوند، اما سخن تو را نمى پذيرند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ى ديگرى كه نشان مى دهد مراد از موتى در اين آيه ى شريفه، كفارند و مراد از شنيدن، پذيرفتن است، بخش ديگرى از آيه است كه شنيدن را صرفاً مخصوص مؤمنان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خداوند به پيامبرش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توانى به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بشنوانى؛ اما در ادامه ى آيه بيان مى كند كه تنها مؤمنان صداى تو را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آيه نه تنها مراد از شنيدن پذيرفتن است، بلكه مراد از موتى نيز كفار</w:t>
      </w:r>
    </w:p>
    <w:p>
      <w:pPr>
        <w:pStyle w:val="BookText"/>
        <w:rPr/>
      </w:pPr>
      <w:r>
        <w:rPr>
          <w:rFonts w:ascii="IRNazanin" w:hAnsi="IRNazanin" w:eastAsia="IRNazanin"/>
          <w:color w:val="111111"/>
          <w:sz w:val="28"/>
          <w:sz w:val="28"/>
          <w:szCs w:val="28"/>
          <w:rtl w:val="true"/>
          <w:lang w:bidi="fa-IR"/>
        </w:rPr>
        <w:t>است و سماع هم به مؤمنان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تقابلى نشان گر اين واقعيت است كه مراد خداوند از موتى در اين آيه ى شريفه، كفار و مشركان هستند كه نمى توانند بشنوند؛ و كسانى كه قدرت شنيدن و پذيرفتن سخن پيامبر گرامى اسلام صلى الله عليه و آله را دارند، مؤمنان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تر مفسران اهل سنت نيز با توجه به قرائن قرآنى، چنين تفسيرى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كسانى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w:t>
      </w:r>
      <w:r>
        <w:rPr>
          <w:rStyle w:val="FootnoteAnchor"/>
          <w:rtl w:val="true"/>
        </w:rPr>
        <w:footnoteReference w:id="903"/>
      </w:r>
      <w:r>
        <w:rPr>
          <w:rFonts w:ascii="Amiri" w:hAnsi="Amiri" w:eastAsia="Amiri" w:cs="Amiri"/>
          <w:color w:val="111111"/>
          <w:sz w:val="28"/>
          <w:sz w:val="28"/>
          <w:szCs w:val="28"/>
          <w:rtl w:val="true"/>
          <w:lang w:bidi="ar-SA"/>
        </w:rPr>
        <w:t>شوكانى،</w:t>
      </w:r>
      <w:r>
        <w:rPr>
          <w:rStyle w:val="FootnoteAnchor"/>
          <w:rtl w:val="true"/>
        </w:rPr>
        <w:footnoteReference w:id="904"/>
      </w:r>
      <w:r>
        <w:rPr>
          <w:rFonts w:ascii="Amiri" w:hAnsi="Amiri" w:eastAsia="Amiri" w:cs="Amiri"/>
          <w:color w:val="111111"/>
          <w:sz w:val="28"/>
          <w:sz w:val="28"/>
          <w:szCs w:val="28"/>
          <w:rtl w:val="true"/>
          <w:lang w:bidi="ar-SA"/>
        </w:rPr>
        <w:t>شنقيطى</w:t>
      </w:r>
      <w:r>
        <w:rPr>
          <w:rStyle w:val="FootnoteAnchor"/>
          <w:rtl w:val="true"/>
        </w:rPr>
        <w:footnoteReference w:id="905"/>
      </w:r>
      <w:r>
        <w:rPr>
          <w:rFonts w:ascii="Amiri" w:hAnsi="Amiri" w:eastAsia="Amiri" w:cs="Amiri"/>
          <w:color w:val="111111"/>
          <w:sz w:val="28"/>
          <w:sz w:val="28"/>
          <w:szCs w:val="28"/>
          <w:rtl w:val="true"/>
          <w:lang w:bidi="ar-SA"/>
        </w:rPr>
        <w:t>و ابوبكر جزايرى</w:t>
      </w:r>
      <w:r>
        <w:rPr>
          <w:rStyle w:val="FootnoteAnchor"/>
          <w:rtl w:val="true"/>
        </w:rPr>
        <w:footnoteReference w:id="906"/>
      </w:r>
      <w:r>
        <w:rPr>
          <w:rFonts w:ascii="IRNazanin" w:hAnsi="IRNazanin" w:eastAsia="IRNazanin"/>
          <w:color w:val="111111"/>
          <w:sz w:val="28"/>
          <w:sz w:val="28"/>
          <w:szCs w:val="28"/>
          <w:rtl w:val="true"/>
          <w:lang w:bidi="fa-IR"/>
        </w:rPr>
        <w:t>كه گرايش هاى سلفى دارند و اين ديدگاه را تأييد كرده اند، افرادى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w:t>
      </w:r>
      <w:r>
        <w:rPr>
          <w:rStyle w:val="FootnoteAnchor"/>
          <w:rtl w:val="true"/>
        </w:rPr>
        <w:footnoteReference w:id="907"/>
      </w:r>
      <w:r>
        <w:rPr>
          <w:rFonts w:ascii="IRNazanin" w:hAnsi="IRNazanin" w:eastAsia="IRNazanin"/>
          <w:color w:val="111111"/>
          <w:sz w:val="28"/>
          <w:sz w:val="28"/>
          <w:szCs w:val="28"/>
          <w:rtl w:val="true"/>
          <w:lang w:bidi="fa-IR"/>
        </w:rPr>
        <w:t>طبرى</w:t>
      </w:r>
      <w:r>
        <w:rPr>
          <w:rStyle w:val="FootnoteAnchor"/>
          <w:rtl w:val="true"/>
        </w:rPr>
        <w:footnoteReference w:id="908"/>
      </w:r>
      <w:r>
        <w:rPr>
          <w:rFonts w:ascii="IRNazanin" w:hAnsi="IRNazanin" w:eastAsia="IRNazanin"/>
          <w:color w:val="111111"/>
          <w:sz w:val="28"/>
          <w:sz w:val="28"/>
          <w:szCs w:val="28"/>
          <w:rtl w:val="true"/>
          <w:lang w:bidi="fa-IR"/>
        </w:rPr>
        <w:t>و فخر رازى اين تفسير را پذيرفته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برخى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البانى كه در برابر اتقان دليل ناتوان شده اند، شبهه اى را مطرح كرده اند و آن اين كه هرچند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كفارند، اما اين آيه كفار را از جهت عدم قدرت در شنيدن، به اموات تشبيه كرده است و بنابراين، اموات به طريق اولى چنين قدرتى ندارند</w:t>
      </w:r>
      <w:r>
        <w:rPr>
          <w:rFonts w:eastAsia="IRNazanin" w:cs="IRNazanin"/>
          <w:color w:val="111111"/>
          <w:sz w:val="28"/>
          <w:szCs w:val="28"/>
          <w:rtl w:val="true"/>
          <w:lang w:bidi="fa-IR"/>
        </w:rPr>
        <w:t>.</w:t>
      </w:r>
      <w:r>
        <w:rPr>
          <w:rStyle w:val="FootnoteAnchor"/>
          <w:rtl w:val="true"/>
        </w:rPr>
        <w:footnoteReference w:id="90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شبهه را ابن قيم كه از بنيان گذاران انديشه ى سلفى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وى</w:t>
      </w:r>
      <w:r>
        <w:rPr>
          <w:rFonts w:eastAsia="IRNazanin" w:cs="IRNazanin"/>
          <w:color w:val="111111"/>
          <w:sz w:val="28"/>
          <w:szCs w:val="28"/>
          <w:rtl w:val="true"/>
          <w:lang w:bidi="fa-IR"/>
        </w:rPr>
        <w:t>:</w:t>
      </w:r>
      <w:bookmarkStart w:id="747" w:name="pg15502_177489"/>
    </w:p>
    <w:p>
      <w:pPr>
        <w:pStyle w:val="BookText"/>
        <w:rPr/>
      </w:pPr>
      <w:bookmarkEnd w:id="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بر كافرى دلالت دارد كه قلبش مرده است؛ به گونه اى كه نمى توانى حقايق را به او برسانى تا از آن بهره مند شود؛ همان گونه كه نمى توانى به كسانى كه در قبرند، چيزى بشنوانى، به گونه اى كه نفع برند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بنابراين، وجه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مردگان و كفار 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موعظه ها و هدايت هاى پيامبر گرامى اسلام صلى الله عليه و آله در مردگان اثرى ندارد و آنان پس از مرگ نمى توانند هدايت شوند و يا از سخنان پيامبر گرامى اسلام صلى الله عليه و آله براى تشخيص مسير درست استفاده كنند و فرصتشان پايان يافته است، كفار نيز از اين نظر شبيه به مردگان اند؛ يعنى هرچه بر آنان پند و موعظه ارائه كنى و آنان را به پذيرش راه حق دعوت نمايى، نمى پذيرند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مشكل ديگر البانى در اين شبهه، ظاهرگرايى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كرده است؛ درحالى كه وجه شبه، هرگز معنى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اگر مراد از شنيدن، معنى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بى شك هيچ شباهتى ميان مردگان و كفار وجود ندارد؛ چون كفار داراى اندام حسى شنوايى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صداى پيامبر صلى الله عليه و آله را از طريق ارتعاشات پرده ى گوش مى شنيدند؛ درحالى كه اندام حسى شنوايى مردگان، از كار افتاده است و آنان قدرت شنيدن ظاهرى ندارند</w:t>
      </w:r>
      <w:r>
        <w:rPr>
          <w:rFonts w:eastAsia="IRNazanin" w:cs="IRNazanin"/>
          <w:color w:val="111111"/>
          <w:sz w:val="28"/>
          <w:szCs w:val="28"/>
          <w:rtl w:val="true"/>
          <w:lang w:bidi="fa-IR"/>
        </w:rPr>
        <w:t>.</w:t>
      </w:r>
    </w:p>
    <w:p>
      <w:pPr>
        <w:pStyle w:val="Heading5"/>
        <w:numPr>
          <w:ilvl w:val="4"/>
          <w:numId w:val="1"/>
        </w:numPr>
        <w:rPr/>
      </w:pPr>
      <w:bookmarkStart w:id="748" w:name="__RefHeading___Toc8089334_2142443653"/>
      <w:bookmarkStart w:id="749" w:name="_Toc281"/>
      <w:bookmarkEnd w:id="748"/>
      <w:r>
        <w:rPr/>
        <w:t>2</w:t>
      </w:r>
      <w:r>
        <w:rPr>
          <w:rtl w:val="true"/>
        </w:rPr>
        <w:t>‏-‏</w:t>
      </w:r>
      <w:r>
        <w:rPr/>
        <w:t>3</w:t>
      </w:r>
      <w:r>
        <w:rPr>
          <w:rtl w:val="true"/>
        </w:rPr>
        <w:t xml:space="preserve"> - </w:t>
      </w:r>
      <w:r>
        <w:rPr>
          <w:rtl w:val="true"/>
        </w:rPr>
        <w:t>آيه ى سماع اهل قبور</w:t>
      </w:r>
      <w:bookmarkEnd w:id="74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وهابيان كه به دليل اول بسيار شباهت دارد، آيه ى شريفه ى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اَلْأَحْيٰاءُ وَ لاَ اَلْأَمْوٰاتُ إِنَّ اَللّٰهَ يُسْمِعُ مَنْ يَشٰاءُ وَ مٰا أَنْتَ بِمُسْمِعٍ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زنده دلان اند و كافران دل مردگان؛ و هيچ گاه زندگان و مردگان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حق را به هركه بخواهد مى شنواند و او را هدايت مى كند؛ و تو اى پيامبر صلى الله عليه و آله، نمى توانى به كسانى كه چون مردگان در قبرها مدفون اند، حقيقت را بشنوانى و آنان را هدايت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اين آيه ى شريفه را نيز همانند آيه ى اول، دليلى بر عدم قدرت مردگان بر شنيدن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لجنة الدائمة للافتاء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قدرت نداشتن مردگان بر شنيدن، به صراحت به اين آيه استدلال كرده است؛</w:t>
      </w:r>
      <w:r>
        <w:rPr>
          <w:rStyle w:val="FootnoteAnchor"/>
          <w:rtl w:val="true"/>
        </w:rPr>
        <w:footnoteReference w:id="912"/>
      </w:r>
      <w:r>
        <w:rPr>
          <w:rFonts w:ascii="IRNazanin" w:hAnsi="IRNazanin" w:eastAsia="IRNazanin"/>
          <w:color w:val="111111"/>
          <w:sz w:val="28"/>
          <w:sz w:val="28"/>
          <w:szCs w:val="28"/>
          <w:rtl w:val="true"/>
          <w:lang w:bidi="fa-IR"/>
        </w:rPr>
        <w:t>اما اين آيه ى شريفه نيز همانند آيه ى اول، كنايه از كفار است كه همانند مردگان، قدرت پذيرفتن كلام حق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 بمسمع من فى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وجود ندارد و مراد از هر دو، همان مردگان اند كه در اين جا كفار به آن ها تشبيه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ى كسانى را كه در قبرها هستند، برمى 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خداوند به مردگان داخل قبور تصريح كرده است، اما مراد وى جميع مردگان است؛ اعم از آنان كه دفن شده اند و آنانى كه بدن هايشان دفن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ازسوى ديگر، در همين سوره تشبيه هاى ديگرى نيز وجود دارد كه اين تشبيه نيز در راستاى آن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ى نوزدهم، خداوند كافران و مؤمنان را به كور و بينا تشبيه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اَلْأَعْمىٰ وَ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كافران كورند و مؤمنان بينا؛ و كور و بينا برابر نيستند</w:t>
      </w:r>
      <w:r>
        <w:rPr>
          <w:rFonts w:eastAsia="Amiri" w:cs="Amiri" w:ascii="Amiri" w:hAnsi="Amiri"/>
          <w:color w:val="111111"/>
          <w:sz w:val="28"/>
          <w:szCs w:val="28"/>
          <w:rtl w:val="true"/>
          <w:lang w:bidi="ar-SA"/>
        </w:rPr>
        <w:t>».</w:t>
      </w:r>
      <w:bookmarkStart w:id="750" w:name="pg15502_177491"/>
    </w:p>
    <w:p>
      <w:pPr>
        <w:pStyle w:val="BookText"/>
        <w:rPr/>
      </w:pPr>
      <w:bookmarkEnd w:id="750"/>
      <w:r>
        <w:rPr>
          <w:rFonts w:ascii="IRNazanin" w:hAnsi="IRNazanin" w:eastAsia="IRNazanin"/>
          <w:color w:val="111111"/>
          <w:sz w:val="28"/>
          <w:sz w:val="28"/>
          <w:szCs w:val="28"/>
          <w:rtl w:val="true"/>
          <w:lang w:bidi="fa-IR"/>
        </w:rPr>
        <w:t>خداوند در ابتداى آيه ى مورد نظر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 و مردگان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اتفاق همه ى مفسران، مراد خداوند از اين عبارات، كفار و مؤمنان است</w:t>
      </w:r>
      <w:r>
        <w:rPr>
          <w:rFonts w:eastAsia="IRNazanin" w:cs="IRNazanin"/>
          <w:color w:val="111111"/>
          <w:sz w:val="28"/>
          <w:szCs w:val="28"/>
          <w:rtl w:val="true"/>
          <w:lang w:bidi="fa-IR"/>
        </w:rPr>
        <w:t>.</w:t>
      </w:r>
    </w:p>
    <w:p>
      <w:pPr>
        <w:pStyle w:val="Heading5"/>
        <w:numPr>
          <w:ilvl w:val="4"/>
          <w:numId w:val="1"/>
        </w:numPr>
        <w:rPr/>
      </w:pPr>
      <w:bookmarkStart w:id="751" w:name="__RefHeading___Toc8089336_2142443653"/>
      <w:bookmarkStart w:id="752" w:name="_Toc282"/>
      <w:bookmarkEnd w:id="751"/>
      <w:r>
        <w:rPr/>
        <w:t>3</w:t>
      </w:r>
      <w:r>
        <w:rPr>
          <w:rtl w:val="true"/>
        </w:rPr>
        <w:t>‏-‏</w:t>
      </w:r>
      <w:r>
        <w:rPr/>
        <w:t>3</w:t>
      </w:r>
      <w:r>
        <w:rPr>
          <w:rtl w:val="true"/>
        </w:rPr>
        <w:t xml:space="preserve"> - </w:t>
      </w:r>
      <w:r>
        <w:rPr>
          <w:rtl w:val="true"/>
        </w:rPr>
        <w:t>استدلال به حديث انقطاع عمل</w:t>
      </w:r>
      <w:bookmarkEnd w:id="752"/>
    </w:p>
    <w:p>
      <w:pPr>
        <w:pStyle w:val="BookText"/>
        <w:rPr/>
      </w:pPr>
      <w:r>
        <w:rPr>
          <w:rFonts w:ascii="IRNazanin" w:hAnsi="IRNazanin" w:eastAsia="IRNazanin"/>
          <w:color w:val="111111"/>
          <w:sz w:val="28"/>
          <w:sz w:val="28"/>
          <w:szCs w:val="28"/>
          <w:rtl w:val="true"/>
          <w:lang w:bidi="fa-IR"/>
        </w:rPr>
        <w:t>حديثى از پيامبر گرامى اسلام صلى الله عليه و آله نقل شده است كه ايشان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وولد صالح يدعو له، وعلم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فرزند آدم از دنيا مى رود، عملش قطع مى شود، جز در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اى كه ادامه دارد؛ فرزند صالحى كه براى او دعا مى كند و علمى كه فايده اش به ديگران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بر اساس اين حديث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ميت با دنيا قطع مى شود، مگر در همين سه چيزى كه در حديث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اين استدلال نيز به خوبى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كه اين روايت مربوط به حوزه ى اعمال است و همه ى مسلمانان معتقدند كه تنها دنيا جولان گاه عمل است و هنگامى كه انسان از دنيا رفت، ديگر براى انجام اعمال فرصتى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كفار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كفرپيشگان هم چنان به كفر خود ادامه مى دهند و به ثروت خود مغرورند؛ تا آن گاه كه مرگ به سراغ يكى از آنان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به درگاه خدا استغاثه مى كند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 دهد و به فرشتگان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دنيا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گردم، شايد در ثروتى كه از خود بر جاى نهاده ام، كارى شايسته كنم و آن ها را براى خشنودى خدا</w:t>
      </w:r>
      <w:bookmarkStart w:id="753" w:name="pg15502_177492"/>
    </w:p>
    <w:p>
      <w:pPr>
        <w:pStyle w:val="BookText"/>
        <w:rPr/>
      </w:pPr>
      <w:bookmarkEnd w:id="753"/>
      <w:r>
        <w:rPr>
          <w:rFonts w:ascii="IRNazanin" w:hAnsi="IRNazanin" w:eastAsia="IRNazanin"/>
          <w:color w:val="111111"/>
          <w:sz w:val="28"/>
          <w:sz w:val="28"/>
          <w:szCs w:val="28"/>
          <w:rtl w:val="true"/>
          <w:lang w:bidi="fa-IR"/>
        </w:rPr>
        <w:t>انفاق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درخواستِ بازگشت بى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اين سخن را بر زبان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فراروى آدميان پس از مرگ، جهانى است ميان دنيا و آخرت تا روزى كه برانگيخته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علت تشبيه كفار به مردگان در سوره ى نمل و فاطر، همان ناتوانى مردگان در امتثال اوامر و نواهى و پذيرش هدايت پيامبر گرامى اسلام صلى الله عليه و آله بود و ناگفته پيداست كه ميان شنيدن و عمل، تفاوت بسيار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اين روايت نمى تواند با انبوه آيات و روايات درباره ى سماع موتى و حيات برزخى معارضه كند و همان گونه كه گفته شد، ازآن جاكه پيرامون حوزه ى عمل است، تعارضى نيز با اين روايات ندارد</w:t>
      </w:r>
      <w:r>
        <w:rPr>
          <w:rFonts w:eastAsia="IRNazanin" w:cs="IRNazanin"/>
          <w:color w:val="111111"/>
          <w:sz w:val="28"/>
          <w:szCs w:val="28"/>
          <w:rtl w:val="true"/>
          <w:lang w:bidi="fa-IR"/>
        </w:rPr>
        <w:t>.</w:t>
      </w:r>
    </w:p>
    <w:p>
      <w:pPr>
        <w:pStyle w:val="Heading4"/>
        <w:numPr>
          <w:ilvl w:val="3"/>
          <w:numId w:val="1"/>
        </w:numPr>
        <w:rPr/>
      </w:pPr>
      <w:bookmarkStart w:id="754" w:name="__RefHeading___Toc8089338_2142443653"/>
      <w:bookmarkStart w:id="755" w:name="_Toc283"/>
      <w:bookmarkEnd w:id="754"/>
      <w:r>
        <w:rPr/>
        <w:t>4</w:t>
      </w:r>
      <w:r>
        <w:rPr>
          <w:rtl w:val="true"/>
        </w:rPr>
        <w:t xml:space="preserve"> - </w:t>
      </w:r>
      <w:r>
        <w:rPr>
          <w:rtl w:val="true"/>
        </w:rPr>
        <w:t>نظر عايشه</w:t>
      </w:r>
      <w:bookmarkEnd w:id="755"/>
    </w:p>
    <w:p>
      <w:pPr>
        <w:pStyle w:val="BookText"/>
        <w:rPr/>
      </w:pPr>
      <w:r>
        <w:rPr>
          <w:rFonts w:ascii="IRNazanin" w:hAnsi="IRNazanin" w:eastAsia="IRNazanin"/>
          <w:color w:val="111111"/>
          <w:sz w:val="28"/>
          <w:sz w:val="28"/>
          <w:szCs w:val="28"/>
          <w:rtl w:val="true"/>
          <w:lang w:bidi="fa-IR"/>
        </w:rPr>
        <w:t xml:space="preserve">نسائى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سخنى از عايشه نقل مى كند كه وى واقعه ى سخن گفتن پيامبر با كشتگان بدر را توهمى از سوى راوى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عايشه، پيامبر گرامى اسلام صلى الله عليه و آله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ليسمعون الان ما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ليعلمون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كشتگان كفار اكنون مى دانند، نه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براى اثبات سخن خود، به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تُسْمِعُ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بِمُسْمِعٍ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 كند</w:t>
      </w:r>
      <w:r>
        <w:rPr>
          <w:rStyle w:val="FootnoteAnchor"/>
          <w:rtl w:val="true"/>
        </w:rPr>
        <w:footnoteReference w:id="914"/>
      </w:r>
      <w:r>
        <w:rPr>
          <w:rFonts w:ascii="Amiri" w:hAnsi="Amiri" w:eastAsia="Amiri" w:cs="Amiri"/>
          <w:color w:val="111111"/>
          <w:sz w:val="28"/>
          <w:sz w:val="28"/>
          <w:szCs w:val="28"/>
          <w:rtl w:val="true"/>
          <w:lang w:bidi="ar-SA"/>
        </w:rPr>
        <w:t>و در نتيجه، سماع موتى را انكار مى كند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ديدگاه مورد تأييد وهابيان نيست و چندان بر اين نظر عايشه تأكيد نمى كنند و چنان كه خواهد آمد، شنيدن كشته هاى بدر را معجزه اى مى دانند كه فقط پيامبر گرامى اسلام صلى الله عليه و آله قادر به انجام آن بوده است؛ اما درمجموع، نظر عايشه از چند جهت قابل بررسى است</w:t>
      </w:r>
      <w:r>
        <w:rPr>
          <w:rFonts w:eastAsia="IRNazanin" w:cs="IRNazanin"/>
          <w:color w:val="111111"/>
          <w:sz w:val="28"/>
          <w:szCs w:val="28"/>
          <w:rtl w:val="true"/>
          <w:lang w:bidi="fa-IR"/>
        </w:rPr>
        <w:t>:</w:t>
      </w:r>
    </w:p>
    <w:p>
      <w:pPr>
        <w:pStyle w:val="BookText"/>
        <w:rPr/>
      </w:pPr>
      <w:r>
        <w:rPr>
          <w:rStyle w:val="FootnoteAnchor"/>
          <w:rtl w:val="true"/>
        </w:rPr>
        <w:footnoteReference w:id="915"/>
      </w:r>
      <w:r>
        <w:rPr>
          <w:rFonts w:ascii="IRNazanin" w:hAnsi="IRNazanin" w:eastAsia="IRNazanin"/>
          <w:color w:val="111111"/>
          <w:sz w:val="28"/>
          <w:sz w:val="28"/>
          <w:szCs w:val="28"/>
          <w:rtl w:val="true"/>
          <w:lang w:bidi="fa-IR"/>
        </w:rPr>
        <w:t xml:space="preserve">عايشه، مستند سخن خود را بيان كرده است و چنان كه گفته شد، تقريباً ديدگاه همه ى علماى اسلامى و قراين موجود در آيات يادشده، ناقض نظريه ى عايشه اند؛ چراكه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فى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كفارند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با توجه به روايات و آياتى كه در زمينه ى سماع موتى وجود دارد، ديدگاه عايشه نمى تواند با آيات و روايات معارضه كند؛ به ويژه آن كه اصل حديث در مصادر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نظر عايشه اجتهاد در برابر نص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 xml:space="preserve">اگر پذيرفته شود كه پيامبر گرامى اسلام صلى الله عليه و آله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را براى مردگان ثابت كرده است؛ در اين صورت، اگر مردگان عالم باشند، بى ترديد قدرت شنيدن نيز دارند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استناد چنين سخنى به عايشه درست باشد، وى بعدها از نظر خود برگشته است؛ زيرا در منابع بسيارى از اهل سنت، از عايشه نقل شده است كه مى گفت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وارد حجره ام مى شدم كه در آن پيامبر گرامى اسلام صلى الله عليه و آله و پدرم دفن شده بودند، خود را نمى پوشاندم و با خودم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پدرم و ديگرى شوهرم است؛ اما هنگامى كه عمر در كنار آن ها دفن شد، به خدا قسم داخل در حجره نشدم، مگر اين كه به سبب حياى از عمر، خود را در حجاب پوشانده بودم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گفته ى عايشه، به خوبى مى توان دريافت كه وى معتقد به فهم و درك اموات بوده است و به همين دليل، پس از دفن عمر، خود را در حجره مى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ابن قيم از ابن ابى الدنيا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مى كند كه عايشه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يزور قبر أخيه ويجلس عنده إلا استأنس به ورد عليه حتى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مردى نيست كه قبر برادرش را زيارت كند و نزد قبر او بنشيند، مگر با او انس بگيرد و پاسخش را بدهد تا هنگامى كه از كنار قبر برخيزد و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به همين دليل بود كه عايشه براى زيارت قبر برادر خود، به مكه رفت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افرادى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شنقيطى،</w:t>
      </w:r>
      <w:r>
        <w:rPr>
          <w:rStyle w:val="FootnoteAnchor"/>
          <w:rtl w:val="true"/>
        </w:rPr>
        <w:footnoteReference w:id="919"/>
      </w:r>
      <w:r>
        <w:rPr>
          <w:rFonts w:ascii="Amiri" w:hAnsi="Amiri" w:eastAsia="Amiri" w:cs="Amiri"/>
          <w:color w:val="111111"/>
          <w:sz w:val="28"/>
          <w:sz w:val="28"/>
          <w:szCs w:val="28"/>
          <w:rtl w:val="true"/>
          <w:lang w:bidi="ar-SA"/>
        </w:rPr>
        <w:t>ابن تيميه،</w:t>
      </w:r>
      <w:r>
        <w:rPr>
          <w:rStyle w:val="FootnoteAnchor"/>
          <w:rtl w:val="true"/>
        </w:rPr>
        <w:footnoteReference w:id="920"/>
      </w:r>
      <w:r>
        <w:rPr>
          <w:rFonts w:ascii="IRNazanin" w:hAnsi="IRNazanin" w:eastAsia="IRNazanin"/>
          <w:color w:val="111111"/>
          <w:sz w:val="28"/>
          <w:sz w:val="28"/>
          <w:szCs w:val="28"/>
          <w:rtl w:val="true"/>
          <w:lang w:bidi="fa-IR"/>
        </w:rPr>
        <w:t>ابن رجب حنبلى</w:t>
      </w:r>
      <w:r>
        <w:rPr>
          <w:rStyle w:val="FootnoteAnchor"/>
          <w:rtl w:val="true"/>
        </w:rPr>
        <w:footnoteReference w:id="921"/>
      </w:r>
      <w:r>
        <w:rPr>
          <w:rFonts w:ascii="Amiri" w:hAnsi="Amiri" w:eastAsia="Amiri" w:cs="Amiri"/>
          <w:color w:val="111111"/>
          <w:sz w:val="28"/>
          <w:sz w:val="28"/>
          <w:szCs w:val="28"/>
          <w:rtl w:val="true"/>
          <w:lang w:bidi="ar-SA"/>
        </w:rPr>
        <w:t>و ابن قيم</w:t>
      </w:r>
      <w:r>
        <w:rPr>
          <w:rStyle w:val="FootnoteAnchor"/>
          <w:rtl w:val="true"/>
        </w:rPr>
        <w:footnoteReference w:id="922"/>
      </w:r>
      <w:r>
        <w:rPr>
          <w:rFonts w:ascii="IRNazanin" w:hAnsi="IRNazanin" w:eastAsia="IRNazanin"/>
          <w:color w:val="111111"/>
          <w:sz w:val="28"/>
          <w:sz w:val="28"/>
          <w:szCs w:val="28"/>
          <w:rtl w:val="true"/>
          <w:lang w:bidi="fa-IR"/>
        </w:rPr>
        <w:t>كه بيش تر آن ها چهره هاى شناخته شده ى سلفى اند نيز با اين ديدگاه عايشه به مخالفت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كه گفته شد، خود عايشه بعدها از اين ديدگاه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 توان عدم سماع موتى را به او نسبت داد</w:t>
      </w:r>
      <w:r>
        <w:rPr>
          <w:rFonts w:eastAsia="IRNazanin" w:cs="IRNazanin"/>
          <w:color w:val="111111"/>
          <w:sz w:val="28"/>
          <w:szCs w:val="28"/>
          <w:rtl w:val="true"/>
          <w:lang w:bidi="fa-IR"/>
        </w:rPr>
        <w:t>.</w:t>
      </w:r>
      <w:bookmarkStart w:id="756" w:name="pg15502_177495"/>
    </w:p>
    <w:p>
      <w:pPr>
        <w:pStyle w:val="Heading4"/>
        <w:numPr>
          <w:ilvl w:val="3"/>
          <w:numId w:val="1"/>
        </w:numPr>
        <w:rPr/>
      </w:pPr>
      <w:bookmarkStart w:id="757" w:name="__RefHeading___Toc8089340_2142443653"/>
      <w:bookmarkStart w:id="758" w:name="_Toc284"/>
      <w:bookmarkEnd w:id="756"/>
      <w:bookmarkEnd w:id="757"/>
      <w:r>
        <w:rPr/>
        <w:t>5</w:t>
      </w:r>
      <w:r>
        <w:rPr>
          <w:rtl w:val="true"/>
        </w:rPr>
        <w:t xml:space="preserve"> - </w:t>
      </w:r>
      <w:r>
        <w:rPr>
          <w:rtl w:val="true"/>
        </w:rPr>
        <w:t>وهابيت، سماع موتى و چالش هاى درونى</w:t>
      </w:r>
      <w:bookmarkEnd w:id="758"/>
    </w:p>
    <w:p>
      <w:pPr>
        <w:pStyle w:val="Heading5"/>
        <w:numPr>
          <w:ilvl w:val="4"/>
          <w:numId w:val="1"/>
        </w:numPr>
        <w:rPr/>
      </w:pPr>
      <w:bookmarkStart w:id="759" w:name="__RefHeading___Toc8089342_2142443653"/>
      <w:bookmarkStart w:id="760" w:name="_Toc285"/>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يكى از مهم ترين اختلافات ميان بنيان گذاران انديشه ى سلفى و جريان هاى معاصر آن، اختلاف نظر در مسأله ى سماع موتى و تلقى آنان از حيات برزخى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ابن تيميه و ابن قيم، بى شك مهم ترين نقش را در ايجاد مكتب سلفى گرى ايفا كرده اند، درباره ى حيات برزخى و سماع موتى، ديدگاهى كاملاً متفاوت با انديشه ى وهابيان درپيش گرفته اند و وهابيان در اين عرصه، نه تنها با مسلمانان ديگر، بلكه با رهبران خود نيز مخالفند</w:t>
      </w:r>
      <w:r>
        <w:rPr>
          <w:rFonts w:eastAsia="IRNazanin" w:cs="IRNazanin"/>
          <w:color w:val="111111"/>
          <w:sz w:val="28"/>
          <w:szCs w:val="28"/>
          <w:rtl w:val="true"/>
          <w:lang w:bidi="fa-IR"/>
        </w:rPr>
        <w:t>.</w:t>
      </w:r>
    </w:p>
    <w:p>
      <w:pPr>
        <w:pStyle w:val="Heading5"/>
        <w:numPr>
          <w:ilvl w:val="4"/>
          <w:numId w:val="1"/>
        </w:numPr>
        <w:rPr/>
      </w:pPr>
      <w:bookmarkStart w:id="761" w:name="__RefHeading___Toc8089344_2142443653"/>
      <w:bookmarkStart w:id="762" w:name="_Toc286"/>
      <w:bookmarkEnd w:id="761"/>
      <w:r>
        <w:rPr/>
        <w:t>1</w:t>
      </w:r>
      <w:r>
        <w:rPr>
          <w:rtl w:val="true"/>
        </w:rPr>
        <w:t>‏-‏</w:t>
      </w:r>
      <w:r>
        <w:rPr/>
        <w:t>5</w:t>
      </w:r>
      <w:r>
        <w:rPr>
          <w:rtl w:val="true"/>
        </w:rPr>
        <w:t xml:space="preserve"> - </w:t>
      </w:r>
      <w:r>
        <w:rPr>
          <w:rtl w:val="true"/>
        </w:rPr>
        <w:t>ابن تيميه و سماع موتى</w:t>
      </w:r>
      <w:bookmarkEnd w:id="762"/>
    </w:p>
    <w:p>
      <w:pPr>
        <w:pStyle w:val="BookText"/>
        <w:rPr/>
      </w:pPr>
      <w:r>
        <w:rPr>
          <w:rFonts w:ascii="IRNazanin" w:hAnsi="IRNazanin" w:eastAsia="IRNazanin"/>
          <w:color w:val="111111"/>
          <w:sz w:val="28"/>
          <w:sz w:val="28"/>
          <w:szCs w:val="28"/>
          <w:rtl w:val="true"/>
          <w:lang w:bidi="fa-IR"/>
        </w:rPr>
        <w:t>عالم برزخ در انديشه ى ابن تيميه با افت وخيزهاى مختلفى روبه روست؛ اما به نظر مى رسد كه وى حيات برزخى و سماع موتى را اجمالاً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بدان معنى نيست كه ديدگاه ابن تيميه، كاملاً هم آهنگ با ديدگاه مسلمانان ديگر است؛ اما به هرحال، از انديشه ى وهابيان به انديشه ى اسلامى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جاكه وهابيان خود را پيرو ابن تيميه مى شمارند، نگاهى تفصيلى به انديشه ى وى در زمينه ى حيات برزخى و سماع موتى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با توجه به انبوه آيات و روايات در زمينه ى حيات برزخى، برخلاف پيروان خود، سماع موتى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پرسيده شده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مرده صداى پاى زائرانش را مى شنود و آن ها را مى بيند؟ و در آن هنگام آيا روح وى به جسدش برمى گردد؟ آيا مرده از قرائت فاتحه و دادن صدقه باخبر مى شود؟ و آيا در عالم برزخ، روح مرده، با ارواح بستگانش كه پيش از او 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قبر آن ها از</w:t>
      </w:r>
    </w:p>
    <w:p>
      <w:pPr>
        <w:pStyle w:val="BookText"/>
        <w:rPr/>
      </w:pPr>
      <w:r>
        <w:rPr>
          <w:rFonts w:ascii="IRNazanin" w:hAnsi="IRNazanin" w:eastAsia="IRNazanin"/>
          <w:color w:val="111111"/>
          <w:sz w:val="28"/>
          <w:sz w:val="28"/>
          <w:szCs w:val="28"/>
          <w:rtl w:val="true"/>
          <w:lang w:bidi="fa-IR"/>
        </w:rPr>
        <w:t xml:space="preserve">وى دور باشد يا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هنگامى كه بستگان، براى مرده گريه مى كنند، روح او ناراحت مى شود؟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ابن تيميه در پاسخ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مرده فى الجمله صداى زائرانش را مى شنود؛ همان گونه كه در صحيحين از پيامبر صلى الله عليه و آله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صداى كفش تشييع كنندگان خود را 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داستان جنگ بدر و سخن گفتن پيامبر گرامى اسلام صلى الله عليه و آله را با سران كشته شده، نقل مى كند و آن را به منزله ى تأييد سماع موتى ذكرمى كند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به اسناد مختلف از صحيحين ثابت شده است كه پيامبر گرامى اسلام صلى الله عليه و آله به سلام دادن به اهل قبور امر مى كرد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اهل سرزمين مسلمانان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خواست خدا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كه پيش از ما و شما رفته اند و كسانى كه پس از ما خواهند رفت،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خودمان و شما عافيت را خواستاريم</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پيامبر گرامى اسلام صلى الله عليه و آله با اين جملات، مردگان را مخاطب قرار داده است و خطاب در صورتى درست است كه مخاطب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ابن عبدالبر از پيامبر گرامى اسلام صلى الله عليه و آله حديثى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نيست كه بر قبر برادر مؤمنش كه در دنيا او را مى شناخته بگذرد و بر او سلام دهد، مگر اين كه خداوند سلام او را به روح آن ميت برساند و ميت پاسخ سلام او را بدهد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وى سپس به رواياتى اشاره مى كند كه پيامبر گرامى اسلام صلى الله عليه و آله فرموده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من زياد سلام كنيد كه سلام شما، به من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پس از بيان اين احاديث، چنين نتيجه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نصوص و مانند آن ها روشن مى كند كه ميت فى الجمله مى تواند سخن زندگان را بشنود؛ اما اين شنيدن لازم نيست كه هميشگى باشد؛ بلكه ممكن است متغير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حالتى در افراد زنده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فرد سخن كسى را كه با او صحبت مى كند، مى شنود و گاهى به عللى آن را نمى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شنيدن ميت، صرف ادراك است؛ اما بر آن پاداشى مترتب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مراد از شنيدن ميت، آن شنيدنى نيست كه در كلام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تُسْمِعُ اَلْمَوْتىٰ‌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اموات نفى شده است؛ زيرا مراد از شنيدن در اين آيات، پذيرش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آيه، كافر را به مرده تشبيه كرده است؛ چراكه ميت نيز نمى تواند به كسى كه او را به كارى مى خواند،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كافر مانند حيوانات است كه صدا را مى شنوند، اما متوجه معنى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نيز هرچند سخن را مى شنود و متوجه معنى مى شود، اما قدرت پذيرش و اطاعت ندارد؛ نمى تواند امر يا نهى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كافر هرچند سخن را مى شنود و معنى را مى فهمد، اما به امر و نهى عمل نمى كند؛ چنان كه خداوند نسبت به آن 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اَللّٰهُ فِيهِمْ خَيْراً لَأَسْمَعَهُمْ‌ </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وى هم چنين از قول مالك بن انس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 به هرجا كه بخواهند، مى توانند بروند</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او سپس درباره ى رسيدن قرائت فاتحه و صدقات، مى گويد كه علماى اهل سنت و جماعت، بر اين امر اتفاق نظر دارند</w:t>
      </w:r>
      <w:r>
        <w:rPr>
          <w:rFonts w:eastAsia="IRNazanin" w:cs="IRNazanin"/>
          <w:color w:val="111111"/>
          <w:sz w:val="28"/>
          <w:szCs w:val="28"/>
          <w:rtl w:val="true"/>
          <w:lang w:bidi="fa-IR"/>
        </w:rPr>
        <w:t>.</w:t>
      </w:r>
      <w:r>
        <w:rPr>
          <w:rStyle w:val="FootnoteAnchor"/>
          <w:rtl w:val="true"/>
        </w:rPr>
        <w:footnoteReference w:id="92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سپس اين شبهه را مطرح مى كند كه برخى معتقدند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للانسان الا ما سعى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انسان فقط مرهون اعمال خودش است و افعال ديگران، به حال وى پس از مرگ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متواتر و اجماع ثابت شده است كه صلوات، دعا و استغفار براى پيامبر گرامى اسلام صلى الله عليه و آله، به ايشان مى رسد و اين پاداش ها از سعى ديگران است، نه از خود پيامبر گرامى اسلام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در تفسير اين آيه ى شريفه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بيان مى كند كه براى انسان چيزى است كه براى آن تلاش كرده است؛ اما نمى گويد كه انسان به جز از عمل خود، نفع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انسان مالك چيزى است كه براى آن تلاش كرده است و مستحق غير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تبرعاً مالى را به او بخشيد، مى تواند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ثواب و پاداش نيز اين گونه است</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با توجه به آن چه از ابن تيميه در جملات گذشته گفته شد، به خوبى ديده مى شود كه وى سماع موتى و ارتباط ارواح با اين عالم را پذيرفته است؛ اما آن چه راه وى را از مسلمانان ديگر جدا مى كند، اين واقعيت است كه او هرچند ارتباط عالم ارواح را با انسان ها پذيرفته است، زيارت و توسل به ارواح مقدس پيامبر گرامى اسلام صلى الله عليه و آله و اولياى الهى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تصور شود كه ابن تيميه از باب شرك، چنين ديدگاهى دارد؛ اما از نگاه وى، توسل به زندگان شرك نيست و تنها پس از مرگ، توسل به ارواح و زيارت قبور شرك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نمى توان معيار شرك بودن عملى را زنده يا مرده بودن فرد دانست</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ازسوى ديگر، آن چه در انسان اصالت دارد، روح انسان است، نه جسم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از نظر جسمى، فردى همانند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بشرى مانند شما هستم</w:t>
      </w:r>
      <w:r>
        <w:rPr>
          <w:rFonts w:eastAsia="IRNazanin" w:cs="IRNazanin"/>
          <w:color w:val="111111"/>
          <w:sz w:val="28"/>
          <w:szCs w:val="28"/>
          <w:rtl w:val="true"/>
          <w:lang w:bidi="fa-IR"/>
        </w:rPr>
        <w:t>».</w:t>
      </w:r>
      <w:bookmarkStart w:id="763" w:name="pg15502_177499"/>
    </w:p>
    <w:p>
      <w:pPr>
        <w:pStyle w:val="BookText"/>
        <w:rPr/>
      </w:pPr>
      <w:bookmarkEnd w:id="763"/>
      <w:r>
        <w:rPr>
          <w:rFonts w:ascii="IRNazanin" w:hAnsi="IRNazanin" w:eastAsia="IRNazanin"/>
          <w:color w:val="111111"/>
          <w:sz w:val="28"/>
          <w:sz w:val="28"/>
          <w:szCs w:val="28"/>
          <w:rtl w:val="true"/>
          <w:lang w:bidi="fa-IR"/>
        </w:rPr>
        <w:t>بنابراين، پيامبر گرامى اسلام صلى الله عليه و آله نيز همانند انسان هاى ديگر زمانى پا به عرصه ى اين جهان گذاشته و سپس نيز از اين دنيا رخت بربسته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ميرى و آن ها نيز 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پيامبر گرامى اسلام صلى الله عليه و آله را پيامبر كرده، عظمت روحى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اوست كه او را در ميان انسان ها ممتاز مى كند و اين روح نيز همان گونه كه گفته شد، نه تنها پس از مرگ كالبد خاكى نمى ميرد، بلكه هم چنان با عالم دنيا در ابعاد گوناگون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گونه است كه توسل و طلب شفاعت در هنگامى كه پيامبر گرامى اسلام صلى الله عليه و آله زنده است، درست مى باشد، اما هنگامى كه از دنيا مى رود،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جداى از اين دليل عقلى، روايات و آيات بسيارى مؤيد قدرت ارواح اولياء و صالحان براى گره گشايى از كار مسلمانان است كه در شبهه شناسى به تفصيل خواهد آمد</w:t>
      </w:r>
      <w:r>
        <w:rPr>
          <w:rFonts w:eastAsia="IRNazanin" w:cs="IRNazanin"/>
          <w:color w:val="111111"/>
          <w:sz w:val="28"/>
          <w:szCs w:val="28"/>
          <w:rtl w:val="true"/>
          <w:lang w:bidi="fa-IR"/>
        </w:rPr>
        <w:t>.</w:t>
      </w:r>
      <w:r>
        <w:rPr>
          <w:rStyle w:val="FootnoteAnchor"/>
          <w:rtl w:val="true"/>
        </w:rPr>
        <w:footnoteReference w:id="931"/>
      </w:r>
    </w:p>
    <w:p>
      <w:pPr>
        <w:pStyle w:val="Heading5"/>
        <w:numPr>
          <w:ilvl w:val="4"/>
          <w:numId w:val="1"/>
        </w:numPr>
        <w:rPr/>
      </w:pPr>
      <w:bookmarkStart w:id="764" w:name="__RefHeading___Toc8089346_2142443653"/>
      <w:bookmarkStart w:id="765" w:name="_Toc287"/>
      <w:bookmarkEnd w:id="764"/>
      <w:r>
        <w:rPr/>
        <w:t>2</w:t>
      </w:r>
      <w:r>
        <w:rPr>
          <w:rtl w:val="true"/>
        </w:rPr>
        <w:t>‏-‏</w:t>
      </w:r>
      <w:r>
        <w:rPr/>
        <w:t>5</w:t>
      </w:r>
      <w:r>
        <w:rPr>
          <w:rtl w:val="true"/>
        </w:rPr>
        <w:t xml:space="preserve"> - </w:t>
      </w:r>
      <w:r>
        <w:rPr>
          <w:rtl w:val="true"/>
        </w:rPr>
        <w:t>ابن قيم و سماع موتى</w:t>
      </w:r>
      <w:bookmarkEnd w:id="76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شخصيت هاى بزرگ سلفى، ابن 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عقايد وهابيت، برگرفته از ديدگاه ها و نظرات اوست؛ اما ديدگاه وى درباره ى حيات برزخى و سماع موتى، كاملاً با انديشه ى وهابيان در تضاد است؛ هرچند در مباحثى مانند توسل، زيارت و استعانت از ارواح اولياى الهى، همانند استاد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انحراف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قيم ديدگاه هاى خود را پيرامون حيات برزخى و سماع موتى، در كتاب مستقلى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ابتداى كتاب، در فصلى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اموات متوجه زيارت زندگان و سلام آن ها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تكيه بر روايات متواتر، ادعا مى كند سلف معتقد بوده اند كه مردگان متوجه زيارت زندگان مى شوند و بر اين امر ادعاى اجماع مى كند</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 xml:space="preserve">وى حتى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ى وجود سماع و ارتباط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او، هنگامى واژه ى زيارت به كار مى رود كه زيارت شونده متوجه حضور زيارت كننده شود؛ اما اگر زيارت شونده هيچ ادراكى از حضور زائر نداشته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تلقين به مرده در قبر را نشانه ى ديگرى بر فهم و درك او مى شمارد</w:t>
      </w:r>
      <w:r>
        <w:rPr>
          <w:rStyle w:val="FootnoteAnchor"/>
          <w:rtl w:val="true"/>
        </w:rPr>
        <w:footnoteReference w:id="934"/>
      </w:r>
      <w:r>
        <w:rPr>
          <w:rFonts w:ascii="IRNazanin" w:hAnsi="IRNazanin" w:eastAsia="IRNazanin"/>
          <w:color w:val="111111"/>
          <w:sz w:val="28"/>
          <w:sz w:val="28"/>
          <w:szCs w:val="28"/>
          <w:rtl w:val="true"/>
          <w:lang w:bidi="fa-IR"/>
        </w:rPr>
        <w:t>و معتقد است كه مرده متوجه اعمال بستگان و نزديكان زنده ى خود مى شود</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 xml:space="preserve">او با تقسيم ارواح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كه ارواح متنعم با يك ديگر ديدار كرده، خاطرات خود را يادآورى مى كنند؛ اما ارواح معذب، چنين آزادى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او، ارواح متنعم آزادند و مى توانند به همه جا سفر كنند</w:t>
      </w:r>
      <w:r>
        <w:rPr>
          <w:rFonts w:eastAsia="IRNazanin" w:cs="IRNazanin"/>
          <w:color w:val="111111"/>
          <w:sz w:val="28"/>
          <w:szCs w:val="28"/>
          <w:rtl w:val="true"/>
          <w:lang w:bidi="fa-IR"/>
        </w:rPr>
        <w:t>.</w:t>
      </w:r>
      <w:r>
        <w:rPr>
          <w:rStyle w:val="FootnoteAnchor"/>
          <w:rtl w:val="true"/>
        </w:rPr>
        <w:footnoteReference w:id="93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درمجموع، با نگاهى به محتواى اثر ابن قيم، تفاوت فاحشى ميان انديشه ى وى و وهابيان ديده مى شود؛ اما آن چه بار ديگر ذهن را به خود مشغول مى كند، اين واقعيت است كه چه گونه ابن قيم با توجه به اين ديدگاه، هم چنان توسل، زيارت و طلب استعانت از اولياى الهى را نامشروع مى داند؟ اگر استعانت و توسل به غير خدا شرك باشد، تفاوتى ميان حيات و ممات نيست؛ و اگر علت عدم مشروعيت توسل و زيارت در دوران ممات، عدم سماع و ارتباط آنان با دنيا باشد كه هم ابن تيميه و هم ابن قيم به درك و فهم اموات اعتقاد دارند</w:t>
      </w:r>
      <w:r>
        <w:rPr>
          <w:rFonts w:eastAsia="IRNazanin" w:cs="IRNazanin"/>
          <w:color w:val="111111"/>
          <w:sz w:val="28"/>
          <w:szCs w:val="28"/>
          <w:rtl w:val="true"/>
          <w:lang w:bidi="fa-IR"/>
        </w:rPr>
        <w:t>.</w:t>
      </w:r>
      <w:bookmarkStart w:id="766" w:name="pg15502_177501"/>
    </w:p>
    <w:p>
      <w:pPr>
        <w:pStyle w:val="Heading5"/>
        <w:numPr>
          <w:ilvl w:val="4"/>
          <w:numId w:val="1"/>
        </w:numPr>
        <w:rPr/>
      </w:pPr>
      <w:bookmarkStart w:id="767" w:name="__RefHeading___Toc8089348_2142443653"/>
      <w:bookmarkStart w:id="768" w:name="_Toc288"/>
      <w:bookmarkEnd w:id="766"/>
      <w:bookmarkEnd w:id="767"/>
      <w:r>
        <w:rPr/>
        <w:t>3</w:t>
      </w:r>
      <w:r>
        <w:rPr>
          <w:rtl w:val="true"/>
        </w:rPr>
        <w:t>‏-‏</w:t>
      </w:r>
      <w:r>
        <w:rPr/>
        <w:t>5</w:t>
      </w:r>
      <w:r>
        <w:rPr>
          <w:rtl w:val="true"/>
        </w:rPr>
        <w:t xml:space="preserve"> - </w:t>
      </w:r>
      <w:r>
        <w:rPr>
          <w:rtl w:val="true"/>
        </w:rPr>
        <w:t>ابن رجب حنبلى</w:t>
      </w:r>
      <w:bookmarkEnd w:id="768"/>
    </w:p>
    <w:p>
      <w:pPr>
        <w:pStyle w:val="BookText"/>
        <w:rPr/>
      </w:pPr>
      <w:r>
        <w:rPr>
          <w:rFonts w:ascii="IRNazanin" w:hAnsi="IRNazanin" w:eastAsia="IRNazanin"/>
          <w:color w:val="111111"/>
          <w:sz w:val="28"/>
          <w:sz w:val="28"/>
          <w:szCs w:val="28"/>
          <w:rtl w:val="true"/>
          <w:lang w:bidi="fa-IR"/>
        </w:rPr>
        <w:t>ابن رجب حنبلى را نمى توان در رديف سلفيان و وهابيان قرار داد؛ اما ازآن جاكه وهابيان خود را به مكتب حنبلى نزديك مى دانند، آشنايى با ديدگاه اين عالم بزرگ حنبلى درباره ى حيات برزخى و سماع موتى، خالى از فايده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رجب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اهوال القبور واحوال اهلها الى النشور</w:t>
      </w:r>
      <w:r>
        <w:rPr>
          <w:rFonts w:eastAsia="Amiri" w:cs="Amiri" w:ascii="Amiri" w:hAnsi="Amiri"/>
          <w:color w:val="111111"/>
          <w:sz w:val="28"/>
          <w:szCs w:val="28"/>
          <w:rtl w:val="true"/>
          <w:lang w:bidi="ar-SA"/>
        </w:rPr>
        <w:t>»</w:t>
      </w:r>
      <w:r>
        <w:rPr>
          <w:rStyle w:val="FootnoteAnchor"/>
          <w:rtl w:val="true"/>
        </w:rPr>
        <w:footnoteReference w:id="937"/>
      </w:r>
      <w:r>
        <w:rPr>
          <w:rFonts w:ascii="IRNazanin" w:hAnsi="IRNazanin" w:eastAsia="IRNazanin"/>
          <w:color w:val="111111"/>
          <w:sz w:val="28"/>
          <w:sz w:val="28"/>
          <w:szCs w:val="28"/>
          <w:rtl w:val="true"/>
          <w:lang w:bidi="fa-IR"/>
        </w:rPr>
        <w:t>دارد كه در آن به تفصيل به ويژگى هاى عالم برزخ، از جمله سماع موتى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در فصول مختلف به تفصيل به ابعاد و زواياى حيات برزخى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همانند ابن قيم، قائل به ملاقات اموات با يك ديگر در حيات برزخى است</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ابن رجب معتقد است كه اموات، از زائران خود آگاهى دارند و سلام آن ها را مى شنوند</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آنان هم چنين از اوضاع بستگان و نزديكانشان در دنيا آگاهى دارند</w:t>
      </w:r>
      <w:r>
        <w:rPr>
          <w:rStyle w:val="FootnoteAnchor"/>
          <w:rtl w:val="true"/>
        </w:rPr>
        <w:footnoteReference w:id="940"/>
      </w:r>
      <w:r>
        <w:rPr>
          <w:rFonts w:ascii="IRNazanin" w:hAnsi="IRNazanin" w:eastAsia="IRNazanin"/>
          <w:color w:val="111111"/>
          <w:sz w:val="28"/>
          <w:sz w:val="28"/>
          <w:szCs w:val="28"/>
          <w:rtl w:val="true"/>
          <w:lang w:bidi="fa-IR"/>
        </w:rPr>
        <w:t>و در نهايت، هنگامى كه بر اموات درودى فرستاده شود، آنان نيز پاسخ سلام را مى دهند</w:t>
      </w:r>
      <w:r>
        <w:rPr>
          <w:rFonts w:eastAsia="IRNazanin" w:cs="IRNazanin"/>
          <w:color w:val="111111"/>
          <w:sz w:val="28"/>
          <w:szCs w:val="28"/>
          <w:rtl w:val="true"/>
          <w:lang w:bidi="fa-IR"/>
        </w:rPr>
        <w:t>.</w:t>
      </w:r>
      <w:r>
        <w:rPr>
          <w:rStyle w:val="FootnoteAnchor"/>
          <w:rtl w:val="true"/>
        </w:rPr>
        <w:footnoteReference w:id="941"/>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پرسشى كه هنوز در پايان اين بحث بى پاسخ مانده، اين است كه وهابيان با توجه به عدم اعتقاد به سماع موتى، با آيات و روايات صحيحى كه به صراحت حيات برزخى و سماع موتى را تأييد مى كنند، چه گونه برخورد مى كنند؟ بى شك نمى توان مسائلى همچون سخن گفتن پيامبر گرامى اسلام صلى الله عليه و آله با كشتگان بدر را كه در همه ى كتاب هاى اصيل تاريخى و حديثى آمده است، منكر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براى توجيه اين موارد، ساده ترين راه را برگزيده اند و آن اين كه همه ى حوادث، آيات و رواياتى را كه نتوانسته اند منكر شوند، معجزه شمرده اند و احاديث ديگر را چون با ديدگاه آنان در تعارض است، ضعيف و مردود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ويستثنى من هذا الأصل ما ثبت بدليل صحيح، كسماع أهل القليب من الكفار كلام رسول الله صلى الله عليه وسلم عقب غزوة بدر، وكصلاته بالأنبياء ليلة الإسراء، وحديثه مع الأنبياء عليهم الصلاة والسلام فى السماوات حينما عرج به إليها، ومن ذلك نصح موسى لنبينا عليهما الصلاة والسلام أن يسأل الله التخفيف مما افترضه عليه وعلى أمته من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المعجزات وخوارق العادات</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اصل عدم سماع موتى، آن چه به دليل صحيح ثابت شده است، استثنا مى شود؛ مانند شنيدن كلام پيامبر گرامى اسلام صلى الله عليه و آله توسط اهل قليب از كفار بعد از جنگ بدر، و نماز پيامبر گرامى اسلام صلى الله عليه و آله به همراه پيامبران در شب اسراء، و سخن گفتن او با پيامبران هنگامى كه به آسمان عروج كرد، و از اين جمله است، نصيحت حضرت موسى عليه السلام به پيامبر ما كه از خدا خواست بر پيامبر و امت وى در نماز تخفيف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ى اين ها از معجزات و خوارق عادات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ديده مى شود، وهابيان در حيات برزخى و سماع موتى، نه تنها با همه ى مسلمانان مخالفند، بلكه حتى به رهبران اصلى خود نيز پشت كرده اند و ديدگاهى كاملاً ابداعى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ديدگاه نيز سبب شده است كه امروزه به مرقد پيامبر گرامى اسلام صلى الله عليه و آله جسارت كنند و در صورت قدرت، به تخريب اين مكان مقدس اقدام نمايند</w:t>
      </w:r>
      <w:r>
        <w:rPr>
          <w:rFonts w:eastAsia="IRNazanin" w:cs="IRNazanin"/>
          <w:color w:val="111111"/>
          <w:sz w:val="28"/>
          <w:szCs w:val="28"/>
          <w:rtl w:val="true"/>
          <w:lang w:bidi="fa-IR"/>
        </w:rPr>
        <w:t>.</w:t>
      </w:r>
      <w:r>
        <w:rPr>
          <w:rStyle w:val="FootnoteAnchor"/>
          <w:rtl w:val="true"/>
        </w:rPr>
        <w:footnoteReference w:id="943"/>
      </w:r>
      <w:bookmarkStart w:id="769" w:name="pg15502_177503"/>
    </w:p>
    <w:p>
      <w:pPr>
        <w:pStyle w:val="Heading3"/>
        <w:numPr>
          <w:ilvl w:val="2"/>
          <w:numId w:val="1"/>
        </w:numPr>
        <w:rPr/>
      </w:pPr>
      <w:bookmarkStart w:id="770" w:name="__RefHeading___Toc8089350_2142443653"/>
      <w:bookmarkStart w:id="771" w:name="_Toc289"/>
      <w:bookmarkEnd w:id="769"/>
      <w:bookmarkEnd w:id="770"/>
      <w:r>
        <w:rPr>
          <w:rtl w:val="true"/>
        </w:rPr>
        <w:t>نتيجه ى بخش چهارم</w:t>
      </w:r>
      <w:bookmarkEnd w:id="771"/>
    </w:p>
    <w:p>
      <w:pPr>
        <w:pStyle w:val="BookText"/>
        <w:rPr/>
      </w:pPr>
      <w:r>
        <w:rPr>
          <w:rFonts w:ascii="IRNazanin" w:hAnsi="IRNazanin" w:eastAsia="IRNazanin"/>
          <w:color w:val="111111"/>
          <w:sz w:val="28"/>
          <w:sz w:val="28"/>
          <w:szCs w:val="28"/>
          <w:rtl w:val="true"/>
          <w:lang w:bidi="fa-IR"/>
        </w:rPr>
        <w:t>حيات برزخى از معتقدات تمامى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آيات و روايات، انسان پس از مرگ از ميان نمى رود و روحش در قالب مثالى در عالم برزخ به حيات خود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مسلمانان حتى برخى از بزرگان سلفى مانند ابن قيم معتقدند كه انسان ها پس از مرگ و در عالم برزخ صداى زندگان را مى شنوند و پاسخ آنان را مى دهند، اما انسان ها به علت محدوديت مادى، قدرت شنيدن آن را ندارند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وهابيت با توجه به مبناى هستى شناسى خود كه منتهى به حس گرايى مى شود، ميان عالم برزخ و دنيا هيچ ارتباطى قايل نيستند و معتقدند كه انسان هنگامى كه از دنيا مى رود ارتباطش با عالم دنيا قطع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خواندن اموات و به زيارت رفتن آنها و طلب حاجت كردن از آنها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كه گفته شد، با توجه به آيات و روايات، مردگان صداى زندگان را مى شنوند و هرچه مقام و جايگاه فرد بالاتر باشد، قدرتش بيشتر است</w:t>
      </w:r>
      <w:r>
        <w:rPr>
          <w:rFonts w:eastAsia="IRNazanin" w:cs="IRNazanin"/>
          <w:color w:val="111111"/>
          <w:sz w:val="28"/>
          <w:szCs w:val="28"/>
          <w:rtl w:val="true"/>
          <w:lang w:bidi="fa-IR"/>
        </w:rPr>
        <w:t>.</w:t>
      </w:r>
      <w:bookmarkStart w:id="772" w:name="pg15502_177504"/>
    </w:p>
    <w:p>
      <w:pPr>
        <w:pStyle w:val="Heading2"/>
        <w:numPr>
          <w:ilvl w:val="1"/>
          <w:numId w:val="1"/>
        </w:numPr>
        <w:rPr/>
      </w:pPr>
      <w:bookmarkStart w:id="773" w:name="__RefHeading___Toc8089352_2142443653"/>
      <w:bookmarkStart w:id="774" w:name="_Toc290"/>
      <w:bookmarkEnd w:id="772"/>
      <w:bookmarkEnd w:id="773"/>
      <w:r>
        <w:rPr>
          <w:rtl w:val="true"/>
        </w:rPr>
        <w:t>منابع و مآخذ</w:t>
      </w:r>
      <w:bookmarkEnd w:id="77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5" w:name="__RefHeading___Toc8089354_2142443653"/>
      <w:bookmarkStart w:id="776" w:name="_Toc291"/>
      <w:bookmarkEnd w:id="775"/>
      <w:r>
        <w:rPr>
          <w:rtl w:val="true"/>
        </w:rPr>
        <w:t>اشاره</w:t>
      </w:r>
      <w:bookmarkStart w:id="777" w:name="pg15502_177506"/>
      <w:bookmarkEnd w:id="776"/>
    </w:p>
    <w:p>
      <w:pPr>
        <w:pStyle w:val="Heading3"/>
        <w:numPr>
          <w:ilvl w:val="2"/>
          <w:numId w:val="1"/>
        </w:numPr>
        <w:rPr/>
      </w:pPr>
      <w:bookmarkStart w:id="778" w:name="__RefHeading___Toc8089356_2142443653"/>
      <w:bookmarkStart w:id="779" w:name="_Toc292"/>
      <w:bookmarkEnd w:id="777"/>
      <w:bookmarkEnd w:id="778"/>
      <w:r>
        <w:rPr/>
        <w:t>1</w:t>
      </w:r>
      <w:r>
        <w:rPr>
          <w:rtl w:val="true"/>
        </w:rPr>
        <w:t xml:space="preserve"> - </w:t>
      </w:r>
      <w:r>
        <w:rPr>
          <w:rtl w:val="true"/>
        </w:rPr>
        <w:t>كتاب هاى فارسى</w:t>
      </w:r>
      <w:bookmarkEnd w:id="7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باهنر، محمد جواد و اكبر هاشمى رفسنجانى،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در عصر بعثت، بى جا، دفتر نشر فرهنگ اسلامى،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برنجكار، رضا،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فرق و مذاهب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كتاب طه،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بوطى، رمضان،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 بدعت يا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حسين صابرى، مشهد، آستان قدس رضوى،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جعفريان، رسول،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سياسى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سازمان چاپ و انتشارات،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جوادى آملى، عبدالله،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اسراء،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حسينى تهرانى، محمد حسين،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معادشناسى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دهخدا، 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 نامه ى دهخدا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ربانى گلپايگانى، على،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مذاهب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مركز جهانى علوم اسلامى،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زرگرى نژاد، غلامحسين،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سمت،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سبحانى، جعفر،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استدلالى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على ربانى گلپايگانى، قم، بى نا،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عقايد و مذاهب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ى امام صادق عليه السلام،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شجاعى، محمد،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 ونشانه هاى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كانون انديشه ى جوان،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طباطبايى، سيد محمد حسين،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در اسلام، جامعه ى مدرسين حوزه ى علميه ى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دفتر انتشارات اسلامى،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زاده ى موسوى، مهدى،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تبليغات حوزه ى علميه ى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عيوديت، عبدالرسول و مجتبى مصباح،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 فلسفى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ى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كيانى، مريم،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دايرة المعارف بزرگ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جا، بى نا،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يزدى، محمد تقى،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فلسفه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سازمان تبليغات 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ى آثار شهيد مطهرى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صدرا،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علوم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صدرا،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صدرا،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معين، محمد،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جا، بى نا،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شيرازى، ناصر،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آيين واقعى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دارالكتب الاسلاميه،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مودودى، سيد عبدالاعلى،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 و ملوكيت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ى خليل احمد حامدى، ايران، انتشارات بيان،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نصيرالدين طوسى، محمدبن محمد،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 الاقتباس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بيجا، بينا،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نيچه، فردريش،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 زرتشت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ى داريوش آشورى، بى جا، بى نا، بى تا</w:t>
      </w:r>
      <w:r>
        <w:rPr>
          <w:rFonts w:eastAsia="IRNazanin" w:cs="IRNazanin"/>
          <w:color w:val="111111"/>
          <w:sz w:val="28"/>
          <w:szCs w:val="28"/>
          <w:rtl w:val="true"/>
          <w:lang w:bidi="fa-IR"/>
        </w:rPr>
        <w:t>.</w:t>
      </w:r>
      <w:bookmarkStart w:id="780" w:name="pg15502_177508"/>
    </w:p>
    <w:p>
      <w:pPr>
        <w:pStyle w:val="Heading3"/>
        <w:numPr>
          <w:ilvl w:val="2"/>
          <w:numId w:val="1"/>
        </w:numPr>
        <w:rPr/>
      </w:pPr>
      <w:bookmarkStart w:id="781" w:name="__RefHeading___Toc8089358_2142443653"/>
      <w:bookmarkStart w:id="782" w:name="_Toc293"/>
      <w:bookmarkEnd w:id="780"/>
      <w:bookmarkEnd w:id="781"/>
      <w:r>
        <w:rPr/>
        <w:t>2</w:t>
      </w:r>
      <w:r>
        <w:rPr>
          <w:rtl w:val="true"/>
        </w:rPr>
        <w:t xml:space="preserve"> - </w:t>
      </w:r>
      <w:r>
        <w:rPr>
          <w:rtl w:val="true"/>
        </w:rPr>
        <w:t>كتاب هاى عربى</w:t>
      </w:r>
      <w:bookmarkEnd w:id="7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عاصم، عمرو،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بن فيصل الجوابره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دارالصميعى،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جزرى، محمدالدين ابى السعادات المبارك بن محمد،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 فى احاديث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الارنائووط، بى جا، مكتبة دار البيانة مكتبة الحلوانى، مطبعة الملاح،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ابى الحسن على بن ابى الكرم،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محمد يوسف الرقاق، بيروت، دارالكتب العلمية،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مجدالدين ابى السعادات المبارك محمد الجزرى،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فى غريب الحديث و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احمد الزاوى و محمود محمد الطباخى، رياض، المكتبة الاسلاميه،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حسين بن على بن بابويه قمى،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حسينى طهرانى، بيروت، دارالمعرفة،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باز، عبدالعزيز بن عبدالله بن عبدالرحمن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 و مقالات متنوعة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سعد الشويعر، رياض، دارالقاسم للنشر،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 فى الردّ على من تاوّل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الرئاسة العامة للبحوث و الافتاء،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الصحيحة و ما يضادها و نواقض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تقى الدين احمدبن عبدالحليم،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عربستان، وزارة التعليم العالى جامعة الامام محمدبن سعود الاسلامية،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 على شاتم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حيدرآباد، مجلس دائرة المعارف النظامية، بى تا،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السالم،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محمد عزب، بى جا، دارالقلم،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بيروت، دارالكتب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المرتاد فى الرد على المتفلسفة و القرامطة و الباطنية اهل الالحاد من القائلين بالحلول و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سليمان الدويش، مدينة منورة، مكتبة العلوم و الحكم،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الاصبهانية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عودة السعوى، رياض، دارالمنهاج،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الاسماء و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بيروت، دارالكتب العلمية،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الصحيح لمن بدل دين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حسن ناصر و عبدالعزيز ابراهيم العسكر و حمدان محمد، الرياض، بى نا،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 فى تأسيس بدعهم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الهنيدى و محمد العبد العزيز اللاحم، مدينه منورة، مجمع ملك فهد،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عبدالعلى عبد الحميد حامد، هند، دارالسلفية،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التعارض العقل و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سالم، الرياض، جامعة الإمام محمدبن سعود الإسلامية،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الجؤار و انور الباز، الرياض، دار الوفاء للطباعة و النشر و التوزيع،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الصراط المستقيم لمخالفهة اصحاب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ناصربن عبدالكريم العقل، رياض، مكتبة الرشد،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الحموية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حمدبن عبدالمحسن التويجرى، الرياض، دارالصميعى،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 النبوية فى نقض الكلام الشيعة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سالم، بى جا، بى نا،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جوزى، ابوالفرج عبى الرحمن،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 التشبية باكف التنزية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السقاف، بيروت، دار الامام الرواس،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جوزى، جمال الدين ابو الفرس،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دارالقلم،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العسقلانى، احمدبن على،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 بزوائد المسانيدالثمانية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ظافربن عبدالله الشهرى، رياض، دارالعاصمة، دارالغيب،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 بشرح صحيح الامام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فواد عبدالباقى و محب الدين الخطيب، بى جا، المكتبة السلفية،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عبدالفتاح ابوغدة، سورية، مكتب المطبوعات الاسلامية،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الظاهرى، ابى محمد على بن احمد،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فى الملل و الاهواء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محمد ابراهيم نصر و عبدالرحمن عميره، بيروت، دارالجيل،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الاحكام فى اصول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شاكر، بيروت، دارالافاق الحديدة،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احمد،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الزنادقة و 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 على السامى النشار،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الامام احمد بن حنبل موسوعة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الارنووط و عادل مرشد، بيروت، مؤسسة الرسالة،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خزيمه، محمدبن اسحاق،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اثبات صفات الرّب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ابراهيم الشّهوان، رياض، مكتبة الرّشد،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رجب، زينى الدين ابوالفرج عبدالرّحمن بن شهاب الدّين،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اهوال القبور و احوال اهلها الى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عبداللطيف السّبع، بيروت، دارالكتاب العربى،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 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الارنووط و ابراهيم باجس، بيروت، مؤسسه الرساله،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عابدين، محمد امين،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المحتار على در المختار شرح تنوير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عبدالموجود، على محمد معوض، بيروت، دارالكتب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عاشور، محمد طاهر،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التحرير و التنوير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تونس، دارالتونسية لنشر،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عبدالوهاب، عبدالله بن محمد،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جواب اهل السنه النبوية فى نقض كلام الشيعه و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فورك، محمدبن الحسن،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الشيخ ابى الحسن الاشعرى امام اهل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عبدالرحيم السايح، قاهره، مكتبة الثقافة الدينية،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فوزان، صالح،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تعقيبات على كتاب السلفية ليست مذهبا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دارالوطن،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 على مقالات الصابونى فى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الرئاسة العامة للبحوث و الافتاء،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التوحيد و بيان ما يضادها من الشرك الاكبر و الاصغر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دارالعاصمه،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مشاهير المجددين فى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 الى صحيح الاعتقاد و الرد على اهل الشرك و الالحاد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عربستان، وزارة التعليم العالى جامعة الامام محمدبن سعود الاسلامية،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ابومحمد،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فى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محمود ابوعمر، الرياض، دارالراية،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قدامه، ابو محمد عبدالله بن احمد،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لمعة الاعتقاد الهادى الى سبيل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المكتب الاسلامى،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جوزية، محمدبن ابى بكربن ايوب،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الجيوش الاسلامية على غزو المعطلة و 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عواد عبدالله المعتق، رياض، مطابع الفرزدق التجارية،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فى الكلام على الارواح الاموات و الاحياء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على سلامة العموش، رياض، دار ابن تيمية للنشر و التوزيع و الاعلام،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الموقعين عن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ابوعبيده مشهوربن حسن آل سلمان، دمام، دار ابن جوزى،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عمادالدين اسماعيل بن عمر،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عبدالمحسن التركى، بى جا، هجر للطباعة و النشر و التوزيع و الاعلان،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السيد محمد و محمد السيد رشاد و محمد فضل العجماوى و على احمد عبدالباقى و حسن عباس قدس، قاهره، الفاروق الحديثة للطباعة و النشر،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ماج قزوينى، ابى عبدالله محمدبن يزيد،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ارنووط، بيروت، دارالرسالة العالمية،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العيون الموحدين فى تحقيق دعوة الانبياء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ابوالبخارى سعيدبن نصر سيد محمد، رياض، مكتبة الرشد،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محمدبن مكرم،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قاهرة، دارالمعارف،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نعسان، رضا،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الإثبات والتفويض بصفات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دارالهجرة،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الطبعة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زهره، محمد،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ابوالشيخ، عبدالله بن محمد،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رضاءالله بن محمد المباركفورى، الرياض، دارالعاصمه،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أبوالعالية، فخرالدين بن زبير بن على،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التوضيحات الأثرية على متن الرسالة التدمرية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مكتبة الفرقان،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ابوحنيفة التميمى المغربى، نعمان بن محمد،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 و ذكر الحلال و الحرام و القضايا و الاحكام عن اهل بيت رسول الله عليه و عليهم افضل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على اصغر فيضى، قاهره، دارالمعارف،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يوسف، مدحت بن الحسن الفراج،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الائمة النجدية حول قضايا الامة المصيرية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مكتبة الرشد،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ابى الحسين، احمدبن فارس بن زكريا،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بى جا، دارالفكر،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ابى الفضل، صالح بن احمد بن حنبل،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الامام احمدبن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دارالسلف،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ابى بطين، عبدالله بن عبدالرحمن،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راشدبن عامر القفيلى، رياض، دارالسلف،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ازهرى، ابى منصور محمدبن احمد،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الابيارى، بى جا، دارالكاتب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حيدر،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 عليه السلام و المذاهب الاربعة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الفقاهه،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اسفراينى، طاهربن محمد،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اسفراينى تميمى، عبدالقاهربن طاهربن محمد البغدادى،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محيى الدين عبدالحميد، بيروت، المطبعة العصرية،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اسماعيلى، ابى بكر،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ائمة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عبدالرحمن الخميس، رياض، دارالعاصمة،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اشعرى،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 عن اصول الديانة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فوقية حسين محمود، قاهره، دارالانصار،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 فى الرد على اهل الزيغ و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قاهره، مطبعة المصر،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الاستحسان الخوض فى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هند، مطبعة مجلسة دائرة المعارف النظاميه،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الاسلامى و اختلاف المصليين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اصفهانى، ابى نعيم احمدبن عبدالله،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 و طبقات الاصفياء، قاهرة، مكتبة الخانجى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روح الله الموسوى،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الاسلامى،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الطبعة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امدى، على بن محمد،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الاحكام فى اصول الاحكام، شيخ عبدالرزاق عفيفى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دارالصميعى،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اميل، بديع يعقوب،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الامام الشافعى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دارالكتاب العربى،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امينى، عبدالحسين،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فى الكتاب و السنة و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مؤسسه ى اعلمى للمطبوعات،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انصارى هروى، عبدالله بن محمد،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الكلام و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عبدالعزيز الشبل، مدينة المنورة، مكتبة العلوم و الحكم،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ايجى، عبدالرحمن بن احمد،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 فى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عالم الكتب،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باجورى، ابراهيم بن محمد،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بى نا،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باشميل، محمد احمد،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نفهم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باقلانى البصرى، ابى بكربن الطيب،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فيما يجب اعتقاده و لايجوز الجهل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زاهدبن الحسن الكوثرى، قاهره، مكتبة الازهريه للتراث،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البانى، محمد ناصرالدين،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أولاً يا دعاة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دارالهدى النبوى،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اجوبة الالبانيه على اسئلة الاستراليه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بخارى، ابى عبدالله محمدبن اسماعيل،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بيروت، دارابن كثير للطباعة والنشر والتوزيع،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بدر، عبدالرزاق،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السديد فى الرد على من انكر تقسيم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 دار ابن عفان، رياض دار ابن قيم،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بريكان، ابراهيم بن محمد،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الخلف بمنهج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الدمام، دار ابن الجوزى،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شيخ الاسلام ابن تيمية فى تقرير عقيدة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دار ابن قيم للنشر و التوزيع، قاهره، دار ابن عفان للنشر و التوزيع،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بغدادى الدمشقى، زين الدين ابى الفرج،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 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ارنووط، ابراهيم باجس، بيروت، مؤسسة الرساله،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بغوى، ابى محمد حسين بن مسعود،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البغوى معالم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عبدالله بن النمر و عثمان جمعة ضميرية و سليمان مسلم الحرش، رياض، دارطيبة للنشر و التوزيع،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الاناووط، بيروت، بى نا،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چاپ دوم، دمشق، المكتب الاسلامى،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الطبعة الاولى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عطية، عبدالحق بن غالب،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الوجيز فى تفسير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بهوتى، منصوربن يونس،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القناع عن متن الاقناع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الضناوى، بيروت، عالم الكتب،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بيضاوى، ناصرالدين ابى الخير عبدالله بن عمر،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التنزيل و اسرار التاويل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عبدالرحمن المرعشلى، بيروت، دارالاحياء التراث العربى، مؤسسة التاريخ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بيهقى، احمدبن الحسين ابوبكر،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لشعب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عبدالعلى عبدالحميد حامد، رياض، مكتبة الرشد،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بيروت، دارالكتب العلمية،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و الهداية الى سبيل الرشاد على مذهب السلف و اصحاب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احمدبن ابراهيم ابوالعينين، رياض، دارالفضيلة،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احمد النووى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مكتبة الرشد للنشر و التوزيع،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الاسماءو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الكوثرى، بيروت، دارالاحياء 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ترمذى، ابى عيسى محمد بن عيسى بن سوره،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و هو سنن الترمذى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عطوه عوض، بى جا، شركة ومطبعة مصطفى البابى الحلبى و اولاده بمصر،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تفتازانى، مسعودبن عمربن عبدالله،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عميره، بيروت، عالم الكتب،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تهرانى، آقا على،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اعلام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ثعالبى، عبدالرحمن بن محمد،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دارالاحياء التراث العربى،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ثعلبى، ابواسحاق احمد،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 تفسير الثعلبى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محمدبن عاشور، بيروت، دارالاحياءالتراث العربى للطباعة و النشر و التوزيع،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جامى، محمد امان،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الهية فى الكتاب و السنة النبوية فى ضوء الاثبات و التنزية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مدينة المنورة، الجامعة الاسلامية،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جرجانى، على بن محمد،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مكتبة لبنان ساحة رياض الصلح،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عمر الدميامطى، بيروت، دارالكتب العلمية،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جزائرى، ابى بكر جابر،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ايسر التفاسير لكلام العلى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مدينة منورة، مكتبة العلوم والحكم،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ناصرالدين الالبانى، بيروت، المكتب الاسلامى،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الطبعة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جمعة العروسى الحويزى،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اسماعيليان،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جنكة الميدانى، عبدالرحمن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الربوبية و توحيدالالهية و مذاهب الناس بالنسبة اليهما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دارالشامية،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 على،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المفصل فى تاريخ العرب قبل الاسلام، بى جا، بى نا،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جوهرى، اسماعيل بن حماد،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عطار، بيروت، دارالعلم للملايين،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حازمى، منصور،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جا، بى نا،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وهبة،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العرب فى 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قاهرة، دارالافاق العربية،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العاملى، محمدبن الحسن،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الى تحصيل مسائل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الربانى الشيرازى، بيروت، دارالاحياء 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حسينى الزبيدى، محمدبن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 بشرح الاسرار احياء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دارالاحياءالتراث اتبصرلعربى،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حصنى، تقى الدين ابوبكر،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 من شبه و تمرد و نسب ذلك الى الامام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 المكتبة الازهرية،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سيد محسن طباطبايى،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دارالاحياءالتراث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حلى، حسن بن يوسف بن مطهر،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فى شرح تجريد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للمطبوعات،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النضيد فى شرح منطق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الحوالى، سفربن عبدالرحمن،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مجدد ملة عمرو بن لحى و داعية الشرك فى 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دارالايمان،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خجندى المكى، محمد سلطان المعصومى،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المسلم ملزم باتباع مذهب من مذاهب الاربعة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جمعية احياء التراث الاسلامى،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خضير، على بن خضير،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التوضيع و التتمات على كشف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بغدادى، ابى بكر احمدبن على،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ابواد معروف، بى جا، دارالغرب الاسلامى،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خلال، ابى بكر احمدبن محمد،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عطية الزهرانى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دارالراية،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خوئى، سيد ابوالقاسم موسوى،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فى شرح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آل البيت للطباعة و النشر،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دارمى السمرقندى، عبدالله بن عبدالرحمن،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احمد زمرلى، خالد السبع العلمى، كراچى، كتب خانه ى قديمى،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دارمى، عثمان بن سعيد،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عثمان السعيد على المريسى الجهمى العنيد، تحقيق محمد حامد الفقى، بيروت، بى نا،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بد البدر، الكويت، دار ابن الاثير،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دويش، احمدبن عبد الرزاق،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اللجنة الدائمة للبحوث العلمية و الافتاء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 دارالمويد،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ذهبى، شمس الدين ابى عبدالله محمدبن احمد،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فى خبر من غبر، تحقيق صلاح الدين المنجد ابوهاجر محمد السعيد بن بسيونى زغلول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 للعلى 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سقاف، بيروت، دارالامام الرواس،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الارناؤوط و محمد نعيم العرقسوسى، بيروت، مؤسسة الرسالة،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 فى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و عادل احمد عبدالموجود، بيروت، دارالكتب العلمية،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زغل العلم والطلب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كوثرى، بى جا، المكتبة الازهرية للتراث،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رازى، محمدبن ابى بكر،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دائرة المعاجم فى مكتبة لبنان،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راغب اصفهانى، ابى القاسم الحسين بن محمد،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فى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مكتبة نزار مصطفى الباز،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الرحيلى، ابراهيم بن عامر،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اهل السنة من اهل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مدينة، مكتبة العرباء الاثرية،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رشيد رضا، سيد محمد،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قاهره، دارالمنار،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زبيدى، سيد محمد مرتضى حسينى،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كويت، التراث العربى،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زجاجى، عبدالرحمن بن اسحاق،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اسماءالله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عبدالحسين المبارك، بيروت، مؤسسة الرسالة،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زركشى، بدرالدين محمدبن بهادر الشافعى،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فى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قاهرة، مكتبة دارالتراث،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 فى الاصول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قاهرة، دارالصفوة للطباعة والنشر والتوزيع،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المنثور فى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فائق احمد محمود، بى جا، وزاره الاوقاف و الشئون الاسلاميه،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زمخشرى، جارالله ابى القاسم محمودبن عمر،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عن حقائق غوامض التنزيل وعيون الاقاويل فى وجوه التاويل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 الموجود و على محمد معوض، رياض، مكتبة العبيكان،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زهرانى، خالدبن احمد،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 بين أهل السنة والجماعة وغلاة الشيعة الاثنى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بى نا،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زهرى، محمدبن سعد،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الطبقات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عمر، قاهره، مكتبة الخانجى،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زينى دحلان، سيد احمدبن السيد،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السنية فى الرد على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حداد، بى جا، مكتبة الاحباب،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استانبول،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سبحانى، جعفر،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البدعه مفهوم ها، حدها و آثارها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دارالاضواء،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فى الالهيات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تليخص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ربانى، قم، مؤسسة النشر الاسلامى،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الايمان و الكفر فى الكتاب و السنه، قم، مؤسسة الامام الصادق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فى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بى نا،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سبكى، ابى نصر،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محمد الحلو و محمود محمد الطناحى، الجيزه، دارهجر،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سجستانى، ابى داوود سليمان بن اشعث،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ابى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الارنووط، محمد كامل قره بلدى، عبداللطيف حرزالله، بى جا، دارالرسالة العالمية،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سخاوى الشافعى، شمس الدين ابى الخير محمدبن عبدالرحمن،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المغيث بشرح الفية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بن عبدالرحمن الخضير، محمدبن عبدالله بن فهيد آل فهيد، رياض، دارالمنهاج،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عبدالوهاب،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الهية فى الرد على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ذوالفقار،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ظلال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دارالشروق،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محسن امين،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الارتياب فى اتباع محمدبن عبدالوهاب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رضى، ابوالحسن محمدبن الحسين موسى،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 صبحى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قاهره و بيروت، دارالكتاب المصرى و دارالكتاب اللبنانى،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جلال الدين عبدالرحمان بن ابى بكربن محمد،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الحاوى للفتاوى فى الفقه و علوم التفسير والحديث و الاصول و النحو والاعراب و سائر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فى تفسير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عبدالمحسن تركى، قاهرة، مركز الهجر للبحوث و الداسات العربيه و الاسلامية،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شاطبى، ابى اسحاق ابراهيم بن موسى بن محمد،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ابوعبيده مشهوربن حسن آل سلمان، بى جا، مكتبة التوحيد،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ابوعبيده مشهوربن حسن آل سلمان، رياض، دار ابن عفان،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شافعى الاشعرى، محمدبن علان،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الفالحين لطراق رياض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دارالكتاب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شافعى، محمدبن ادريس،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 رفعت فوضى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دارالوفاء،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عبدالحسين،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مؤسسه الاعلمى للمطبوعات،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 دارالنعمان،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شعيرى، تاج الدين،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بى نا،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شنقيطى، محمد الامين بن محمد،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اضواء البيان فى ايضاح القرآن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جده، دارالعالم الفوائد،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شوكانى، محمدبن على بن محمد،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الفحول الى تحقيق الحق من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حفص سامى بن العربى، رياض، دارالفضيلة،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 الجرار المتدفق على حدائق الازهار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دارابن حزم،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الطالع بمحاسن من بعد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 دارالكتاب الاسلامى،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 الجامع بين فنى الرواية و الدراية من علم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دارالمعرفه،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شهرستانى، ابى الفتح محمدبن عبدالكريم بن ابى ابكر احمد،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على معنا و على حسن فاعور، بيروت، دارالمعرفة،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صباغ، عماد،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دارالحصاد،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الغفارى، قم مقدسة، مؤسسة النشر الاسلامى،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الطبعة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صنعانى، محمدبن اسماعيل،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الاعتقاد عن ادران الالحاد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ناصربن على بن عائض بن حسن الشيخ، مدينة منورة، الجامعة الاسلامية،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طباطبايى، سيد محمد تقى حكيم،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العامة للفقة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مجمع العالمى اهل البيت،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طباطبايى، سيد محمد حسين،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مؤسسه الاعلمى للمطبوعات،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فياضى، قم، مركز انتشارات مؤسسه ى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الطبعة الاولى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طباطبايى يزدى، سيد محمد كاظم،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المكتبة العلمية الاسلامية،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طبرانى، سليمان بن احمد،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حمدى عبدالمجيد السلفى، قاهرة، مكتبة ابن تيميه،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طبرسى، ابى منصور احمدبن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موسوى خراسانى، مشهد مقدس، نشر مرتضى،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طبرسى، امين الاسلام فضل بن حسن،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 باعلام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ى آل البيت الاحياء التراث،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فى تفسير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الرسولى المحلاتى و سيد فضل الله اليزدى الطباطبايى، بى جا، دارالمعرفة للطباعة و النشر،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ابى جعفر محمدبن جرير،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الطبرى جامع البيان عن تاويل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عبدالمحسن التركى، قاهرة، مركز البحوث و الدراسات العربية و الاسلامية،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الرسل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 مصر، دارالمعارف، بى تا،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طحاوى، ابى جعفر،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العقيدة الطحاوية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ابن حزم،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طريحى، فخرالدين،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نشر الثقافة السلامية،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ابى جعفر محمدبن الحسن،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حبيب قصير العاملى، بيروت، دارالاحياء التراث،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الاحكام فى شرح المقنعة 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شمس الدين، بيروت، دارالتعارف للمطبوعات،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عاصمى، النجدى الحنبلى، عبدالرحمن بن محمدبن قاسم،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الدررالسنيه فى الاجوبه النجدية، مجموعة رسائل و مسائل علماء نجد الاعلام من عصر شيخ محمدبن عبدالوهاب الى عصرنا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 الطبعة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عبدالباقى، محمد فواد،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المفهرس لالفاظ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جا، بى نا،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عبدالسلام، عزالدين،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المعارف و الاحوال وسائر الاقوال و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 خالد الطبى، بيروت، دارالفكر،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عبداللطيف، عبدالعزيزبن محمدبن على،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دعاوى المناوئين لدعوة الشيخ محمدبن عبدالوهاب عرض و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دارالطيبة،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عبدالجباربن احمد،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الاصول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احمدبن الحسين بن ابى هاشم، عبدالكريم عثمان، قاهرة، مكتبة وهبة،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عبدالعزيزبن عبدالسلام،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الكبرى الموسوم بقواعد الاحكام فى اصلاح الانام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نزية كمال حماد و عثمان جمعة ضميرية، دمشق، دارالقلم،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سعيد، الدارمى،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البدر، الكويت، دارالسلفية،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عثيمين، محمدبن صالح،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المفيد على كتاب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عبدالله بن حمود اباالخيل و خالد بن على بن محمد المشيقح، بى جا، دارالعاصمة،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الواسطية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فواز الصميل، الرياض، مكتبة طبرية دار ابن الجوزى،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الطبعة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فتاوى و 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فهدبن ناصر السليمان، رياض، بى نا،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الباب المفتوح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جا، بى نا،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عجلونى الجراحى، اسماعيل بن محمد،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و مزيل الالباس عما اشتهر من الاحاديث على السنة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الطبعة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عسكرى، ابو هلال،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اللغويه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عطيه، عزت على،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تحديدها و موقف الاسلام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دارالكتاب العربى،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العفرج، احمد،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الغثاء الاهواء فى لم ترائف و غرائب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مركز الثقافة العربى،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الهدى، على بن الحسين سيد مرتضى،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فى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جامعه ى مدرسين،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رجايى، قم، دارالقرآن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عواجى، غالب بن على،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معاصرة تنتسب إلى الإسلام و بيان موقف الاسلام منها، المكتبة العصرية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جدة، بى نا،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عياض اليحصبى، ابى الفضل،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احمدبن محمد الشمنى، بيروت، دارالكتب العلمية،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غامدى، سعيدبن ناصر،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حقيقه البدعه و احكامها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 مكتبة الرشد،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غزالى، ابوحامد،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 ذيل احياء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 من علم الاصول، حمزة زهير بن 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مقداد، ابن عبدالله،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الطالبين الى 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بى نا،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رازى، فخرالدين ابوعبدالله ابوالفضل محمد،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الكبير و مفاتيح الغيب تفسير 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دارالفكر للطباعة والنشر والتوزيع،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فراء، ابويعلى،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 التأويلات لاخبار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حمد النجدى، الكويت، مكتبة دار الامام الذهبى،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فراهيدى، ابى عبدالرحمن الخليل بن احمد،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مهدى المخزومى و دكتر ابراهيم سامرايى،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فرحان مالكى، حسن،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داعية وليس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اردن، دار الرازى،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دايية ليس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اردن، دارالراضى،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فيروزآبادى، محمدبن يعقوب،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كاشانى، ملامحسن،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 فى تهذيب الاحياء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 مؤسسة النشر السلامى،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منشورات مكتبة الصدر،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قارى، على بن سلطان،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عيتانى، بيروت، دارالكتب العلمية،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القاسمى، محمد جمال الدين،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القاسمى المسمى محاسن التاويل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فواد عبدالباقى، بى جا، دارالاحياءالكتب العربية،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 الروض الازهر فى شرح الفقه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وهبى سليمان غاوجى، بيروت، دارالبشائر الاسلامية،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قحطانى، محمد عبدالله بن محمد،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نونية القحطانى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قاهرة، مدارالحرمين،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قرافى، شهاب الدين ابى العباس احمدبن ادريس المصرى المالكى،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حسن القيام، بيروت، مؤسسه الرسالة،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حجى، بى جا، دارالغرب الاسلامى،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قرضاوى، يوسف،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الصحوة الاسلامية بين اختلاف المشهور و التفرق المذموم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قاهرة، دارالشروق،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قرطبى، ابى عبدالله محمدبن احمد،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 و المبين لما تضمنه من السنة و آى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عبدالمحسن التركى، بيروت، مؤسسة الرسالة،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قسطلانى، احمدبن محمد،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الصالحين الى شرح الصحيح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اميرية،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قصاص، اسامة بن توفيق،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علو الرحمن من قول فرعون لهامان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بن خليفه الشايجى، الكويت، جمعية احياء التراث الاسلامى،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محمد،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ينبغى ان تصحح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دارالشروق،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قمى، شيخ عباس،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ايران، دارالاسوة،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قوشجى، علاءالدين على،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كاشف الغطاء، علامه جعفر،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الرشاد لمن اراد السداد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مركز الغدير للدراسات الاسلامية،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كلينى، محمدبن يعقوب،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منشورات الفجر،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كوثرى، محمد زاهد،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قلإ تبديد الظلام من نونية ابن 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لالكائى، ابوالقاسم،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اعتقاد اهل السنة و الجماعة من الكتاب و السنة و اجماع الصحاب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سعد حمدان، الرياض، دارالطيبة،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ماتريدى، ابومنصور،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طوبال و محمد آروشى، بيروت، دار صادر،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انس،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عيد الهلالى السلفى، بى جا، مجموعة الفرقان التجارية،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علامة محمد باقر،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 فى شرح اخبار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دارالكتب الاسلاميه،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الجامعة لدرر اخبار الائمة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دارالاحياءالتراث العربى،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محمدبن عبدالوهاب،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مطبعة المنار،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عبدالرزاق بن صالح، صنعا، دارالاثار،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برهانى، طلعت مرزوق، اسكندرية، دارالايمان للطبع والنشر والتوزيع،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باكريم محمد،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وسطية اهل السنة بين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دارالراية،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مخزومى، مجاهدبن جبر،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عبدالسلام ابوالنيل، مصر، دارالفكر الاسلامى الحديثة،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مسعرى، محمدبن عبدالله،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اصل الاسلام و حقيقة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لندن، التجديد الاسلامى،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مشعبى، عبدالمجيدبن سالم،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ابن تيمية فى مسالة 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عربستان، اضواء السلف،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مظفر، محمد رضا،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دارالتفسير،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الطبعة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معلوف، لويس،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 فى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المكتبة الكاثوليكية،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السابعة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محمدبن نعمان،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عوائل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مقبول احمد، صلاح الدين،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فى كتاب الصفة القربى لشيخ سليمان العودة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الشارج، دارالفتح،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مناوى، محمد عبدالرؤف،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التوقيف على مهمات التعاريف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صالح حمدان، قاهرة، عالم الكتب،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نجدى، سليمان بن سحمان،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السنية و التحفة الوهابية النجدية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مطبعة المنار،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نجفى، محمد حسن،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فى شرح شرائع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الطبع خانه ى خورشيد،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نسائى، ابى عبدالرحمن احمدبن شعيب ابى على،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الكتب الثقافية،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 من السنن سنن 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اردن، بيت الافكار الدولية،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نسفى، ميمون بن محمد،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الادلة فى اصول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كلود سلامة، دمشق، بى نا،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نسفى، ابى البركات عبدالله بن احمدبن محمود،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النسفى مدارك التنزيل و حقائق التاويل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على بديوى، بيروت، دارالكلم الطيب،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نوبختى، حسن بن موسى،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مؤسسه ى تحقيقات و نشر معارف اهل بيت،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نووى، يحيى بن شرف،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الاسماء و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دارالكتب العلمية،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شرح الصحيح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مؤسسه القرطبى،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نيشابورى القشيرى، ابى الحسين مسلم بن الحجاج،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فواد عبدالباقى، قاهرة، دارالحديث،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نيشابورى، ابى عبدالله،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قاهرة، دارالحرمين،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الوسى، شهاب الدين السيد محمود،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 فى تفسير القرآن العظيم و السبع المثانى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ادارة الطباعة المنيرية، دارالاحياءالتراث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الوسى، نعمان بن محمود،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الايات البينات فى عدم سماع الاموات عند الحنفية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مكتبة المعارف،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هذلول، سعود بن هذلول،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ملوك آل 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مطابع الرياض،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هندى، علاءالدين على المتقى بن حسام الدين،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فى سنن الاقوال و الافعال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بكرى حيانى، صفوة السقا، بيروت، مؤسسة الرسالة،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الطبعة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هيثمى مكى، شهاب الدين ابن حجر،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بشرح الاربعة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هيثمى، نورالدين على بن ابى بكر،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دارالكتاب العربى، بى تا</w:t>
      </w:r>
      <w:r>
        <w:rPr>
          <w:rFonts w:eastAsia="Amiri" w:cs="Amiri" w:ascii="Amiri" w:hAnsi="Amiri"/>
          <w:color w:val="111111"/>
          <w:sz w:val="28"/>
          <w:szCs w:val="28"/>
          <w:rtl w:val="true"/>
          <w:lang w:bidi="ar-SA"/>
        </w:rPr>
        <w:t>.</w:t>
      </w:r>
      <w:bookmarkStart w:id="783" w:name="pg15502_177536"/>
    </w:p>
    <w:p>
      <w:pPr>
        <w:pStyle w:val="Heading3"/>
        <w:numPr>
          <w:ilvl w:val="2"/>
          <w:numId w:val="1"/>
        </w:numPr>
        <w:rPr/>
      </w:pPr>
      <w:bookmarkStart w:id="784" w:name="__RefHeading___Toc8089360_2142443653"/>
      <w:bookmarkStart w:id="785" w:name="_Toc294"/>
      <w:bookmarkEnd w:id="783"/>
      <w:bookmarkEnd w:id="784"/>
      <w:r>
        <w:rPr/>
        <w:t>3</w:t>
      </w:r>
      <w:r>
        <w:rPr>
          <w:rtl w:val="true"/>
        </w:rPr>
        <w:t xml:space="preserve"> - </w:t>
      </w:r>
      <w:r>
        <w:rPr>
          <w:rtl w:val="true"/>
        </w:rPr>
        <w:t>مقاله ها و نشريه ها</w:t>
      </w:r>
      <w:bookmarkEnd w:id="7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روحى،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نامه ى موضوعى قرآن، پايگاه مركز فرهنگ و معارف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العراقى،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حجية سنة الصحابى، الفكر الاسلامى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چهارم،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محرم و جمادى الاخره،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زاده ى موسوى، سيد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شناسى 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ى سراج 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نامه ى تخصصى نقد 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انديشه ى سياسى كلامى سيد ابوالاعلى مودودى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پايان نامه ى سطح چهار حوزه ى علميه 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ى نمايندگى ولى فقيه در حج و زيارت، ويراست دوم، </w:t>
      </w:r>
      <w:r>
        <w:rPr>
          <w:rFonts w:eastAsia="IRNazanin" w:cs="IRNazanin"/>
          <w:color w:val="111111"/>
          <w:sz w:val="28"/>
          <w:szCs w:val="28"/>
          <w:lang w:bidi="fa-IR"/>
        </w:rPr>
        <w:t>1390</w:t>
      </w:r>
      <w:r>
        <w:rPr>
          <w:rFonts w:eastAsia="IRNazanin" w:cs="IRNazanin"/>
          <w:color w:val="111111"/>
          <w:sz w:val="28"/>
          <w:szCs w:val="28"/>
          <w:rtl w:val="true"/>
          <w:lang w:bidi="fa-IR"/>
        </w:rPr>
        <w:t>.</w:t>
      </w:r>
      <w:bookmarkStart w:id="786" w:name="pg15502_177537"/>
    </w:p>
    <w:p>
      <w:pPr>
        <w:pStyle w:val="Heading3"/>
        <w:numPr>
          <w:ilvl w:val="2"/>
          <w:numId w:val="1"/>
        </w:numPr>
        <w:rPr/>
      </w:pPr>
      <w:bookmarkStart w:id="787" w:name="__RefHeading___Toc8089362_2142443653"/>
      <w:bookmarkStart w:id="788" w:name="_Toc295"/>
      <w:bookmarkEnd w:id="786"/>
      <w:bookmarkEnd w:id="787"/>
      <w:r>
        <w:rPr/>
        <w:t>4</w:t>
      </w:r>
      <w:r>
        <w:rPr>
          <w:rtl w:val="true"/>
        </w:rPr>
        <w:t xml:space="preserve"> - </w:t>
      </w:r>
      <w:r>
        <w:rPr>
          <w:rtl w:val="true"/>
        </w:rPr>
        <w:t>درگاه هاى اينترنتى</w:t>
      </w:r>
      <w:bookmarkEnd w:id="7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//www.islamweb.net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جيران فى مدينتك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 //www.muhmmdkalo.arabblogs.com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خبرگزارى اهل بيت وابسته به مجمع جهانى اهل بيت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//abna.ir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ميزان، وابسته به آيت الله جعفر مرتضى العاملى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www.mezan.net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الرئاسة العامة للبحوث العلمية و الافتاء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 //www.alifta.net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دكتر سفر الجوالى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 //www.alhawali.com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الفوزان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www.alfawzan.ws</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عبدالعزيز بن باز</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://www.binbaz.org.sa</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عبدالرحمن جبرين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 //ibn-jebreen.com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ناصرالدين البانى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 //www.alalbany.net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المشكاة الاسلامية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 //www.almeshkat.net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 الاسلامية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 //www.sohari.com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الأسهم القطرية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 //qatarshares.com/vb/index.php</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 الفوائد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 //saaid.net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الصوفية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 //www.soufia.org</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اهل السنة و الجماعة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 //www.sunna.info</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يوتيوب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 //youtube.com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در هر علمى، داراى عناصر و ويژگى هاى خاص خود است؛ براى نمونه، روش مقايسه اى در علوم سياسى، ويژگى هاى خود را دارد؛ و يا روش توصيفى در علوم تجربى با روش توصيفى در علوم انسانى تفاوت هايى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روش در اين كتاب، بيش تر معنى ظاهرى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Descriptive</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Analytic</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عبدالوهاب النجدى،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الصوائق الالهية فى الرد على الوهابية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اول،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 گونه كه در جلد اول اين مجموعه نيز گفته شد، حتى ابن تيميه نيز مانند محمدبن عبدالوهاب و پيروان وى، مسلمانان را كافر و مهدورالدم نخواند و به جهاد با مسلمانان فتوا نداد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رشد وهابيت و پيوند آن با قدرت، در جلد اول اين مجموعه به تفصيل بيان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امروزه وهابيان براى خروج از انزوا، گاه مى كوشند با ديگر مذاهب اسلامى هم گرايى ايجاد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دشمنان خود را با توجه به خطر، اولويت بندى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بيش ترين تلاش آنان مبارزه با شيعه است؛ اما اگر روزى از خطر شيعه احساس امنيت كنند، بى شك، لبه ى تيز دشمنى هايشان به سوى ديگر مذاهب اسلامى نشانه خواهد رفت؛ چنان كه تاريخ شاهد اين مدعاست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علوم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الاقتباس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ديدگاه هاى مختلف پيرامون موضوع علم كلام،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عقايد استدلالى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ى على ربانى گلپايگانى،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ترجمه ى محمد باقر موسوى،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علوم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فيض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على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هاى آينده، برخى از تبيين هاى كلامى اميرالمؤمنين عليه السلام بيان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حسين 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تعليق محمد زاهد الكوثرى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مى توان به اين كتاب ها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الاسلاميين واختلاف المصلين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عبدالرحمن ملطى،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والرد على اهل الاهواء والبدع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عبدالقاهر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طاهربن محمد اسفراينى،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التبصير فى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كسانى كه در سه سده ى نخستين اسلامى به مباحث كلامى روى آوردند،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أن من السلف من اشتغل بعلم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واقع در پايگاه اينترنتى</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آسان با مذاهب كلامى،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الملل والنحل، دراسة مقارنة فى المذاهب الاسلامى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رضا برنجكار،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فرق و مذاهب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على ربانى گلپايگانى،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و مذاهب كلامى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فكرى سلفيه و وهابيت، در جلد يك همين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به تفصيل بررسى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سلفى گرى و وهابيت تبارشناسى،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نخست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بسيارى هست كه احمدبن حنبل به مباحث كلامى پرداخته است و اين موضوع، مخالف با چيزى است كه به وى نسبت داده مى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حمويه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على بن اسماعيل اشعرى،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استحان الخوض فى علم الكلام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الاشعرى،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فى الرد على اهل الزيغ والبدع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عبدالقاهر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بايد به اين نكته نيز توجه داشت كه پيروان مكتب حنبلى، به سبب مبانى خاص خود، كم تر از پيروان ديگر مذاهب اسلامى هستند؛ وهابيان نيز هرچند خود را حنبلى مى خوانند، با انديشه ى حنابله فاصله ى بسيارى دارند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الحرمين جوينى،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الى قواطع الادلة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گردآورى عبدالرحمن بن محمد بن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كالو،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البحث عند علماء الكلام قديماً وحديثاً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موجود در پايگاه اينترنتى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زاهد الكوثرى،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زغل العلم والطلب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مفاهيم سلف، سلفى و سلفى گرى، و نيز ديدگاه هاى آنان،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سلفى گرى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فوزان، فايل صوتى در پايگاه اينترنتى رسمى 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www.alfawzan.ws/node/3731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الفتوى، اسلام وب، </w:t>
      </w:r>
      <w:r>
        <w:rPr>
          <w:rFonts w:eastAsia="IRNazanin" w:cs="IRNazanin"/>
          <w:b w:val="false"/>
          <w:bCs w:val="false"/>
          <w:i w:val="false"/>
          <w:iCs w:val="false"/>
          <w:color w:val="333333"/>
          <w:sz w:val="20"/>
          <w:szCs w:val="20"/>
        </w:rPr>
        <w:t>www.islamweb.net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شماره ى فتوا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قرضاوى،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الصحوة الاسلامية بين الاختلاف المشروع والتفرق المذموم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ابواسماعيل عبدالله بن محمد الانصارى الهروى،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العقائدالقائم على الادلة العقلية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الكلام واهله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جايگاه علم كلام در ميان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هاى آينده، مشبهه بودن و مجسمه بودن وهابيت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ناشى از نگاه ظاهرگرايانه ى آن 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بررسى خواهد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القاسم حسين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زبيدى،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عبدالباقى،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 لالفاظ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كلمه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عبوديت و مجتبى 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خداشناسى فلسفى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طبرى در تفسيرش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حقيقة ما دعاهم اليه من توحيد الله و خلع الانداد و الاوثان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جرير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طبرى جامع البيان عن تاويل القران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به تفصيل پيرامون عينيت و يا زايد بودن صفات بر ذات الهى در مكتب اهل بيت عليهم السلام و ديگر مذاهب اسلامى بحث خواهد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علامه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لاموثرفى الوجود بحقيقة المعنى الا الله،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اين آيات نيز به توحيد در آفرينش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باهنر و اكبر هاشمى رفسنجانى،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در عصر بعثت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كلامى ميان مذاهب اسلامى، بسيار است كه در اين مختصر، فقط به طور اجمال قرائت هاى مختلف مذاهب اسلامى پيرامون توحيد مى آيد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يٰا أَهْلَ اَلْكِتٰابِ تَعٰالَوْا إِلىٰ كَلِمَةٍ سَوٰاءٍ بَيْنَنٰا وَ بَيْنَكُمْ أَلاّٰ نَعْبُدَ إِلاَّ اَللّٰهَ وَ لاٰ نُشْرِكَ بِهِ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عقل گراى معتزله كه واصل بن عطا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آغازگر آن بود، در طول تاريخ اسلام تأثيرات بسيارى بر انديشه ى مسلمانان بر جاى گذاشت و در دوره ى مأمون عباسى به اوج شكوفايى خود رسيد؛ اما پس از غلبه ى اهل حديث و مخالفت اين جريان با معتزله و همراهى حكومت ها با اهل حديث، مكتب معتزله رو به افول نهاد و بسيارى از آثار آن از ميان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سبحانى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عقايد و مذاهب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 گسترده اى پيرامون فراز و نشيب اين جريان فكرى ارائه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عقايد و مذاهب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 اعتزال،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عبدالجبار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الاصول خمسه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اشعرى، منتسب به ابوالحسن اشعرى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به مكتب اهل حديث نزديك است و مسائلى همچون مغايرت صفات از ذات، و حسن و قبح شرعى در برابر حسن و قبح عقلى، از جمله ديدگاه هاى آن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فرق اسلامى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الابانة عن اصول الديانة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معتزليان در توحيد افعالى راه افراط را درپيش گرفتند؛ بدين معنى كه انسان را كاملاً فاعل مختار تلقى كردند؛ و اين درست نبود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ماتريدى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ماتريد سمرقند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پيروان مكتب كلامى ماتريدى، معمولاً از نظر فقهى حنفى هستند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ماتريدى،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شيعه، شبيه به اين روايات بسيار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الجبر والقدر؛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نفى الجبر والتفويض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ى كشف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فتاوا و المقالات متنوعه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ى كشف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پيرامون ديدگاه وهابيان درباره ى توحيد و شرك، به تفصيل سخن خواهيم گفت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حرف شين، ماده ى شرك،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شاركتُ فلاناً اى صرتُ شريكه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ماده ى شرك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تاج اللغه و صحاح العربيه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الاشياء باضدادها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دوخدايى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خدايى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كيانى 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بزرگ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مدخل ثنويت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جنيان را شريك خدا انگاشته اند؛ درحالى كه خدا آن ها را آفريده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 فى تفسيرالقرآن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آيه،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آيات برهان تمانع،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وهابيت و توحيد ربوبى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توحيد صفاتى و معنى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چنين اعتقادى موجب خروج از اسلام نمى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سوم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هاى تشبيهى و تجسيمى، در همين جلد در دو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صفاتى در انديشه 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وهابيت، مكتب 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توضيح داده شده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دوم اين جلد معنى توحيد افعالى و اقسام آن توضيح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 جاكه اعتقاد به شريك بودن موجودات با خدا در هر يك از اين محورها شرك به شمار مى رود، براى پرهيز از تكرار، اقسام شرك افعالى ذكر نمى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جلد، فصل ششم و هفتم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جاكه در فصل هشتم همين جلد، به تفصيل درباره ى شرك عملى و شرك در عبادت سخن گفته شده است، براى پرهيز از تكرار، در اين جا به صورت خلاصه به اين بحث پرداخته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بزرگ يا آشكار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كوچك يا پنهان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جلد، فصل هشتم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الكفر و لوازمه و اثاره،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الرياء،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راغب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فى غريب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سوره ى اعراف آيات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نيز در سوره ى طه 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داستان گمراهى بنى اسرائيل را كه ريشه در حس گرايى آن ها دارد، بيان مى كند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جمال الدين القاسمى،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كسانى كه روش تشبيه را درپيش گرفته اند، در اين مفهومِ توحيد صفاتى نيز با مشكل مواجه اند؛ زيرا تشبيه خداوند به مخلوق، نشانگر عدم اعتقاد به بى همتايى خداوند در صفات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 تر با مباحث صفات الهى و روايات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صفات الهى به بخش هاى مختلفى هم چون صفات جمال و جلال، و صفات ذات و فعل تقسيم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فى الالهيات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شهيد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جرجانى،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برخى اين صفات را به خبرى و غيرخبرى، و يا صفات ذات و صفات خبرى تقسيم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آيت الله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عقايد و مذاهب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نظر مى رسد چندان مناسب نيست؛ زيرا صفاتى كه در برابر صفات خبرى به عنوان صفات غيرخبرى مطرح مى شوند، در كتاب و سنت نيز ذكر شده اند؛ بنابراين آن ها نيز مى توانند صفات خبرى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ازسويى برخى در اين تقسيم، صفات خبرى را در برابر صفات ذاتى قرار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آيت الله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فى الالهيات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تلخيص على ربانى،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تقسيم نيز مناسب نيست؛ زيرا خود صفات خبرى را مى توان به دو بخش صفات ذات و صفات فعل تقسيم كرد كه در متن اشاره خواهد 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جرجانى،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چشمها او را نمى بينند، ولى او همه ى چشمها را مى 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مسلم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نسائى،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از وى درباره ى آيه ى شريفه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رَآهُ بِالْأُفُقِ اَلْمُبِينِ‌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پرسيده شده است كه وى با استناد به سخن پيامبر صلى الله عليه و آله، منكر رؤيت خداوند توسط آن حضرت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فجالس أصحاب محمد صلى الله عليه و آله، فكان يحدثهم عن الكتب الاسرائيلية، ويحفظ 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شماره 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ذيل ترجمه ى كعب الاحبار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قاسم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أبو هريرة وكعب فجعل أبو هريرة يحدث كعباً عن النبى صلى الله عليه و آله وكعب يحدث أباهريرة عن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اين حديث را به سند صحيح از مسلم نيشابورى و دارمى نقل كرده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عبدالقاهربن طاهربن محمد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محمدبن 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ديدگاه هاى جهميه،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مشرق عالم اسلامى دو رأى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جهميه كه قائل به تعطيل صفات الهى است؛ و مقاتلى كه قائل به تشبيه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ابى بكر خطيب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الاسلامين واختلاف المصلين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بن الحسن اللالكائى،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اعتقاد اهل السنة والجماعة من الكتاب والسنة واجماع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عبدلله بن 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الدارمى،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الجهمية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دارمى پس از ذكر اين حديث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والأحاديث عن رسول الله صلى الله عليه وسلم وعن أصحابه والتابعين ومن بعدهم فى هذا أكثر من أن يحصيها كتابنا هذا غير أنا قد اختصرنا من ذلك ما يستدل به أولو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نصر السبكى،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تقى الدين ابوبكر الحصنى،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 من شبه وتمرد ونسب ذلك الى الامام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عبدالقاهربن طاهر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خزيمه در رديف كتاب هاى درسى وهابيان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به تفصيل به آن اشاره خواهد 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على 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محمدبن احمد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الذهبى،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الجيوش الاسلامية على غزو المعطلة والجهمية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 الخلال،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اين كتاب در فصل پنجم، بيش تر توضيح داده خواهد 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علم رجال وى را به شدت نكوهيده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الذهبى،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رهبر مكتب تجسيم در هرات، و به شدت مخالف علم كلام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ذبايح اشاعره را حلال نمى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متأثر از هروى، اشاعره و در رأس آنان ابوالحسن اشعرى را از يهود بدتر مى 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هنگامى كه مسلمانان را به سبب نفى صفات، بدتر از يهود مى شمارد،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شاع فى المسلمين أنّ رأسهم على بن إسماعيل الأشعرى</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ى وضعيت حديث،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حديث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الاشعرى،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الابانة عن ا صول الديانة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فيروزآبادى،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الباجورى،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جوهرة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ماتريدى،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 التعارض العقل والنقل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هم 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عبدالله بن احمدبن قدامه،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لمعة الاعتقاد الهادى الى سبيل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ابن 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الجيوش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صالح العثيمين،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المحاضرات السنية فى شرح العقيدة الواسطية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بن زبيربن على أبو 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التوضيحات الأثرية على متن الرسالة التدمرية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عثيمين،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رب البرية بتلخيص الحموية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معلوف،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فى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تأويل معانى گوناگونى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آن را مترادف تفسير گرفته 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مجاهدبن جبر المخزومى،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ابوحيان اندلوسى،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محمدبن حسن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بر اين باورند كه تأويل همان چيزى است كه اتفاق افتاده و كلام از آن خبر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كلام، خبر از رويدادهاى گذشته باشد، تأويل، همان حادثه اى است كه در گذشته رخ داده است؛ مانند داستان پيامبران در قرآن؛ و اگر خبر از آينده باشد، تأويل، همان قضيه اى است كه اتفاق مى افتد؛ مانند پيروزى روميان بر ايرانيان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بهادر زركشى،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الاسماء والصفات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الفتوى الحموية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عبدالله بن 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المضية،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عمر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ابن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 التشبيه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فوزان،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تعقيبات على كتاب البوطى، السلفية ليست مذهباً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على 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 بشرح 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بن محمد نسفى،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الادلة فى اصول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مؤمن در ميان دو انگشت خداست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غزالى،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العقائد، ذيل احياءعلوم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ابومحمدبن قتيبه،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 فى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نظر علامه،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ذيل آيات 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ى 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معانى ظاهر،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جرجانى،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محمد عبدالرئوف المناوى،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التوقيف على مهمات التعاريف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شبهة التشبيه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زاهد الكوثرى،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تبديد الظلام المخيم من نونية ابن 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محمد زاهد كوثرى اين كتاب را در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الصقيل فى الرد على ابن زفيل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ى سبكى، نگاشته است،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فوزان بن عبدالله الفوزان،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الى صحيح الاعتقاد والرد على اهل الشرك والالحاد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ناصرالدين الالبانى،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أولا يادعاة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الصحيحة وما يضادها ونواقض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فوزان،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تعقيبات على كتاب للبوطى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تقى الدين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الصحيح لمن بدل دين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حسين ابوبكر البيهقى،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البيهقى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ناصر الألبانى،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قضايا عقدية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 أولاً يا دعاة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 والافتاء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فتواى شماره ى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جرير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فى تفسير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جرير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فى تفسير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نوع از تفويض، در همين فصل ذيل نظريات تنزيهى بررسى 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عثيمين،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 التعارض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مقولات عشر، كه يكى از آن ها كيفيت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مصباح يزدى،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فلسفه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نفسانى، عرضى است كه فقط بر جوهر نفسانى عارض مى 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قدرت، اراده، كراهت، لذت و درد، كه خود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زود ازميان ميرود؛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شادى، غم، جزع و شرمندگى؛ 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زود ازبين نميرود؛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خلق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محسوس، عرضى است كه توسط حواس ظاهرى و اندام هاى حسى درك مى شود؛ مانند انواع محسوساتى كه با قواى بينايى، بويايى، چشايى، لامسه و شنوايى درك ميشوند؛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بو و 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محسوس نيز به دو گونه تقسيم مى 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راسخه، كه بر جسم عارض شده و زود ازبين نمى رود؛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شيرينى عسل و زردى طلا؛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غيرراسخه؛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گرما، سرما، رطوبت، و زردى ناشى از خجالت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مخصوص به كم، كيفى است كه بر 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شمارش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واسطه ى آن بر جسم عارض مى 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زوجيت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عدد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استعدادى، كيفى است كه به واسطه ى آن، پيدايش حالت يا صفت خاصى براى موضوعش رجحان مى يابد؛ مانند نطفه كه داراى استعداد لازم براى تبديل شدن به انسان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تلبيس الجهمية فى تأسيس بدعهم الكلامية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ابن تيميه از قول مالك مى گويد، صرفاً در روايتى ضعيف از وهب بن منبه روايت شده كه وى نيز فردى ضعيف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ابوالشيخ،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احمدبن ادريس القرافى،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مؤمن ميان دو انگشت از انگشتان خداوند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نفى كيفيت در انديشه ى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بكر الاسماعيلى،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 ائمة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ابوالقاسم اللالكائى،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اعتقاد اهل السنة والجماعة من الكتاب والسنة واجماع الصحاب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احمدبن الحسين البيهقى،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 والهداية الى سبيل الرشاد على مذهب السلف واصحاب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محمدبن احمد الذهبى،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 للعلى الغفار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عام سلفى گرى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 و الافتاء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دراسة مقارنة بين عقيدة الوهابية وعقيدة اليهود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موجود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www.soufia.org</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عمروبن ابى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اسحاق بن خزيمه،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واثبات صفات الرب عزوجل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الدارمى،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عثمان السعيد على المريسى الجهمى العنيد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الجهمية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ى رساله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عثمان بن ابى شيبة وكتابه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اين رساله موفق به اخذ درجهى دكترى از دانشگاه مدينه شد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ابويعلى الفراء،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 التأويلات لاخبار 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والإفتاء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عبدالله بن 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عبدالعزيزبن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تنبيهات فى الرد على من تأول 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الصحيحة ونواقض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محمدبن صالح بن عثيمين،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فتاوى ورسائل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صالح الفوزان،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عقيدة التوحيد وبيان ما يضادها من الشرك الاكبر والاصغر وغير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رضابن نعسان،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الإثبات والتفويض بصفات رب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ابراهيم بن محمد البريكان،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الخلف بمنهج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الفتاويا الحموية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العقود الدرية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بن توفيق القصاص،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علو الرحمن من قول فرعون لهامان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فوزان،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تنبيهات على مقالات الصابونى فى 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تنبيهات فى الرد على من تأول 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محمد باكريم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وسطية اهل السنة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أبومحمد عبدالله بن محمد الأندلسى،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نونية القحطانى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هم چنين محمدبن خليفه ى تميمى، اشاعره را رمى به بدعت مى كند؛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خليفه التميمى،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معتقد اهل السنة والجماعة فى توحيد الاسماء والصفات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ابراهيم بن عامر الرحيلى،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اهل السنة من اهل البدع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ابوالحسن اشعرى در نگاه وهابيان به عنوان رتبه ى سوم از درجات جهميه شمرده مى شود؛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بن على عواجى،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معاصرة تنتسب إلى الإسلام وبيان موقف الاسلام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اشاعره و ماتريديه از جريان هاى ويرانگر و فتنه انگيز در جهان اسلام شمرده شده 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رضاء الله المباركفورى،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كتاب العظمة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امان الجامى،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 الهية فى الكتاب والسنة النبوية فى ضوء الاثبات والتنزيه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هادى ربيع المدخلى، حاشيه بر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فى بيان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ى اسماعيل بن محمد تميمى،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كارنامهى وهابيت در كشتار مسلمانان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هاى بعدى اين فصل، به تفصيل به ديدگاه وى و وهابيان درباره ى معنى توحيد ربوبى و الوهى اشاره خواهد 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آنكه چنين تقسيمى در جهان اسلام سابقه ندارد، اما براى اين كه ادعاهاى آنان با مبانى خود وهابيت پاسخ داده شود، در اين مجموعه از تعابير خود آنها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ربوبى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مى شود، تا مشخص شود حتى با مبناى خود آنها نيز ادعاى آنان باطل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حوزههاى مختلف توحيد نظرى،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مفهوم و مراحل توحيد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ابن فوزان،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الى صحيح الاعتقاد و الرد على اهل الشرك و الالحاد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 التعارض بين العقل و 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توحيد نظرى،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 التعارض بين العقل و 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فطرى بودن توحيد، شكى نيست و آيات قرآن نيز اين امر را تأييد مى كند؛ اما همان گونه كه خواهد آمد، فطرى بودن توحيد به معنى توحيد در عقيده نيست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فوزان،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الى صحيح الاعتقاد والرد على اهل الشرك والالحاد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ربب، ص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توحيد الوهى،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هشتم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رابطه ى توحيد نظرى و عملى،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دوم، مفهوم و مراحل توحيد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فيض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مسلم نيشابورى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 داود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عدلت به غيره؛ يعنى سويته به غيره، آنرا با غيرخود مساوى قراردادم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ى امامى و آشتيانى، خطبه ى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معنى 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بن احمد الفراهيدى،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ابوهلال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الزمخشرى،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راغب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مفهوم در سوره هاى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من كسى است كه زنده مى كند و مى ميراند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مى كنم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ميرانم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شريفه، سه گروه يهود، نصارا و مشركان هستند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الاسلام فضل بن حسن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محمودبن عمر الزمخشرى،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عن حقائق التنزيل وعيون الأقاويل فى وجوه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آيه ى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ى معنى حنيف و حنفا،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بخش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و كفر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فصل، به اجمال به اين مناظرات اشاره خواهد شد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زرگرى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صدر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سياسى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سيره ى رسول خدا صلى الله عليه و آله،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طبرسى و فخر رازى، اقوالى را در زمينه ى مفهوم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امين الاسلام فضل بن حسن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فخر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زرگرى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صدر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سياسى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سيره ى رسول خدا صلى الله عليه و آله،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 فى تاريخ العرب قبل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سيدعبدالحسين 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اطيب البيان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در قرآن؛ تفسير موضوعى قرآن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و همكاران،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لاٰ تَذَرُنَّ آلِهَتَكُمْ وَ لاٰ تَذَرُنَّ وَدًّا وَ لاٰ سُوٰاعاً وَ لاٰ يَغُوثَ وَ يَعُوقَ وَ نَسْراً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از خدايان و بت هاى خود برنداريد؛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ويژه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رها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 ناصر مكارم 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الاسلام فضل بن حسن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آسا در ملك يقين زن نداى لا احبّ الآفلين زن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جهانيان 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درباره ى فطرى بودن توحيد،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دوم و نيز ادامه ى همين فصل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برخى از آياتى كه براى بندهاى بعدى اين بحث ارائه شده اند، بيانگر اين بحث هستند؛ ازاين رو براى پرهيز از تكرار، در اين جا ارائه نشده اند و در موارد بعدى، به مناسبت به آن ها اشاره خواهد 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فردريش نيچه،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گفت زرتشت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ى داريوش آشورى،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الوجيز فى تفسير الكتاب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انوار التنزيل واسرار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پنجم گفته شد كه ابن تيميه و وهابيان در توحيد اسماء و صفاتِ ادعايى خود، گرفتار تشبيه و تجسيم شده اند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ربوبى در نگاه وهابيت، در فصل ششم و هفتم به تفصيل بررسى، و ادعاى وهابيان در اين زمينه نقد شد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فصل گذشته بيان شد، با توجه به آيات قرآن، مشركان اقوام گذشته و مشركان پيش از اسلام، هرگز در زمينه ى توحيد ربوبى موحد نبوده اند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 التعارض بين النقل والعقل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 التعارض بين النقل والعقل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فوزان،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الى صحيح الاعتقاد والرد على اهل الشرك والالحاد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پانزدهم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فصل شانزدهم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معنى لغوى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حماد الجوهرى،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محمدبن يعقوب فيروزآبادى،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احمدبن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حسن الحبنكه الميدانى،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الربوبية و توحيد الالهية و مذاهب الناس بالنسبة اليهما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الزجاجى،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اشتقاق اسماء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البريكان،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شيخ الاسلام ابن تيميه فى تقرير عقيدة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العبودية الخضوع و الذل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مفردات الفاظ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مجدالدين محمدبن يعقوب فيروزآبادى،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ى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و محمد 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 التعارض بين النقل والعقل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التوحيد هو افراد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بالعبادة، وهو دين الرسل الذى ارسلهم الله به الى عباده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 التعارض بين النقل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و دعوت به توحيد ربوبى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 التعارض بين النقل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خضير الخضير،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التوضيح والتتمات على كشف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بن عبدالمحسن البدر،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فى الرد على من انكر تقسيم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مجموع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وَالْفَرْقُ ثَابِتٌ بَيْنَ الْحُبِّ لِلَّهِ وَالْحَبِّ مَعَ اللَّهِ فَأَهْلُ التَّوْحِيدِ وَالْإِخْلَاصِ يُحِبُّونَ غَيْرَ اللَّهِ لِلَّهِ وَالْمُشْرِكُونَ يُحِبُّونَ غَيْرَ اللَّهِ مَعَ اللَّهِ كَحُبِّ الْمُشْرِكِينَ لِآلِهَتِهِمْ وَحُبِّ النَّصَارَى لِلْمَسِيحِ وَحُبِّ أَهْلِ الْأَهْوَاءِ رُءُوسَهُمْ‌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فراوانى به توحيد عبادى اشاره دارند كه بيش از همه، در سوره هاى اعراف، هود و شعرا به آن 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آيات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سجده ى ملائكه بر حضرت آدم عليه السلام، و سجده ى والدين حضرت يوسف عليه السلام بر وى، و نيز در سورهى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مى شود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وهابيت؛ مبانى فكرى و كارنامه ى عملى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الاسلام فضل بن حسن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مجمعالبيان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ترجمهى رضا ستوده،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زينى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 الوهابية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الاعمال بالنيات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عبارات گوناگون، در منابع شيعه و سنى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نيت را اگر به معنى عام بگيريم، شامل حوزه ى اعتقاد نيز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ريا در عبادات، موجب شرك خفى مى شود، اعتقاد به الوهيت يا ربوبيت فرد نيز عمل را به شرك تبديل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شيعى اين حديث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اسماعبل صحيح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مسلم بن حجاج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اَلْمَسٰاجِدَ لِلّٰهِ فَلاٰ تَدْعُوا مَعَ اَللّٰهِ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سجده گاه ها براى خداست؛ پس با خداوند هيچ كس را مخوانيد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يَهْدِي مَنْ هُوَ كٰاذِبٌ كَفّٰارٌ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أَرٰادَ اَللّٰهُ أَنْ يَتَّخِذَ وَلَداً لاَصْطَفىٰ مِمّٰا يَخْلُقُ مٰا يَشٰاءُ سُبْحٰانَهُ هُوَ اَللّٰهُ اَلْوٰاحِدُ اَلْقَهّٰارُ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اَلسَّمٰاوٰاتِ وَ اَلْأَرْضَ بِالْحَقِّ يُكَوِّرُ اَللَّيْلَ عَلَى اَلنَّهٰارِ وَ يُكَوِّرُ اَلنَّهٰارَ عَلَى اَللَّيْلِ وَ سَخَّرَ اَلشَّمْسَ وَ اَلْقَمَرَ كُلٌّ يَجْرِي لِأَجَلٍ مُسَمًّى أَلاٰ هُوَ اَلْعَزِيزُ اَلْغَفّٰارُ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الصوائق الالهية فى الرد على الوهابية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همين كتاب، به تفصيل پيرامون جايگاه علمى محمدبن عبدالوهاب سخن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تبارشناسى وهابيت، فصل سيزدهم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الالهية فى الرد على الوهابية،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مستبصر گرامى، عصام العماد، عامل بازگشت خود و بسيارى از وهابيان را از انديشه ى وهابى، كتاب سليمان بن عبدالوهاب مى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على يحيى العماد،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محمدبن عبدالوهاب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ى سيد محمدجعفر نورى،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انديشه ى مودودى،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عليزاده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انديشه ى سياسى كلامى سيد ابوالاعلى مودودى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پايان نامه ى سطح چهار حوزه ى علميه ى قم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هاى 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ى محمود محمودى،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شخصيت و انديشه سيد قطب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احمدى و محمد جاسم ساعدى،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قطب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جهانى تقريب مذاهب اسلامى،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و سيروس سوزنگر،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هاى سياسى سيد قطب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مركز اسناد انقلاب اسلامى،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ينبغى أن تصحح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چنين امرى را از آيه ى شريفه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صَلاٰتِي وَ نُسُكِي وَ مَحْيٰايَ وَ مَمٰاتِي لِلّٰهِ رَبِّ اَلْعٰالَمِينَ لاٰ شَرِيكَ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مى كند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ينبغى أن تصحح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اين جريان،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عليزاده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 شناسى معاصر وهابيت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 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پژوهشنامه ى تخصصى نقد وهابيت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محمد قطب ديدارى داشته است و بخشى از مطالب اين بخش، در گفت وگوى شفاهى با وى استخراج شده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وهابيان دربارى كتاب هاى متعددى بر ضد انديشه ى سيد قطب و برادرش نگاشته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درويش،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الزلال فى التنبيه على اخطاء الظلال فى اثبات شركيات سيد قطب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العدنانى،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القطبية هى الفتنة فاعرفوها؛ فى تبديع وتضليل سيد قطب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ربيع بن هادى المدخلى،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العواصم مما فى كتب سيد قطب من القواصم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اضواء اسلامية على عقيدة سيد قطب و فكره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نوسلفيان و ديگر جريانهاى موجود در وهابيت،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عليزاده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 شناسى وهابيت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 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پژوهشنامه ى تخصصى نقد وهابيت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متولد مكه ى مكرمه و فرزند شيخ عبدالله بن سليمان المسعرى، رئيس ديوان مظالم عربستان است و پدربزرگش، امام الحرمين محمد عبدالرزاق حمزه، امام جماعت و خطيب مساجد نبوى ومسجد الحرام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پس از آن كه ديدگاه هايش به مذاق دولت عربستان خوش نيامد، مدتى به زندان افتاد و سپس به كمك معارضان سعودى، مخفيانه به يمن فرار كرد و از آن جا به لندن رفت و هم اكنون به بيان انديشه هاى روشنگرانه ى خود در اين زمينه، در قالب مؤسسه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تجديد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وب سايتى به همين نام، ادامه مى دهد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المسعرى،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 اصل الاسلام وحقيقة التوحيد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با غربت آغاز شد و در آينده نيز غريب خواهد بود و خوشا به حال غريبان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مقبول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فى كتاب صفة الغرباء للشيخ سلمان العوده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عصام العماد كه خود زمانى وهابى بوده و سپس مستبصر شده است،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وهابيت نقد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اجمال به چالش هاى درونى وهابيت در حوزهى توحيد اشاره كرده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جملاتى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فاطمه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من ابى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برخى شنيده مى شود كه شرك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كلمات قصار،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و الجوهرى،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المقاييس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عبدالباقى،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المفهرس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سوى اين بردار، برداشت هاى التقاطى از ايمان، و در ميانه ى آن، تعريف مذاهب اسلامى از ايمان بيان شده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عبدالكريم الشهرستانى،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نحوه ى شكل گيرى خوارج و گروه هاى منتسب به آن 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طاهربن محمد البغدادى،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بودند كه رهبرى آن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ازرق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عهده داشت و بزرگ ترين فرقه از نظر قدرت و عدد در ميان خوارج، همين گروه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محكمة الآولى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گروه خوارج بودند كه در جريان مخالفت با حكميت به وجود آمدند و به همين دليل به آن ها محكمة الآولى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اين دوره، هنوز مرزهاى اعتقادى خوارج به صورت شفاف شكل نگرفته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خوارج عقايد ديگرى، از جمله مسأله ى حاكميت الهى يا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لاحكم الالله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داشتند كه چون به اينبحث مرتبطنيست، ذكر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حماد جوهرى،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فى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احمدبن محمد فيومى،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به نقل از مستدرك حاكم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چه گونگى به وجود آمدن مرجئه و تحولات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خطيب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قوشجى،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تجريد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الشيخ ابى الحسن الاشعرى،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معتزليان به پنج اصل معتقدند كه اصولاً به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 و كتاب هاى متعددى نيز به همين نام براى شرح و توضيح اين اصول نگاشته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ابوهذيل علاف،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الخمسة 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جعفربن 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قاضى عبدالجبار،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الاصول الخمسة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در صفحات آينده به تفصيل بحث خواهد شد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محمدبن ادريس الشافعى،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فى شرح تجريد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عبدالله المقداد،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الطالبين الى نهج المسترشدين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والكفر فى الكتاب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تصديق به قلب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الاشعرى،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فى الرد على أهل الزيغ والبدع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الايمان هو التصديق بالجنان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منافق به زبان اظهار ايمان مى كند، اما در قلب ايمان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فورك،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الشيخ أبى الحسن الأشعرى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باقلانى،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فيما يجب اعتقاده ولا يجوز الجهل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الماتريدى،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الطحاوى،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الطحاوية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البانى،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البانى بر عقيدة طحاويه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و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ذيل آيه ى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يوسف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آيات قرآن افسانه نيستند؛ بلكه گناهانى كه همواره مرتكب مى شوند، بر دل هايشان زنگار شده است؛ ازاين رو حق را درنمى يابند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 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ذيل آيه ى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يوسف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السارق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4870</w:t>
      </w:r>
      <w:r>
        <w:rPr>
          <w:rFonts w:ascii="IRNazanin" w:hAnsi="IRNazanin" w:eastAsia="IRNazanin"/>
          <w:b w:val="false"/>
          <w:b w:val="false"/>
          <w:bCs w:val="false"/>
          <w:i w:val="false"/>
          <w:i w:val="false"/>
          <w:iCs w:val="false"/>
          <w:color w:val="333333"/>
          <w:sz w:val="20"/>
          <w:sz w:val="20"/>
          <w:szCs w:val="20"/>
          <w:rtl w:val="true"/>
        </w:rPr>
        <w:t xml:space="preserve">؛ محمدبن يعقوب 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الايمان والكفر فى الكتاب والسنة،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متعلقات ايمان به تفصيل بررسى خواهد شد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مقائيس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مؤسسة الامام الهادى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عضدالدين الايجى،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تفاسير مختلف پيرامون اين آيه،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روحى،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دانشنامه ى موضوعى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پايگاه مركز فرهنگ و معارف قرآن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هاى گذشته، به تفصيل پيرامون توحيد نظرى و توحيد عملى توضيح داده 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حماد جوهرى،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تاج اللغة وصحاح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فيروزآبادى،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ماده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ذيل آيه 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حجرات؛ مسلمبن حجاج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 فى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 فى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از متعلقات كفر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تعبيرشده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حسن حبنكه الميدانى،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اسلامية واسسها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الاسلام فضل بن حسن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 باعلام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حيدر،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والمذاهب الاربعة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مربوط به احكام كفر و تقسيمات خاص آن، مانند مرتد ملى، مرتد فطرى، كافر ذمى و كافر حربى، به تفصيل در فقه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 تر، به كتاب هاى فقهى مراجعه شود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بربهارى،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جنايات وهابيت در جهان اسلام،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سليمانبن احمد، طبرانى،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13089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جعفر سبحانى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روايات را گردآورى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در جوامع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آملى،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الهدى فى شرح 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كاظم يزدى،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خويى،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نخستين تأليف مرحوم شرف الدين است كه 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نشان ميدهد كه مسأله ى وحدت در نزد شرف الدين چه اندازه مهم بوده كه نخستين اثرش را به آن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ى آقابزرگ تهرانى، شرف الدين پس از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تا آخر عمر اين موضوع را دنبال كرد و بيش ترين اهتمام و گسترده ترين تلاش را در اين زمينه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سوم، جزء اول، 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چاپ اين كتاب پس از تأليف، در صيداى لبنان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قالب يك جلدِ ده فصلى با محتويات زير انجام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لزوم اجتماع و وحدت در آيات و 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اسلام و 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محترم بودن خون و مال گويندگان شهادتين در 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تأكيد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معاشرت با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نجات موحدان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فتاواى بزرگان اهل سنت در ايمان اهل 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پيشينيان و ثبوت عدالت 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تكفير شيعيان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هاى ناروا به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افتراق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مؤلف دو فصل هفت و يازده را نيز با 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 شيعه در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عصبيت جاهليت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افزود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فى الملل والاهواء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الكلام فى من يكفر و لا يكفر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عبدالحسين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فى تأليف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الطحاوى،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الطحاوية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عقيدة اهل السنة و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عياض الحيصى،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ملاعليبن سلطان القارى،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مرقاة المفاتيح شرح مشكوة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 الروض الازهر فى شرح الفقه الاكبر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عبدالحسين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فى تأليف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شرف النووى،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نگاه احمدبن حنبل به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احمدبن حنبل و اهل بيت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ادريس شافعى،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جايگاه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ويژه امام صادق عليه السلام با ائمه ى اربعه ى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حيدر،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والمذاهب الاربعة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انديشهى شيعه، 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در شأن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مبالغه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مذموم بوده و 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مورد آنها را نكوهش كرده اند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سيدروح الله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المقالات فى المذاهب و المختارات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مربوط به ايمان و كفر، به تفصيل به ديدگاه هاى تكفيرى خوارج اشاره شد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شخصيت بربهارى در دو عرصه ى انديشه و عمل، به تفصيل در جلد يك بررسى شده است و براى پرهيز از تكرار، از بازگويى آن خوددارى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نهم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سلفى گرى تكفيرى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چهارم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است از اعلام عذاب و خوارى در آينده؛ همان گونه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بشارت به آينده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كه اموال يتيمان را به ستمگرى مى خورند، در حقيقت، آن ها در شكم خود آتش جهنم فرو مى برند و به زودى در آتش فروزان خواهند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التوحيد؛ 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المرتاد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چنين رويكردى از احمدبن حنبل، در منابع ديگر نيز آمده است؛ چنان كه مقدسى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محنة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صالح بن احمد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الامام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اثير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كه احمد به ابن سماعه اقتدا كرد، درحالى كه ابن سماعه قائل به خلق قرآن بود و از رهبران اين جريان شناخته مى شد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عبدالمجيد المشعبى،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ابن تيميه فى مسألة التكفير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تا رسول نفرستيم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خلق اتمام حجت نكنيم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هرگز كسى را عذاب نخواهيم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المرتاد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شروط تكفير معين و موانع تكفير،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عبدالمجيد المشعبى،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ابن تيميه فى مسألة التكفير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شخصيت علمى و تعارضات فكرى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ى تعامل وى با مذاهب اسلامى،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كسانى گفته مى شود كه نه مردند و نه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ابن تيميه در تعريف خنثى چنين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جاكه رقص و پاى كوبى و نواختن دف و دست زدن كار زنان است، سلف هر مردى را كه چنين مى كرد، خنثى مى ناميدند؛ و به همين سبب، مردان آوازه خان را مخانيث مى 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المعتزلة الجهمية الذكور والاشعرية الجهمية الاناث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الاصفهانية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الاصفهانية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بين اولياء الشيطان واولياء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متصوفه و عرفا را اولياى شيطان معرفى كرده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التأسيس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المرتاد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ادعايى در حالى است كه در داخل سرزمين هاى شيعى، اهل سنت نيز حضور دارند و شيعيان با آن ها به دادوستد و ارتباطات معيشتى مى پردازند و در مكه، مدينه و ديگر سرزمين هاى اسلامى نيز شيعيان در كنار اهل سنت با يك ديگر تعامل دارند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سوم اين مجموعه، مشروعيت زيارت قبور و بناى بر آن ها و توسل در انديشه ى مذاهب اسلامى اثبات خواهد شد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الصارم المسلول،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مشعبى كه ديدگاه ابن تيميه را در باب تكفير تحقيق كرده است، هنگامى كه به اين ادعاهاى بياساس ابن تيميه نسبت به شيعه ميرسد، در پاورقى ذكر مى كند كه اين نوع رافضيان امروز در تمامى مناطق عالم پراكنده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المشعبى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ابن تيميه فى التكفير،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با نگاهى به شيعيان جهان چنين ادعايى بى شك خلاف واقع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والكفر فى الكتاب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تصديق به قلب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الاشعرى،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فى الرد على أهل الزيغ والبدع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الايمان هو التصديق بالجنان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منافق به زبان اظهار ايمان مى كند، اما در قلب ايمان ندارد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فورك،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الشيخ أبى الحسن الأشعرى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باقلانى،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فيما يجب اعتقاده ولا يجوز الجهل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الماتريدى،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الطحاوى،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الطحاوية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البانى،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البانى بر عقيدة طحاويه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العاصمى،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 فى الاجوبة النجدية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خالدبن أحمد الزهرانى،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 فى التكفير بين أهل السنة والجماعة وغلاة الشيعة الاثنى عشرية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ديدگاه وهابيت، به تفصيل در فصل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وهابيت و توحيد الوهى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نقد و بررسى شد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كه انسان در برابر چيزى سجده كند، اما نه به الوهيت و نه به ربوبيت آن شيئ اعتقاد داشته باشد؛ بلكه صرفاً براى تعظيم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عمل، هرچند براى غير خدا مشروع نيست و حرام است، اما شرك يا كفر نيست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 عوام سخنانى مى گويند و يا اعمالى انجام مى دهند كه از آن بوى شرك استشمام ميشود؛ اما اولاً هنگامى كه از آن ها پرسيده مى شود كه چرا چنين كارهايى انجام مى دهيد،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مقامى كه اين فرد نزد خدا دارد، اين كار را انجام مى دهند؛ و ثانياً اعمال عوام را نبايد به حساب دين نوشت؛ كارى كه متأسفانه ابن تيميه و وهابيان كرده اند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عبدالرحمنبن محمدبن قاسم العاصمى النجدى،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الدرر السنية فى الاجوبة النجدية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أبويوسف مدحت بن الحسن آل فرّاج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فتاوى الأئمة النجدية حول قضايا الأمة المصيرية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ارسله الله الى قوم يتعبدون ويحجون ويتصدقون ويذكرون الله كثيرا ولكنهم يجعلون بعض المخلوقات وسائط بينهم وبين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گذشته گفته شد كه هدف از بعثت، صرفاً مقابله با مسأله ى توسل مشركان به بت ها نبود، بلكه مشركان در دو حوزه ى توحيد ربوبى و توحيد الوهى با مشكلات اساسى روبه رو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ازسوى ديگر، مشركان بت ها را تنها واسطه قرار نميدادند، بلكه آنان را عبادت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از زبان مشركان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مى گفتند ما بت ها را عبادت نمى كنيم، مگر براى 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ميبينيم، قرآن از واژه ى عبادت استفاده مى كند؛ يعنى آنان رسماً به جاى خدا بت ها را عبادت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پايان آيه، اين ادعاى تقرب را نيز دروغ و كذب مى شمارد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سوم همين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دلايل مشروعيت توسل به تفصيل بيان خواهد شد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شرك و انحراف مشركان پيش از اسلام در فصول گذشته به تفصيل بيان شد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كُنْتُمْ عَلىٰ شَفٰا حُفْرَةٍ مِنَ اَلنّٰارِ فَأَنْقَذَكُمْ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پرتگاه آتش بوديد كه خدا شما را نجات داد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عبدالوهاب در موارد متعددى به ستايش كفار پيش از اسلام مى پردازد؛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خدا را مى شناختند؛ از وى مى ترسيدند و به او اميد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عبدالرحمن بن صالح العاصمى،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صدقه مى دادند؛ حج و عمره به جا مى آوردند؛ عبادت مى كردند و محرماتى را به سبب ترس از خداوند ترك مى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حتى منافقان را ستايش 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منافقان در عصر پيامبر صلى الله عليه و آله در راه خدا با مال و جانشان جهاد مى كردند؛ با پيامبر صلى الله عليه و آله نماز مى گزاردند؛ با وى حج به جا مى آوردند؛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منافقان در ظاهر با پيامبر همراهى مى كردند، اما هرگز چنين اعمالى آن گونه كه محمدبن عبدالوهاب ادعا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وى درباره ى مسيلمه ى كذاب كه ادعاى پيامبرى كرد،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مسيلمه به وحدانيت خدا و پيامبرى پيامبر شهادت داد و روزه مى گرفت و نماز مى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جاى اين پرسش باقى است كه اگر وى رسالت پيامبر را پذيرفته بود، چه گونه ادعاى پيامبرى كرد؟</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واژه ى مشرك و مشركان به مسلمانان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واژه هايى مانند كفار، عباد الاصنام، مرتدين، جاحدى التوحيد، اعداء التوحيد، اعداء الله، و مدعى الاسلام، در بيست جا درباره ى مسلمانان به كار رفته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والعامى من الموحدين يغلب الفا من علماء هؤلاء المشركين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فرحان با مراجعه به كتاب ها و نامه هاى محمدبن عبدالوهاب، برخى از علماى بزرگى كه محمدبن عبدالوهاب آنان را كافر و مشرك خوانده، استخراج كرده است كه برخى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فيروز، مريد التميمى، سليمان بن سحيم، عبدالله بن سحيم، عبدالله بن عبداللطيف، محمدبن سليمان المدنى، عبدالله بن داود الزبيرى، الحداد الحضرمى، سليمان بن عبدالوهاب، ابن عفالق، قاضى الحميضى، احمدبن يحيى، صالح بن عبدالله، و ابن مطلق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فرحان،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داعية ليس 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سپس به تكفير علماى اسلامى در دوره هاى بعدى وهابيت توسط پيروان محمدبن عبدالوهاب اشاره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العاصمى،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آنان معتقدند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پس از مرگ پيامبر صلى الله عليه و آله از وى طلب شفاعت كند، به خداوند شرك اكبر ورزيده است و پيامبر را در برابر خدا بتى براى پرستيدن قرار داده و به همين سبب، خون و مالش مباح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الصنعانى،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تطهير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حالى است كه بسيارى از صحابه ى بزرگ پيامبر صلى الله عليه و آله چنين عملى را انجام مى داده اند و حتى ابن تيميه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از بيهقى، طبرانى، ابن ابى الدنيا، احمدبن حنبل و ابن السنى، چنين اعمالى را از صحابه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سوم همين مجموعه، تضادهاى انديشه ى وهابى با انديشه ى اسلامى به تفصيل بيان مى شود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اين مجموعه، به تفصيل به جايگاه علمى منطقه ى نجد اشاره كرديم و گفتيم كه علماى بزرگى در آن منطقه رشد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عبدالله بسام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نجد خلال ثمانية 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ها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هيچ كس به جز محمدبن عبدالوهاب نگفته است كه آنان كافر يا بت پرست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العاصمى،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 فى الاجوبة النجدية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حاوى مجموعه نامهها و مسائلى است كه از علماى وهابى از زمان محمدبن عبدالوهاب تا عصر حاضر در آن جمع آورى شده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شيخ سليمان بن سحيم حنبلى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تو يادآورى مى كنم كه تو و پدرت به كفر و شرك و نفاق تصريح 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پدرت روز و شب تمام تلاشتان را براى دشمنى با دين، به كار گرفته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مرد گمراه، دشمن و سركرده ى كفر بر ضداسلام هستى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العاصمى، الدرر السنية،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العاصمى، الدرر السنية،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علما و راهبان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مقام ربوبيت شناختند و خدا را نشناختند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العاصمى،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الغيب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العاصى،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الرافضه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همان روش تكفيرى خود و همان گونه كه به مذاهب ديگر مى تازد، شيعيان را نيز تكفير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فى الرد على الرافضه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ابوبكر عبدالرزاق بن صالح بن على النهمى</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شيوه ى گسترش وهابيت،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عبدالرحمن أبابطين النجدى الحنبلى،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تكفير المعيّن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ابابطين كلام شوكانى را از كتاب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السيل الجرار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كند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حسن بن 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عيون الموحدين فى تحقيق دعوة الانبياء والمرسلين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المجيد فى شرح 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باشميل،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نفهم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سعودبن عبدالعزيزبن محمد، غير از ملك سعودبن عبدالعزيز است كه پس از تشكيل عربستان سعودى و بعد از عبدالعزيز بزرگ به قدرت رسيد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العاصمى،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اين مجموعه، فصل شانزدهم، به شيوه ى رشد و گسترش وهابيت و مخالفت علما و مردم با نفوذ آن اشاره شده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العاصمى،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نقش كفار در رشد و گسترش وهابيت،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پانزدهم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صنعت نفت عربستان سعودى، امروز توسط كارشناسان آمريكايى در اين كشور اداره ميشود، و امروزه نزديك به دويست هزار آمريكايى در عربستان سعودى به فعاليت مشغولند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فتوا توسط افرادى همانند محمدبن عبداللطيف، محمدبن ابراهيم، سليمان بن سمحان و صالح بن عبدالعزيز صادر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العاصمى،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جريان اخوان التوحيد،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هنگامى كه ميان فرزندان فيصل بن تركى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و 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قدرت درگرفت، علماى دربارى وابسته به هر يك، گروه ديگر را به شدت تكفير كردند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جريان هاى داخلى وهابيت،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عليزاده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 هاى درون وهابيت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نشريه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 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روزگار محمدبن عبدالوهاب، يكى از فرزندان وى به نام شيخ عبدالله بن محمدبن عبدالوهاب، ديدگاهى نسبتاً معتدل كه برخلاف نظريه ى پدرش بود، درپيش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چه محققان بر آن اتفاق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تكفير اهل بدعت، مانند خوارج، رافضه، قدريه و مرجئه است؛ زيرا تكفير جز با انكار ضروريات دين يا ارتكاب عملى كه بر كفر بودن آن اجماع وجود دارد، درست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العاصمى،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ابعاد بيدارى اسلامى،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عليزاده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بيدارى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حوزه ى نمايندگى ولى فقيه در حج و زيارت، ويراست دوم،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جنگ افغانستان، گروه هاى تكفيرى كه در برابر كمونيست ها موفق شده بودند، به شدت مورد توجه جهان اسلام قرار گرفتند؛ اما با رويكرد فرقه گرايانه ى آن ها و كشتار مسلمانان در كشورهاى مختلف، رفته رفته اين گروه ها جايگاه خود را از دست دادند؛ تاآن جاكه اسامه بن لادن توسط آمريكايى ها در پاكستان كشته شد؛ اما هيچ واكنشى در جهان اسلام به دنبال نداشت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حمايت هاى مالى و ايدئولوژيكى وهابيان از گروه هاى افراطى، مانند القاعده، طالبان، سپاه صحابه و لشكر جهنگوى، خسارت هاى مالى و جهانى بسيارى را براى مسلمانان رقم زده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ميان اهل سنت، از گروه هايى مانند نومعتزليان و نواشعريان نيز سخن به ميان مى آيد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فوزان بن عبدالله الفوزان،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مشاهير المجددين فى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مقدمه ى عبدالعزيزبن باز،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صالح العثيمين،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المفيد على 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فوزان بن عبدالله الفوزان،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إلى صحيح الإعتقاد والرد على أهل الشرك والإلحاد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لقاءات الباب المفتوح مع الشيخ محمد بن صالح العثيمين، فى الفترة ما بين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موجود در پايگاه اطلاع رسانى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 الفوائد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صديق حسن القنوجى،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الخالص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تفصيل در اين زمينه سخن گفته شده 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سلطان المعصومى الخجندى المكى،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المسلم ملزم باتبّاع مذهب معيّن من المذاهب الاربعة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اين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به اين پرسش ها پاسخ داده شده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فوزان بن عبدالله الفوزان،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 رسانى آلبانى، به نشانى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www.alalbany.net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فتاواى مربوط به شعراوى، مسائل شماره 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دانشگاه الازهر مصر 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الالبانى،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الاجوبة الالبانية على الاسئلة الاسترالية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www.alalbany.net</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علوى المالكى، از چهره هاى بزرگ مالكى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دوست داران بسيارى در مكه ى مكرمه داشت و مدرسه ى وى نيز از مدارس مهم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چند بار از آن مدرسه بازديد كرده و با طلاب و اساتيد آن به گفت وگو نشسته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تقريبى آنان به شيعه و نيز عنادشان با انديشه ى تكفيرى وهابيت، از ويژگى هاى تفكر حاكم بر اين مدرسه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الحوالى،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مجدد ملة عمروبن لحى وداعية الشرك فى هذا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هيأت كبار العلماء نيز بعدها سيد محمد العلوى المالكى را به بت پرستى و شرك و ظلال متهم كرد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غيروهابى مكه، ديدگاه هاى تندى درباره ى وهابيت دارند و وهابيت نيز آن ها را تكفير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مراوداتى كه نگارنده با برخى از علماى غيروهابى مكه داشته است، تضادهاى ميان وهابيت و فرق اسلامى موجود در مكه به خوبى هويدا بود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//youtube.com/watch?v = 5Y6htqLElNw&amp;feature = related</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شنيدن نوار صوتى ابن عثيمين،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 www.sohari.com/nawader_v/ fatawe/listen/ben-othimin-takfeer-gazaer.ram</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النجمى،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المورد العذب الزلال فيما انتقد على بعض المناهج الدعوية من العقائد والأعمال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qatarshares.com/vb/showthread.php?t = 108652&amp;page = 4</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تعريف هايى كه وهابيت از اهل سنت دارد، مرادش همان سلفيون و وهابيان تكفيرى هستند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دفع زكات در پايگاه اطلاع رسانى بن جبرين، به نشانى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جبرين در بيست و دوم تيرماه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يك بيمارى طولانى از دنيا رفت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 رسانى سفرالحوالى، به نشانى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//www.alhawali.com</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خبرى ابنا، تاريخ </w:t>
      </w:r>
      <w:r>
        <w:rPr>
          <w:rFonts w:eastAsia="IRNazanin" w:cs="IRNazanin"/>
          <w:b w:val="false"/>
          <w:bCs w:val="false"/>
          <w:i w:val="false"/>
          <w:iCs w:val="false"/>
          <w:color w:val="333333"/>
          <w:sz w:val="20"/>
          <w:szCs w:val="20"/>
        </w:rPr>
        <w:t>90/7/16</w:t>
      </w:r>
      <w:r>
        <w:rPr>
          <w:rFonts w:ascii="IRNazanin" w:hAnsi="IRNazanin" w:eastAsia="IRNazanin"/>
          <w:b w:val="false"/>
          <w:b w:val="false"/>
          <w:bCs w:val="false"/>
          <w:i w:val="false"/>
          <w:i w:val="false"/>
          <w:iCs w:val="false"/>
          <w:color w:val="333333"/>
          <w:sz w:val="20"/>
          <w:sz w:val="20"/>
          <w:szCs w:val="20"/>
          <w:rtl w:val="true"/>
        </w:rPr>
        <w:t>، كدخبر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270529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كدخبر </w:t>
      </w:r>
      <w:r>
        <w:rPr>
          <w:rFonts w:eastAsia="IRNazanin" w:cs="IRNazanin"/>
          <w:b w:val="false"/>
          <w:bCs w:val="false"/>
          <w:i w:val="false"/>
          <w:iCs w:val="false"/>
          <w:color w:val="333333"/>
          <w:sz w:val="20"/>
          <w:szCs w:val="20"/>
        </w:rPr>
        <w:t>270523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وضعيت شيعيان در عربستان، گزارشى دروغ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الرافضة فى بلاد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هيأت كبار العلماء تهيه كرد كه در آن، برخلاف واقعيت هاى آشكار، وضعيت شيعه را در عربستان، وضعيتى عالى در حوزه هاى اجتماعى، سياسى و اقتصادى بيان كرد؛ درحالى كه محروميت هاى شيعيان عربستان بركسى پوشيده نيست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منصورالحازمى،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ابجد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العبداللطيف،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دعاوى المناوئين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عبدالرحمن بن عفالق حنبلى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بزرگ حنبلى هم عصر محمدبن عبدالوهاب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كسى است كه با دلايل قوى خود در خصوص انحراف محمدبن</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العبداللطيف،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دعاوى المناوئين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احمدبن سحيم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خود و پدرش از فقهاى بزرگ اهل رياض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مخالفان اصلى محمدبن عبدالوهاب شمرده مى شد و پس از استيلاى وهابيت بر شهر رياض، از اين شهر به شهر زبير رفت و در همان جا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وى را به شدت تكفير كرد و او را مرتد خواند و نسبت هاى زشت و ناروايى به وى مى داد و گاه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مى كرد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وى شش ويژگى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سنى، سلفى، حنبلى، نجدى و قاضى آل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بسام وى را بسيار ستوده است؛ اما وهابيان به علت مخالفت وى با محمدبن عبدالوهاب، وى را دروغ گو و غيرسلفى مى انگارند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حالى است كه شخصيتى مانند قصيمى كه مدت ها از طرف داران وهابيت بود و كتاب هاى بسيارى در حمايت از وهابيت نوشت و پس از مدتى كاملاً از دين خارج شد و به فردى سكولار و ملحد تبديل گرديد، به سبب حمايتش از ديدگاه هاى وهابيت و تمجيد از محمدبن عبدالوهاب و دعوت وى، هنوز مورد تأييد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فرحان مالكى،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داعية وليس 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العبداللطيف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دعاوى المناوئين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ى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محمدبن عبدالوهاب است و از وى عالم 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قاضى منطقه ى نجد و از علماى اين منطقه شمرده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نخستين فردى است كه به مخالفت با انحرافات محمدبن عبدالوهاب پرداخت و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الالهية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نقد ديدگاه هاى محمدبن عبدالوهاب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تا امروز هم يكى از نقدهاى مهم بر انديشه ى وهابيت شمرده مى شود و موجب هدايت بسيارى از گمراهان وهابى شده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العبداللطيف،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دعاوى المناوئين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صدقى زهاوى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اهل بغداد بود و از مخالفان مهم وهابيت شناخته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داراى كتاب ها، مقالات و اشعارى است كه از جمله كتاب هاى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 الصادق فى الردّ على منكرى التوسل والكرامات والخوارق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العبداللطيف،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دعاوى المناوئين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زينى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 فى الرد على الوهابية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العبداللطيف،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دعاوى المناوئين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الالهية فى الرد على الوهابية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هاى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هاى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علما، اعم از اهل سنت و شيعه، وهابيت را خوارج ناميده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ى اين علما مى توان به شيخ عبدالله القدومى الحنبلى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ى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عبدالله القحطانى، كتاب ضد وهابى خود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هم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شيعه نيز مرحوم سيد محسن امين، ميان وهابيان و خوارج شباهت هاى بسيارى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الارتياب، فى اتباع محمدبن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با استفاده از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لاحكم الا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هرگونه حكميت و نيز حاكميت را نفى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على عليه السلام درباره ى آن ها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حق يراد بها الباطل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فضائل القرآن،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شماره ى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مفردات الفاظ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المقاييس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ماده ى بدع؛ الراغب،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فيروزآبادى،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 الجوهرى،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احتمال ديگرى نيز در اين آيه ارائه كرده است؛ به عقيده ى ايشان، مراد از آيه اين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 ساير پيامبران، در صورت و سيرت و يا گفته و عمل مخالفت نمى كنم؛ بلكه مانند آنان انسانى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آثار بشرى در آن ها بوده است، در من نيز وجود دارد و راه آنان در زندگى، راه من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سبحانى شانزده تعريف از علماى شيعه و اهل سنت را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 مفهومها، حدها وآثارها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البدعة الزيادة فى الدين او نقصان منه من اسناد الى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آينده بيان خواهد شد كه وهابيان دامنه ى بدعت را حتى به امور مادى تسرى داده اند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دلايل رابطه ى بدعت و حوزه ى دين،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 حدها، مفهومها وآثارها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البدعة الزيادة فى الدين او نقصان منه من اسناد الى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اسماعيل،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بخارى كتاب صلاة التراويح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اهل سنت در بدعت بودن نماز تراويح به صورت جماعت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خليفه ى دوم آن را به وجود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اختلافى ندارند؛ اما برخى از آنان بدعت را به خوب و بد تقسيم مى كنند و اين بدعت را جزء بدعت هاى خوب مى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آينده بيان خواهد شد كه تقسيم بدعت به خوب و بد، دليل شرعى ندارد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البدعة الزيادة فى الدين او نقصان منه من اسناد الى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محمدبن عيسى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عبدالله بن عبدالرحمن دارمى،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الدين الشعيرى،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علاءالدين على المتقى الهندى،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 فى سنن الاقوال والافعال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على جرجانى،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التعريفات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يَهْدِيَكُمْ سُنَنَ اَلَّذِينَ مِنْ قَبْلِكُمْ‌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سنت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پيشينيان رهبرى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يُؤْمِنُونَ بِهِ وَ قَدْ خَلَتْ سُنَّةُ اَلْأَوَّلِينَ‌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ها به آن ايمان نمى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اقوام پيشين نيز چنين بود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اهل سنت صرفاً قول و فعل و تقرير پيامبر گرامى اسلام صلى الله عليه و آله را حجت مى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مدخل اصحاب اهل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در منابع شيعه، قول و تقرير ائمه ى 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منابع تشريع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الاسلام فضل بن حسن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در آيات ديگرى از قرآن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احمد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سيد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هاى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و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الطهارة، باب جامع الوضوء،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شماره ى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با تعابير مختلف در مجامع حديثى آمده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كذَّبَ عَلىَّ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كذب علىّ متعمدا فليبتوأ مقعده من النار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امينى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پنجم،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شمار جاعلين حديث و كسانى را كه بر پيامبر صلى الله عليه و آله دروغ بسته اند، به هفتصد تن مى رساند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وضعيت جعل احاديث و روايات در عصر منع تدوين حديث،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عبدالعلى حويزى،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مسائل مستحدثه،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فقهية 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سبحانى با بررسى آيات و روايات مربوط به بدعت، به خوبى درباره ى اين امر تحقيق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مفهومها، حدها وآثارها،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تبارشناسى،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اصلى در بدعت، شايد براى افراد منطقى طبيعى به نظر برسد، اما سلفيان دامنه ى بدعت را به مسائل مادى نيز تسرى داده اند كه گاه موجب صدور فتاواى مضحكى مى شود؛ مانند حرمت استفاده از پنكه، آب يخ و بستنى كه در فصل هاى آينده به آن ها اشاره خواهد شد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اقتضاء صراط المستقيم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الهيثمى،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التبيين بشرح الاربعة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عزت على عطيه،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القرون قرنى، ثم الذين يلونهم، ثم الذين يلونهم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به تفصيل پيرامون اين حديث منسوب به پيامبر صلى الله عليه و آله سخن گفته شد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الامين العاملى،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الارتياب فى اتباع محمدبن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حنبلى،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العلوم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 فى الشرع ما حدث بعد الرسول ولم يرد فيه نص على الخصوص ولا يكون داخلا فى بعض العمومات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شعائر الهى را بزرگ بشمارد، بى شك چنين امرى از تقواى قلب هاست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روزهاى الهى را به ياد آنان بياور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خوبى ها با يك ديگر همكارى كنيد و از همكارى در دشمنى و بدى ها بپرهيزيد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 شرح 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على عطيه،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 تحديدها وموقف الاسلام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شرف النووى،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الاسماء اللغات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 دو،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ابى بكر 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الحاوى للفتاوى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فى غريب الحديث والاثر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على عطيه،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 تحديدها وموقف الاسلام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عبدالسلام،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المعارف والاحوال وصالح الاقوال والاعمال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الاثير الجزرى،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 فى احاديث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نووى، يحيى بن 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الاسماء واللغات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شافعى</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بدعت در كلام خليفه ى دوم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 البدعة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بدعت لغوى ذكر كرده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چراغى را در مسجد براى نماز روشن كرده بودند، خليفه اين عمل را بدعت خواند كه ناظر به معنى لغوى بدعت است؛ اما با توجه به قرينه ى مقاميه، كه همان تأكيد خليفه بر چه گونگى اقامه ى نماز و هم چنين انتصاب فردى به عنوان قارى واحد است، و ادامه ى داستان كه خليفه مردم را ديد كه بر امام واحد اجتماع كرده اند، نشانگر مراد خليفه است و آن، بدعت در حوزه ى شريعت است، نه در حوزه ى لغت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الدر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علماى شافعى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ى سال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سبب آشنايى با قواعد اصولى و فقهى،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شافعية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عزالدينبن عبدالسلام،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الاسماء واللغات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بدرالدين محمد الزركشى،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المنثور فى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حجر الهيثمى،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السخاوى،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شرح الفية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ادريس القرافى،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البروق فى انواع الفروق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 تر درباره ى اين ديدگاه 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علان الصديقى الشافعى،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الفالحين لطرق رياض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ابوالفرج بن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تلبيس ابليس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محمدبن عبدالله الزركشى،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المنثور فى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ابواسحق شاطبى،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زكاة، ص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 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پنجم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سبحانى به تفصيل به ديدگاه شاطبى در بدعت اضافى، پاسخ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باقرى،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العالمى لاهل البيت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فى شرح اخبار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 ومدينة الحكم والآثار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 كه گفته شد، شاطبى بدعت را تقسيم مى كند؛ اما نه به خوب و بد، بلكه بدعت را صرفاً بدعت بد مى شمارد و بدعت بد را به حقيقى و اضافى تقسيم مى كند، كه مشكلات ديدگاه وى نيز بيان شد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ابواسحق الشاطبى،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عبدالحسين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مبانى روش شناسى و معنى شناسى وهابيان، در جلد اول همين مجموعه، و در جلد دوم، در مباحث صفات خبرى، به تفصيل سخن گفته شده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به صورت مستقل به اين فتاوا اشاره خواهد شد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پيرامون اين حديث و مشكلات آن، در 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بحث شده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شىء الا فيه كتاب او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شانزدهم همين كتاب، به تفصيل در مورد كامل بودن دين بحث شده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شوكانى،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الفحول الى تحقيق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الآمدى،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الاحكام فى اصول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محمدبن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الاحكام فى اصول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سعيدبن ناظر الغامدى،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البدعة وانواعها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نظرات غزالى در همين فصل اشاره شد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شانزدهم، به تفصيل ضرورت توجه به عمومات و اطلاقات بررسى شده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تفصيلى پيرامون هر يك از محورهاى يادشده، در جلد سوم همين كتاب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تفصيل بيان خواهد شد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جز فتاوايى كه ريشه در قرائت وهابى از بدعت دارد، فتاواى سخيف بسيارى از آن ها صادر مى شود؛ مانند جواز كشتن ميكى 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موش كارتونى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برخى فتواهاى ديگر كه حتى ذكر آن ها نيز به دور از ادب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جريان اخوان التوحيد،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هفدهم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وهبة،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جزيرة العرب فى 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ابن هذلول،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ملوك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للجنة الدائمة للبحوث العلمية والافتاء، فتواى شماره ى </w:t>
      </w:r>
      <w:r>
        <w:rPr>
          <w:rFonts w:eastAsia="IRNazanin" w:cs="IRNazanin"/>
          <w:b w:val="false"/>
          <w:bCs w:val="false"/>
          <w:i w:val="false"/>
          <w:iCs w:val="false"/>
          <w:color w:val="333333"/>
          <w:sz w:val="20"/>
          <w:szCs w:val="20"/>
        </w:rPr>
        <w:t>21409</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1421/3/21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الغثاء الاحوى فى لم طرائف وغرائب الفتوى</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نبايد فراموش كرد كه فهم و درك جهان برزخ، پيش از آن كه مبتنى بر دلايل عقلى باشد، بر دلايل نقلى استوار است و ذهن و عقل انسان، نمى تواند جز با كمك آيات و روايات، به ويژگى ها و شرايط اين جهان پررمزوراز پى ببرد؛ هرچند برخى از فيلسوفان، براى فهم عالم برزخ و ويژگى هاى آن از طريق عقل، زحماتى را متحمل شده اند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ذيل واژه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برزخ</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 فى احاديث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الطريحى،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ى محمدحسين حسينى تهرانى، علت ناميدن عالم برزخ به عالم قبر اين است كه عالم برزخ در ادامه ى اين دنياست و قبر هم به دنبال زندگى دنياست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مناسبت، عالم برزخ را كه تعلّقى به عالم قبر دارد، به عالم قبر تعبير كرده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محمدحسين حسينى تهرانى،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حسينبن مسعود، البغوى،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شجاعى،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 و نشانه هاى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درحالى كه شيعه اين آيه را نشانگر وجود حيات برزخى مى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برخى از مفسران اهل سنت، برزخ در اين آيه را بر معنى لغوى كه همان حاجز و مانع است، حمل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محمدبن عمر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ابومحمد بغوى،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محمد جمال الدين القاسمى،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ايها النبى و رحمة الله وبركاته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الاسلام فضل بن حسن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جارالله زمخشرى،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عن الحقائق غوامض التنزيل وعيون الاقاويل فى وجوه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ابوحمص نجم الدين عمر نسفى،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محمدبن جرير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عن تأويل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زمخشرى،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عن حقايق غوامض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 ابواسحاق ثعلبى،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والبيان عن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مختلف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پژوهشگران، از روايات مربوط به حيات برزخى، تقسيم بندى هاى نسبتاً دقيقى ارائه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يكى از اين تقسيم ها، اين احاديث در ده گروه طبقه بندى شده اند و تعداد روايات مربوط به هركدام نيز آمده است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روايات به صورت كامل نشانگر حيات برزخى نيز هستند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موتى، از نظر لغوى به معنى شنواندن اموات است؛ به اين معنى كه آيا مى توان به اموات، اصوات را شنواند يا خير؛ كه در اين مقال، به تسامح به شنيدن تعبير شده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به تفصيل در اين زمينه سخن گفته خواهد شد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انتم باسمع لما اقول منهم، ولكنهم لا يستطيعون ان يجيبوا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الجن،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3976</w:t>
      </w:r>
      <w:r>
        <w:rPr>
          <w:rFonts w:ascii="IRNazanin" w:hAnsi="IRNazanin" w:eastAsia="IRNazanin"/>
          <w:b w:val="false"/>
          <w:b w:val="false"/>
          <w:bCs w:val="false"/>
          <w:i w:val="false"/>
          <w:i w:val="false"/>
          <w:iCs w:val="false"/>
          <w:color w:val="333333"/>
          <w:sz w:val="20"/>
          <w:sz w:val="20"/>
          <w:szCs w:val="20"/>
          <w:rtl w:val="true"/>
        </w:rPr>
        <w:t xml:space="preserve">؛ و نسائى،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رسانى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www.mezan.net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سيزده روايت را با همين مضمون، از منابع اصيل اهل سنت گردآورى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نيز از پايگاه اطلاع رسانى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وزارة شؤون الاسلامية والاوقاف والدعوة والارشاد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سعودى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محجن، پيرزنى سياه چرده بود كه كار نظافت مسجد نبوى را انجام مى داد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حنبلى،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اهوال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محمود الالوسى،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كلمه ى قصار </w:t>
      </w:r>
      <w:r>
        <w:rPr>
          <w:rFonts w:eastAsia="IRNazanin" w:cs="IRNazanin"/>
          <w:b w:val="false"/>
          <w:bCs w:val="false"/>
          <w:i w:val="false"/>
          <w:iCs w:val="false"/>
          <w:color w:val="333333"/>
          <w:sz w:val="20"/>
          <w:szCs w:val="20"/>
        </w:rPr>
        <w:t>492:130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نَباتَه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كُشِفَ لَكُمْ لَرَأَيْتُمْ أَرْواحَ الْمُؤْمِنِيْنَ فِى هذَا الظَّهْرِ حِلَقاً حِلَقاً، يتَزاوَرُونَ وَ يتَحَدَّثُونَ‌، اِنَّ فِى هذَا الظَّهْرِ رُوحُ كُلِّ مُؤْمِن وَ بِوادِى بَرَهُوتِ نَسَمَةُ كُلُّ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احوال البرزخ والقبر و عذابه وسواله،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ابى بكر 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الحاوى للفتاوى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حجر هيثمى،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محمد الحسينى الزبيدى،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السادة المتقين بشرح احياء علوم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حسام الدين متقى،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29894</w:t>
      </w:r>
      <w:r>
        <w:rPr>
          <w:rFonts w:ascii="IRNazanin" w:hAnsi="IRNazanin" w:eastAsia="IRNazanin"/>
          <w:b w:val="false"/>
          <w:b w:val="false"/>
          <w:bCs w:val="false"/>
          <w:i w:val="false"/>
          <w:i w:val="false"/>
          <w:iCs w:val="false"/>
          <w:color w:val="333333"/>
          <w:sz w:val="20"/>
          <w:sz w:val="20"/>
          <w:szCs w:val="20"/>
          <w:rtl w:val="true"/>
        </w:rPr>
        <w:t xml:space="preserve">؛ نورالدين على بن ابى بكر هيثمى،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ابى نعيم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محمد الحسينى الزبيدى،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السادة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12683</w:t>
      </w:r>
      <w:r>
        <w:rPr>
          <w:rFonts w:ascii="IRNazanin" w:hAnsi="IRNazanin" w:eastAsia="IRNazanin"/>
          <w:b w:val="false"/>
          <w:b w:val="false"/>
          <w:bCs w:val="false"/>
          <w:i w:val="false"/>
          <w:i w:val="false"/>
          <w:iCs w:val="false"/>
          <w:color w:val="333333"/>
          <w:sz w:val="20"/>
          <w:sz w:val="20"/>
          <w:szCs w:val="20"/>
          <w:rtl w:val="true"/>
        </w:rPr>
        <w:t xml:space="preserve">؛ سليمان بن احمد بن ايوب طبرانى،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اسماعيل بن محمد العجلونى،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حسام الدين متقى،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42741</w:t>
      </w:r>
      <w:r>
        <w:rPr>
          <w:rFonts w:ascii="IRNazanin" w:hAnsi="IRNazanin" w:eastAsia="IRNazanin"/>
          <w:b w:val="false"/>
          <w:b w:val="false"/>
          <w:bCs w:val="false"/>
          <w:i w:val="false"/>
          <w:i w:val="false"/>
          <w:iCs w:val="false"/>
          <w:color w:val="333333"/>
          <w:sz w:val="20"/>
          <w:sz w:val="20"/>
          <w:szCs w:val="20"/>
          <w:rtl w:val="true"/>
        </w:rPr>
        <w:t xml:space="preserve">؛ ابن رجب حنبلى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اهوال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چهارده روايت ديگر را شبيه اين روايت آورده است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نسائى و</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محمد العجلونى،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على بن ابى بكر هيثمى،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على بن حسام الدين متقى هندى،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31902</w:t>
      </w:r>
      <w:r>
        <w:rPr>
          <w:rFonts w:ascii="IRNazanin" w:hAnsi="IRNazanin" w:eastAsia="IRNazanin"/>
          <w:b w:val="false"/>
          <w:b w:val="false"/>
          <w:bCs w:val="false"/>
          <w:i w:val="false"/>
          <w:i w:val="false"/>
          <w:iCs w:val="false"/>
          <w:color w:val="333333"/>
          <w:sz w:val="20"/>
          <w:sz w:val="20"/>
          <w:szCs w:val="20"/>
          <w:rtl w:val="true"/>
        </w:rPr>
        <w:t xml:space="preserve">؛ ابن حجر عسقلانى،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باب بركته حيا و ميتا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فيض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در پاسخ به ادعاى وهابيان، به دلايل اين ارتباط بيش تر اشاره خواهد شد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ديدگاه ابن قيم در اين زمينه ذكر خواهد شد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فصل، تنها به بررسى و نقد مبانى و انديشه ى وهابيت در حيات برزخى اشاره خواهد شد و شبهات مترتب بر آن، در جلد سوم مورد بررسى قرار خواهد گرفت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به تفصيل درباره ى معنى و مفهوم هستى شناسى، سخن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پنجم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حس گرايى مراتب و مراحل مختلفى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ماترياليست ها، كمونيست ها و پوزيتويست ها گرفتار حس گرايى مطلق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به سبب انديشه ى حس گرايانه، منكر وجود خدا، قيامت، بهشت، جهنم و درمجموع، عالم ماوراءالطبيعه، بودند؛ اما حس گرايى در انديشه ى وهابى، هرچند به معنى انكار عالم غيرمادى نيست، سبب شده است كه نخست، قرائتى مادى از موجوداتى مانند خداوند، عرش و كرسى ارائه شود كه در فصول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وهابيت مكتب تشبيه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بيان شد؛ و دوم، امكان ارتباط ميان عالم برزخ و دنيا انكار شود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سبب، خود اثبات گرايان، در انديشه ى خود تحولى بنيادين ايجاد كردند و از دل آن، مكتب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نواثبات گرايى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New Positivism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بيرون آمد كه خود اين مكتب نيز با مشكلات و چالش هاى بسيارى روبه روست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الشرك ان تدعوا ميتا او غائبا بغير الاتصالات المعروفه وتعتقد فيه السر وانه يمسع كلامك وينفعك وان غاب عنك، وان كان ليس بينك وبينه اتصال حسى معروف، لا من طريق الكتابة ولا من طريق الهاتف ولامن طريق التلكس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فالتعاون بين المسلمين جائز بشرط ان يكون ذلك مع حاضرين يسمعون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موجود در پايگاه اطلاع رسانى الرئاسة العامة للبحوث العلمية والافتاء المملكة العربية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www.alifta.net</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ى شبكه ى سلام با عصام العماد، بخش دوم، </w:t>
      </w:r>
      <w:r>
        <w:rPr>
          <w:rFonts w:eastAsia="IRNazanin" w:cs="IRNazanin"/>
          <w:b w:val="false"/>
          <w:bCs w:val="false"/>
          <w:i w:val="false"/>
          <w:iCs w:val="false"/>
          <w:color w:val="333333"/>
          <w:sz w:val="20"/>
          <w:szCs w:val="20"/>
        </w:rPr>
        <w:t>1387/7/20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فتاوى ورسائل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فتاوى ابن 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پايگاه اطلاع رسانى ابن باز، فتواى شماره ى </w:t>
      </w:r>
      <w:r>
        <w:rPr>
          <w:rFonts w:eastAsia="IRNazanin" w:cs="IRNazanin"/>
          <w:b w:val="false"/>
          <w:bCs w:val="false"/>
          <w:i w:val="false"/>
          <w:iCs w:val="false"/>
          <w:color w:val="333333"/>
          <w:sz w:val="20"/>
          <w:szCs w:val="20"/>
        </w:rPr>
        <w:t>10389:10389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www.binbaz.org.sa/mat</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استدلال وهابيان به اين آيه، در صفحات بعد سخن گفته خواهد شد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العلمية والإفتاء،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قعود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بن غديان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عبدالرزاق عفيفى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نايب رئيس اللجنة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عبدالعزيزبن عبدالله 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پايگاه اطلاع رسانى رئاسة العامة للبحوث العلمية والافتاء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www.alifta.net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الوسى، الآيات البينات فى عدم سماع الاموات على مذهب الحنفية السادات،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ناصرالدين البانى</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بحثهاى گذشته گفته شد كه اين ظاهرگرايى موجب انحراف آنان در معناى عبادت نيز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هشتم و نهم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چهارم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على الشوكانى،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 الجامع بين فنى الرواية والدراية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الامين الشنقيطى،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اضواء البيان فى ايضاح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جزايرى،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ايسر التفاسير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آيه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الانصارى القرطبى،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جرير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محمود الالوسى،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الايات البينات فى عدم سماع الاموات عند احنفية السادات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شنقيطى در ذيل اين آيه و در تبيين وجه شبه ميان اموات و كفار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گونه كه خداوند نخواسته است مردگان قدرت پذيرش يا عدم پذيرش را داشته باشند، به همين گونه نيز خداوند نمى خواهد گمراهان و مضلين، سخن حق را بپذيرند و هدايت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شنقيطى،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اضواء البيان فى ايضاح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الدائمة للبحوث العلمية والإفتاء، حاضران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قعود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بن غديان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عبدالرزاق عفيفى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نايب رئيس اللجنة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عبدالعزيزبن عبدالله 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وسايل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احمد بن حنبل، 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شعيب نسائى،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المجتبى من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فصل، توضيحات ذيل آيات مربوطه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الامين الشنقيطى،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اضواء البيان فى ايضاح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24480</w:t>
      </w:r>
      <w:r>
        <w:rPr>
          <w:rFonts w:ascii="IRNazanin" w:hAnsi="IRNazanin" w:eastAsia="IRNazanin"/>
          <w:b w:val="false"/>
          <w:b w:val="false"/>
          <w:bCs w:val="false"/>
          <w:i w:val="false"/>
          <w:i w:val="false"/>
          <w:iCs w:val="false"/>
          <w:color w:val="333333"/>
          <w:sz w:val="20"/>
          <w:sz w:val="20"/>
          <w:szCs w:val="20"/>
          <w:rtl w:val="true"/>
        </w:rPr>
        <w:t xml:space="preserve">؛ الحاكم النيسابورى،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الهيثمى،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ابى بكر الخلال،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البهوتى،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ابى بكربن 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شنقيطى مى گويد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قول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لا يسمعون، استدلالاً بقوله تعالى انك لا تسمع الموتى، وما جاء بمعناها من الآيات غلط منها رضى الله عنها، ومن تبعها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الامين شنقيطى،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اضواء البيان فى ايضاح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 ابن تيميه در ادامه مى آيد كه كاملاً با اين نظريه ى عايشه در تضاد است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رجب با تعريف سماع منفى به معنى پذيرش و اجابت، به اثبات سماع به معنى فهم و ادراك مى پردازد و سپس به نظريه ى عايشه اشاره و آن را با آيات ديگر رد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اهوال القبور و احوال اهلها الى النشور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نيز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به اثبات سماع موتى مى پردازد و ديدگاه وى را نادرست مى شمارد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عليكم أهل الديار من المؤمنين والمسلمين وإنا إن شاء الله بكم لاحقون ويرحم الله المستقدمين منا ومنكم والمستأخرين نسأل الله لنا ولكم العافية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مفهوم و مراحل شرك</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جلد، تنها بحث سماع موتى و حيات برزخى اثبات شده است؛ اما قابليت هاى اموات در مباحث توسل، طلب شفاعت، زيارت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تفصيل در جلد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ابى بكربن 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احمدبن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اهوال القبور واحوال اهلها الى النشور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الموتى بمن يزورهم ويسلم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العلمية والإفتاء،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قعود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بن غديان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عبدالرزاق عفيفى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نايب رئيس اللجنة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عبدالعزيزبن عبدالله 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پايگاه اطلاع رسانى رئاسة العامة للبحوث العلمية والافتاء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www.alifta.net</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86923</Words>
  <Characters>332494</Characters>
  <CharactersWithSpaces>416382</CharactersWithSpaces>
  <Paragraphs>2750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2026-08-25T01:11:53Z</dcterms:created>
  <dc:creator>ghaemiyeh.com</dc:creator>
  <dc:description/>
  <dc:language>en-US</dc:language>
  <cp:lastModifiedBy/>
  <dcterms:modified xsi:type="dcterms:W3CDTF">2026-08-25T04:42:08Z</dcterms:modified>
  <cp:revision>1</cp:revision>
  <dc:subject/>
  <dc:title>سلفى گرى و وهابیت تبارشناسى جلد 2</dc:title>
</cp:coreProperties>
</file>

<file path=docProps/custom.xml><?xml version="1.0" encoding="utf-8"?>
<Properties xmlns="http://schemas.openxmlformats.org/officeDocument/2006/custom-properties" xmlns:vt="http://schemas.openxmlformats.org/officeDocument/2006/docPropsVTypes"/>
</file>