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15</w:t>
      </w:r>
      <w:r>
        <w:rPr>
          <w:rtl w:val="true"/>
        </w:rPr>
        <w:t xml:space="preserve"> </w:t>
      </w:r>
      <w:r>
        <w:rPr>
          <w:rtl w:val="true"/>
        </w:rPr>
        <w:t xml:space="preserve">إلى </w:t>
      </w:r>
      <w:r>
        <w:rPr/>
        <w:t>19</w:t>
      </w:r>
      <w:r>
        <w:rPr>
          <w:rtl w:val="true"/>
        </w:rPr>
        <w:t xml:space="preserve"> </w:t>
      </w:r>
      <w:r>
        <w:rPr>
          <w:rtl w:val="true"/>
        </w:rPr>
        <w:t xml:space="preserve">کتاب البیع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8650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758652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58654_2142443653">
            <w:r>
              <w:rPr>
                <w:webHidden/>
                <w:rStyle w:val="IndexLink"/>
                <w:rtl w:val="true"/>
              </w:rPr>
              <w:t>الكلام في شروط المتعاملين</w:t>
            </w:r>
            <w:r>
              <w:rPr>
                <w:rStyle w:val="IndexLink"/>
                <w:rtl w:val="true"/>
              </w:rPr>
              <w:tab/>
            </w:r>
            <w:r>
              <w:rPr>
                <w:rStyle w:val="IndexLink"/>
              </w:rPr>
              <w:t>14</w:t>
            </w:r>
          </w:hyperlink>
        </w:p>
        <w:p>
          <w:pPr>
            <w:pStyle w:val="Contents3"/>
            <w:tabs>
              <w:tab w:val="clear" w:pos="8459"/>
              <w:tab w:val="right" w:pos="9026" w:leader="dot"/>
            </w:tabs>
            <w:rPr/>
          </w:pPr>
          <w:hyperlink w:anchor="__RefHeading___Toc2758656_2142443653">
            <w:r>
              <w:rPr>
                <w:webHidden/>
                <w:rStyle w:val="IndexLink"/>
                <w:rtl w:val="true"/>
              </w:rPr>
              <w:t>الشرط الأول</w:t>
            </w:r>
            <w:r>
              <w:rPr>
                <w:rStyle w:val="IndexLink"/>
                <w:rtl w:val="true"/>
              </w:rPr>
              <w:t xml:space="preserve">: </w:t>
            </w:r>
            <w:r>
              <w:rPr>
                <w:rStyle w:val="IndexLink"/>
                <w:rtl w:val="true"/>
              </w:rPr>
              <w:t>البلوغ في المتعاملين</w:t>
            </w:r>
            <w:r>
              <w:rPr>
                <w:rStyle w:val="IndexLink"/>
                <w:rtl w:val="true"/>
              </w:rPr>
              <w:tab/>
            </w:r>
            <w:r>
              <w:rPr>
                <w:rStyle w:val="IndexLink"/>
              </w:rPr>
              <w:t>14</w:t>
            </w:r>
          </w:hyperlink>
        </w:p>
        <w:p>
          <w:pPr>
            <w:pStyle w:val="Contents4"/>
            <w:tabs>
              <w:tab w:val="clear" w:pos="8176"/>
              <w:tab w:val="right" w:pos="9026" w:leader="dot"/>
            </w:tabs>
            <w:rPr/>
          </w:pPr>
          <w:hyperlink w:anchor="__RefHeading___Toc2758658_2142443653">
            <w:r>
              <w:rPr>
                <w:webHidden/>
                <w:rStyle w:val="IndexLink"/>
                <w:rtl w:val="true"/>
              </w:rPr>
              <w:t>مسألة اعتبار البلوغ في المتعاملين</w:t>
            </w:r>
            <w:r>
              <w:rPr>
                <w:rStyle w:val="IndexLink"/>
                <w:rtl w:val="true"/>
              </w:rPr>
              <w:tab/>
            </w:r>
            <w:r>
              <w:rPr>
                <w:rStyle w:val="IndexLink"/>
              </w:rPr>
              <w:t>14</w:t>
            </w:r>
          </w:hyperlink>
        </w:p>
        <w:p>
          <w:pPr>
            <w:pStyle w:val="Contents5"/>
            <w:tabs>
              <w:tab w:val="clear" w:pos="7892"/>
              <w:tab w:val="right" w:pos="9026" w:leader="dot"/>
            </w:tabs>
            <w:rPr/>
          </w:pPr>
          <w:hyperlink w:anchor="__RefHeading___Toc2758660_2142443653">
            <w:r>
              <w:rPr>
                <w:webHidden/>
                <w:rStyle w:val="IndexLink"/>
                <w:rtl w:val="true"/>
              </w:rPr>
              <w:t>إشارة</w:t>
            </w:r>
            <w:r>
              <w:rPr>
                <w:rStyle w:val="IndexLink"/>
                <w:rtl w:val="true"/>
              </w:rPr>
              <w:tab/>
            </w:r>
            <w:r>
              <w:rPr>
                <w:rStyle w:val="IndexLink"/>
              </w:rPr>
              <w:t>14</w:t>
            </w:r>
          </w:hyperlink>
        </w:p>
        <w:p>
          <w:pPr>
            <w:pStyle w:val="Contents5"/>
            <w:tabs>
              <w:tab w:val="clear" w:pos="7892"/>
              <w:tab w:val="right" w:pos="9026" w:leader="dot"/>
            </w:tabs>
            <w:rPr/>
          </w:pPr>
          <w:hyperlink w:anchor="__RefHeading___Toc2758662_2142443653">
            <w:r>
              <w:rPr>
                <w:webHidden/>
                <w:rStyle w:val="IndexLink"/>
                <w:rtl w:val="true"/>
              </w:rPr>
              <w:t>الكلام في عقد الصبيّ المميّز</w:t>
            </w:r>
            <w:r>
              <w:rPr>
                <w:rStyle w:val="IndexLink"/>
                <w:rtl w:val="true"/>
              </w:rPr>
              <w:tab/>
            </w:r>
            <w:r>
              <w:rPr>
                <w:rStyle w:val="IndexLink"/>
              </w:rPr>
              <w:t>17</w:t>
            </w:r>
          </w:hyperlink>
        </w:p>
        <w:p>
          <w:pPr>
            <w:pStyle w:val="Contents6"/>
            <w:tabs>
              <w:tab w:val="clear" w:pos="7609"/>
              <w:tab w:val="right" w:pos="9026" w:leader="dot"/>
            </w:tabs>
            <w:rPr/>
          </w:pPr>
          <w:hyperlink w:anchor="__RefHeading___Toc2758664_2142443653">
            <w:r>
              <w:rPr>
                <w:webHidden/>
                <w:rStyle w:val="IndexLink"/>
                <w:rtl w:val="true"/>
              </w:rPr>
              <w:t>تمهید</w:t>
            </w:r>
            <w:r>
              <w:rPr>
                <w:rStyle w:val="IndexLink"/>
                <w:rtl w:val="true"/>
              </w:rPr>
              <w:tab/>
            </w:r>
            <w:r>
              <w:rPr>
                <w:rStyle w:val="IndexLink"/>
              </w:rPr>
              <w:t>17</w:t>
            </w:r>
          </w:hyperlink>
        </w:p>
        <w:p>
          <w:pPr>
            <w:pStyle w:val="Contents6"/>
            <w:tabs>
              <w:tab w:val="clear" w:pos="7609"/>
              <w:tab w:val="right" w:pos="9026" w:leader="dot"/>
            </w:tabs>
            <w:rPr/>
          </w:pPr>
          <w:hyperlink w:anchor="__RefHeading___Toc2758666_2142443653">
            <w:r>
              <w:rPr>
                <w:webHidden/>
                <w:rStyle w:val="IndexLink"/>
                <w:rtl w:val="true"/>
              </w:rPr>
              <w:t>احتمالات أخذ الرشد والبلوغ في موضوع صحّة المعاملات</w:t>
            </w:r>
            <w:r>
              <w:rPr>
                <w:rStyle w:val="IndexLink"/>
                <w:rtl w:val="true"/>
              </w:rPr>
              <w:tab/>
            </w:r>
            <w:r>
              <w:rPr>
                <w:rStyle w:val="IndexLink"/>
              </w:rPr>
              <w:t>18</w:t>
            </w:r>
          </w:hyperlink>
        </w:p>
        <w:p>
          <w:pPr>
            <w:pStyle w:val="Contents6"/>
            <w:tabs>
              <w:tab w:val="clear" w:pos="7609"/>
              <w:tab w:val="right" w:pos="9026" w:leader="dot"/>
            </w:tabs>
            <w:rPr/>
          </w:pPr>
          <w:hyperlink w:anchor="__RefHeading___Toc2758668_2142443653">
            <w:r>
              <w:rPr>
                <w:webHidden/>
                <w:rStyle w:val="IndexLink"/>
                <w:rtl w:val="true"/>
              </w:rPr>
              <w:t>الكلام حول آية الابتلاء والتحقيق عن مفادها</w:t>
            </w:r>
            <w:r>
              <w:rPr>
                <w:rStyle w:val="IndexLink"/>
                <w:rtl w:val="true"/>
              </w:rPr>
              <w:tab/>
            </w:r>
            <w:r>
              <w:rPr>
                <w:rStyle w:val="IndexLink"/>
              </w:rPr>
              <w:t>18</w:t>
            </w:r>
          </w:hyperlink>
        </w:p>
        <w:p>
          <w:pPr>
            <w:pStyle w:val="Contents6"/>
            <w:tabs>
              <w:tab w:val="clear" w:pos="7609"/>
              <w:tab w:val="right" w:pos="9026" w:leader="dot"/>
            </w:tabs>
            <w:rPr/>
          </w:pPr>
          <w:hyperlink w:anchor="__RefHeading___Toc2758670_2142443653">
            <w:r>
              <w:rPr>
                <w:webHidden/>
                <w:rStyle w:val="IndexLink"/>
                <w:rtl w:val="true"/>
              </w:rPr>
              <w:t>الكلام حول الروايات الواردة في المقام</w:t>
            </w:r>
            <w:r>
              <w:rPr>
                <w:rStyle w:val="IndexLink"/>
                <w:rtl w:val="true"/>
              </w:rPr>
              <w:tab/>
            </w:r>
            <w:r>
              <w:rPr>
                <w:rStyle w:val="IndexLink"/>
              </w:rPr>
              <w:t>36</w:t>
            </w:r>
          </w:hyperlink>
        </w:p>
        <w:p>
          <w:pPr>
            <w:pStyle w:val="Contents6"/>
            <w:tabs>
              <w:tab w:val="clear" w:pos="7609"/>
              <w:tab w:val="right" w:pos="9026" w:leader="dot"/>
            </w:tabs>
            <w:rPr/>
          </w:pPr>
          <w:hyperlink w:anchor="__RefHeading___Toc2758672_2142443653">
            <w:r>
              <w:rPr>
                <w:webHidden/>
                <w:rStyle w:val="IndexLink"/>
                <w:rtl w:val="true"/>
              </w:rPr>
              <w:t>عدم اعتبار البلوغ في إجراء الصيغة والوكالة عن الغير</w:t>
            </w:r>
            <w:r>
              <w:rPr>
                <w:rStyle w:val="IndexLink"/>
                <w:rtl w:val="true"/>
              </w:rPr>
              <w:tab/>
            </w:r>
            <w:r>
              <w:rPr>
                <w:rStyle w:val="IndexLink"/>
              </w:rPr>
              <w:t>52</w:t>
            </w:r>
          </w:hyperlink>
        </w:p>
        <w:p>
          <w:pPr>
            <w:pStyle w:val="Contents6"/>
            <w:tabs>
              <w:tab w:val="clear" w:pos="7609"/>
              <w:tab w:val="right" w:pos="9026" w:leader="dot"/>
            </w:tabs>
            <w:rPr/>
          </w:pPr>
          <w:hyperlink w:anchor="__RefHeading___Toc2758674_2142443653">
            <w:r>
              <w:rPr>
                <w:webHidden/>
                <w:rStyle w:val="IndexLink"/>
                <w:rtl w:val="true"/>
              </w:rPr>
              <w:t>حول الإجماع المدّعى في المقام</w:t>
            </w:r>
            <w:r>
              <w:rPr>
                <w:rStyle w:val="IndexLink"/>
                <w:rtl w:val="true"/>
              </w:rPr>
              <w:tab/>
            </w:r>
            <w:r>
              <w:rPr>
                <w:rStyle w:val="IndexLink"/>
              </w:rPr>
              <w:t>53</w:t>
            </w:r>
          </w:hyperlink>
        </w:p>
        <w:p>
          <w:pPr>
            <w:pStyle w:val="Contents6"/>
            <w:tabs>
              <w:tab w:val="clear" w:pos="7609"/>
              <w:tab w:val="right" w:pos="9026" w:leader="dot"/>
            </w:tabs>
            <w:rPr/>
          </w:pPr>
          <w:hyperlink w:anchor="__RefHeading___Toc2758676_2142443653">
            <w:r>
              <w:rPr>
                <w:webHidden/>
                <w:rStyle w:val="IndexLink"/>
                <w:rtl w:val="true"/>
              </w:rPr>
              <w:t>حول التفصيل في معاملات الصبيّ بين الأشياء اليسيرة والخطيرة</w:t>
            </w:r>
            <w:r>
              <w:rPr>
                <w:rStyle w:val="IndexLink"/>
                <w:rtl w:val="true"/>
              </w:rPr>
              <w:tab/>
            </w:r>
            <w:r>
              <w:rPr>
                <w:rStyle w:val="IndexLink"/>
              </w:rPr>
              <w:t>55</w:t>
            </w:r>
          </w:hyperlink>
        </w:p>
        <w:p>
          <w:pPr>
            <w:pStyle w:val="Contents3"/>
            <w:tabs>
              <w:tab w:val="clear" w:pos="8459"/>
              <w:tab w:val="right" w:pos="9026" w:leader="dot"/>
            </w:tabs>
            <w:rPr/>
          </w:pPr>
          <w:hyperlink w:anchor="__RefHeading___Toc2758678_2142443653">
            <w:r>
              <w:rPr>
                <w:webHidden/>
                <w:rStyle w:val="IndexLink"/>
                <w:rtl w:val="true"/>
              </w:rPr>
              <w:t>الشرط الثاني</w:t>
            </w:r>
            <w:r>
              <w:rPr>
                <w:rStyle w:val="IndexLink"/>
                <w:rtl w:val="true"/>
              </w:rPr>
              <w:t xml:space="preserve">: </w:t>
            </w:r>
            <w:r>
              <w:rPr>
                <w:rStyle w:val="IndexLink"/>
                <w:rtl w:val="true"/>
              </w:rPr>
              <w:t>قصد المتعاملين لمدلول العقد</w:t>
            </w:r>
            <w:r>
              <w:rPr>
                <w:rStyle w:val="IndexLink"/>
                <w:rtl w:val="true"/>
              </w:rPr>
              <w:tab/>
            </w:r>
            <w:r>
              <w:rPr>
                <w:rStyle w:val="IndexLink"/>
              </w:rPr>
              <w:t>62</w:t>
            </w:r>
          </w:hyperlink>
        </w:p>
        <w:p>
          <w:pPr>
            <w:pStyle w:val="Contents4"/>
            <w:tabs>
              <w:tab w:val="clear" w:pos="8176"/>
              <w:tab w:val="right" w:pos="9026" w:leader="dot"/>
            </w:tabs>
            <w:rPr/>
          </w:pPr>
          <w:hyperlink w:anchor="__RefHeading___Toc2758680_2142443653">
            <w:r>
              <w:rPr>
                <w:webHidden/>
                <w:rStyle w:val="IndexLink"/>
                <w:rtl w:val="true"/>
              </w:rPr>
              <w:t>مسألة اعتبار قصد المتعاملين لمدلول العقد</w:t>
            </w:r>
            <w:r>
              <w:rPr>
                <w:rStyle w:val="IndexLink"/>
                <w:rtl w:val="true"/>
              </w:rPr>
              <w:tab/>
            </w:r>
            <w:r>
              <w:rPr>
                <w:rStyle w:val="IndexLink"/>
              </w:rPr>
              <w:t>62</w:t>
            </w:r>
          </w:hyperlink>
        </w:p>
        <w:p>
          <w:pPr>
            <w:pStyle w:val="Contents4"/>
            <w:tabs>
              <w:tab w:val="clear" w:pos="8176"/>
              <w:tab w:val="right" w:pos="9026" w:leader="dot"/>
            </w:tabs>
            <w:rPr/>
          </w:pPr>
          <w:hyperlink w:anchor="__RefHeading___Toc2758682_2142443653">
            <w:r>
              <w:rPr>
                <w:webHidden/>
                <w:rStyle w:val="IndexLink"/>
                <w:rtl w:val="true"/>
              </w:rPr>
              <w:t>مسألة</w:t>
            </w:r>
            <w:r>
              <w:rPr>
                <w:rStyle w:val="IndexLink"/>
                <w:rtl w:val="true"/>
              </w:rPr>
              <w:t xml:space="preserve">: </w:t>
            </w:r>
            <w:r>
              <w:rPr>
                <w:rStyle w:val="IndexLink"/>
                <w:rtl w:val="true"/>
              </w:rPr>
              <w:t>اعتبار تعيين المالكين</w:t>
            </w:r>
            <w:r>
              <w:rPr>
                <w:rStyle w:val="IndexLink"/>
                <w:rtl w:val="true"/>
              </w:rPr>
              <w:tab/>
            </w:r>
            <w:r>
              <w:rPr>
                <w:rStyle w:val="IndexLink"/>
              </w:rPr>
              <w:t>65</w:t>
            </w:r>
          </w:hyperlink>
        </w:p>
        <w:p>
          <w:pPr>
            <w:pStyle w:val="Contents5"/>
            <w:tabs>
              <w:tab w:val="clear" w:pos="7892"/>
              <w:tab w:val="right" w:pos="9026" w:leader="dot"/>
            </w:tabs>
            <w:rPr/>
          </w:pPr>
          <w:hyperlink w:anchor="__RefHeading___Toc2758684_2142443653">
            <w:r>
              <w:rPr>
                <w:webHidden/>
                <w:rStyle w:val="IndexLink"/>
                <w:rtl w:val="true"/>
              </w:rPr>
              <w:t>إشارة</w:t>
            </w:r>
            <w:r>
              <w:rPr>
                <w:rStyle w:val="IndexLink"/>
                <w:rtl w:val="true"/>
              </w:rPr>
              <w:tab/>
            </w:r>
            <w:r>
              <w:rPr>
                <w:rStyle w:val="IndexLink"/>
              </w:rPr>
              <w:t>65</w:t>
            </w:r>
          </w:hyperlink>
        </w:p>
        <w:p>
          <w:pPr>
            <w:pStyle w:val="Contents5"/>
            <w:tabs>
              <w:tab w:val="clear" w:pos="7892"/>
              <w:tab w:val="right" w:pos="9026" w:leader="dot"/>
            </w:tabs>
            <w:rPr/>
          </w:pPr>
          <w:hyperlink w:anchor="__RefHeading___Toc2758686_2142443653">
            <w:r>
              <w:rPr>
                <w:webHidden/>
                <w:rStyle w:val="IndexLink"/>
                <w:rtl w:val="true"/>
              </w:rPr>
              <w:t>حول استدلال صاحب المقابس على اعتبار التعيين</w:t>
            </w:r>
            <w:r>
              <w:rPr>
                <w:rStyle w:val="IndexLink"/>
                <w:rtl w:val="true"/>
              </w:rPr>
              <w:tab/>
            </w:r>
            <w:r>
              <w:rPr>
                <w:rStyle w:val="IndexLink"/>
              </w:rPr>
              <w:t>66</w:t>
            </w:r>
          </w:hyperlink>
        </w:p>
        <w:p>
          <w:pPr>
            <w:pStyle w:val="Contents5"/>
            <w:tabs>
              <w:tab w:val="clear" w:pos="7892"/>
              <w:tab w:val="right" w:pos="9026" w:leader="dot"/>
            </w:tabs>
            <w:rPr/>
          </w:pPr>
          <w:hyperlink w:anchor="__RefHeading___Toc2758688_2142443653">
            <w:r>
              <w:rPr>
                <w:webHidden/>
                <w:rStyle w:val="IndexLink"/>
                <w:rtl w:val="true"/>
              </w:rPr>
              <w:t>استدلال الشيخ الأعظم على اعتبار التعيين</w:t>
            </w:r>
            <w:r>
              <w:rPr>
                <w:rStyle w:val="IndexLink"/>
                <w:rtl w:val="true"/>
              </w:rPr>
              <w:tab/>
            </w:r>
            <w:r>
              <w:rPr>
                <w:rStyle w:val="IndexLink"/>
              </w:rPr>
              <w:t>71</w:t>
            </w:r>
          </w:hyperlink>
        </w:p>
        <w:p>
          <w:pPr>
            <w:pStyle w:val="Contents5"/>
            <w:tabs>
              <w:tab w:val="clear" w:pos="7892"/>
              <w:tab w:val="right" w:pos="9026" w:leader="dot"/>
            </w:tabs>
            <w:rPr/>
          </w:pPr>
          <w:hyperlink w:anchor="__RefHeading___Toc2758690_2142443653">
            <w:r>
              <w:rPr>
                <w:webHidden/>
                <w:rStyle w:val="IndexLink"/>
                <w:rtl w:val="true"/>
              </w:rPr>
              <w:t>حول اعتبار تعيين المالكين فيما إذا كانا معيّنين في الخارج</w:t>
            </w:r>
            <w:r>
              <w:rPr>
                <w:rStyle w:val="IndexLink"/>
                <w:rtl w:val="true"/>
              </w:rPr>
              <w:tab/>
            </w:r>
            <w:r>
              <w:rPr>
                <w:rStyle w:val="IndexLink"/>
              </w:rPr>
              <w:t>73</w:t>
            </w:r>
          </w:hyperlink>
        </w:p>
        <w:p>
          <w:pPr>
            <w:pStyle w:val="Contents5"/>
            <w:tabs>
              <w:tab w:val="clear" w:pos="7892"/>
              <w:tab w:val="right" w:pos="9026" w:leader="dot"/>
            </w:tabs>
            <w:rPr/>
          </w:pPr>
          <w:hyperlink w:anchor="__RefHeading___Toc2758692_2142443653">
            <w:r>
              <w:rPr>
                <w:webHidden/>
                <w:rStyle w:val="IndexLink"/>
                <w:rtl w:val="true"/>
              </w:rPr>
              <w:t>حول اعتبار تعيين الموجب للمشتري والقابل للبائع</w:t>
            </w:r>
            <w:r>
              <w:rPr>
                <w:rStyle w:val="IndexLink"/>
                <w:rtl w:val="true"/>
              </w:rPr>
              <w:tab/>
            </w:r>
            <w:r>
              <w:rPr>
                <w:rStyle w:val="IndexLink"/>
              </w:rPr>
              <w:t>84</w:t>
            </w:r>
          </w:hyperlink>
        </w:p>
        <w:p>
          <w:pPr>
            <w:pStyle w:val="Contents3"/>
            <w:tabs>
              <w:tab w:val="clear" w:pos="8459"/>
              <w:tab w:val="right" w:pos="9026" w:leader="dot"/>
            </w:tabs>
            <w:rPr/>
          </w:pPr>
          <w:hyperlink w:anchor="__RefHeading___Toc2758694_2142443653">
            <w:r>
              <w:rPr>
                <w:webHidden/>
                <w:rStyle w:val="IndexLink"/>
                <w:rtl w:val="true"/>
              </w:rPr>
              <w:t>الشرط الثالث</w:t>
            </w:r>
            <w:r>
              <w:rPr>
                <w:rStyle w:val="IndexLink"/>
                <w:rtl w:val="true"/>
              </w:rPr>
              <w:t xml:space="preserve">: </w:t>
            </w:r>
            <w:r>
              <w:rPr>
                <w:rStyle w:val="IndexLink"/>
                <w:rtl w:val="true"/>
              </w:rPr>
              <w:t>الاختيار في المتعاقدين</w:t>
            </w:r>
            <w:r>
              <w:rPr>
                <w:rStyle w:val="IndexLink"/>
                <w:rtl w:val="true"/>
              </w:rPr>
              <w:tab/>
            </w:r>
            <w:r>
              <w:rPr>
                <w:rStyle w:val="IndexLink"/>
              </w:rPr>
              <w:t>90</w:t>
            </w:r>
          </w:hyperlink>
        </w:p>
        <w:p>
          <w:pPr>
            <w:pStyle w:val="Contents4"/>
            <w:tabs>
              <w:tab w:val="clear" w:pos="8176"/>
              <w:tab w:val="right" w:pos="9026" w:leader="dot"/>
            </w:tabs>
            <w:rPr/>
          </w:pPr>
          <w:hyperlink w:anchor="__RefHeading___Toc2758696_2142443653">
            <w:r>
              <w:rPr>
                <w:webHidden/>
                <w:rStyle w:val="IndexLink"/>
                <w:rtl w:val="true"/>
              </w:rPr>
              <w:t>مسألة اعتبار الاختيار في المتعاقدين</w:t>
            </w:r>
            <w:r>
              <w:rPr>
                <w:rStyle w:val="IndexLink"/>
                <w:rtl w:val="true"/>
              </w:rPr>
              <w:tab/>
            </w:r>
            <w:r>
              <w:rPr>
                <w:rStyle w:val="IndexLink"/>
              </w:rPr>
              <w:t>90</w:t>
            </w:r>
          </w:hyperlink>
        </w:p>
        <w:p>
          <w:pPr>
            <w:pStyle w:val="Contents5"/>
            <w:tabs>
              <w:tab w:val="clear" w:pos="7892"/>
              <w:tab w:val="right" w:pos="9026" w:leader="dot"/>
            </w:tabs>
            <w:rPr/>
          </w:pPr>
          <w:hyperlink w:anchor="__RefHeading___Toc2758698_2142443653">
            <w:r>
              <w:rPr>
                <w:webHidden/>
                <w:rStyle w:val="IndexLink"/>
                <w:rtl w:val="true"/>
              </w:rPr>
              <w:t>إشارة</w:t>
            </w:r>
            <w:r>
              <w:rPr>
                <w:rStyle w:val="IndexLink"/>
                <w:rtl w:val="true"/>
              </w:rPr>
              <w:tab/>
            </w:r>
            <w:r>
              <w:rPr>
                <w:rStyle w:val="IndexLink"/>
              </w:rPr>
              <w:t>90</w:t>
            </w:r>
          </w:hyperlink>
        </w:p>
        <w:p>
          <w:pPr>
            <w:pStyle w:val="Contents5"/>
            <w:tabs>
              <w:tab w:val="clear" w:pos="7892"/>
              <w:tab w:val="right" w:pos="9026" w:leader="dot"/>
            </w:tabs>
            <w:rPr/>
          </w:pPr>
          <w:hyperlink w:anchor="__RefHeading___Toc2758700_2142443653">
            <w:r>
              <w:rPr>
                <w:webHidden/>
                <w:rStyle w:val="IndexLink"/>
                <w:rtl w:val="true"/>
              </w:rPr>
              <w:t>عدم الإكراه هو الشرط المعتبر دون الاختيار</w:t>
            </w:r>
            <w:r>
              <w:rPr>
                <w:rStyle w:val="IndexLink"/>
                <w:rtl w:val="true"/>
              </w:rPr>
              <w:tab/>
            </w:r>
            <w:r>
              <w:rPr>
                <w:rStyle w:val="IndexLink"/>
              </w:rPr>
              <w:t>92</w:t>
            </w:r>
          </w:hyperlink>
        </w:p>
        <w:p>
          <w:pPr>
            <w:pStyle w:val="Contents5"/>
            <w:tabs>
              <w:tab w:val="clear" w:pos="7892"/>
              <w:tab w:val="right" w:pos="9026" w:leader="dot"/>
            </w:tabs>
            <w:rPr/>
          </w:pPr>
          <w:hyperlink w:anchor="__RefHeading___Toc2758702_2142443653">
            <w:r>
              <w:rPr>
                <w:webHidden/>
                <w:rStyle w:val="IndexLink"/>
                <w:rtl w:val="true"/>
              </w:rPr>
              <w:t>الاستدلال بحديث الرفع على اعتبار عدم الإكراه</w:t>
            </w:r>
            <w:r>
              <w:rPr>
                <w:rStyle w:val="IndexLink"/>
                <w:rtl w:val="true"/>
              </w:rPr>
              <w:tab/>
            </w:r>
            <w:r>
              <w:rPr>
                <w:rStyle w:val="IndexLink"/>
              </w:rPr>
              <w:t>95</w:t>
            </w:r>
          </w:hyperlink>
        </w:p>
        <w:p>
          <w:pPr>
            <w:pStyle w:val="Contents5"/>
            <w:tabs>
              <w:tab w:val="clear" w:pos="7892"/>
              <w:tab w:val="right" w:pos="9026" w:leader="dot"/>
            </w:tabs>
            <w:rPr/>
          </w:pPr>
          <w:hyperlink w:anchor="__RefHeading___Toc2758704_2142443653">
            <w:r>
              <w:rPr>
                <w:webHidden/>
                <w:rStyle w:val="IndexLink"/>
                <w:rtl w:val="true"/>
              </w:rPr>
              <w:t>حول القيود التي اعتبرها الشيخ الأعظم لوقوع الفعل مكرهاً عليه</w:t>
            </w:r>
            <w:r>
              <w:rPr>
                <w:rStyle w:val="IndexLink"/>
                <w:rtl w:val="true"/>
              </w:rPr>
              <w:tab/>
            </w:r>
            <w:r>
              <w:rPr>
                <w:rStyle w:val="IndexLink"/>
              </w:rPr>
              <w:t>102</w:t>
            </w:r>
          </w:hyperlink>
        </w:p>
        <w:p>
          <w:pPr>
            <w:pStyle w:val="Contents5"/>
            <w:tabs>
              <w:tab w:val="clear" w:pos="7892"/>
              <w:tab w:val="right" w:pos="9026" w:leader="dot"/>
            </w:tabs>
            <w:rPr/>
          </w:pPr>
          <w:hyperlink w:anchor="__RefHeading___Toc2758706_2142443653">
            <w:r>
              <w:rPr>
                <w:webHidden/>
                <w:rStyle w:val="IndexLink"/>
                <w:rtl w:val="true"/>
              </w:rPr>
              <w:t>حول اعتبار عدم إمكان التفصّي في موضوع الإكراه</w:t>
            </w:r>
            <w:r>
              <w:rPr>
                <w:rStyle w:val="IndexLink"/>
                <w:rtl w:val="true"/>
              </w:rPr>
              <w:tab/>
            </w:r>
            <w:r>
              <w:rPr>
                <w:rStyle w:val="IndexLink"/>
              </w:rPr>
              <w:t>102</w:t>
            </w:r>
          </w:hyperlink>
        </w:p>
        <w:p>
          <w:pPr>
            <w:pStyle w:val="Contents5"/>
            <w:tabs>
              <w:tab w:val="clear" w:pos="7892"/>
              <w:tab w:val="right" w:pos="9026" w:leader="dot"/>
            </w:tabs>
            <w:rPr/>
          </w:pPr>
          <w:hyperlink w:anchor="__RefHeading___Toc2758708_2142443653">
            <w:r>
              <w:rPr>
                <w:webHidden/>
                <w:rStyle w:val="IndexLink"/>
                <w:rtl w:val="true"/>
              </w:rPr>
              <w:t>تفصيل الشيخ بين الإكراه المسوّغ للمحرّمات والرافع لأثر المعاملات</w:t>
            </w:r>
            <w:r>
              <w:rPr>
                <w:rStyle w:val="IndexLink"/>
                <w:rtl w:val="true"/>
              </w:rPr>
              <w:tab/>
            </w:r>
            <w:r>
              <w:rPr>
                <w:rStyle w:val="IndexLink"/>
              </w:rPr>
              <w:t>108</w:t>
            </w:r>
          </w:hyperlink>
        </w:p>
        <w:p>
          <w:pPr>
            <w:pStyle w:val="Contents5"/>
            <w:tabs>
              <w:tab w:val="clear" w:pos="7892"/>
              <w:tab w:val="right" w:pos="9026" w:leader="dot"/>
            </w:tabs>
            <w:rPr/>
          </w:pPr>
          <w:hyperlink w:anchor="__RefHeading___Toc2758710_2142443653">
            <w:r>
              <w:rPr>
                <w:webHidden/>
                <w:rStyle w:val="IndexLink"/>
                <w:rtl w:val="true"/>
              </w:rPr>
              <w:t>النسبة بين الاضطرار والإكراه في حديث الرفع</w:t>
            </w:r>
            <w:r>
              <w:rPr>
                <w:rStyle w:val="IndexLink"/>
                <w:rtl w:val="true"/>
              </w:rPr>
              <w:tab/>
            </w:r>
            <w:r>
              <w:rPr>
                <w:rStyle w:val="IndexLink"/>
              </w:rPr>
              <w:t>110</w:t>
            </w:r>
          </w:hyperlink>
        </w:p>
        <w:p>
          <w:pPr>
            <w:pStyle w:val="Contents5"/>
            <w:tabs>
              <w:tab w:val="clear" w:pos="7892"/>
              <w:tab w:val="right" w:pos="9026" w:leader="dot"/>
            </w:tabs>
            <w:rPr/>
          </w:pPr>
          <w:hyperlink w:anchor="__RefHeading___Toc2758712_2142443653">
            <w:r>
              <w:rPr>
                <w:webHidden/>
                <w:rStyle w:val="IndexLink"/>
                <w:rtl w:val="true"/>
              </w:rPr>
              <w:t>حكم الإكراه على نحو الاستغراق أو الطبيعة السارية</w:t>
            </w:r>
            <w:r>
              <w:rPr>
                <w:rStyle w:val="IndexLink"/>
                <w:rtl w:val="true"/>
              </w:rPr>
              <w:tab/>
            </w:r>
            <w:r>
              <w:rPr>
                <w:rStyle w:val="IndexLink"/>
              </w:rPr>
              <w:t>112</w:t>
            </w:r>
          </w:hyperlink>
        </w:p>
        <w:p>
          <w:pPr>
            <w:pStyle w:val="Contents5"/>
            <w:tabs>
              <w:tab w:val="clear" w:pos="7892"/>
              <w:tab w:val="right" w:pos="9026" w:leader="dot"/>
            </w:tabs>
            <w:rPr/>
          </w:pPr>
          <w:hyperlink w:anchor="__RefHeading___Toc2758714_2142443653">
            <w:r>
              <w:rPr>
                <w:webHidden/>
                <w:rStyle w:val="IndexLink"/>
                <w:rtl w:val="true"/>
              </w:rPr>
              <w:t>حكم الإكراه على نفس الطبيعة</w:t>
            </w:r>
            <w:r>
              <w:rPr>
                <w:rStyle w:val="IndexLink"/>
                <w:rtl w:val="true"/>
              </w:rPr>
              <w:tab/>
            </w:r>
            <w:r>
              <w:rPr>
                <w:rStyle w:val="IndexLink"/>
              </w:rPr>
              <w:t>113</w:t>
            </w:r>
          </w:hyperlink>
        </w:p>
        <w:p>
          <w:pPr>
            <w:pStyle w:val="Contents5"/>
            <w:tabs>
              <w:tab w:val="clear" w:pos="7892"/>
              <w:tab w:val="right" w:pos="9026" w:leader="dot"/>
            </w:tabs>
            <w:rPr/>
          </w:pPr>
          <w:hyperlink w:anchor="__RefHeading___Toc2758716_2142443653">
            <w:r>
              <w:rPr>
                <w:webHidden/>
                <w:rStyle w:val="IndexLink"/>
                <w:rtl w:val="true"/>
              </w:rPr>
              <w:t>حكم إكراه الشخص على أحد الأمرين وبعض صور اُخرى</w:t>
            </w:r>
            <w:r>
              <w:rPr>
                <w:rStyle w:val="IndexLink"/>
                <w:rtl w:val="true"/>
              </w:rPr>
              <w:tab/>
            </w:r>
            <w:r>
              <w:rPr>
                <w:rStyle w:val="IndexLink"/>
              </w:rPr>
              <w:t>117</w:t>
            </w:r>
          </w:hyperlink>
        </w:p>
        <w:p>
          <w:pPr>
            <w:pStyle w:val="Contents5"/>
            <w:tabs>
              <w:tab w:val="clear" w:pos="7892"/>
              <w:tab w:val="right" w:pos="9026" w:leader="dot"/>
            </w:tabs>
            <w:rPr/>
          </w:pPr>
          <w:hyperlink w:anchor="__RefHeading___Toc2758718_2142443653">
            <w:r>
              <w:rPr>
                <w:webHidden/>
                <w:rStyle w:val="IndexLink"/>
                <w:rtl w:val="true"/>
              </w:rPr>
              <w:t>حكم الإكراه على بيع واحد غير معيّن</w:t>
            </w:r>
            <w:r>
              <w:rPr>
                <w:rStyle w:val="IndexLink"/>
                <w:rtl w:val="true"/>
              </w:rPr>
              <w:tab/>
            </w:r>
            <w:r>
              <w:rPr>
                <w:rStyle w:val="IndexLink"/>
              </w:rPr>
              <w:t>121</w:t>
            </w:r>
          </w:hyperlink>
        </w:p>
        <w:p>
          <w:pPr>
            <w:pStyle w:val="Contents5"/>
            <w:tabs>
              <w:tab w:val="clear" w:pos="7892"/>
              <w:tab w:val="right" w:pos="9026" w:leader="dot"/>
            </w:tabs>
            <w:rPr/>
          </w:pPr>
          <w:hyperlink w:anchor="__RefHeading___Toc2758720_2142443653">
            <w:r>
              <w:rPr>
                <w:webHidden/>
                <w:rStyle w:val="IndexLink"/>
                <w:rtl w:val="true"/>
              </w:rPr>
              <w:t>حول كلام العلاّمة في الإكراه على الطلاق</w:t>
            </w:r>
            <w:r>
              <w:rPr>
                <w:rStyle w:val="IndexLink"/>
                <w:rtl w:val="true"/>
              </w:rPr>
              <w:tab/>
            </w:r>
            <w:r>
              <w:rPr>
                <w:rStyle w:val="IndexLink"/>
              </w:rPr>
              <w:t>126</w:t>
            </w:r>
          </w:hyperlink>
        </w:p>
        <w:p>
          <w:pPr>
            <w:pStyle w:val="Contents5"/>
            <w:tabs>
              <w:tab w:val="clear" w:pos="7892"/>
              <w:tab w:val="right" w:pos="9026" w:leader="dot"/>
            </w:tabs>
            <w:rPr/>
          </w:pPr>
          <w:hyperlink w:anchor="__RefHeading___Toc2758722_2142443653">
            <w:r>
              <w:rPr>
                <w:webHidden/>
                <w:rStyle w:val="IndexLink"/>
                <w:rtl w:val="true"/>
              </w:rPr>
              <w:t>عقد المكره لو تعقّبه الرضا</w:t>
            </w:r>
            <w:r>
              <w:rPr>
                <w:rStyle w:val="IndexLink"/>
                <w:rtl w:val="true"/>
              </w:rPr>
              <w:tab/>
            </w:r>
            <w:r>
              <w:rPr>
                <w:rStyle w:val="IndexLink"/>
              </w:rPr>
              <w:t>131</w:t>
            </w:r>
          </w:hyperlink>
        </w:p>
        <w:p>
          <w:pPr>
            <w:pStyle w:val="Contents5"/>
            <w:tabs>
              <w:tab w:val="clear" w:pos="7892"/>
              <w:tab w:val="right" w:pos="9026" w:leader="dot"/>
            </w:tabs>
            <w:rPr/>
          </w:pPr>
          <w:hyperlink w:anchor="__RefHeading___Toc2758724_2142443653">
            <w:r>
              <w:rPr>
                <w:webHidden/>
                <w:rStyle w:val="IndexLink"/>
                <w:rtl w:val="true"/>
              </w:rPr>
              <w:t>الاستدلال بآية التجارة على بطلان عقد المكره المتعقّب بالرضا</w:t>
            </w:r>
            <w:r>
              <w:rPr>
                <w:rStyle w:val="IndexLink"/>
                <w:rtl w:val="true"/>
              </w:rPr>
              <w:tab/>
            </w:r>
            <w:r>
              <w:rPr>
                <w:rStyle w:val="IndexLink"/>
              </w:rPr>
              <w:t>134</w:t>
            </w:r>
          </w:hyperlink>
        </w:p>
        <w:p>
          <w:pPr>
            <w:pStyle w:val="Contents5"/>
            <w:tabs>
              <w:tab w:val="clear" w:pos="7892"/>
              <w:tab w:val="right" w:pos="9026" w:leader="dot"/>
            </w:tabs>
            <w:rPr/>
          </w:pPr>
          <w:hyperlink w:anchor="__RefHeading___Toc2758726_2142443653">
            <w:r>
              <w:rPr>
                <w:webHidden/>
                <w:rStyle w:val="IndexLink"/>
                <w:rtl w:val="true"/>
              </w:rPr>
              <w:t>حول إرجاع الاستثناء المنقطع إلى المتّصل</w:t>
            </w:r>
            <w:r>
              <w:rPr>
                <w:rStyle w:val="IndexLink"/>
                <w:rtl w:val="true"/>
              </w:rPr>
              <w:tab/>
            </w:r>
            <w:r>
              <w:rPr>
                <w:rStyle w:val="IndexLink"/>
              </w:rPr>
              <w:t>138</w:t>
            </w:r>
          </w:hyperlink>
        </w:p>
        <w:p>
          <w:pPr>
            <w:pStyle w:val="Contents5"/>
            <w:tabs>
              <w:tab w:val="clear" w:pos="7892"/>
              <w:tab w:val="right" w:pos="9026" w:leader="dot"/>
            </w:tabs>
            <w:rPr/>
          </w:pPr>
          <w:hyperlink w:anchor="__RefHeading___Toc2758728_2142443653">
            <w:r>
              <w:rPr>
                <w:webHidden/>
                <w:rStyle w:val="IndexLink"/>
                <w:rtl w:val="true"/>
              </w:rPr>
              <w:t>الاستدلال بحديث الرفع على البطلان وإشكالي الشيخ عليه</w:t>
            </w:r>
            <w:r>
              <w:rPr>
                <w:rStyle w:val="IndexLink"/>
                <w:rtl w:val="true"/>
              </w:rPr>
              <w:tab/>
            </w:r>
            <w:r>
              <w:rPr>
                <w:rStyle w:val="IndexLink"/>
              </w:rPr>
              <w:t>141</w:t>
            </w:r>
          </w:hyperlink>
        </w:p>
        <w:p>
          <w:pPr>
            <w:pStyle w:val="Contents3"/>
            <w:tabs>
              <w:tab w:val="clear" w:pos="8459"/>
              <w:tab w:val="right" w:pos="9026" w:leader="dot"/>
            </w:tabs>
            <w:rPr/>
          </w:pPr>
          <w:hyperlink w:anchor="__RefHeading___Toc2758730_2142443653">
            <w:r>
              <w:rPr>
                <w:webHidden/>
                <w:rStyle w:val="IndexLink"/>
                <w:rtl w:val="true"/>
              </w:rPr>
              <w:t>الشرط الرابع</w:t>
            </w:r>
            <w:r>
              <w:rPr>
                <w:rStyle w:val="IndexLink"/>
                <w:rtl w:val="true"/>
              </w:rPr>
              <w:t xml:space="preserve">: </w:t>
            </w:r>
            <w:r>
              <w:rPr>
                <w:rStyle w:val="IndexLink"/>
                <w:rtl w:val="true"/>
              </w:rPr>
              <w:t>كون المتعاقدين نافذي التصرّف</w:t>
            </w:r>
            <w:r>
              <w:rPr>
                <w:rStyle w:val="IndexLink"/>
                <w:rtl w:val="true"/>
              </w:rPr>
              <w:tab/>
            </w:r>
            <w:r>
              <w:rPr>
                <w:rStyle w:val="IndexLink"/>
              </w:rPr>
              <w:t>148</w:t>
            </w:r>
          </w:hyperlink>
        </w:p>
        <w:p>
          <w:pPr>
            <w:pStyle w:val="Contents4"/>
            <w:tabs>
              <w:tab w:val="clear" w:pos="8176"/>
              <w:tab w:val="right" w:pos="9026" w:leader="dot"/>
            </w:tabs>
            <w:rPr/>
          </w:pPr>
          <w:hyperlink w:anchor="__RefHeading___Toc2758732_2142443653">
            <w:r>
              <w:rPr>
                <w:webHidden/>
                <w:rStyle w:val="IndexLink"/>
                <w:rtl w:val="true"/>
              </w:rPr>
              <w:t>مسألة اعتبار كون المتعاقدين نافذي التصرّف</w:t>
            </w:r>
            <w:r>
              <w:rPr>
                <w:rStyle w:val="IndexLink"/>
                <w:rtl w:val="true"/>
              </w:rPr>
              <w:tab/>
            </w:r>
            <w:r>
              <w:rPr>
                <w:rStyle w:val="IndexLink"/>
              </w:rPr>
              <w:t>148</w:t>
            </w:r>
          </w:hyperlink>
        </w:p>
        <w:p>
          <w:pPr>
            <w:pStyle w:val="Contents5"/>
            <w:tabs>
              <w:tab w:val="clear" w:pos="7892"/>
              <w:tab w:val="right" w:pos="9026" w:leader="dot"/>
            </w:tabs>
            <w:rPr/>
          </w:pPr>
          <w:hyperlink w:anchor="__RefHeading___Toc2758734_2142443653">
            <w:r>
              <w:rPr>
                <w:webHidden/>
                <w:rStyle w:val="IndexLink"/>
                <w:rtl w:val="true"/>
              </w:rPr>
              <w:t>إشارة</w:t>
            </w:r>
            <w:r>
              <w:rPr>
                <w:rStyle w:val="IndexLink"/>
                <w:rtl w:val="true"/>
              </w:rPr>
              <w:tab/>
            </w:r>
            <w:r>
              <w:rPr>
                <w:rStyle w:val="IndexLink"/>
              </w:rPr>
              <w:t>148</w:t>
            </w:r>
          </w:hyperlink>
        </w:p>
        <w:p>
          <w:pPr>
            <w:pStyle w:val="Contents5"/>
            <w:tabs>
              <w:tab w:val="clear" w:pos="7892"/>
              <w:tab w:val="right" w:pos="9026" w:leader="dot"/>
            </w:tabs>
            <w:rPr/>
          </w:pPr>
          <w:hyperlink w:anchor="__RefHeading___Toc2758736_2142443653">
            <w:r>
              <w:rPr>
                <w:webHidden/>
                <w:rStyle w:val="IndexLink"/>
                <w:rtl w:val="true"/>
              </w:rPr>
              <w:t>في جريان الفضولي في الإيقاعات</w:t>
            </w:r>
            <w:r>
              <w:rPr>
                <w:rStyle w:val="IndexLink"/>
                <w:rtl w:val="true"/>
              </w:rPr>
              <w:tab/>
            </w:r>
            <w:r>
              <w:rPr>
                <w:rStyle w:val="IndexLink"/>
              </w:rPr>
              <w:t>150</w:t>
            </w:r>
          </w:hyperlink>
        </w:p>
        <w:p>
          <w:pPr>
            <w:pStyle w:val="Contents5"/>
            <w:tabs>
              <w:tab w:val="clear" w:pos="7892"/>
              <w:tab w:val="right" w:pos="9026" w:leader="dot"/>
            </w:tabs>
            <w:rPr/>
          </w:pPr>
          <w:hyperlink w:anchor="__RefHeading___Toc2758738_2142443653">
            <w:r>
              <w:rPr>
                <w:webHidden/>
                <w:rStyle w:val="IndexLink"/>
                <w:rtl w:val="true"/>
              </w:rPr>
              <w:t>هل العقد المقرون برضا المالك باطناً من دون إذن منه فضولي؟</w:t>
            </w:r>
            <w:r>
              <w:rPr>
                <w:rStyle w:val="IndexLink"/>
                <w:rtl w:val="true"/>
              </w:rPr>
              <w:tab/>
            </w:r>
            <w:r>
              <w:rPr>
                <w:rStyle w:val="IndexLink"/>
              </w:rPr>
              <w:t>155</w:t>
            </w:r>
          </w:hyperlink>
        </w:p>
        <w:p>
          <w:pPr>
            <w:pStyle w:val="Contents5"/>
            <w:tabs>
              <w:tab w:val="clear" w:pos="7892"/>
              <w:tab w:val="right" w:pos="9026" w:leader="dot"/>
            </w:tabs>
            <w:rPr/>
          </w:pPr>
          <w:hyperlink w:anchor="__RefHeading___Toc2758740_2142443653">
            <w:r>
              <w:rPr>
                <w:webHidden/>
                <w:rStyle w:val="IndexLink"/>
                <w:rtl w:val="true"/>
              </w:rPr>
              <w:t>في تصحيح عقد الفضولي وجعله موافقاً للقاعدة</w:t>
            </w:r>
            <w:r>
              <w:rPr>
                <w:rStyle w:val="IndexLink"/>
                <w:rtl w:val="true"/>
              </w:rPr>
              <w:tab/>
            </w:r>
            <w:r>
              <w:rPr>
                <w:rStyle w:val="IndexLink"/>
              </w:rPr>
              <w:t>156</w:t>
            </w:r>
          </w:hyperlink>
        </w:p>
        <w:p>
          <w:pPr>
            <w:pStyle w:val="Contents5"/>
            <w:tabs>
              <w:tab w:val="clear" w:pos="7892"/>
              <w:tab w:val="right" w:pos="9026" w:leader="dot"/>
            </w:tabs>
            <w:rPr/>
          </w:pPr>
          <w:hyperlink w:anchor="__RefHeading___Toc2758742_2142443653">
            <w:r>
              <w:rPr>
                <w:webHidden/>
                <w:rStyle w:val="IndexLink"/>
                <w:rtl w:val="true"/>
              </w:rPr>
              <w:t>الصّور المتصوّرة في بيع الفصولي</w:t>
            </w:r>
            <w:r>
              <w:rPr>
                <w:rStyle w:val="IndexLink"/>
                <w:rtl w:val="true"/>
              </w:rPr>
              <w:tab/>
            </w:r>
            <w:r>
              <w:rPr>
                <w:rStyle w:val="IndexLink"/>
              </w:rPr>
              <w:t>164</w:t>
            </w:r>
          </w:hyperlink>
        </w:p>
        <w:p>
          <w:pPr>
            <w:pStyle w:val="Contents6"/>
            <w:tabs>
              <w:tab w:val="clear" w:pos="7609"/>
              <w:tab w:val="right" w:pos="9026" w:leader="dot"/>
            </w:tabs>
            <w:rPr/>
          </w:pPr>
          <w:hyperlink w:anchor="__RefHeading___Toc2758744_2142443653">
            <w:r>
              <w:rPr>
                <w:webHidden/>
                <w:rStyle w:val="IndexLink"/>
                <w:rtl w:val="true"/>
              </w:rPr>
              <w:t>الصورة الاُولى في بيع الفضولي للمالك مع عدم سبق المنع</w:t>
            </w:r>
            <w:r>
              <w:rPr>
                <w:rStyle w:val="IndexLink"/>
                <w:rtl w:val="true"/>
              </w:rPr>
              <w:tab/>
            </w:r>
            <w:r>
              <w:rPr>
                <w:rStyle w:val="IndexLink"/>
              </w:rPr>
              <w:t>164</w:t>
            </w:r>
          </w:hyperlink>
        </w:p>
        <w:p>
          <w:pPr>
            <w:pStyle w:val="Contents6"/>
            <w:tabs>
              <w:tab w:val="clear" w:pos="7609"/>
              <w:tab w:val="right" w:pos="9026" w:leader="dot"/>
            </w:tabs>
            <w:rPr/>
          </w:pPr>
          <w:hyperlink w:anchor="__RefHeading___Toc2758746_2142443653">
            <w:r>
              <w:rPr>
                <w:webHidden/>
                <w:rStyle w:val="IndexLink"/>
                <w:rtl w:val="true"/>
              </w:rPr>
              <w:t>فيما يستدلّ به على صحّة هذا القسم من الفضولي</w:t>
            </w:r>
            <w:r>
              <w:rPr>
                <w:rStyle w:val="IndexLink"/>
                <w:rtl w:val="true"/>
              </w:rPr>
              <w:tab/>
            </w:r>
            <w:r>
              <w:rPr>
                <w:rStyle w:val="IndexLink"/>
              </w:rPr>
              <w:t>164</w:t>
            </w:r>
          </w:hyperlink>
        </w:p>
        <w:p>
          <w:pPr>
            <w:pStyle w:val="Contents6"/>
            <w:tabs>
              <w:tab w:val="clear" w:pos="7609"/>
              <w:tab w:val="right" w:pos="9026" w:leader="dot"/>
            </w:tabs>
            <w:rPr/>
          </w:pPr>
          <w:hyperlink w:anchor="__RefHeading___Toc2758748_2142443653">
            <w:r>
              <w:rPr>
                <w:webHidden/>
                <w:rStyle w:val="IndexLink"/>
                <w:rtl w:val="true"/>
              </w:rPr>
              <w:t>إشارة</w:t>
            </w:r>
            <w:r>
              <w:rPr>
                <w:rStyle w:val="IndexLink"/>
                <w:rtl w:val="true"/>
              </w:rPr>
              <w:tab/>
            </w:r>
            <w:r>
              <w:rPr>
                <w:rStyle w:val="IndexLink"/>
              </w:rPr>
              <w:t>164</w:t>
            </w:r>
          </w:hyperlink>
        </w:p>
        <w:p>
          <w:pPr>
            <w:pStyle w:val="Contents6"/>
            <w:tabs>
              <w:tab w:val="clear" w:pos="7609"/>
              <w:tab w:val="right" w:pos="9026" w:leader="dot"/>
            </w:tabs>
            <w:rPr/>
          </w:pPr>
          <w:hyperlink w:anchor="__RefHeading___Toc2758750_2142443653">
            <w:r>
              <w:rPr>
                <w:webHidden/>
                <w:rStyle w:val="IndexLink"/>
                <w:rtl w:val="true"/>
              </w:rPr>
              <w:t>الاستدلال للصحّة برواية البارقي</w:t>
            </w:r>
            <w:r>
              <w:rPr>
                <w:rStyle w:val="IndexLink"/>
                <w:rtl w:val="true"/>
              </w:rPr>
              <w:tab/>
            </w:r>
            <w:r>
              <w:rPr>
                <w:rStyle w:val="IndexLink"/>
              </w:rPr>
              <w:t>165</w:t>
            </w:r>
          </w:hyperlink>
        </w:p>
        <w:p>
          <w:pPr>
            <w:pStyle w:val="Contents6"/>
            <w:tabs>
              <w:tab w:val="clear" w:pos="7609"/>
              <w:tab w:val="right" w:pos="9026" w:leader="dot"/>
            </w:tabs>
            <w:rPr/>
          </w:pPr>
          <w:hyperlink w:anchor="__RefHeading___Toc2758752_2142443653">
            <w:r>
              <w:rPr>
                <w:webHidden/>
                <w:rStyle w:val="IndexLink"/>
                <w:rtl w:val="true"/>
              </w:rPr>
              <w:t>ما استشكل على رواية البارقي</w:t>
            </w:r>
            <w:r>
              <w:rPr>
                <w:rStyle w:val="IndexLink"/>
                <w:rtl w:val="true"/>
              </w:rPr>
              <w:tab/>
            </w:r>
            <w:r>
              <w:rPr>
                <w:rStyle w:val="IndexLink"/>
              </w:rPr>
              <w:t>169</w:t>
            </w:r>
          </w:hyperlink>
        </w:p>
        <w:p>
          <w:pPr>
            <w:pStyle w:val="Contents6"/>
            <w:tabs>
              <w:tab w:val="clear" w:pos="7609"/>
              <w:tab w:val="right" w:pos="9026" w:leader="dot"/>
            </w:tabs>
            <w:rPr/>
          </w:pPr>
          <w:hyperlink w:anchor="__RefHeading___Toc2758754_2142443653">
            <w:r>
              <w:rPr>
                <w:webHidden/>
                <w:rStyle w:val="IndexLink"/>
                <w:rtl w:val="true"/>
              </w:rPr>
              <w:t>الاستدلال للصحّة بصحيحة محمّد بن قيس</w:t>
            </w:r>
            <w:r>
              <w:rPr>
                <w:rStyle w:val="IndexLink"/>
                <w:rtl w:val="true"/>
              </w:rPr>
              <w:tab/>
            </w:r>
            <w:r>
              <w:rPr>
                <w:rStyle w:val="IndexLink"/>
              </w:rPr>
              <w:t>172</w:t>
            </w:r>
          </w:hyperlink>
        </w:p>
        <w:p>
          <w:pPr>
            <w:pStyle w:val="Contents6"/>
            <w:tabs>
              <w:tab w:val="clear" w:pos="7609"/>
              <w:tab w:val="right" w:pos="9026" w:leader="dot"/>
            </w:tabs>
            <w:rPr/>
          </w:pPr>
          <w:hyperlink w:anchor="__RefHeading___Toc2758756_2142443653">
            <w:r>
              <w:rPr>
                <w:webHidden/>
                <w:rStyle w:val="IndexLink"/>
                <w:rtl w:val="true"/>
              </w:rPr>
              <w:t>الاستدلال للصحّة بروايات نكاح العبيد</w:t>
            </w:r>
            <w:r>
              <w:rPr>
                <w:rStyle w:val="IndexLink"/>
                <w:rtl w:val="true"/>
              </w:rPr>
              <w:tab/>
            </w:r>
            <w:r>
              <w:rPr>
                <w:rStyle w:val="IndexLink"/>
              </w:rPr>
              <w:t>175</w:t>
            </w:r>
          </w:hyperlink>
        </w:p>
        <w:p>
          <w:pPr>
            <w:pStyle w:val="Contents6"/>
            <w:tabs>
              <w:tab w:val="clear" w:pos="7609"/>
              <w:tab w:val="right" w:pos="9026" w:leader="dot"/>
            </w:tabs>
            <w:rPr/>
          </w:pPr>
          <w:hyperlink w:anchor="__RefHeading___Toc2758758_2142443653">
            <w:r>
              <w:rPr>
                <w:webHidden/>
                <w:rStyle w:val="IndexLink"/>
                <w:rtl w:val="true"/>
              </w:rPr>
              <w:t>الاستدلال للصحّة بروايات تزويج الأولياء للصغير</w:t>
            </w:r>
            <w:r>
              <w:rPr>
                <w:rStyle w:val="IndexLink"/>
                <w:rtl w:val="true"/>
              </w:rPr>
              <w:tab/>
            </w:r>
            <w:r>
              <w:rPr>
                <w:rStyle w:val="IndexLink"/>
              </w:rPr>
              <w:t>183</w:t>
            </w:r>
          </w:hyperlink>
        </w:p>
        <w:p>
          <w:pPr>
            <w:pStyle w:val="Contents6"/>
            <w:tabs>
              <w:tab w:val="clear" w:pos="7609"/>
              <w:tab w:val="right" w:pos="9026" w:leader="dot"/>
            </w:tabs>
            <w:rPr/>
          </w:pPr>
          <w:hyperlink w:anchor="__RefHeading___Toc2758760_2142443653">
            <w:r>
              <w:rPr>
                <w:webHidden/>
                <w:rStyle w:val="IndexLink"/>
                <w:rtl w:val="true"/>
              </w:rPr>
              <w:t>الاستدلال للصحّة بروايات المضاربة</w:t>
            </w:r>
            <w:r>
              <w:rPr>
                <w:rStyle w:val="IndexLink"/>
                <w:rtl w:val="true"/>
              </w:rPr>
              <w:tab/>
            </w:r>
            <w:r>
              <w:rPr>
                <w:rStyle w:val="IndexLink"/>
              </w:rPr>
              <w:t>186</w:t>
            </w:r>
          </w:hyperlink>
        </w:p>
        <w:p>
          <w:pPr>
            <w:pStyle w:val="Contents6"/>
            <w:tabs>
              <w:tab w:val="clear" w:pos="7609"/>
              <w:tab w:val="right" w:pos="9026" w:leader="dot"/>
            </w:tabs>
            <w:rPr/>
          </w:pPr>
          <w:hyperlink w:anchor="__RefHeading___Toc2758762_2142443653">
            <w:r>
              <w:rPr>
                <w:webHidden/>
                <w:rStyle w:val="IndexLink"/>
                <w:rtl w:val="true"/>
              </w:rPr>
              <w:t>الاستدلال للصحّة بروايات الاتّجار بمال اليتيم</w:t>
            </w:r>
            <w:r>
              <w:rPr>
                <w:rStyle w:val="IndexLink"/>
                <w:rtl w:val="true"/>
              </w:rPr>
              <w:tab/>
            </w:r>
            <w:r>
              <w:rPr>
                <w:rStyle w:val="IndexLink"/>
              </w:rPr>
              <w:t>190</w:t>
            </w:r>
          </w:hyperlink>
        </w:p>
        <w:p>
          <w:pPr>
            <w:pStyle w:val="Contents6"/>
            <w:tabs>
              <w:tab w:val="clear" w:pos="7609"/>
              <w:tab w:val="right" w:pos="9026" w:leader="dot"/>
            </w:tabs>
            <w:rPr/>
          </w:pPr>
          <w:hyperlink w:anchor="__RefHeading___Toc2758764_2142443653">
            <w:r>
              <w:rPr>
                <w:webHidden/>
                <w:rStyle w:val="IndexLink"/>
                <w:rtl w:val="true"/>
              </w:rPr>
              <w:t>الاستدلال للصحّة برواية ابن أشيم</w:t>
            </w:r>
            <w:r>
              <w:rPr>
                <w:rStyle w:val="IndexLink"/>
                <w:rtl w:val="true"/>
              </w:rPr>
              <w:tab/>
            </w:r>
            <w:r>
              <w:rPr>
                <w:rStyle w:val="IndexLink"/>
              </w:rPr>
              <w:t>195</w:t>
            </w:r>
          </w:hyperlink>
        </w:p>
        <w:p>
          <w:pPr>
            <w:pStyle w:val="Contents6"/>
            <w:tabs>
              <w:tab w:val="clear" w:pos="7609"/>
              <w:tab w:val="right" w:pos="9026" w:leader="dot"/>
            </w:tabs>
            <w:rPr/>
          </w:pPr>
          <w:hyperlink w:anchor="__RefHeading___Toc2758766_2142443653">
            <w:r>
              <w:rPr>
                <w:webHidden/>
                <w:rStyle w:val="IndexLink"/>
                <w:rtl w:val="true"/>
              </w:rPr>
              <w:t>فيما يستدلّ به على بطلان الفضولي</w:t>
            </w:r>
            <w:r>
              <w:rPr>
                <w:rStyle w:val="IndexLink"/>
                <w:rtl w:val="true"/>
              </w:rPr>
              <w:tab/>
            </w:r>
            <w:r>
              <w:rPr>
                <w:rStyle w:val="IndexLink"/>
              </w:rPr>
              <w:t>199</w:t>
            </w:r>
          </w:hyperlink>
        </w:p>
        <w:p>
          <w:pPr>
            <w:pStyle w:val="Contents6"/>
            <w:tabs>
              <w:tab w:val="clear" w:pos="7609"/>
              <w:tab w:val="right" w:pos="9026" w:leader="dot"/>
            </w:tabs>
            <w:rPr/>
          </w:pPr>
          <w:hyperlink w:anchor="__RefHeading___Toc2758768_2142443653">
            <w:r>
              <w:rPr>
                <w:webHidden/>
                <w:rStyle w:val="IndexLink"/>
                <w:rtl w:val="true"/>
              </w:rPr>
              <w:t>الإشارة</w:t>
            </w:r>
            <w:r>
              <w:rPr>
                <w:rStyle w:val="IndexLink"/>
                <w:rtl w:val="true"/>
              </w:rPr>
              <w:tab/>
            </w:r>
            <w:r>
              <w:rPr>
                <w:rStyle w:val="IndexLink"/>
              </w:rPr>
              <w:t>199</w:t>
            </w:r>
          </w:hyperlink>
        </w:p>
        <w:p>
          <w:pPr>
            <w:pStyle w:val="Contents6"/>
            <w:tabs>
              <w:tab w:val="clear" w:pos="7609"/>
              <w:tab w:val="right" w:pos="9026" w:leader="dot"/>
            </w:tabs>
            <w:rPr/>
          </w:pPr>
          <w:hyperlink w:anchor="__RefHeading___Toc2758770_2142443653">
            <w:r>
              <w:rPr>
                <w:webHidden/>
                <w:rStyle w:val="IndexLink"/>
                <w:rtl w:val="true"/>
              </w:rPr>
              <w:t>الاستدلال بآية التجارة على البطلان</w:t>
            </w:r>
            <w:r>
              <w:rPr>
                <w:rStyle w:val="IndexLink"/>
                <w:rtl w:val="true"/>
              </w:rPr>
              <w:tab/>
            </w:r>
            <w:r>
              <w:rPr>
                <w:rStyle w:val="IndexLink"/>
              </w:rPr>
              <w:t>199</w:t>
            </w:r>
          </w:hyperlink>
        </w:p>
        <w:p>
          <w:pPr>
            <w:pStyle w:val="Contents6"/>
            <w:tabs>
              <w:tab w:val="clear" w:pos="7609"/>
              <w:tab w:val="right" w:pos="9026" w:leader="dot"/>
            </w:tabs>
            <w:rPr/>
          </w:pPr>
          <w:hyperlink w:anchor="__RefHeading___Toc2758772_2142443653">
            <w:r>
              <w:rPr>
                <w:webHidden/>
                <w:rStyle w:val="IndexLink"/>
                <w:rtl w:val="true"/>
              </w:rPr>
              <w:t>الاستدلال بالروايات على البطلان</w:t>
            </w:r>
            <w:r>
              <w:rPr>
                <w:rStyle w:val="IndexLink"/>
                <w:rtl w:val="true"/>
              </w:rPr>
              <w:tab/>
            </w:r>
            <w:r>
              <w:rPr>
                <w:rStyle w:val="IndexLink"/>
              </w:rPr>
              <w:t>201</w:t>
            </w:r>
          </w:hyperlink>
        </w:p>
        <w:p>
          <w:pPr>
            <w:pStyle w:val="Contents6"/>
            <w:tabs>
              <w:tab w:val="clear" w:pos="7609"/>
              <w:tab w:val="right" w:pos="9026" w:leader="dot"/>
            </w:tabs>
            <w:rPr/>
          </w:pPr>
          <w:hyperlink w:anchor="__RefHeading___Toc2758774_2142443653">
            <w:r>
              <w:rPr>
                <w:webHidden/>
                <w:rStyle w:val="IndexLink"/>
                <w:rtl w:val="true"/>
              </w:rPr>
              <w:t>الاستدلال بحكم العقل على البطلان</w:t>
            </w:r>
            <w:r>
              <w:rPr>
                <w:rStyle w:val="IndexLink"/>
                <w:rtl w:val="true"/>
              </w:rPr>
              <w:tab/>
            </w:r>
            <w:r>
              <w:rPr>
                <w:rStyle w:val="IndexLink"/>
              </w:rPr>
              <w:t>206</w:t>
            </w:r>
          </w:hyperlink>
        </w:p>
        <w:p>
          <w:pPr>
            <w:pStyle w:val="Contents6"/>
            <w:tabs>
              <w:tab w:val="clear" w:pos="7609"/>
              <w:tab w:val="right" w:pos="9026" w:leader="dot"/>
            </w:tabs>
            <w:rPr/>
          </w:pPr>
          <w:hyperlink w:anchor="__RefHeading___Toc2758776_2142443653">
            <w:r>
              <w:rPr>
                <w:webHidden/>
                <w:rStyle w:val="IndexLink"/>
                <w:rtl w:val="true"/>
              </w:rPr>
              <w:t>الاستدلال بالحكم العقلائي المحض على البطلان</w:t>
            </w:r>
            <w:r>
              <w:rPr>
                <w:rStyle w:val="IndexLink"/>
                <w:rtl w:val="true"/>
              </w:rPr>
              <w:tab/>
            </w:r>
            <w:r>
              <w:rPr>
                <w:rStyle w:val="IndexLink"/>
              </w:rPr>
              <w:t>209</w:t>
            </w:r>
          </w:hyperlink>
        </w:p>
        <w:p>
          <w:pPr>
            <w:pStyle w:val="Contents6"/>
            <w:tabs>
              <w:tab w:val="clear" w:pos="7609"/>
              <w:tab w:val="right" w:pos="9026" w:leader="dot"/>
            </w:tabs>
            <w:rPr/>
          </w:pPr>
          <w:hyperlink w:anchor="__RefHeading___Toc2758778_2142443653">
            <w:r>
              <w:rPr>
                <w:webHidden/>
                <w:rStyle w:val="IndexLink"/>
                <w:rtl w:val="true"/>
              </w:rPr>
              <w:t>الصورة الثانية في بيع الفضولي للمالك مع سبق المنع</w:t>
            </w:r>
            <w:r>
              <w:rPr>
                <w:rStyle w:val="IndexLink"/>
                <w:rtl w:val="true"/>
              </w:rPr>
              <w:tab/>
            </w:r>
            <w:r>
              <w:rPr>
                <w:rStyle w:val="IndexLink"/>
              </w:rPr>
              <w:t>211</w:t>
            </w:r>
          </w:hyperlink>
        </w:p>
        <w:p>
          <w:pPr>
            <w:pStyle w:val="Contents6"/>
            <w:tabs>
              <w:tab w:val="clear" w:pos="7609"/>
              <w:tab w:val="right" w:pos="9026" w:leader="dot"/>
            </w:tabs>
            <w:rPr/>
          </w:pPr>
          <w:hyperlink w:anchor="__RefHeading___Toc2758780_2142443653">
            <w:r>
              <w:rPr>
                <w:webHidden/>
                <w:rStyle w:val="IndexLink"/>
                <w:rtl w:val="true"/>
              </w:rPr>
              <w:t>الصورة الثالثة في بيع الفضولي لنفسه</w:t>
            </w:r>
            <w:r>
              <w:rPr>
                <w:rStyle w:val="IndexLink"/>
                <w:rtl w:val="true"/>
              </w:rPr>
              <w:tab/>
            </w:r>
            <w:r>
              <w:rPr>
                <w:rStyle w:val="IndexLink"/>
              </w:rPr>
              <w:t>215</w:t>
            </w:r>
          </w:hyperlink>
        </w:p>
        <w:p>
          <w:pPr>
            <w:pStyle w:val="Contents6"/>
            <w:tabs>
              <w:tab w:val="clear" w:pos="7609"/>
              <w:tab w:val="right" w:pos="9026" w:leader="dot"/>
            </w:tabs>
            <w:rPr/>
          </w:pPr>
          <w:hyperlink w:anchor="__RefHeading___Toc2758782_2142443653">
            <w:r>
              <w:rPr>
                <w:webHidden/>
                <w:rStyle w:val="IndexLink"/>
                <w:rtl w:val="true"/>
              </w:rPr>
              <w:t>تمهید</w:t>
            </w:r>
            <w:r>
              <w:rPr>
                <w:rStyle w:val="IndexLink"/>
                <w:rtl w:val="true"/>
              </w:rPr>
              <w:tab/>
            </w:r>
            <w:r>
              <w:rPr>
                <w:rStyle w:val="IndexLink"/>
              </w:rPr>
              <w:t>215</w:t>
            </w:r>
          </w:hyperlink>
        </w:p>
        <w:p>
          <w:pPr>
            <w:pStyle w:val="Contents6"/>
            <w:tabs>
              <w:tab w:val="clear" w:pos="7609"/>
              <w:tab w:val="right" w:pos="9026" w:leader="dot"/>
            </w:tabs>
            <w:rPr/>
          </w:pPr>
          <w:hyperlink w:anchor="__RefHeading___Toc2758784_2142443653">
            <w:r>
              <w:rPr>
                <w:webHidden/>
                <w:rStyle w:val="IndexLink"/>
                <w:rtl w:val="true"/>
              </w:rPr>
              <w:t>الإشكال العقلي بعدم تمشّي قصد المعاوضة الحقيقية</w:t>
            </w:r>
            <w:r>
              <w:rPr>
                <w:rStyle w:val="IndexLink"/>
                <w:rtl w:val="true"/>
              </w:rPr>
              <w:tab/>
            </w:r>
            <w:r>
              <w:rPr>
                <w:rStyle w:val="IndexLink"/>
              </w:rPr>
              <w:t>215</w:t>
            </w:r>
          </w:hyperlink>
        </w:p>
        <w:p>
          <w:pPr>
            <w:pStyle w:val="Contents6"/>
            <w:tabs>
              <w:tab w:val="clear" w:pos="7609"/>
              <w:tab w:val="right" w:pos="9026" w:leader="dot"/>
            </w:tabs>
            <w:rPr/>
          </w:pPr>
          <w:hyperlink w:anchor="__RefHeading___Toc2758786_2142443653">
            <w:r>
              <w:rPr>
                <w:webHidden/>
                <w:rStyle w:val="IndexLink"/>
                <w:rtl w:val="true"/>
              </w:rPr>
              <w:t>الإشكال العقلائي في المقام</w:t>
            </w:r>
            <w:r>
              <w:rPr>
                <w:rStyle w:val="IndexLink"/>
                <w:rtl w:val="true"/>
              </w:rPr>
              <w:tab/>
            </w:r>
            <w:r>
              <w:rPr>
                <w:rStyle w:val="IndexLink"/>
              </w:rPr>
              <w:t>219</w:t>
            </w:r>
          </w:hyperlink>
        </w:p>
        <w:p>
          <w:pPr>
            <w:pStyle w:val="Contents6"/>
            <w:tabs>
              <w:tab w:val="clear" w:pos="7609"/>
              <w:tab w:val="right" w:pos="9026" w:leader="dot"/>
            </w:tabs>
            <w:rPr/>
          </w:pPr>
          <w:hyperlink w:anchor="__RefHeading___Toc2758788_2142443653">
            <w:r>
              <w:rPr>
                <w:webHidden/>
                <w:rStyle w:val="IndexLink"/>
                <w:rtl w:val="true"/>
              </w:rPr>
              <w:t>الجواب عن الإشكال العقلي</w:t>
            </w:r>
            <w:r>
              <w:rPr>
                <w:rStyle w:val="IndexLink"/>
                <w:rtl w:val="true"/>
              </w:rPr>
              <w:tab/>
            </w:r>
            <w:r>
              <w:rPr>
                <w:rStyle w:val="IndexLink"/>
              </w:rPr>
              <w:t>220</w:t>
            </w:r>
          </w:hyperlink>
        </w:p>
        <w:p>
          <w:pPr>
            <w:pStyle w:val="Contents6"/>
            <w:tabs>
              <w:tab w:val="clear" w:pos="7609"/>
              <w:tab w:val="right" w:pos="9026" w:leader="dot"/>
            </w:tabs>
            <w:rPr/>
          </w:pPr>
          <w:hyperlink w:anchor="__RefHeading___Toc2758790_2142443653">
            <w:r>
              <w:rPr>
                <w:webHidden/>
                <w:rStyle w:val="IndexLink"/>
                <w:rtl w:val="true"/>
              </w:rPr>
              <w:t>الجواب عن الإشكال العقلائي</w:t>
            </w:r>
            <w:r>
              <w:rPr>
                <w:rStyle w:val="IndexLink"/>
                <w:rtl w:val="true"/>
              </w:rPr>
              <w:tab/>
            </w:r>
            <w:r>
              <w:rPr>
                <w:rStyle w:val="IndexLink"/>
              </w:rPr>
              <w:t>221</w:t>
            </w:r>
          </w:hyperlink>
        </w:p>
        <w:p>
          <w:pPr>
            <w:pStyle w:val="Contents6"/>
            <w:tabs>
              <w:tab w:val="clear" w:pos="7609"/>
              <w:tab w:val="right" w:pos="9026" w:leader="dot"/>
            </w:tabs>
            <w:rPr/>
          </w:pPr>
          <w:hyperlink w:anchor="__RefHeading___Toc2758792_2142443653">
            <w:r>
              <w:rPr>
                <w:webHidden/>
                <w:rStyle w:val="IndexLink"/>
                <w:rtl w:val="true"/>
              </w:rPr>
              <w:t>حول تصحيح كاشف الغطاء بيع الفضولي لنفسه</w:t>
            </w:r>
            <w:r>
              <w:rPr>
                <w:rStyle w:val="IndexLink"/>
                <w:rtl w:val="true"/>
              </w:rPr>
              <w:tab/>
            </w:r>
            <w:r>
              <w:rPr>
                <w:rStyle w:val="IndexLink"/>
              </w:rPr>
              <w:t>223</w:t>
            </w:r>
          </w:hyperlink>
        </w:p>
        <w:p>
          <w:pPr>
            <w:pStyle w:val="Contents6"/>
            <w:tabs>
              <w:tab w:val="clear" w:pos="7609"/>
              <w:tab w:val="right" w:pos="9026" w:leader="dot"/>
            </w:tabs>
            <w:rPr/>
          </w:pPr>
          <w:hyperlink w:anchor="__RefHeading___Toc2758794_2142443653">
            <w:r>
              <w:rPr>
                <w:webHidden/>
                <w:rStyle w:val="IndexLink"/>
                <w:rtl w:val="true"/>
              </w:rPr>
              <w:t>إشكال آخر في بيع الفضولي لنفسه</w:t>
            </w:r>
            <w:r>
              <w:rPr>
                <w:rStyle w:val="IndexLink"/>
                <w:rtl w:val="true"/>
              </w:rPr>
              <w:tab/>
            </w:r>
            <w:r>
              <w:rPr>
                <w:rStyle w:val="IndexLink"/>
              </w:rPr>
              <w:t>228</w:t>
            </w:r>
          </w:hyperlink>
        </w:p>
        <w:p>
          <w:pPr>
            <w:pStyle w:val="Contents5"/>
            <w:tabs>
              <w:tab w:val="clear" w:pos="7892"/>
              <w:tab w:val="right" w:pos="9026" w:leader="dot"/>
            </w:tabs>
            <w:rPr/>
          </w:pPr>
          <w:hyperlink w:anchor="__RefHeading___Toc2758796_2142443653">
            <w:r>
              <w:rPr>
                <w:webHidden/>
                <w:rStyle w:val="IndexLink"/>
                <w:rtl w:val="true"/>
              </w:rPr>
              <w:t>وهنا أمران</w:t>
            </w:r>
            <w:r>
              <w:rPr>
                <w:rStyle w:val="IndexLink"/>
                <w:rtl w:val="true"/>
              </w:rPr>
              <w:t>:</w:t>
              <w:tab/>
            </w:r>
            <w:r>
              <w:rPr>
                <w:rStyle w:val="IndexLink"/>
              </w:rPr>
              <w:t>228</w:t>
            </w:r>
          </w:hyperlink>
        </w:p>
        <w:p>
          <w:pPr>
            <w:pStyle w:val="Contents6"/>
            <w:tabs>
              <w:tab w:val="clear" w:pos="7609"/>
              <w:tab w:val="right" w:pos="9026" w:leader="dot"/>
            </w:tabs>
            <w:rPr/>
          </w:pPr>
          <w:hyperlink w:anchor="__RefHeading___Toc2758798_2142443653">
            <w:r>
              <w:rPr>
                <w:webHidden/>
                <w:rStyle w:val="IndexLink"/>
                <w:rtl w:val="true"/>
              </w:rPr>
              <w:t>الأمر الأوّل</w:t>
            </w:r>
            <w:r>
              <w:rPr>
                <w:rStyle w:val="IndexLink"/>
                <w:rtl w:val="true"/>
              </w:rPr>
              <w:t xml:space="preserve">: </w:t>
            </w:r>
            <w:r>
              <w:rPr>
                <w:rStyle w:val="IndexLink"/>
                <w:rtl w:val="true"/>
              </w:rPr>
              <w:t>جريان الفضولي في بيع الكلّي</w:t>
            </w:r>
            <w:r>
              <w:rPr>
                <w:rStyle w:val="IndexLink"/>
                <w:rtl w:val="true"/>
              </w:rPr>
              <w:tab/>
            </w:r>
            <w:r>
              <w:rPr>
                <w:rStyle w:val="IndexLink"/>
              </w:rPr>
              <w:t>228</w:t>
            </w:r>
          </w:hyperlink>
        </w:p>
        <w:p>
          <w:pPr>
            <w:pStyle w:val="Contents6"/>
            <w:tabs>
              <w:tab w:val="clear" w:pos="7609"/>
              <w:tab w:val="right" w:pos="9026" w:leader="dot"/>
            </w:tabs>
            <w:rPr/>
          </w:pPr>
          <w:hyperlink w:anchor="__RefHeading___Toc2758800_2142443653">
            <w:r>
              <w:rPr>
                <w:webHidden/>
                <w:rStyle w:val="IndexLink"/>
                <w:rtl w:val="true"/>
              </w:rPr>
              <w:t>حکمه</w:t>
            </w:r>
            <w:r>
              <w:rPr>
                <w:rStyle w:val="IndexLink"/>
                <w:rtl w:val="true"/>
              </w:rPr>
              <w:tab/>
            </w:r>
            <w:r>
              <w:rPr>
                <w:rStyle w:val="IndexLink"/>
              </w:rPr>
              <w:t>228</w:t>
            </w:r>
          </w:hyperlink>
        </w:p>
        <w:p>
          <w:pPr>
            <w:pStyle w:val="Contents6"/>
            <w:tabs>
              <w:tab w:val="clear" w:pos="7609"/>
              <w:tab w:val="right" w:pos="9026" w:leader="dot"/>
            </w:tabs>
            <w:rPr/>
          </w:pPr>
          <w:hyperlink w:anchor="__RefHeading___Toc2758802_2142443653">
            <w:r>
              <w:rPr>
                <w:webHidden/>
                <w:rStyle w:val="IndexLink"/>
                <w:rtl w:val="true"/>
              </w:rPr>
              <w:t>كيفية تعيين الكلّي في الذمّة</w:t>
            </w:r>
            <w:r>
              <w:rPr>
                <w:rStyle w:val="IndexLink"/>
                <w:rtl w:val="true"/>
              </w:rPr>
              <w:tab/>
            </w:r>
            <w:r>
              <w:rPr>
                <w:rStyle w:val="IndexLink"/>
              </w:rPr>
              <w:t>231</w:t>
            </w:r>
          </w:hyperlink>
        </w:p>
        <w:p>
          <w:pPr>
            <w:pStyle w:val="Contents6"/>
            <w:tabs>
              <w:tab w:val="clear" w:pos="7609"/>
              <w:tab w:val="right" w:pos="9026" w:leader="dot"/>
            </w:tabs>
            <w:rPr/>
          </w:pPr>
          <w:hyperlink w:anchor="__RefHeading___Toc2758804_2142443653">
            <w:r>
              <w:rPr>
                <w:webHidden/>
                <w:rStyle w:val="IndexLink"/>
                <w:rtl w:val="true"/>
              </w:rPr>
              <w:t>الأمر الثاني</w:t>
            </w:r>
            <w:r>
              <w:rPr>
                <w:rStyle w:val="IndexLink"/>
                <w:rtl w:val="true"/>
              </w:rPr>
              <w:t xml:space="preserve">: </w:t>
            </w:r>
            <w:r>
              <w:rPr>
                <w:rStyle w:val="IndexLink"/>
                <w:rtl w:val="true"/>
              </w:rPr>
              <w:t>جريان الفضولي في المعاطاة</w:t>
            </w:r>
            <w:r>
              <w:rPr>
                <w:rStyle w:val="IndexLink"/>
                <w:rtl w:val="true"/>
              </w:rPr>
              <w:tab/>
            </w:r>
            <w:r>
              <w:rPr>
                <w:rStyle w:val="IndexLink"/>
              </w:rPr>
              <w:t>237</w:t>
            </w:r>
          </w:hyperlink>
        </w:p>
        <w:p>
          <w:pPr>
            <w:pStyle w:val="Contents4"/>
            <w:tabs>
              <w:tab w:val="clear" w:pos="8176"/>
              <w:tab w:val="right" w:pos="9026" w:leader="dot"/>
            </w:tabs>
            <w:rPr/>
          </w:pPr>
          <w:hyperlink w:anchor="__RefHeading___Toc2758806_2142443653">
            <w:r>
              <w:rPr>
                <w:webHidden/>
                <w:rStyle w:val="IndexLink"/>
                <w:rtl w:val="true"/>
              </w:rPr>
              <w:t>القول في الإجازة والردّ</w:t>
            </w:r>
            <w:r>
              <w:rPr>
                <w:rStyle w:val="IndexLink"/>
                <w:rtl w:val="true"/>
              </w:rPr>
              <w:tab/>
            </w:r>
            <w:r>
              <w:rPr>
                <w:rStyle w:val="IndexLink"/>
              </w:rPr>
              <w:t>241</w:t>
            </w:r>
          </w:hyperlink>
        </w:p>
        <w:p>
          <w:pPr>
            <w:pStyle w:val="Contents5"/>
            <w:tabs>
              <w:tab w:val="clear" w:pos="7892"/>
              <w:tab w:val="right" w:pos="9026" w:leader="dot"/>
            </w:tabs>
            <w:rPr/>
          </w:pPr>
          <w:hyperlink w:anchor="__RefHeading___Toc2758808_2142443653">
            <w:r>
              <w:rPr>
                <w:webHidden/>
                <w:rStyle w:val="IndexLink"/>
                <w:rtl w:val="true"/>
              </w:rPr>
              <w:t>إمکانهما</w:t>
            </w:r>
            <w:r>
              <w:rPr>
                <w:rStyle w:val="IndexLink"/>
                <w:rtl w:val="true"/>
              </w:rPr>
              <w:tab/>
            </w:r>
            <w:r>
              <w:rPr>
                <w:rStyle w:val="IndexLink"/>
              </w:rPr>
              <w:t>241</w:t>
            </w:r>
          </w:hyperlink>
        </w:p>
        <w:p>
          <w:pPr>
            <w:pStyle w:val="Contents5"/>
            <w:tabs>
              <w:tab w:val="clear" w:pos="7892"/>
              <w:tab w:val="right" w:pos="9026" w:leader="dot"/>
            </w:tabs>
            <w:rPr/>
          </w:pPr>
          <w:hyperlink w:anchor="__RefHeading___Toc2758810_2142443653">
            <w:r>
              <w:rPr>
                <w:webHidden/>
                <w:rStyle w:val="IndexLink"/>
                <w:rtl w:val="true"/>
              </w:rPr>
              <w:t>حول كون مقتضى القاعدة هو الكشف</w:t>
            </w:r>
            <w:r>
              <w:rPr>
                <w:rStyle w:val="IndexLink"/>
                <w:rtl w:val="true"/>
              </w:rPr>
              <w:tab/>
            </w:r>
            <w:r>
              <w:rPr>
                <w:rStyle w:val="IndexLink"/>
              </w:rPr>
              <w:t>246</w:t>
            </w:r>
          </w:hyperlink>
        </w:p>
        <w:p>
          <w:pPr>
            <w:pStyle w:val="Contents6"/>
            <w:tabs>
              <w:tab w:val="clear" w:pos="7609"/>
              <w:tab w:val="right" w:pos="9026" w:leader="dot"/>
            </w:tabs>
            <w:rPr/>
          </w:pPr>
          <w:hyperlink w:anchor="__RefHeading___Toc2758812_2142443653">
            <w:r>
              <w:rPr>
                <w:webHidden/>
                <w:rStyle w:val="IndexLink"/>
                <w:rtl w:val="true"/>
              </w:rPr>
              <w:t>إشارة</w:t>
            </w:r>
            <w:r>
              <w:rPr>
                <w:rStyle w:val="IndexLink"/>
                <w:rtl w:val="true"/>
              </w:rPr>
              <w:tab/>
            </w:r>
            <w:r>
              <w:rPr>
                <w:rStyle w:val="IndexLink"/>
              </w:rPr>
              <w:t>246</w:t>
            </w:r>
          </w:hyperlink>
        </w:p>
        <w:p>
          <w:pPr>
            <w:pStyle w:val="Contents6"/>
            <w:tabs>
              <w:tab w:val="clear" w:pos="7609"/>
              <w:tab w:val="right" w:pos="9026" w:leader="dot"/>
            </w:tabs>
            <w:rPr/>
          </w:pPr>
          <w:hyperlink w:anchor="__RefHeading___Toc2758814_2142443653">
            <w:r>
              <w:rPr>
                <w:webHidden/>
                <w:rStyle w:val="IndexLink"/>
                <w:rtl w:val="true"/>
              </w:rPr>
              <w:t>تقريب المحقّق الرشتي</w:t>
            </w:r>
            <w:r>
              <w:rPr>
                <w:rStyle w:val="IndexLink"/>
                <w:rtl w:val="true"/>
              </w:rPr>
              <w:tab/>
            </w:r>
            <w:r>
              <w:rPr>
                <w:rStyle w:val="IndexLink"/>
              </w:rPr>
              <w:t>246</w:t>
            </w:r>
          </w:hyperlink>
        </w:p>
        <w:p>
          <w:pPr>
            <w:pStyle w:val="Contents6"/>
            <w:tabs>
              <w:tab w:val="clear" w:pos="7609"/>
              <w:tab w:val="right" w:pos="9026" w:leader="dot"/>
            </w:tabs>
            <w:rPr/>
          </w:pPr>
          <w:hyperlink w:anchor="__RefHeading___Toc2758816_2142443653">
            <w:r>
              <w:rPr>
                <w:webHidden/>
                <w:rStyle w:val="IndexLink"/>
                <w:rtl w:val="true"/>
              </w:rPr>
              <w:t>استدلال آخر لكون الكشف على مقتضى القاعدة</w:t>
            </w:r>
            <w:r>
              <w:rPr>
                <w:rStyle w:val="IndexLink"/>
                <w:rtl w:val="true"/>
              </w:rPr>
              <w:tab/>
            </w:r>
            <w:r>
              <w:rPr>
                <w:rStyle w:val="IndexLink"/>
              </w:rPr>
              <w:t>252</w:t>
            </w:r>
          </w:hyperlink>
        </w:p>
        <w:p>
          <w:pPr>
            <w:pStyle w:val="Contents6"/>
            <w:tabs>
              <w:tab w:val="clear" w:pos="7609"/>
              <w:tab w:val="right" w:pos="9026" w:leader="dot"/>
            </w:tabs>
            <w:rPr/>
          </w:pPr>
          <w:hyperlink w:anchor="__RefHeading___Toc2758818_2142443653">
            <w:r>
              <w:rPr>
                <w:webHidden/>
                <w:rStyle w:val="IndexLink"/>
                <w:rtl w:val="true"/>
              </w:rPr>
              <w:t>بيان المحقّق النائيني لكون الكشف الحكمي على مقتضى القاعدة</w:t>
            </w:r>
            <w:r>
              <w:rPr>
                <w:rStyle w:val="IndexLink"/>
                <w:rtl w:val="true"/>
              </w:rPr>
              <w:tab/>
            </w:r>
            <w:r>
              <w:rPr>
                <w:rStyle w:val="IndexLink"/>
              </w:rPr>
              <w:t>254</w:t>
            </w:r>
          </w:hyperlink>
        </w:p>
        <w:p>
          <w:pPr>
            <w:pStyle w:val="Contents6"/>
            <w:tabs>
              <w:tab w:val="clear" w:pos="7609"/>
              <w:tab w:val="right" w:pos="9026" w:leader="dot"/>
            </w:tabs>
            <w:rPr/>
          </w:pPr>
          <w:hyperlink w:anchor="__RefHeading___Toc2758820_2142443653">
            <w:r>
              <w:rPr>
                <w:webHidden/>
                <w:rStyle w:val="IndexLink"/>
                <w:rtl w:val="true"/>
              </w:rPr>
              <w:t>حول بيان المحقّقين الخراساني والأصفهاني في المقام</w:t>
            </w:r>
            <w:r>
              <w:rPr>
                <w:rStyle w:val="IndexLink"/>
                <w:rtl w:val="true"/>
              </w:rPr>
              <w:tab/>
            </w:r>
            <w:r>
              <w:rPr>
                <w:rStyle w:val="IndexLink"/>
              </w:rPr>
              <w:t>262</w:t>
            </w:r>
          </w:hyperlink>
        </w:p>
        <w:p>
          <w:pPr>
            <w:pStyle w:val="Contents5"/>
            <w:tabs>
              <w:tab w:val="clear" w:pos="7892"/>
              <w:tab w:val="right" w:pos="9026" w:leader="dot"/>
            </w:tabs>
            <w:rPr/>
          </w:pPr>
          <w:hyperlink w:anchor="__RefHeading___Toc2758822_2142443653">
            <w:r>
              <w:rPr>
                <w:webHidden/>
                <w:rStyle w:val="IndexLink"/>
                <w:rtl w:val="true"/>
              </w:rPr>
              <w:t>حول مقتضى الأخبار</w:t>
            </w:r>
            <w:r>
              <w:rPr>
                <w:rStyle w:val="IndexLink"/>
                <w:rtl w:val="true"/>
              </w:rPr>
              <w:tab/>
            </w:r>
            <w:r>
              <w:rPr>
                <w:rStyle w:val="IndexLink"/>
              </w:rPr>
              <w:t>264</w:t>
            </w:r>
          </w:hyperlink>
        </w:p>
        <w:p>
          <w:pPr>
            <w:pStyle w:val="Contents6"/>
            <w:tabs>
              <w:tab w:val="clear" w:pos="7609"/>
              <w:tab w:val="right" w:pos="9026" w:leader="dot"/>
            </w:tabs>
            <w:rPr/>
          </w:pPr>
          <w:hyperlink w:anchor="__RefHeading___Toc2758824_2142443653">
            <w:r>
              <w:rPr>
                <w:webHidden/>
                <w:rStyle w:val="IndexLink"/>
                <w:rtl w:val="true"/>
              </w:rPr>
              <w:t>إشارة</w:t>
            </w:r>
            <w:r>
              <w:rPr>
                <w:rStyle w:val="IndexLink"/>
                <w:rtl w:val="true"/>
              </w:rPr>
              <w:tab/>
            </w:r>
            <w:r>
              <w:rPr>
                <w:rStyle w:val="IndexLink"/>
              </w:rPr>
              <w:t>264</w:t>
            </w:r>
          </w:hyperlink>
        </w:p>
        <w:p>
          <w:pPr>
            <w:pStyle w:val="Contents6"/>
            <w:tabs>
              <w:tab w:val="clear" w:pos="7609"/>
              <w:tab w:val="right" w:pos="9026" w:leader="dot"/>
            </w:tabs>
            <w:rPr/>
          </w:pPr>
          <w:hyperlink w:anchor="__RefHeading___Toc2758826_2142443653">
            <w:r>
              <w:rPr>
                <w:webHidden/>
                <w:rStyle w:val="IndexLink"/>
                <w:rtl w:val="true"/>
              </w:rPr>
              <w:t>الاستدلال بصحيحة محمّد بن قيس على الكشف</w:t>
            </w:r>
            <w:r>
              <w:rPr>
                <w:rStyle w:val="IndexLink"/>
                <w:rtl w:val="true"/>
              </w:rPr>
              <w:tab/>
            </w:r>
            <w:r>
              <w:rPr>
                <w:rStyle w:val="IndexLink"/>
              </w:rPr>
              <w:t>264</w:t>
            </w:r>
          </w:hyperlink>
        </w:p>
        <w:p>
          <w:pPr>
            <w:pStyle w:val="Contents6"/>
            <w:tabs>
              <w:tab w:val="clear" w:pos="7609"/>
              <w:tab w:val="right" w:pos="9026" w:leader="dot"/>
            </w:tabs>
            <w:rPr/>
          </w:pPr>
          <w:hyperlink w:anchor="__RefHeading___Toc2758828_2142443653">
            <w:r>
              <w:rPr>
                <w:webHidden/>
                <w:rStyle w:val="IndexLink"/>
                <w:rtl w:val="true"/>
              </w:rPr>
              <w:t>الاستدلال بصحيحة الحذّاء على الكشف</w:t>
            </w:r>
            <w:r>
              <w:rPr>
                <w:rStyle w:val="IndexLink"/>
                <w:rtl w:val="true"/>
              </w:rPr>
              <w:tab/>
            </w:r>
            <w:r>
              <w:rPr>
                <w:rStyle w:val="IndexLink"/>
              </w:rPr>
              <w:t>267</w:t>
            </w:r>
          </w:hyperlink>
        </w:p>
        <w:p>
          <w:pPr>
            <w:pStyle w:val="Contents6"/>
            <w:tabs>
              <w:tab w:val="clear" w:pos="7609"/>
              <w:tab w:val="right" w:pos="9026" w:leader="dot"/>
            </w:tabs>
            <w:rPr/>
          </w:pPr>
          <w:hyperlink w:anchor="__RefHeading___Toc2758830_2142443653">
            <w:r>
              <w:rPr>
                <w:webHidden/>
                <w:rStyle w:val="IndexLink"/>
                <w:rtl w:val="true"/>
              </w:rPr>
              <w:t>الاستدلال بصحيحة الحلبي على الكشف</w:t>
            </w:r>
            <w:r>
              <w:rPr>
                <w:rStyle w:val="IndexLink"/>
                <w:rtl w:val="true"/>
              </w:rPr>
              <w:tab/>
            </w:r>
            <w:r>
              <w:rPr>
                <w:rStyle w:val="IndexLink"/>
              </w:rPr>
              <w:t>271</w:t>
            </w:r>
          </w:hyperlink>
        </w:p>
        <w:p>
          <w:pPr>
            <w:pStyle w:val="Contents6"/>
            <w:tabs>
              <w:tab w:val="clear" w:pos="7609"/>
              <w:tab w:val="right" w:pos="9026" w:leader="dot"/>
            </w:tabs>
            <w:rPr/>
          </w:pPr>
          <w:hyperlink w:anchor="__RefHeading___Toc2758832_2142443653">
            <w:r>
              <w:rPr>
                <w:webHidden/>
                <w:rStyle w:val="IndexLink"/>
                <w:rtl w:val="true"/>
              </w:rPr>
              <w:t>الاستدلال برواية الكناسي على الكشف</w:t>
            </w:r>
            <w:r>
              <w:rPr>
                <w:rStyle w:val="IndexLink"/>
                <w:rtl w:val="true"/>
              </w:rPr>
              <w:tab/>
            </w:r>
            <w:r>
              <w:rPr>
                <w:rStyle w:val="IndexLink"/>
              </w:rPr>
              <w:t>272</w:t>
            </w:r>
          </w:hyperlink>
        </w:p>
        <w:p>
          <w:pPr>
            <w:pStyle w:val="Contents6"/>
            <w:tabs>
              <w:tab w:val="clear" w:pos="7609"/>
              <w:tab w:val="right" w:pos="9026" w:leader="dot"/>
            </w:tabs>
            <w:rPr/>
          </w:pPr>
          <w:hyperlink w:anchor="__RefHeading___Toc2758834_2142443653">
            <w:r>
              <w:rPr>
                <w:webHidden/>
                <w:rStyle w:val="IndexLink"/>
                <w:rtl w:val="true"/>
              </w:rPr>
              <w:t>الاستدلال برواية مسمع على الكشف</w:t>
            </w:r>
            <w:r>
              <w:rPr>
                <w:rStyle w:val="IndexLink"/>
                <w:rtl w:val="true"/>
              </w:rPr>
              <w:tab/>
            </w:r>
            <w:r>
              <w:rPr>
                <w:rStyle w:val="IndexLink"/>
              </w:rPr>
              <w:t>273</w:t>
            </w:r>
          </w:hyperlink>
        </w:p>
        <w:p>
          <w:pPr>
            <w:pStyle w:val="Contents6"/>
            <w:tabs>
              <w:tab w:val="clear" w:pos="7609"/>
              <w:tab w:val="right" w:pos="9026" w:leader="dot"/>
            </w:tabs>
            <w:rPr/>
          </w:pPr>
          <w:hyperlink w:anchor="__RefHeading___Toc2758836_2142443653">
            <w:r>
              <w:rPr>
                <w:webHidden/>
                <w:rStyle w:val="IndexLink"/>
                <w:rtl w:val="true"/>
              </w:rPr>
              <w:t>الاستدلال برواية البارقي على الكشف</w:t>
            </w:r>
            <w:r>
              <w:rPr>
                <w:rStyle w:val="IndexLink"/>
                <w:rtl w:val="true"/>
              </w:rPr>
              <w:tab/>
            </w:r>
            <w:r>
              <w:rPr>
                <w:rStyle w:val="IndexLink"/>
              </w:rPr>
              <w:t>276</w:t>
            </w:r>
          </w:hyperlink>
        </w:p>
        <w:p>
          <w:pPr>
            <w:pStyle w:val="Contents6"/>
            <w:tabs>
              <w:tab w:val="clear" w:pos="7609"/>
              <w:tab w:val="right" w:pos="9026" w:leader="dot"/>
            </w:tabs>
            <w:rPr/>
          </w:pPr>
          <w:hyperlink w:anchor="__RefHeading___Toc2758838_2142443653">
            <w:r>
              <w:rPr>
                <w:webHidden/>
                <w:rStyle w:val="IndexLink"/>
                <w:rtl w:val="true"/>
              </w:rPr>
              <w:t>دعوى المحقّق الرشتي دلالة روايات تحليل الخمس على الكشف</w:t>
            </w:r>
            <w:r>
              <w:rPr>
                <w:rStyle w:val="IndexLink"/>
                <w:rtl w:val="true"/>
              </w:rPr>
              <w:tab/>
            </w:r>
            <w:r>
              <w:rPr>
                <w:rStyle w:val="IndexLink"/>
              </w:rPr>
              <w:t>276</w:t>
            </w:r>
          </w:hyperlink>
        </w:p>
        <w:p>
          <w:pPr>
            <w:pStyle w:val="Contents5"/>
            <w:tabs>
              <w:tab w:val="clear" w:pos="7892"/>
              <w:tab w:val="right" w:pos="9026" w:leader="dot"/>
            </w:tabs>
            <w:rPr/>
          </w:pPr>
          <w:hyperlink w:anchor="__RefHeading___Toc2758840_2142443653">
            <w:r>
              <w:rPr>
                <w:webHidden/>
                <w:rStyle w:val="IndexLink"/>
                <w:rtl w:val="true"/>
              </w:rPr>
              <w:t>ثمرة النزاع بين الكشف بأنواعه والنقل</w:t>
            </w:r>
            <w:r>
              <w:rPr>
                <w:rStyle w:val="IndexLink"/>
                <w:rtl w:val="true"/>
              </w:rPr>
              <w:tab/>
            </w:r>
            <w:r>
              <w:rPr>
                <w:rStyle w:val="IndexLink"/>
              </w:rPr>
              <w:t>278</w:t>
            </w:r>
          </w:hyperlink>
        </w:p>
        <w:p>
          <w:pPr>
            <w:pStyle w:val="Contents6"/>
            <w:tabs>
              <w:tab w:val="clear" w:pos="7609"/>
              <w:tab w:val="right" w:pos="9026" w:leader="dot"/>
            </w:tabs>
            <w:rPr/>
          </w:pPr>
          <w:hyperlink w:anchor="__RefHeading___Toc2758842_2142443653">
            <w:r>
              <w:rPr>
                <w:webHidden/>
                <w:rStyle w:val="IndexLink"/>
                <w:rtl w:val="true"/>
              </w:rPr>
              <w:t>معنی الکشف وأقسامه</w:t>
            </w:r>
            <w:r>
              <w:rPr>
                <w:rStyle w:val="IndexLink"/>
                <w:rtl w:val="true"/>
              </w:rPr>
              <w:tab/>
            </w:r>
            <w:r>
              <w:rPr>
                <w:rStyle w:val="IndexLink"/>
              </w:rPr>
              <w:t>278</w:t>
            </w:r>
          </w:hyperlink>
        </w:p>
        <w:p>
          <w:pPr>
            <w:pStyle w:val="Contents6"/>
            <w:tabs>
              <w:tab w:val="clear" w:pos="7609"/>
              <w:tab w:val="right" w:pos="9026" w:leader="dot"/>
            </w:tabs>
            <w:rPr/>
          </w:pPr>
          <w:hyperlink w:anchor="__RefHeading___Toc2758844_2142443653">
            <w:r>
              <w:rPr>
                <w:webHidden/>
                <w:rStyle w:val="IndexLink"/>
                <w:rtl w:val="true"/>
              </w:rPr>
              <w:t>بيان الثمرة بين الكشف الحقيقي والكشف الحكمي</w:t>
            </w:r>
            <w:r>
              <w:rPr>
                <w:rStyle w:val="IndexLink"/>
                <w:rtl w:val="true"/>
              </w:rPr>
              <w:tab/>
            </w:r>
            <w:r>
              <w:rPr>
                <w:rStyle w:val="IndexLink"/>
              </w:rPr>
              <w:t>280</w:t>
            </w:r>
          </w:hyperlink>
        </w:p>
        <w:p>
          <w:pPr>
            <w:pStyle w:val="Contents6"/>
            <w:tabs>
              <w:tab w:val="clear" w:pos="7609"/>
              <w:tab w:val="right" w:pos="9026" w:leader="dot"/>
            </w:tabs>
            <w:rPr/>
          </w:pPr>
          <w:hyperlink w:anchor="__RefHeading___Toc2758846_2142443653">
            <w:r>
              <w:rPr>
                <w:webHidden/>
                <w:rStyle w:val="IndexLink"/>
                <w:rtl w:val="true"/>
              </w:rPr>
              <w:t>الثمرات المذكورة بين الكشف والنقل</w:t>
            </w:r>
            <w:r>
              <w:rPr>
                <w:rStyle w:val="IndexLink"/>
                <w:rtl w:val="true"/>
              </w:rPr>
              <w:tab/>
            </w:r>
            <w:r>
              <w:rPr>
                <w:rStyle w:val="IndexLink"/>
              </w:rPr>
              <w:t>286</w:t>
            </w:r>
          </w:hyperlink>
        </w:p>
        <w:p>
          <w:pPr>
            <w:pStyle w:val="Contents6"/>
            <w:tabs>
              <w:tab w:val="clear" w:pos="7609"/>
              <w:tab w:val="right" w:pos="9026" w:leader="dot"/>
            </w:tabs>
            <w:rPr/>
          </w:pPr>
          <w:hyperlink w:anchor="__RefHeading___Toc2758848_2142443653">
            <w:r>
              <w:rPr>
                <w:webHidden/>
                <w:rStyle w:val="IndexLink"/>
                <w:rtl w:val="true"/>
              </w:rPr>
              <w:t>الثمرة الاُولى في النماء</w:t>
            </w:r>
            <w:r>
              <w:rPr>
                <w:rStyle w:val="IndexLink"/>
                <w:rtl w:val="true"/>
              </w:rPr>
              <w:tab/>
            </w:r>
            <w:r>
              <w:rPr>
                <w:rStyle w:val="IndexLink"/>
              </w:rPr>
              <w:t>286</w:t>
            </w:r>
          </w:hyperlink>
        </w:p>
        <w:p>
          <w:pPr>
            <w:pStyle w:val="Contents6"/>
            <w:tabs>
              <w:tab w:val="clear" w:pos="7609"/>
              <w:tab w:val="right" w:pos="9026" w:leader="dot"/>
            </w:tabs>
            <w:rPr/>
          </w:pPr>
          <w:hyperlink w:anchor="__RefHeading___Toc2758850_2142443653">
            <w:r>
              <w:rPr>
                <w:webHidden/>
                <w:rStyle w:val="IndexLink"/>
                <w:rtl w:val="true"/>
              </w:rPr>
              <w:t>الثمرة الثانية في فسخ الأصيل</w:t>
            </w:r>
            <w:r>
              <w:rPr>
                <w:rStyle w:val="IndexLink"/>
                <w:rtl w:val="true"/>
              </w:rPr>
              <w:tab/>
            </w:r>
            <w:r>
              <w:rPr>
                <w:rStyle w:val="IndexLink"/>
              </w:rPr>
              <w:t>286</w:t>
            </w:r>
          </w:hyperlink>
        </w:p>
        <w:p>
          <w:pPr>
            <w:pStyle w:val="Contents6"/>
            <w:tabs>
              <w:tab w:val="clear" w:pos="7609"/>
              <w:tab w:val="right" w:pos="9026" w:leader="dot"/>
            </w:tabs>
            <w:rPr/>
          </w:pPr>
          <w:hyperlink w:anchor="__RefHeading___Toc2758852_2142443653">
            <w:r>
              <w:rPr>
                <w:webHidden/>
                <w:rStyle w:val="IndexLink"/>
                <w:rtl w:val="true"/>
              </w:rPr>
              <w:t>الثمرة الثالثة في تصرّف الأصيل</w:t>
            </w:r>
            <w:r>
              <w:rPr>
                <w:rStyle w:val="IndexLink"/>
                <w:rtl w:val="true"/>
              </w:rPr>
              <w:tab/>
            </w:r>
            <w:r>
              <w:rPr>
                <w:rStyle w:val="IndexLink"/>
              </w:rPr>
              <w:t>289</w:t>
            </w:r>
          </w:hyperlink>
        </w:p>
        <w:p>
          <w:pPr>
            <w:pStyle w:val="Contents6"/>
            <w:tabs>
              <w:tab w:val="clear" w:pos="7609"/>
              <w:tab w:val="right" w:pos="9026" w:leader="dot"/>
            </w:tabs>
            <w:rPr/>
          </w:pPr>
          <w:hyperlink w:anchor="__RefHeading___Toc2758854_2142443653">
            <w:r>
              <w:rPr>
                <w:webHidden/>
                <w:rStyle w:val="IndexLink"/>
                <w:rtl w:val="true"/>
              </w:rPr>
              <w:t>حول قول كاشف الغطاء في ظهور ثمرات اُخرى</w:t>
            </w:r>
            <w:r>
              <w:rPr>
                <w:rStyle w:val="IndexLink"/>
                <w:rtl w:val="true"/>
              </w:rPr>
              <w:tab/>
            </w:r>
            <w:r>
              <w:rPr>
                <w:rStyle w:val="IndexLink"/>
              </w:rPr>
              <w:t>294</w:t>
            </w:r>
          </w:hyperlink>
        </w:p>
        <w:p>
          <w:pPr>
            <w:pStyle w:val="Contents5"/>
            <w:tabs>
              <w:tab w:val="clear" w:pos="7892"/>
              <w:tab w:val="right" w:pos="9026" w:leader="dot"/>
            </w:tabs>
            <w:rPr/>
          </w:pPr>
          <w:hyperlink w:anchor="__RefHeading___Toc2758856_2142443653">
            <w:r>
              <w:rPr>
                <w:webHidden/>
                <w:rStyle w:val="IndexLink"/>
                <w:rtl w:val="true"/>
              </w:rPr>
              <w:t>تنبيهات الإجازة</w:t>
            </w:r>
            <w:r>
              <w:rPr>
                <w:rStyle w:val="IndexLink"/>
                <w:rtl w:val="true"/>
              </w:rPr>
              <w:tab/>
            </w:r>
            <w:r>
              <w:rPr>
                <w:rStyle w:val="IndexLink"/>
              </w:rPr>
              <w:t>301</w:t>
            </w:r>
          </w:hyperlink>
        </w:p>
        <w:p>
          <w:pPr>
            <w:pStyle w:val="Contents6"/>
            <w:tabs>
              <w:tab w:val="clear" w:pos="7609"/>
              <w:tab w:val="right" w:pos="9026" w:leader="dot"/>
            </w:tabs>
            <w:rPr/>
          </w:pPr>
          <w:hyperlink w:anchor="__RefHeading___Toc2758858_2142443653">
            <w:r>
              <w:rPr>
                <w:webHidden/>
                <w:rStyle w:val="IndexLink"/>
                <w:rtl w:val="true"/>
              </w:rPr>
              <w:t>التنبيه الأوّل</w:t>
            </w:r>
            <w:r>
              <w:rPr>
                <w:rStyle w:val="IndexLink"/>
                <w:rtl w:val="true"/>
              </w:rPr>
              <w:t xml:space="preserve">: </w:t>
            </w:r>
            <w:r>
              <w:rPr>
                <w:rStyle w:val="IndexLink"/>
                <w:rtl w:val="true"/>
              </w:rPr>
              <w:t>لو كانت الإجازة على خلاف اقتضاء الكشف أو النقل</w:t>
            </w:r>
            <w:r>
              <w:rPr>
                <w:rStyle w:val="IndexLink"/>
                <w:rtl w:val="true"/>
              </w:rPr>
              <w:tab/>
            </w:r>
            <w:r>
              <w:rPr>
                <w:rStyle w:val="IndexLink"/>
              </w:rPr>
              <w:t>301</w:t>
            </w:r>
          </w:hyperlink>
        </w:p>
        <w:p>
          <w:pPr>
            <w:pStyle w:val="Contents6"/>
            <w:tabs>
              <w:tab w:val="clear" w:pos="7609"/>
              <w:tab w:val="right" w:pos="9026" w:leader="dot"/>
            </w:tabs>
            <w:rPr/>
          </w:pPr>
          <w:hyperlink w:anchor="__RefHeading___Toc2758860_2142443653">
            <w:r>
              <w:rPr>
                <w:webHidden/>
                <w:rStyle w:val="IndexLink"/>
                <w:rtl w:val="true"/>
              </w:rPr>
              <w:t>التنبيه الثاني</w:t>
            </w:r>
            <w:r>
              <w:rPr>
                <w:rStyle w:val="IndexLink"/>
                <w:rtl w:val="true"/>
              </w:rPr>
              <w:t xml:space="preserve">: </w:t>
            </w:r>
            <w:r>
              <w:rPr>
                <w:rStyle w:val="IndexLink"/>
                <w:rtl w:val="true"/>
              </w:rPr>
              <w:t>حول اعتبار الإنشاء في الإجازة</w:t>
            </w:r>
            <w:r>
              <w:rPr>
                <w:rStyle w:val="IndexLink"/>
                <w:rtl w:val="true"/>
              </w:rPr>
              <w:tab/>
            </w:r>
            <w:r>
              <w:rPr>
                <w:rStyle w:val="IndexLink"/>
              </w:rPr>
              <w:t>304</w:t>
            </w:r>
          </w:hyperlink>
        </w:p>
        <w:p>
          <w:pPr>
            <w:pStyle w:val="Contents6"/>
            <w:tabs>
              <w:tab w:val="clear" w:pos="7609"/>
              <w:tab w:val="right" w:pos="9026" w:leader="dot"/>
            </w:tabs>
            <w:rPr/>
          </w:pPr>
          <w:hyperlink w:anchor="__RefHeading___Toc2758862_2142443653">
            <w:r>
              <w:rPr>
                <w:webHidden/>
                <w:rStyle w:val="IndexLink"/>
                <w:rtl w:val="true"/>
              </w:rPr>
              <w:t>لا يعتبر في نفوذ العقد الفضولي إلاّ الرضا</w:t>
            </w:r>
            <w:r>
              <w:rPr>
                <w:rStyle w:val="IndexLink"/>
                <w:rtl w:val="true"/>
              </w:rPr>
              <w:tab/>
            </w:r>
            <w:r>
              <w:rPr>
                <w:rStyle w:val="IndexLink"/>
              </w:rPr>
              <w:t>304</w:t>
            </w:r>
          </w:hyperlink>
        </w:p>
        <w:p>
          <w:pPr>
            <w:pStyle w:val="Contents6"/>
            <w:tabs>
              <w:tab w:val="clear" w:pos="7609"/>
              <w:tab w:val="right" w:pos="9026" w:leader="dot"/>
            </w:tabs>
            <w:rPr/>
          </w:pPr>
          <w:hyperlink w:anchor="__RefHeading___Toc2758864_2142443653">
            <w:r>
              <w:rPr>
                <w:webHidden/>
                <w:rStyle w:val="IndexLink"/>
                <w:rtl w:val="true"/>
              </w:rPr>
              <w:t>دلالة صحيحة الحذّاء على كفاية الرضا في الإجازة</w:t>
            </w:r>
            <w:r>
              <w:rPr>
                <w:rStyle w:val="IndexLink"/>
                <w:rtl w:val="true"/>
              </w:rPr>
              <w:tab/>
            </w:r>
            <w:r>
              <w:rPr>
                <w:rStyle w:val="IndexLink"/>
              </w:rPr>
              <w:t>308</w:t>
            </w:r>
          </w:hyperlink>
        </w:p>
        <w:p>
          <w:pPr>
            <w:pStyle w:val="Contents6"/>
            <w:tabs>
              <w:tab w:val="clear" w:pos="7609"/>
              <w:tab w:val="right" w:pos="9026" w:leader="dot"/>
            </w:tabs>
            <w:rPr/>
          </w:pPr>
          <w:hyperlink w:anchor="__RefHeading___Toc2758866_2142443653">
            <w:r>
              <w:rPr>
                <w:webHidden/>
                <w:rStyle w:val="IndexLink"/>
                <w:rtl w:val="true"/>
              </w:rPr>
              <w:t>تردّد الشيخ الأنصاري في كفاية الرضا الباطني</w:t>
            </w:r>
            <w:r>
              <w:rPr>
                <w:rStyle w:val="IndexLink"/>
                <w:rtl w:val="true"/>
              </w:rPr>
              <w:tab/>
            </w:r>
            <w:r>
              <w:rPr>
                <w:rStyle w:val="IndexLink"/>
              </w:rPr>
              <w:t>309</w:t>
            </w:r>
          </w:hyperlink>
        </w:p>
        <w:p>
          <w:pPr>
            <w:pStyle w:val="Contents6"/>
            <w:tabs>
              <w:tab w:val="clear" w:pos="7609"/>
              <w:tab w:val="right" w:pos="9026" w:leader="dot"/>
            </w:tabs>
            <w:rPr/>
          </w:pPr>
          <w:hyperlink w:anchor="__RefHeading___Toc2758868_2142443653">
            <w:r>
              <w:rPr>
                <w:webHidden/>
                <w:rStyle w:val="IndexLink"/>
                <w:rtl w:val="true"/>
              </w:rPr>
              <w:t>التنبيه الثالث اعتبار عدم سبق الردّ في الإجازة</w:t>
            </w:r>
            <w:r>
              <w:rPr>
                <w:rStyle w:val="IndexLink"/>
                <w:rtl w:val="true"/>
              </w:rPr>
              <w:tab/>
            </w:r>
            <w:r>
              <w:rPr>
                <w:rStyle w:val="IndexLink"/>
              </w:rPr>
              <w:t>310</w:t>
            </w:r>
          </w:hyperlink>
        </w:p>
        <w:p>
          <w:pPr>
            <w:pStyle w:val="Contents6"/>
            <w:tabs>
              <w:tab w:val="clear" w:pos="7609"/>
              <w:tab w:val="right" w:pos="9026" w:leader="dot"/>
            </w:tabs>
            <w:rPr/>
          </w:pPr>
          <w:hyperlink w:anchor="__RefHeading___Toc2758870_2142443653">
            <w:r>
              <w:rPr>
                <w:webHidden/>
                <w:rStyle w:val="IndexLink"/>
                <w:rtl w:val="true"/>
              </w:rPr>
              <w:t>أدلّة اعتباره</w:t>
            </w:r>
            <w:r>
              <w:rPr>
                <w:rStyle w:val="IndexLink"/>
                <w:rtl w:val="true"/>
              </w:rPr>
              <w:tab/>
            </w:r>
            <w:r>
              <w:rPr>
                <w:rStyle w:val="IndexLink"/>
              </w:rPr>
              <w:t>310</w:t>
            </w:r>
          </w:hyperlink>
        </w:p>
        <w:p>
          <w:pPr>
            <w:pStyle w:val="Contents6"/>
            <w:tabs>
              <w:tab w:val="clear" w:pos="7609"/>
              <w:tab w:val="right" w:pos="9026" w:leader="dot"/>
            </w:tabs>
            <w:rPr/>
          </w:pPr>
          <w:hyperlink w:anchor="__RefHeading___Toc2758872_2142443653">
            <w:r>
              <w:rPr>
                <w:webHidden/>
                <w:rStyle w:val="IndexLink"/>
                <w:rtl w:val="true"/>
              </w:rPr>
              <w:t>استدلال الشيخ الأنصاري على اعتبار عدم سبق الردّ</w:t>
            </w:r>
            <w:r>
              <w:rPr>
                <w:rStyle w:val="IndexLink"/>
                <w:rtl w:val="true"/>
              </w:rPr>
              <w:tab/>
            </w:r>
            <w:r>
              <w:rPr>
                <w:rStyle w:val="IndexLink"/>
              </w:rPr>
              <w:t>315</w:t>
            </w:r>
          </w:hyperlink>
        </w:p>
        <w:p>
          <w:pPr>
            <w:pStyle w:val="Contents6"/>
            <w:tabs>
              <w:tab w:val="clear" w:pos="7609"/>
              <w:tab w:val="right" w:pos="9026" w:leader="dot"/>
            </w:tabs>
            <w:rPr/>
          </w:pPr>
          <w:hyperlink w:anchor="__RefHeading___Toc2758874_2142443653">
            <w:r>
              <w:rPr>
                <w:webHidden/>
                <w:rStyle w:val="IndexLink"/>
                <w:rtl w:val="true"/>
              </w:rPr>
              <w:t>الاستدلال بقاعدة السلطنة</w:t>
            </w:r>
            <w:r>
              <w:rPr>
                <w:rStyle w:val="IndexLink"/>
                <w:rtl w:val="true"/>
              </w:rPr>
              <w:tab/>
            </w:r>
            <w:r>
              <w:rPr>
                <w:rStyle w:val="IndexLink"/>
              </w:rPr>
              <w:t>317</w:t>
            </w:r>
          </w:hyperlink>
        </w:p>
        <w:p>
          <w:pPr>
            <w:pStyle w:val="Contents6"/>
            <w:tabs>
              <w:tab w:val="clear" w:pos="7609"/>
              <w:tab w:val="right" w:pos="9026" w:leader="dot"/>
            </w:tabs>
            <w:rPr/>
          </w:pPr>
          <w:hyperlink w:anchor="__RefHeading___Toc2758876_2142443653">
            <w:r>
              <w:rPr>
                <w:webHidden/>
                <w:rStyle w:val="IndexLink"/>
                <w:rtl w:val="true"/>
              </w:rPr>
              <w:t>كلام المحقّق النائيني في تصحيح التمسّك بقاعدة السلطنة</w:t>
            </w:r>
            <w:r>
              <w:rPr>
                <w:rStyle w:val="IndexLink"/>
                <w:rtl w:val="true"/>
              </w:rPr>
              <w:tab/>
            </w:r>
            <w:r>
              <w:rPr>
                <w:rStyle w:val="IndexLink"/>
              </w:rPr>
              <w:t>318</w:t>
            </w:r>
          </w:hyperlink>
        </w:p>
        <w:p>
          <w:pPr>
            <w:pStyle w:val="Contents6"/>
            <w:tabs>
              <w:tab w:val="clear" w:pos="7609"/>
              <w:tab w:val="right" w:pos="9026" w:leader="dot"/>
            </w:tabs>
            <w:rPr/>
          </w:pPr>
          <w:hyperlink w:anchor="__RefHeading___Toc2758878_2142443653">
            <w:r>
              <w:rPr>
                <w:webHidden/>
                <w:rStyle w:val="IndexLink"/>
                <w:rtl w:val="true"/>
              </w:rPr>
              <w:t>الاستدلال بصحيحة ابن بزيع</w:t>
            </w:r>
            <w:r>
              <w:rPr>
                <w:rStyle w:val="IndexLink"/>
                <w:rtl w:val="true"/>
              </w:rPr>
              <w:tab/>
            </w:r>
            <w:r>
              <w:rPr>
                <w:rStyle w:val="IndexLink"/>
              </w:rPr>
              <w:t>322</w:t>
            </w:r>
          </w:hyperlink>
        </w:p>
        <w:p>
          <w:pPr>
            <w:pStyle w:val="Contents6"/>
            <w:tabs>
              <w:tab w:val="clear" w:pos="7609"/>
              <w:tab w:val="right" w:pos="9026" w:leader="dot"/>
            </w:tabs>
            <w:rPr/>
          </w:pPr>
          <w:hyperlink w:anchor="__RefHeading___Toc2758880_2142443653">
            <w:r>
              <w:rPr>
                <w:webHidden/>
                <w:rStyle w:val="IndexLink"/>
                <w:rtl w:val="true"/>
              </w:rPr>
              <w:t>التنبيه الرابع</w:t>
            </w:r>
            <w:r>
              <w:rPr>
                <w:rStyle w:val="IndexLink"/>
                <w:rtl w:val="true"/>
              </w:rPr>
              <w:t xml:space="preserve">: </w:t>
            </w:r>
            <w:r>
              <w:rPr>
                <w:rStyle w:val="IndexLink"/>
                <w:rtl w:val="true"/>
              </w:rPr>
              <w:t>عدم تورّث الإجازة</w:t>
            </w:r>
            <w:r>
              <w:rPr>
                <w:rStyle w:val="IndexLink"/>
                <w:rtl w:val="true"/>
              </w:rPr>
              <w:tab/>
            </w:r>
            <w:r>
              <w:rPr>
                <w:rStyle w:val="IndexLink"/>
              </w:rPr>
              <w:t>325</w:t>
            </w:r>
          </w:hyperlink>
        </w:p>
        <w:p>
          <w:pPr>
            <w:pStyle w:val="Contents6"/>
            <w:tabs>
              <w:tab w:val="clear" w:pos="7609"/>
              <w:tab w:val="right" w:pos="9026" w:leader="dot"/>
            </w:tabs>
            <w:rPr/>
          </w:pPr>
          <w:hyperlink w:anchor="__RefHeading___Toc2758882_2142443653">
            <w:r>
              <w:rPr>
                <w:webHidden/>
                <w:rStyle w:val="IndexLink"/>
                <w:rtl w:val="true"/>
              </w:rPr>
              <w:t>التنبيه الخامس</w:t>
            </w:r>
            <w:r>
              <w:rPr>
                <w:rStyle w:val="IndexLink"/>
                <w:rtl w:val="true"/>
              </w:rPr>
              <w:t xml:space="preserve">: </w:t>
            </w:r>
            <w:r>
              <w:rPr>
                <w:rStyle w:val="IndexLink"/>
                <w:rtl w:val="true"/>
              </w:rPr>
              <w:t>حول جريان الفضولية في القبض والإقباض</w:t>
            </w:r>
            <w:r>
              <w:rPr>
                <w:rStyle w:val="IndexLink"/>
                <w:rtl w:val="true"/>
              </w:rPr>
              <w:tab/>
            </w:r>
            <w:r>
              <w:rPr>
                <w:rStyle w:val="IndexLink"/>
              </w:rPr>
              <w:t>326</w:t>
            </w:r>
          </w:hyperlink>
        </w:p>
        <w:p>
          <w:pPr>
            <w:pStyle w:val="Contents6"/>
            <w:tabs>
              <w:tab w:val="clear" w:pos="7609"/>
              <w:tab w:val="right" w:pos="9026" w:leader="dot"/>
            </w:tabs>
            <w:rPr/>
          </w:pPr>
          <w:hyperlink w:anchor="__RefHeading___Toc2758884_2142443653">
            <w:r>
              <w:rPr>
                <w:webHidden/>
                <w:rStyle w:val="IndexLink"/>
                <w:rtl w:val="true"/>
              </w:rPr>
              <w:t>فیه وجوه</w:t>
            </w:r>
            <w:r>
              <w:rPr>
                <w:rStyle w:val="IndexLink"/>
                <w:rtl w:val="true"/>
              </w:rPr>
              <w:tab/>
            </w:r>
            <w:r>
              <w:rPr>
                <w:rStyle w:val="IndexLink"/>
              </w:rPr>
              <w:t>326</w:t>
            </w:r>
          </w:hyperlink>
        </w:p>
        <w:p>
          <w:pPr>
            <w:pStyle w:val="Contents6"/>
            <w:tabs>
              <w:tab w:val="clear" w:pos="7609"/>
              <w:tab w:val="right" w:pos="9026" w:leader="dot"/>
            </w:tabs>
            <w:rPr/>
          </w:pPr>
          <w:hyperlink w:anchor="__RefHeading___Toc2758886_2142443653">
            <w:r>
              <w:rPr>
                <w:webHidden/>
                <w:rStyle w:val="IndexLink"/>
                <w:rtl w:val="true"/>
              </w:rPr>
              <w:t>حول جريان نزاع الكشف والنقل في المقام</w:t>
            </w:r>
            <w:r>
              <w:rPr>
                <w:rStyle w:val="IndexLink"/>
                <w:rtl w:val="true"/>
              </w:rPr>
              <w:tab/>
            </w:r>
            <w:r>
              <w:rPr>
                <w:rStyle w:val="IndexLink"/>
              </w:rPr>
              <w:t>330</w:t>
            </w:r>
          </w:hyperlink>
        </w:p>
        <w:p>
          <w:pPr>
            <w:pStyle w:val="Contents6"/>
            <w:tabs>
              <w:tab w:val="clear" w:pos="7609"/>
              <w:tab w:val="right" w:pos="9026" w:leader="dot"/>
            </w:tabs>
            <w:rPr/>
          </w:pPr>
          <w:hyperlink w:anchor="__RefHeading___Toc2758888_2142443653">
            <w:r>
              <w:rPr>
                <w:webHidden/>
                <w:rStyle w:val="IndexLink"/>
                <w:rtl w:val="true"/>
              </w:rPr>
              <w:t>حول كون إجازة البيع إجازة القبض</w:t>
            </w:r>
            <w:r>
              <w:rPr>
                <w:rStyle w:val="IndexLink"/>
                <w:rtl w:val="true"/>
              </w:rPr>
              <w:tab/>
            </w:r>
            <w:r>
              <w:rPr>
                <w:rStyle w:val="IndexLink"/>
              </w:rPr>
              <w:t>334</w:t>
            </w:r>
          </w:hyperlink>
        </w:p>
        <w:p>
          <w:pPr>
            <w:pStyle w:val="Contents6"/>
            <w:tabs>
              <w:tab w:val="clear" w:pos="7609"/>
              <w:tab w:val="right" w:pos="9026" w:leader="dot"/>
            </w:tabs>
            <w:rPr/>
          </w:pPr>
          <w:hyperlink w:anchor="__RefHeading___Toc2758890_2142443653">
            <w:r>
              <w:rPr>
                <w:webHidden/>
                <w:rStyle w:val="IndexLink"/>
                <w:rtl w:val="true"/>
              </w:rPr>
              <w:t>التنبيه السادس</w:t>
            </w:r>
            <w:r>
              <w:rPr>
                <w:rStyle w:val="IndexLink"/>
                <w:rtl w:val="true"/>
              </w:rPr>
              <w:t xml:space="preserve">: </w:t>
            </w:r>
            <w:r>
              <w:rPr>
                <w:rStyle w:val="IndexLink"/>
                <w:rtl w:val="true"/>
              </w:rPr>
              <w:t>حول فورية الإجازة</w:t>
            </w:r>
            <w:r>
              <w:rPr>
                <w:rStyle w:val="IndexLink"/>
                <w:rtl w:val="true"/>
              </w:rPr>
              <w:tab/>
            </w:r>
            <w:r>
              <w:rPr>
                <w:rStyle w:val="IndexLink"/>
              </w:rPr>
              <w:t>335</w:t>
            </w:r>
          </w:hyperlink>
        </w:p>
        <w:p>
          <w:pPr>
            <w:pStyle w:val="Contents6"/>
            <w:tabs>
              <w:tab w:val="clear" w:pos="7609"/>
              <w:tab w:val="right" w:pos="9026" w:leader="dot"/>
            </w:tabs>
            <w:rPr/>
          </w:pPr>
          <w:hyperlink w:anchor="__RefHeading___Toc2758892_2142443653">
            <w:r>
              <w:rPr>
                <w:webHidden/>
                <w:rStyle w:val="IndexLink"/>
                <w:rtl w:val="true"/>
              </w:rPr>
              <w:t>ليست الإجازة على الفور</w:t>
            </w:r>
            <w:r>
              <w:rPr>
                <w:rStyle w:val="IndexLink"/>
                <w:rtl w:val="true"/>
              </w:rPr>
              <w:tab/>
            </w:r>
            <w:r>
              <w:rPr>
                <w:rStyle w:val="IndexLink"/>
              </w:rPr>
              <w:t>335</w:t>
            </w:r>
          </w:hyperlink>
        </w:p>
        <w:p>
          <w:pPr>
            <w:pStyle w:val="Contents6"/>
            <w:tabs>
              <w:tab w:val="clear" w:pos="7609"/>
              <w:tab w:val="right" w:pos="9026" w:leader="dot"/>
            </w:tabs>
            <w:rPr/>
          </w:pPr>
          <w:hyperlink w:anchor="__RefHeading___Toc2758894_2142443653">
            <w:r>
              <w:rPr>
                <w:webHidden/>
                <w:rStyle w:val="IndexLink"/>
                <w:rtl w:val="true"/>
              </w:rPr>
              <w:t>حول تضرّر الأصيل بعدم الإجازة وعدم الردّ</w:t>
            </w:r>
            <w:r>
              <w:rPr>
                <w:rStyle w:val="IndexLink"/>
                <w:rtl w:val="true"/>
              </w:rPr>
              <w:tab/>
            </w:r>
            <w:r>
              <w:rPr>
                <w:rStyle w:val="IndexLink"/>
              </w:rPr>
              <w:t>337</w:t>
            </w:r>
          </w:hyperlink>
        </w:p>
        <w:p>
          <w:pPr>
            <w:pStyle w:val="Contents6"/>
            <w:tabs>
              <w:tab w:val="clear" w:pos="7609"/>
              <w:tab w:val="right" w:pos="9026" w:leader="dot"/>
            </w:tabs>
            <w:rPr/>
          </w:pPr>
          <w:hyperlink w:anchor="__RefHeading___Toc2758896_2142443653">
            <w:r>
              <w:rPr>
                <w:webHidden/>
                <w:rStyle w:val="IndexLink"/>
                <w:rtl w:val="true"/>
              </w:rPr>
              <w:t>التنبيه السابع اعتبار مطابقة الإجازة للعقد</w:t>
            </w:r>
            <w:r>
              <w:rPr>
                <w:rStyle w:val="IndexLink"/>
                <w:rtl w:val="true"/>
              </w:rPr>
              <w:tab/>
            </w:r>
            <w:r>
              <w:rPr>
                <w:rStyle w:val="IndexLink"/>
              </w:rPr>
              <w:t>339</w:t>
            </w:r>
          </w:hyperlink>
        </w:p>
        <w:p>
          <w:pPr>
            <w:pStyle w:val="Contents6"/>
            <w:tabs>
              <w:tab w:val="clear" w:pos="7609"/>
              <w:tab w:val="right" w:pos="9026" w:leader="dot"/>
            </w:tabs>
            <w:rPr/>
          </w:pPr>
          <w:hyperlink w:anchor="__RefHeading___Toc2758898_2142443653">
            <w:r>
              <w:rPr>
                <w:webHidden/>
                <w:rStyle w:val="IndexLink"/>
                <w:rtl w:val="true"/>
              </w:rPr>
              <w:t>إشارة</w:t>
            </w:r>
            <w:r>
              <w:rPr>
                <w:rStyle w:val="IndexLink"/>
                <w:rtl w:val="true"/>
              </w:rPr>
              <w:tab/>
            </w:r>
            <w:r>
              <w:rPr>
                <w:rStyle w:val="IndexLink"/>
              </w:rPr>
              <w:t>339</w:t>
            </w:r>
          </w:hyperlink>
        </w:p>
        <w:p>
          <w:pPr>
            <w:pStyle w:val="Contents6"/>
            <w:tabs>
              <w:tab w:val="clear" w:pos="7609"/>
              <w:tab w:val="right" w:pos="9026" w:leader="dot"/>
            </w:tabs>
            <w:rPr/>
          </w:pPr>
          <w:hyperlink w:anchor="__RefHeading___Toc2758900_2142443653">
            <w:r>
              <w:rPr>
                <w:webHidden/>
                <w:rStyle w:val="IndexLink"/>
                <w:rtl w:val="true"/>
              </w:rPr>
              <w:t>بيان المحقّق النائيني في كون النزاع كبروياً</w:t>
            </w:r>
            <w:r>
              <w:rPr>
                <w:rStyle w:val="IndexLink"/>
                <w:rtl w:val="true"/>
              </w:rPr>
              <w:tab/>
            </w:r>
            <w:r>
              <w:rPr>
                <w:rStyle w:val="IndexLink"/>
              </w:rPr>
              <w:t>339</w:t>
            </w:r>
          </w:hyperlink>
        </w:p>
        <w:p>
          <w:pPr>
            <w:pStyle w:val="Contents6"/>
            <w:tabs>
              <w:tab w:val="clear" w:pos="7609"/>
              <w:tab w:val="right" w:pos="9026" w:leader="dot"/>
            </w:tabs>
            <w:rPr/>
          </w:pPr>
          <w:hyperlink w:anchor="__RefHeading___Toc2758902_2142443653">
            <w:r>
              <w:rPr>
                <w:webHidden/>
                <w:rStyle w:val="IndexLink"/>
                <w:rtl w:val="true"/>
              </w:rPr>
              <w:t>بيان المحقّق الأصفهاني في كون النزاع صغروياً</w:t>
            </w:r>
            <w:r>
              <w:rPr>
                <w:rStyle w:val="IndexLink"/>
                <w:rtl w:val="true"/>
              </w:rPr>
              <w:tab/>
            </w:r>
            <w:r>
              <w:rPr>
                <w:rStyle w:val="IndexLink"/>
              </w:rPr>
              <w:t>341</w:t>
            </w:r>
          </w:hyperlink>
        </w:p>
        <w:p>
          <w:pPr>
            <w:pStyle w:val="Contents6"/>
            <w:tabs>
              <w:tab w:val="clear" w:pos="7609"/>
              <w:tab w:val="right" w:pos="9026" w:leader="dot"/>
            </w:tabs>
            <w:rPr/>
          </w:pPr>
          <w:hyperlink w:anchor="__RefHeading___Toc2758904_2142443653">
            <w:r>
              <w:rPr>
                <w:webHidden/>
                <w:rStyle w:val="IndexLink"/>
                <w:rtl w:val="true"/>
              </w:rPr>
              <w:t>التحقيق في لزوم تطابق الإجازة للعقد</w:t>
            </w:r>
            <w:r>
              <w:rPr>
                <w:rStyle w:val="IndexLink"/>
                <w:rtl w:val="true"/>
              </w:rPr>
              <w:tab/>
            </w:r>
            <w:r>
              <w:rPr>
                <w:rStyle w:val="IndexLink"/>
              </w:rPr>
              <w:t>342</w:t>
            </w:r>
          </w:hyperlink>
        </w:p>
        <w:p>
          <w:pPr>
            <w:pStyle w:val="Contents4"/>
            <w:tabs>
              <w:tab w:val="clear" w:pos="8176"/>
              <w:tab w:val="right" w:pos="9026" w:leader="dot"/>
            </w:tabs>
            <w:rPr/>
          </w:pPr>
          <w:hyperlink w:anchor="__RefHeading___Toc2758906_2142443653">
            <w:r>
              <w:rPr>
                <w:webHidden/>
                <w:rStyle w:val="IndexLink"/>
                <w:rtl w:val="true"/>
              </w:rPr>
              <w:t>القول في المجيز</w:t>
            </w:r>
            <w:r>
              <w:rPr>
                <w:rStyle w:val="IndexLink"/>
                <w:rtl w:val="true"/>
              </w:rPr>
              <w:tab/>
            </w:r>
            <w:r>
              <w:rPr>
                <w:rStyle w:val="IndexLink"/>
              </w:rPr>
              <w:t>349</w:t>
            </w:r>
          </w:hyperlink>
        </w:p>
        <w:p>
          <w:pPr>
            <w:pStyle w:val="Contents5"/>
            <w:tabs>
              <w:tab w:val="clear" w:pos="7892"/>
              <w:tab w:val="right" w:pos="9026" w:leader="dot"/>
            </w:tabs>
            <w:rPr/>
          </w:pPr>
          <w:hyperlink w:anchor="__RefHeading___Toc2758908_2142443653">
            <w:r>
              <w:rPr>
                <w:webHidden/>
                <w:rStyle w:val="IndexLink"/>
                <w:rtl w:val="true"/>
              </w:rPr>
              <w:t>وفيه اُمور</w:t>
            </w:r>
            <w:r>
              <w:rPr>
                <w:rStyle w:val="IndexLink"/>
                <w:rtl w:val="true"/>
              </w:rPr>
              <w:t>:</w:t>
              <w:tab/>
            </w:r>
            <w:r>
              <w:rPr>
                <w:rStyle w:val="IndexLink"/>
              </w:rPr>
              <w:t>349</w:t>
            </w:r>
          </w:hyperlink>
        </w:p>
        <w:p>
          <w:pPr>
            <w:pStyle w:val="Contents6"/>
            <w:tabs>
              <w:tab w:val="clear" w:pos="7609"/>
              <w:tab w:val="right" w:pos="9026" w:leader="dot"/>
            </w:tabs>
            <w:rPr/>
          </w:pPr>
          <w:hyperlink w:anchor="__RefHeading___Toc2758910_2142443653">
            <w:r>
              <w:rPr>
                <w:webHidden/>
                <w:rStyle w:val="IndexLink"/>
                <w:rtl w:val="true"/>
              </w:rPr>
              <w:t>الأمر الأوّل</w:t>
            </w:r>
            <w:r>
              <w:rPr>
                <w:rStyle w:val="IndexLink"/>
                <w:rtl w:val="true"/>
              </w:rPr>
              <w:t xml:space="preserve">: </w:t>
            </w:r>
            <w:r>
              <w:rPr>
                <w:rStyle w:val="IndexLink"/>
                <w:rtl w:val="true"/>
              </w:rPr>
              <w:t>اعتبار كون المجيز جائز التصرّف حين الإجازة</w:t>
            </w:r>
            <w:r>
              <w:rPr>
                <w:rStyle w:val="IndexLink"/>
                <w:rtl w:val="true"/>
              </w:rPr>
              <w:tab/>
            </w:r>
            <w:r>
              <w:rPr>
                <w:rStyle w:val="IndexLink"/>
              </w:rPr>
              <w:t>349</w:t>
            </w:r>
          </w:hyperlink>
        </w:p>
        <w:p>
          <w:pPr>
            <w:pStyle w:val="Contents6"/>
            <w:tabs>
              <w:tab w:val="clear" w:pos="7609"/>
              <w:tab w:val="right" w:pos="9026" w:leader="dot"/>
            </w:tabs>
            <w:rPr/>
          </w:pPr>
          <w:hyperlink w:anchor="__RefHeading___Toc2758912_2142443653">
            <w:r>
              <w:rPr>
                <w:webHidden/>
                <w:rStyle w:val="IndexLink"/>
                <w:rtl w:val="true"/>
              </w:rPr>
              <w:t>الأمر الثاني</w:t>
            </w:r>
            <w:r>
              <w:rPr>
                <w:rStyle w:val="IndexLink"/>
                <w:rtl w:val="true"/>
              </w:rPr>
              <w:t xml:space="preserve">: </w:t>
            </w:r>
            <w:r>
              <w:rPr>
                <w:rStyle w:val="IndexLink"/>
                <w:rtl w:val="true"/>
              </w:rPr>
              <w:t>اعتبار وجود المجيز حين العقد</w:t>
            </w:r>
            <w:r>
              <w:rPr>
                <w:rStyle w:val="IndexLink"/>
                <w:rtl w:val="true"/>
              </w:rPr>
              <w:tab/>
            </w:r>
            <w:r>
              <w:rPr>
                <w:rStyle w:val="IndexLink"/>
              </w:rPr>
              <w:t>351</w:t>
            </w:r>
          </w:hyperlink>
        </w:p>
        <w:p>
          <w:pPr>
            <w:pStyle w:val="Contents6"/>
            <w:tabs>
              <w:tab w:val="clear" w:pos="7609"/>
              <w:tab w:val="right" w:pos="9026" w:leader="dot"/>
            </w:tabs>
            <w:rPr/>
          </w:pPr>
          <w:hyperlink w:anchor="__RefHeading___Toc2758914_2142443653">
            <w:r>
              <w:rPr>
                <w:webHidden/>
                <w:rStyle w:val="IndexLink"/>
                <w:rtl w:val="true"/>
              </w:rPr>
              <w:t>الأمر الثالث</w:t>
            </w:r>
            <w:r>
              <w:rPr>
                <w:rStyle w:val="IndexLink"/>
                <w:rtl w:val="true"/>
              </w:rPr>
              <w:t xml:space="preserve">: </w:t>
            </w:r>
            <w:r>
              <w:rPr>
                <w:rStyle w:val="IndexLink"/>
                <w:rtl w:val="true"/>
              </w:rPr>
              <w:t>كون المجيز جائز التصرّف حال العقد</w:t>
            </w:r>
            <w:r>
              <w:rPr>
                <w:rStyle w:val="IndexLink"/>
                <w:rtl w:val="true"/>
              </w:rPr>
              <w:tab/>
            </w:r>
            <w:r>
              <w:rPr>
                <w:rStyle w:val="IndexLink"/>
              </w:rPr>
              <w:t>355</w:t>
            </w:r>
          </w:hyperlink>
        </w:p>
        <w:p>
          <w:pPr>
            <w:pStyle w:val="Contents6"/>
            <w:tabs>
              <w:tab w:val="clear" w:pos="7609"/>
              <w:tab w:val="right" w:pos="9026" w:leader="dot"/>
            </w:tabs>
            <w:rPr/>
          </w:pPr>
          <w:hyperlink w:anchor="__RefHeading___Toc2758916_2142443653">
            <w:r>
              <w:rPr>
                <w:webHidden/>
                <w:rStyle w:val="IndexLink"/>
                <w:rtl w:val="true"/>
              </w:rPr>
              <w:t>إشارة</w:t>
            </w:r>
            <w:r>
              <w:rPr>
                <w:rStyle w:val="IndexLink"/>
                <w:rtl w:val="true"/>
              </w:rPr>
              <w:tab/>
            </w:r>
            <w:r>
              <w:rPr>
                <w:rStyle w:val="IndexLink"/>
              </w:rPr>
              <w:t>355</w:t>
            </w:r>
          </w:hyperlink>
        </w:p>
        <w:p>
          <w:pPr>
            <w:pStyle w:val="Contents6"/>
            <w:tabs>
              <w:tab w:val="clear" w:pos="7609"/>
              <w:tab w:val="right" w:pos="9026" w:leader="dot"/>
            </w:tabs>
            <w:rPr/>
          </w:pPr>
          <w:hyperlink w:anchor="__RefHeading___Toc2758918_2142443653">
            <w:r>
              <w:rPr>
                <w:webHidden/>
                <w:rStyle w:val="IndexLink"/>
                <w:rtl w:val="true"/>
              </w:rPr>
              <w:t>حكم ما لو لم يكن جائز التصرّف بسبب الحجر كالراهن</w:t>
            </w:r>
            <w:r>
              <w:rPr>
                <w:rStyle w:val="IndexLink"/>
                <w:rtl w:val="true"/>
              </w:rPr>
              <w:tab/>
            </w:r>
            <w:r>
              <w:rPr>
                <w:rStyle w:val="IndexLink"/>
              </w:rPr>
              <w:t>355</w:t>
            </w:r>
          </w:hyperlink>
        </w:p>
        <w:p>
          <w:pPr>
            <w:pStyle w:val="Contents6"/>
            <w:tabs>
              <w:tab w:val="clear" w:pos="7609"/>
              <w:tab w:val="right" w:pos="9026" w:leader="dot"/>
            </w:tabs>
            <w:rPr/>
          </w:pPr>
          <w:hyperlink w:anchor="__RefHeading___Toc2758920_2142443653">
            <w:r>
              <w:rPr>
                <w:webHidden/>
                <w:rStyle w:val="IndexLink"/>
                <w:rtl w:val="true"/>
              </w:rPr>
              <w:t>إشارة</w:t>
            </w:r>
            <w:r>
              <w:rPr>
                <w:rStyle w:val="IndexLink"/>
                <w:rtl w:val="true"/>
              </w:rPr>
              <w:tab/>
            </w:r>
            <w:r>
              <w:rPr>
                <w:rStyle w:val="IndexLink"/>
              </w:rPr>
              <w:t>355</w:t>
            </w:r>
          </w:hyperlink>
        </w:p>
        <w:p>
          <w:pPr>
            <w:pStyle w:val="Contents6"/>
            <w:tabs>
              <w:tab w:val="clear" w:pos="7609"/>
              <w:tab w:val="right" w:pos="9026" w:leader="dot"/>
            </w:tabs>
            <w:rPr/>
          </w:pPr>
          <w:hyperlink w:anchor="__RefHeading___Toc2758922_2142443653">
            <w:r>
              <w:rPr>
                <w:webHidden/>
                <w:rStyle w:val="IndexLink"/>
                <w:rtl w:val="true"/>
              </w:rPr>
              <w:t>الأمر الأوّل</w:t>
            </w:r>
            <w:r>
              <w:rPr>
                <w:rStyle w:val="IndexLink"/>
                <w:rtl w:val="true"/>
              </w:rPr>
              <w:t xml:space="preserve">: </w:t>
            </w:r>
            <w:r>
              <w:rPr>
                <w:rStyle w:val="IndexLink"/>
                <w:rtl w:val="true"/>
              </w:rPr>
              <w:t>صحّة بيع الراهن</w:t>
            </w:r>
            <w:r>
              <w:rPr>
                <w:rStyle w:val="IndexLink"/>
                <w:rtl w:val="true"/>
              </w:rPr>
              <w:tab/>
            </w:r>
            <w:r>
              <w:rPr>
                <w:rStyle w:val="IndexLink"/>
              </w:rPr>
              <w:t>356</w:t>
            </w:r>
          </w:hyperlink>
        </w:p>
        <w:p>
          <w:pPr>
            <w:pStyle w:val="Contents6"/>
            <w:tabs>
              <w:tab w:val="clear" w:pos="7609"/>
              <w:tab w:val="right" w:pos="9026" w:leader="dot"/>
            </w:tabs>
            <w:rPr/>
          </w:pPr>
          <w:hyperlink w:anchor="__RefHeading___Toc2758924_2142443653">
            <w:r>
              <w:rPr>
                <w:webHidden/>
                <w:rStyle w:val="IndexLink"/>
                <w:rtl w:val="true"/>
              </w:rPr>
              <w:t>الظاهر هو صحّته</w:t>
            </w:r>
            <w:r>
              <w:rPr>
                <w:rStyle w:val="IndexLink"/>
                <w:rtl w:val="true"/>
              </w:rPr>
              <w:tab/>
            </w:r>
            <w:r>
              <w:rPr>
                <w:rStyle w:val="IndexLink"/>
              </w:rPr>
              <w:t>356</w:t>
            </w:r>
          </w:hyperlink>
        </w:p>
        <w:p>
          <w:pPr>
            <w:pStyle w:val="Contents6"/>
            <w:tabs>
              <w:tab w:val="clear" w:pos="7609"/>
              <w:tab w:val="right" w:pos="9026" w:leader="dot"/>
            </w:tabs>
            <w:rPr/>
          </w:pPr>
          <w:hyperlink w:anchor="__RefHeading___Toc2758926_2142443653">
            <w:r>
              <w:rPr>
                <w:webHidden/>
                <w:rStyle w:val="IndexLink"/>
                <w:rtl w:val="true"/>
              </w:rPr>
              <w:t>كلام المحقّق الأصفهاني في المقام</w:t>
            </w:r>
            <w:r>
              <w:rPr>
                <w:rStyle w:val="IndexLink"/>
                <w:rtl w:val="true"/>
              </w:rPr>
              <w:tab/>
            </w:r>
            <w:r>
              <w:rPr>
                <w:rStyle w:val="IndexLink"/>
              </w:rPr>
              <w:t>357</w:t>
            </w:r>
          </w:hyperlink>
        </w:p>
        <w:p>
          <w:pPr>
            <w:pStyle w:val="Contents6"/>
            <w:tabs>
              <w:tab w:val="clear" w:pos="7609"/>
              <w:tab w:val="right" w:pos="9026" w:leader="dot"/>
            </w:tabs>
            <w:rPr/>
          </w:pPr>
          <w:hyperlink w:anchor="__RefHeading___Toc2758928_2142443653">
            <w:r>
              <w:rPr>
                <w:webHidden/>
                <w:rStyle w:val="IndexLink"/>
                <w:rtl w:val="true"/>
              </w:rPr>
              <w:t>الأمر الثاني</w:t>
            </w:r>
            <w:r>
              <w:rPr>
                <w:rStyle w:val="IndexLink"/>
                <w:rtl w:val="true"/>
              </w:rPr>
              <w:t xml:space="preserve">: </w:t>
            </w:r>
            <w:r>
              <w:rPr>
                <w:rStyle w:val="IndexLink"/>
                <w:rtl w:val="true"/>
              </w:rPr>
              <w:t>حول لزوم الإجازة بعد فكّ الرهن</w:t>
            </w:r>
            <w:r>
              <w:rPr>
                <w:rStyle w:val="IndexLink"/>
                <w:rtl w:val="true"/>
              </w:rPr>
              <w:tab/>
            </w:r>
            <w:r>
              <w:rPr>
                <w:rStyle w:val="IndexLink"/>
              </w:rPr>
              <w:t>361</w:t>
            </w:r>
          </w:hyperlink>
        </w:p>
        <w:p>
          <w:pPr>
            <w:pStyle w:val="Contents6"/>
            <w:tabs>
              <w:tab w:val="clear" w:pos="7609"/>
              <w:tab w:val="right" w:pos="9026" w:leader="dot"/>
            </w:tabs>
            <w:rPr/>
          </w:pPr>
          <w:hyperlink w:anchor="__RefHeading___Toc2758930_2142443653">
            <w:r>
              <w:rPr>
                <w:webHidden/>
                <w:rStyle w:val="IndexLink"/>
                <w:rtl w:val="true"/>
              </w:rPr>
              <w:t>الأمر الثالث</w:t>
            </w:r>
            <w:r>
              <w:rPr>
                <w:rStyle w:val="IndexLink"/>
                <w:rtl w:val="true"/>
              </w:rPr>
              <w:t xml:space="preserve">: </w:t>
            </w:r>
            <w:r>
              <w:rPr>
                <w:rStyle w:val="IndexLink"/>
                <w:rtl w:val="true"/>
              </w:rPr>
              <w:t>جريان نزاع الكشف والنقل في المقام</w:t>
            </w:r>
            <w:r>
              <w:rPr>
                <w:rStyle w:val="IndexLink"/>
                <w:rtl w:val="true"/>
              </w:rPr>
              <w:tab/>
            </w:r>
            <w:r>
              <w:rPr>
                <w:rStyle w:val="IndexLink"/>
              </w:rPr>
              <w:t>362</w:t>
            </w:r>
          </w:hyperlink>
        </w:p>
        <w:p>
          <w:pPr>
            <w:pStyle w:val="Contents6"/>
            <w:tabs>
              <w:tab w:val="clear" w:pos="7609"/>
              <w:tab w:val="right" w:pos="9026" w:leader="dot"/>
            </w:tabs>
            <w:rPr/>
          </w:pPr>
          <w:hyperlink w:anchor="__RefHeading___Toc2758932_2142443653">
            <w:r>
              <w:rPr>
                <w:webHidden/>
                <w:rStyle w:val="IndexLink"/>
                <w:rtl w:val="true"/>
              </w:rPr>
              <w:t>حكم ما لو لم يكن جائز التصرّف بسبب عدم الملك</w:t>
            </w:r>
            <w:r>
              <w:rPr>
                <w:rStyle w:val="IndexLink"/>
                <w:rtl w:val="true"/>
              </w:rPr>
              <w:tab/>
            </w:r>
            <w:r>
              <w:rPr>
                <w:rStyle w:val="IndexLink"/>
              </w:rPr>
              <w:t>364</w:t>
            </w:r>
          </w:hyperlink>
        </w:p>
        <w:p>
          <w:pPr>
            <w:pStyle w:val="Contents6"/>
            <w:tabs>
              <w:tab w:val="clear" w:pos="7609"/>
              <w:tab w:val="right" w:pos="9026" w:leader="dot"/>
            </w:tabs>
            <w:rPr/>
          </w:pPr>
          <w:hyperlink w:anchor="__RefHeading___Toc2758934_2142443653">
            <w:r>
              <w:rPr>
                <w:webHidden/>
                <w:rStyle w:val="IndexLink"/>
                <w:rtl w:val="true"/>
              </w:rPr>
              <w:t>إشارة</w:t>
            </w:r>
            <w:r>
              <w:rPr>
                <w:rStyle w:val="IndexLink"/>
                <w:rtl w:val="true"/>
              </w:rPr>
              <w:tab/>
            </w:r>
            <w:r>
              <w:rPr>
                <w:rStyle w:val="IndexLink"/>
              </w:rPr>
              <w:t>364</w:t>
            </w:r>
          </w:hyperlink>
        </w:p>
        <w:p>
          <w:pPr>
            <w:pStyle w:val="Contents6"/>
            <w:tabs>
              <w:tab w:val="clear" w:pos="7609"/>
              <w:tab w:val="right" w:pos="9026" w:leader="dot"/>
            </w:tabs>
            <w:rPr/>
          </w:pPr>
          <w:hyperlink w:anchor="__RefHeading___Toc2758936_2142443653">
            <w:r>
              <w:rPr>
                <w:webHidden/>
                <w:rStyle w:val="IndexLink"/>
                <w:rtl w:val="true"/>
              </w:rPr>
              <w:t>من باع شيئاً ثمّ ملكه</w:t>
            </w:r>
            <w:r>
              <w:rPr>
                <w:rStyle w:val="IndexLink"/>
                <w:rtl w:val="true"/>
              </w:rPr>
              <w:tab/>
            </w:r>
            <w:r>
              <w:rPr>
                <w:rStyle w:val="IndexLink"/>
              </w:rPr>
              <w:t>364</w:t>
            </w:r>
          </w:hyperlink>
        </w:p>
        <w:p>
          <w:pPr>
            <w:pStyle w:val="Contents6"/>
            <w:tabs>
              <w:tab w:val="clear" w:pos="7609"/>
              <w:tab w:val="right" w:pos="9026" w:leader="dot"/>
            </w:tabs>
            <w:rPr/>
          </w:pPr>
          <w:hyperlink w:anchor="__RefHeading___Toc2758938_2142443653">
            <w:r>
              <w:rPr>
                <w:webHidden/>
                <w:rStyle w:val="IndexLink"/>
                <w:rtl w:val="true"/>
              </w:rPr>
              <w:t>إشكالات صاحب المقابس قدّس سرّه</w:t>
            </w:r>
            <w:r>
              <w:rPr>
                <w:rStyle w:val="IndexLink"/>
                <w:rtl w:val="true"/>
              </w:rPr>
              <w:tab/>
            </w:r>
            <w:r>
              <w:rPr>
                <w:rStyle w:val="IndexLink"/>
              </w:rPr>
              <w:t>366</w:t>
            </w:r>
          </w:hyperlink>
        </w:p>
        <w:p>
          <w:pPr>
            <w:pStyle w:val="Contents6"/>
            <w:tabs>
              <w:tab w:val="clear" w:pos="7609"/>
              <w:tab w:val="right" w:pos="9026" w:leader="dot"/>
            </w:tabs>
            <w:rPr/>
          </w:pPr>
          <w:hyperlink w:anchor="__RefHeading___Toc2758940_2142443653">
            <w:r>
              <w:rPr>
                <w:webHidden/>
                <w:rStyle w:val="IndexLink"/>
                <w:rtl w:val="true"/>
              </w:rPr>
              <w:t>إشارة</w:t>
            </w:r>
            <w:r>
              <w:rPr>
                <w:rStyle w:val="IndexLink"/>
                <w:rtl w:val="true"/>
              </w:rPr>
              <w:tab/>
            </w:r>
            <w:r>
              <w:rPr>
                <w:rStyle w:val="IndexLink"/>
              </w:rPr>
              <w:t>366</w:t>
            </w:r>
          </w:hyperlink>
        </w:p>
        <w:p>
          <w:pPr>
            <w:pStyle w:val="Contents6"/>
            <w:tabs>
              <w:tab w:val="clear" w:pos="7609"/>
              <w:tab w:val="right" w:pos="9026" w:leader="dot"/>
            </w:tabs>
            <w:rPr/>
          </w:pPr>
          <w:hyperlink w:anchor="__RefHeading___Toc2758942_2142443653">
            <w:r>
              <w:rPr>
                <w:webHidden/>
                <w:rStyle w:val="IndexLink"/>
                <w:rtl w:val="true"/>
              </w:rPr>
              <w:t>الإشكال الأوّل</w:t>
            </w:r>
            <w:r>
              <w:rPr>
                <w:rStyle w:val="IndexLink"/>
                <w:rtl w:val="true"/>
              </w:rPr>
              <w:t>:</w:t>
              <w:tab/>
            </w:r>
            <w:r>
              <w:rPr>
                <w:rStyle w:val="IndexLink"/>
              </w:rPr>
              <w:t>366</w:t>
            </w:r>
          </w:hyperlink>
        </w:p>
        <w:p>
          <w:pPr>
            <w:pStyle w:val="Contents6"/>
            <w:tabs>
              <w:tab w:val="clear" w:pos="7609"/>
              <w:tab w:val="right" w:pos="9026" w:leader="dot"/>
            </w:tabs>
            <w:rPr/>
          </w:pPr>
          <w:hyperlink w:anchor="__RefHeading___Toc2758944_2142443653">
            <w:r>
              <w:rPr>
                <w:webHidden/>
                <w:rStyle w:val="IndexLink"/>
                <w:rtl w:val="true"/>
              </w:rPr>
              <w:t>الإشكال الثاني</w:t>
            </w:r>
            <w:r>
              <w:rPr>
                <w:rStyle w:val="IndexLink"/>
                <w:rtl w:val="true"/>
              </w:rPr>
              <w:t>:</w:t>
              <w:tab/>
            </w:r>
            <w:r>
              <w:rPr>
                <w:rStyle w:val="IndexLink"/>
              </w:rPr>
              <w:t>371</w:t>
            </w:r>
          </w:hyperlink>
        </w:p>
        <w:p>
          <w:pPr>
            <w:pStyle w:val="Contents6"/>
            <w:tabs>
              <w:tab w:val="clear" w:pos="7609"/>
              <w:tab w:val="right" w:pos="9026" w:leader="dot"/>
            </w:tabs>
            <w:rPr/>
          </w:pPr>
          <w:hyperlink w:anchor="__RefHeading___Toc2758946_2142443653">
            <w:r>
              <w:rPr>
                <w:webHidden/>
                <w:rStyle w:val="IndexLink"/>
                <w:rtl w:val="true"/>
              </w:rPr>
              <w:t>الإشكال الثالث</w:t>
            </w:r>
            <w:r>
              <w:rPr>
                <w:rStyle w:val="IndexLink"/>
                <w:rtl w:val="true"/>
              </w:rPr>
              <w:t>:</w:t>
              <w:tab/>
            </w:r>
            <w:r>
              <w:rPr>
                <w:rStyle w:val="IndexLink"/>
              </w:rPr>
              <w:t>374</w:t>
            </w:r>
          </w:hyperlink>
        </w:p>
        <w:p>
          <w:pPr>
            <w:pStyle w:val="Contents6"/>
            <w:tabs>
              <w:tab w:val="clear" w:pos="7609"/>
              <w:tab w:val="right" w:pos="9026" w:leader="dot"/>
            </w:tabs>
            <w:rPr/>
          </w:pPr>
          <w:hyperlink w:anchor="__RefHeading___Toc2758948_2142443653">
            <w:r>
              <w:rPr>
                <w:webHidden/>
                <w:rStyle w:val="IndexLink"/>
                <w:rtl w:val="true"/>
              </w:rPr>
              <w:t>بيانه</w:t>
            </w:r>
            <w:r>
              <w:rPr>
                <w:rStyle w:val="IndexLink"/>
                <w:rtl w:val="true"/>
              </w:rPr>
              <w:tab/>
            </w:r>
            <w:r>
              <w:rPr>
                <w:rStyle w:val="IndexLink"/>
              </w:rPr>
              <w:t>374</w:t>
            </w:r>
          </w:hyperlink>
        </w:p>
        <w:p>
          <w:pPr>
            <w:pStyle w:val="Contents6"/>
            <w:tabs>
              <w:tab w:val="clear" w:pos="7609"/>
              <w:tab w:val="right" w:pos="9026" w:leader="dot"/>
            </w:tabs>
            <w:rPr/>
          </w:pPr>
          <w:hyperlink w:anchor="__RefHeading___Toc2758950_2142443653">
            <w:r>
              <w:rPr>
                <w:webHidden/>
                <w:rStyle w:val="IndexLink"/>
                <w:rtl w:val="true"/>
              </w:rPr>
              <w:t>كلام المحقّق النائيني في المقام</w:t>
            </w:r>
            <w:r>
              <w:rPr>
                <w:rStyle w:val="IndexLink"/>
                <w:rtl w:val="true"/>
              </w:rPr>
              <w:tab/>
            </w:r>
            <w:r>
              <w:rPr>
                <w:rStyle w:val="IndexLink"/>
              </w:rPr>
              <w:t>379</w:t>
            </w:r>
          </w:hyperlink>
        </w:p>
        <w:p>
          <w:pPr>
            <w:pStyle w:val="Contents6"/>
            <w:tabs>
              <w:tab w:val="clear" w:pos="7609"/>
              <w:tab w:val="right" w:pos="9026" w:leader="dot"/>
            </w:tabs>
            <w:rPr/>
          </w:pPr>
          <w:hyperlink w:anchor="__RefHeading___Toc2758952_2142443653">
            <w:r>
              <w:rPr>
                <w:webHidden/>
                <w:rStyle w:val="IndexLink"/>
                <w:rtl w:val="true"/>
              </w:rPr>
              <w:t>الإشكال الرابع</w:t>
            </w:r>
            <w:r>
              <w:rPr>
                <w:rStyle w:val="IndexLink"/>
                <w:rtl w:val="true"/>
              </w:rPr>
              <w:t>:</w:t>
              <w:tab/>
            </w:r>
            <w:r>
              <w:rPr>
                <w:rStyle w:val="IndexLink"/>
              </w:rPr>
              <w:t>381</w:t>
            </w:r>
          </w:hyperlink>
        </w:p>
        <w:p>
          <w:pPr>
            <w:pStyle w:val="Contents6"/>
            <w:tabs>
              <w:tab w:val="clear" w:pos="7609"/>
              <w:tab w:val="right" w:pos="9026" w:leader="dot"/>
            </w:tabs>
            <w:rPr/>
          </w:pPr>
          <w:hyperlink w:anchor="__RefHeading___Toc2758954_2142443653">
            <w:r>
              <w:rPr>
                <w:webHidden/>
                <w:rStyle w:val="IndexLink"/>
                <w:rtl w:val="true"/>
              </w:rPr>
              <w:t>بيانه</w:t>
            </w:r>
            <w:r>
              <w:rPr>
                <w:rStyle w:val="IndexLink"/>
                <w:rtl w:val="true"/>
              </w:rPr>
              <w:tab/>
            </w:r>
            <w:r>
              <w:rPr>
                <w:rStyle w:val="IndexLink"/>
              </w:rPr>
              <w:t>381</w:t>
            </w:r>
          </w:hyperlink>
        </w:p>
        <w:p>
          <w:pPr>
            <w:pStyle w:val="Contents6"/>
            <w:tabs>
              <w:tab w:val="clear" w:pos="7609"/>
              <w:tab w:val="right" w:pos="9026" w:leader="dot"/>
            </w:tabs>
            <w:rPr/>
          </w:pPr>
          <w:hyperlink w:anchor="__RefHeading___Toc2758956_2142443653">
            <w:r>
              <w:rPr>
                <w:webHidden/>
                <w:rStyle w:val="IndexLink"/>
                <w:rtl w:val="true"/>
              </w:rPr>
              <w:t>أجوبة المحقّقين عن الإشكال العامّ</w:t>
            </w:r>
            <w:r>
              <w:rPr>
                <w:rStyle w:val="IndexLink"/>
                <w:rtl w:val="true"/>
              </w:rPr>
              <w:tab/>
            </w:r>
            <w:r>
              <w:rPr>
                <w:rStyle w:val="IndexLink"/>
              </w:rPr>
              <w:t>382</w:t>
            </w:r>
          </w:hyperlink>
        </w:p>
        <w:p>
          <w:pPr>
            <w:pStyle w:val="Contents6"/>
            <w:tabs>
              <w:tab w:val="clear" w:pos="7609"/>
              <w:tab w:val="right" w:pos="9026" w:leader="dot"/>
            </w:tabs>
            <w:rPr/>
          </w:pPr>
          <w:hyperlink w:anchor="__RefHeading___Toc2758958_2142443653">
            <w:r>
              <w:rPr>
                <w:webHidden/>
                <w:rStyle w:val="IndexLink"/>
                <w:rtl w:val="true"/>
              </w:rPr>
              <w:t>الإشكال الخامس</w:t>
            </w:r>
            <w:r>
              <w:rPr>
                <w:rStyle w:val="IndexLink"/>
                <w:rtl w:val="true"/>
              </w:rPr>
              <w:t>:</w:t>
              <w:tab/>
            </w:r>
            <w:r>
              <w:rPr>
                <w:rStyle w:val="IndexLink"/>
              </w:rPr>
              <w:t>390</w:t>
            </w:r>
          </w:hyperlink>
        </w:p>
        <w:p>
          <w:pPr>
            <w:pStyle w:val="Contents6"/>
            <w:tabs>
              <w:tab w:val="clear" w:pos="7609"/>
              <w:tab w:val="right" w:pos="9026" w:leader="dot"/>
            </w:tabs>
            <w:rPr/>
          </w:pPr>
          <w:hyperlink w:anchor="__RefHeading___Toc2758960_2142443653">
            <w:r>
              <w:rPr>
                <w:webHidden/>
                <w:rStyle w:val="IndexLink"/>
                <w:rtl w:val="true"/>
              </w:rPr>
              <w:t>الإشكال السادس</w:t>
            </w:r>
            <w:r>
              <w:rPr>
                <w:rStyle w:val="IndexLink"/>
                <w:rtl w:val="true"/>
              </w:rPr>
              <w:t>:</w:t>
              <w:tab/>
            </w:r>
            <w:r>
              <w:rPr>
                <w:rStyle w:val="IndexLink"/>
              </w:rPr>
              <w:t>393</w:t>
            </w:r>
          </w:hyperlink>
        </w:p>
        <w:p>
          <w:pPr>
            <w:pStyle w:val="Contents6"/>
            <w:tabs>
              <w:tab w:val="clear" w:pos="7609"/>
              <w:tab w:val="right" w:pos="9026" w:leader="dot"/>
            </w:tabs>
            <w:rPr/>
          </w:pPr>
          <w:hyperlink w:anchor="__RefHeading___Toc2758962_2142443653">
            <w:r>
              <w:rPr>
                <w:webHidden/>
                <w:rStyle w:val="IndexLink"/>
                <w:rtl w:val="true"/>
              </w:rPr>
              <w:t>الإشكال السابع</w:t>
            </w:r>
            <w:r>
              <w:rPr>
                <w:rStyle w:val="IndexLink"/>
                <w:rtl w:val="true"/>
              </w:rPr>
              <w:t>:</w:t>
              <w:tab/>
            </w:r>
            <w:r>
              <w:rPr>
                <w:rStyle w:val="IndexLink"/>
              </w:rPr>
              <w:t>397</w:t>
            </w:r>
          </w:hyperlink>
        </w:p>
        <w:p>
          <w:pPr>
            <w:pStyle w:val="Contents6"/>
            <w:tabs>
              <w:tab w:val="clear" w:pos="7609"/>
              <w:tab w:val="right" w:pos="9026" w:leader="dot"/>
            </w:tabs>
            <w:rPr/>
          </w:pPr>
          <w:hyperlink w:anchor="__RefHeading___Toc2758964_2142443653">
            <w:r>
              <w:rPr>
                <w:webHidden/>
                <w:rStyle w:val="IndexLink"/>
                <w:rtl w:val="true"/>
              </w:rPr>
              <w:t>إشارة</w:t>
            </w:r>
            <w:r>
              <w:rPr>
                <w:rStyle w:val="IndexLink"/>
                <w:rtl w:val="true"/>
              </w:rPr>
              <w:tab/>
            </w:r>
            <w:r>
              <w:rPr>
                <w:rStyle w:val="IndexLink"/>
              </w:rPr>
              <w:t>397</w:t>
            </w:r>
          </w:hyperlink>
        </w:p>
        <w:p>
          <w:pPr>
            <w:pStyle w:val="Contents6"/>
            <w:tabs>
              <w:tab w:val="clear" w:pos="7609"/>
              <w:tab w:val="right" w:pos="9026" w:leader="dot"/>
            </w:tabs>
            <w:rPr/>
          </w:pPr>
          <w:hyperlink w:anchor="__RefHeading___Toc2758966_2142443653">
            <w:r>
              <w:rPr>
                <w:webHidden/>
                <w:rStyle w:val="IndexLink"/>
                <w:rtl w:val="true"/>
              </w:rPr>
              <w:t>الأخبار الناهية عن بيع ما ليس عندك</w:t>
            </w:r>
            <w:r>
              <w:rPr>
                <w:rStyle w:val="IndexLink"/>
                <w:rtl w:val="true"/>
              </w:rPr>
              <w:tab/>
            </w:r>
            <w:r>
              <w:rPr>
                <w:rStyle w:val="IndexLink"/>
              </w:rPr>
              <w:t>397</w:t>
            </w:r>
          </w:hyperlink>
        </w:p>
        <w:p>
          <w:pPr>
            <w:pStyle w:val="Contents6"/>
            <w:tabs>
              <w:tab w:val="clear" w:pos="7609"/>
              <w:tab w:val="right" w:pos="9026" w:leader="dot"/>
            </w:tabs>
            <w:rPr/>
          </w:pPr>
          <w:hyperlink w:anchor="__RefHeading___Toc2758968_2142443653">
            <w:r>
              <w:rPr>
                <w:webHidden/>
                <w:rStyle w:val="IndexLink"/>
                <w:rtl w:val="true"/>
              </w:rPr>
              <w:t xml:space="preserve">الإشكال بروايات </w:t>
            </w:r>
            <w:r>
              <w:rPr>
                <w:rStyle w:val="IndexLink"/>
                <w:rtl w:val="true"/>
              </w:rPr>
              <w:t>«</w:t>
            </w:r>
            <w:r>
              <w:rPr>
                <w:rStyle w:val="IndexLink"/>
                <w:rtl w:val="true"/>
              </w:rPr>
              <w:t>لا بيع إلاّ فيما تملك</w:t>
            </w:r>
            <w:r>
              <w:rPr>
                <w:rStyle w:val="IndexLink"/>
                <w:rtl w:val="true"/>
              </w:rPr>
              <w:t>»</w:t>
              <w:tab/>
            </w:r>
            <w:r>
              <w:rPr>
                <w:rStyle w:val="IndexLink"/>
              </w:rPr>
              <w:t>401</w:t>
            </w:r>
          </w:hyperlink>
        </w:p>
        <w:p>
          <w:pPr>
            <w:pStyle w:val="Contents6"/>
            <w:tabs>
              <w:tab w:val="clear" w:pos="7609"/>
              <w:tab w:val="right" w:pos="9026" w:leader="dot"/>
            </w:tabs>
            <w:rPr/>
          </w:pPr>
          <w:hyperlink w:anchor="__RefHeading___Toc2758970_2142443653">
            <w:r>
              <w:rPr>
                <w:webHidden/>
                <w:rStyle w:val="IndexLink"/>
                <w:rtl w:val="true"/>
              </w:rPr>
              <w:t>الإشكال برواية خالد بن الحجّاج</w:t>
            </w:r>
            <w:r>
              <w:rPr>
                <w:rStyle w:val="IndexLink"/>
                <w:rtl w:val="true"/>
              </w:rPr>
              <w:tab/>
            </w:r>
            <w:r>
              <w:rPr>
                <w:rStyle w:val="IndexLink"/>
              </w:rPr>
              <w:t>402</w:t>
            </w:r>
          </w:hyperlink>
        </w:p>
        <w:p>
          <w:pPr>
            <w:pStyle w:val="Contents6"/>
            <w:tabs>
              <w:tab w:val="clear" w:pos="7609"/>
              <w:tab w:val="right" w:pos="9026" w:leader="dot"/>
            </w:tabs>
            <w:rPr/>
          </w:pPr>
          <w:hyperlink w:anchor="__RefHeading___Toc2758972_2142443653">
            <w:r>
              <w:rPr>
                <w:webHidden/>
                <w:rStyle w:val="IndexLink"/>
                <w:rtl w:val="true"/>
              </w:rPr>
              <w:t>الإشكال بصحيحة يحيى بن الحجّاج</w:t>
            </w:r>
            <w:r>
              <w:rPr>
                <w:rStyle w:val="IndexLink"/>
                <w:rtl w:val="true"/>
              </w:rPr>
              <w:tab/>
            </w:r>
            <w:r>
              <w:rPr>
                <w:rStyle w:val="IndexLink"/>
              </w:rPr>
              <w:t>405</w:t>
            </w:r>
          </w:hyperlink>
        </w:p>
        <w:p>
          <w:pPr>
            <w:pStyle w:val="Contents6"/>
            <w:tabs>
              <w:tab w:val="clear" w:pos="7609"/>
              <w:tab w:val="right" w:pos="9026" w:leader="dot"/>
            </w:tabs>
            <w:rPr/>
          </w:pPr>
          <w:hyperlink w:anchor="__RefHeading___Toc2758974_2142443653">
            <w:r>
              <w:rPr>
                <w:webHidden/>
                <w:rStyle w:val="IndexLink"/>
                <w:rtl w:val="true"/>
              </w:rPr>
              <w:t>الإشكال بروايات ظاهرة في بيع الكلّي</w:t>
            </w:r>
            <w:r>
              <w:rPr>
                <w:rStyle w:val="IndexLink"/>
                <w:rtl w:val="true"/>
              </w:rPr>
              <w:tab/>
            </w:r>
            <w:r>
              <w:rPr>
                <w:rStyle w:val="IndexLink"/>
              </w:rPr>
              <w:t>407</w:t>
            </w:r>
          </w:hyperlink>
        </w:p>
        <w:p>
          <w:pPr>
            <w:pStyle w:val="Contents6"/>
            <w:tabs>
              <w:tab w:val="clear" w:pos="7609"/>
              <w:tab w:val="right" w:pos="9026" w:leader="dot"/>
            </w:tabs>
            <w:rPr/>
          </w:pPr>
          <w:hyperlink w:anchor="__RefHeading___Toc2758976_2142443653">
            <w:r>
              <w:rPr>
                <w:webHidden/>
                <w:rStyle w:val="IndexLink"/>
                <w:rtl w:val="true"/>
              </w:rPr>
              <w:t>المسائل التي لا ينبغي الخلط بينها</w:t>
            </w:r>
            <w:r>
              <w:rPr>
                <w:rStyle w:val="IndexLink"/>
                <w:rtl w:val="true"/>
              </w:rPr>
              <w:tab/>
            </w:r>
            <w:r>
              <w:rPr>
                <w:rStyle w:val="IndexLink"/>
              </w:rPr>
              <w:t>408</w:t>
            </w:r>
          </w:hyperlink>
        </w:p>
        <w:p>
          <w:pPr>
            <w:pStyle w:val="Contents6"/>
            <w:tabs>
              <w:tab w:val="clear" w:pos="7609"/>
              <w:tab w:val="right" w:pos="9026" w:leader="dot"/>
            </w:tabs>
            <w:rPr/>
          </w:pPr>
          <w:hyperlink w:anchor="__RefHeading___Toc2758978_2142443653">
            <w:r>
              <w:rPr>
                <w:webHidden/>
                <w:rStyle w:val="IndexLink"/>
                <w:rtl w:val="true"/>
              </w:rPr>
              <w:t>تأييد الشيخ قدّس سرّه البطلان برواية الحسن بن زياد</w:t>
            </w:r>
            <w:r>
              <w:rPr>
                <w:rStyle w:val="IndexLink"/>
                <w:rtl w:val="true"/>
              </w:rPr>
              <w:tab/>
            </w:r>
            <w:r>
              <w:rPr>
                <w:rStyle w:val="IndexLink"/>
              </w:rPr>
              <w:t>410</w:t>
            </w:r>
          </w:hyperlink>
        </w:p>
        <w:p>
          <w:pPr>
            <w:pStyle w:val="Contents6"/>
            <w:tabs>
              <w:tab w:val="clear" w:pos="7609"/>
              <w:tab w:val="right" w:pos="9026" w:leader="dot"/>
            </w:tabs>
            <w:rPr/>
          </w:pPr>
          <w:hyperlink w:anchor="__RefHeading___Toc2758980_2142443653">
            <w:r>
              <w:rPr>
                <w:webHidden/>
                <w:rStyle w:val="IndexLink"/>
                <w:rtl w:val="true"/>
              </w:rPr>
              <w:t>تأييد الصحّة بصحيحة معاوية بن وهب</w:t>
            </w:r>
            <w:r>
              <w:rPr>
                <w:rStyle w:val="IndexLink"/>
                <w:rtl w:val="true"/>
              </w:rPr>
              <w:tab/>
            </w:r>
            <w:r>
              <w:rPr>
                <w:rStyle w:val="IndexLink"/>
              </w:rPr>
              <w:t>411</w:t>
            </w:r>
          </w:hyperlink>
        </w:p>
        <w:p>
          <w:pPr>
            <w:pStyle w:val="Contents6"/>
            <w:tabs>
              <w:tab w:val="clear" w:pos="7609"/>
              <w:tab w:val="right" w:pos="9026" w:leader="dot"/>
            </w:tabs>
            <w:rPr/>
          </w:pPr>
          <w:hyperlink w:anchor="__RefHeading___Toc2758982_2142443653">
            <w:r>
              <w:rPr>
                <w:webHidden/>
                <w:rStyle w:val="IndexLink"/>
                <w:rtl w:val="true"/>
              </w:rPr>
              <w:t>بيان مورد الروايات المانعة</w:t>
            </w:r>
            <w:r>
              <w:rPr>
                <w:rStyle w:val="IndexLink"/>
                <w:rtl w:val="true"/>
              </w:rPr>
              <w:tab/>
            </w:r>
            <w:r>
              <w:rPr>
                <w:rStyle w:val="IndexLink"/>
              </w:rPr>
              <w:t>412</w:t>
            </w:r>
          </w:hyperlink>
        </w:p>
        <w:p>
          <w:pPr>
            <w:pStyle w:val="Contents6"/>
            <w:tabs>
              <w:tab w:val="clear" w:pos="7609"/>
              <w:tab w:val="right" w:pos="9026" w:leader="dot"/>
            </w:tabs>
            <w:rPr/>
          </w:pPr>
          <w:hyperlink w:anchor="__RefHeading___Toc2758984_2142443653">
            <w:r>
              <w:rPr>
                <w:webHidden/>
                <w:rStyle w:val="IndexLink"/>
                <w:rtl w:val="true"/>
              </w:rPr>
              <w:t>حول اعتبار الإجازة بعد تملّك البائع في المقام</w:t>
            </w:r>
            <w:r>
              <w:rPr>
                <w:rStyle w:val="IndexLink"/>
                <w:rtl w:val="true"/>
              </w:rPr>
              <w:tab/>
            </w:r>
            <w:r>
              <w:rPr>
                <w:rStyle w:val="IndexLink"/>
              </w:rPr>
              <w:t>414</w:t>
            </w:r>
          </w:hyperlink>
        </w:p>
        <w:p>
          <w:pPr>
            <w:pStyle w:val="Contents6"/>
            <w:tabs>
              <w:tab w:val="clear" w:pos="7609"/>
              <w:tab w:val="right" w:pos="9026" w:leader="dot"/>
            </w:tabs>
            <w:rPr/>
          </w:pPr>
          <w:hyperlink w:anchor="__RefHeading___Toc2758986_2142443653">
            <w:r>
              <w:rPr>
                <w:webHidden/>
                <w:rStyle w:val="IndexLink"/>
                <w:rtl w:val="true"/>
              </w:rPr>
              <w:t>الأشبه بالقواعد عدم الاحتياج</w:t>
            </w:r>
            <w:r>
              <w:rPr>
                <w:rStyle w:val="IndexLink"/>
                <w:rtl w:val="true"/>
              </w:rPr>
              <w:tab/>
            </w:r>
            <w:r>
              <w:rPr>
                <w:rStyle w:val="IndexLink"/>
              </w:rPr>
              <w:t>414</w:t>
            </w:r>
          </w:hyperlink>
        </w:p>
        <w:p>
          <w:pPr>
            <w:pStyle w:val="Contents6"/>
            <w:tabs>
              <w:tab w:val="clear" w:pos="7609"/>
              <w:tab w:val="right" w:pos="9026" w:leader="dot"/>
            </w:tabs>
            <w:rPr/>
          </w:pPr>
          <w:hyperlink w:anchor="__RefHeading___Toc2758988_2142443653">
            <w:r>
              <w:rPr>
                <w:webHidden/>
                <w:rStyle w:val="IndexLink"/>
                <w:rtl w:val="true"/>
              </w:rPr>
              <w:t>حول كلام الشيخ قدّس سرّه في المقام</w:t>
            </w:r>
            <w:r>
              <w:rPr>
                <w:rStyle w:val="IndexLink"/>
                <w:rtl w:val="true"/>
              </w:rPr>
              <w:tab/>
            </w:r>
            <w:r>
              <w:rPr>
                <w:rStyle w:val="IndexLink"/>
              </w:rPr>
              <w:t>415</w:t>
            </w:r>
          </w:hyperlink>
        </w:p>
        <w:p>
          <w:pPr>
            <w:pStyle w:val="Contents6"/>
            <w:tabs>
              <w:tab w:val="clear" w:pos="7609"/>
              <w:tab w:val="right" w:pos="9026" w:leader="dot"/>
            </w:tabs>
            <w:rPr/>
          </w:pPr>
          <w:hyperlink w:anchor="__RefHeading___Toc2758990_2142443653">
            <w:r>
              <w:rPr>
                <w:webHidden/>
                <w:rStyle w:val="IndexLink"/>
                <w:rtl w:val="true"/>
              </w:rPr>
              <w:t>حكم ما لو باع معتقداً بكونه غير جائز التصرّف فبان خلافه</w:t>
            </w:r>
            <w:r>
              <w:rPr>
                <w:rStyle w:val="IndexLink"/>
                <w:rtl w:val="true"/>
              </w:rPr>
              <w:tab/>
            </w:r>
            <w:r>
              <w:rPr>
                <w:rStyle w:val="IndexLink"/>
              </w:rPr>
              <w:t>419</w:t>
            </w:r>
          </w:hyperlink>
        </w:p>
        <w:p>
          <w:pPr>
            <w:pStyle w:val="Contents6"/>
            <w:tabs>
              <w:tab w:val="clear" w:pos="7609"/>
              <w:tab w:val="right" w:pos="9026" w:leader="dot"/>
            </w:tabs>
            <w:rPr/>
          </w:pPr>
          <w:hyperlink w:anchor="__RefHeading___Toc2758992_2142443653">
            <w:r>
              <w:rPr>
                <w:webHidden/>
                <w:rStyle w:val="IndexLink"/>
                <w:rtl w:val="true"/>
              </w:rPr>
              <w:t>إشارة</w:t>
            </w:r>
            <w:r>
              <w:rPr>
                <w:rStyle w:val="IndexLink"/>
                <w:rtl w:val="true"/>
              </w:rPr>
              <w:tab/>
            </w:r>
            <w:r>
              <w:rPr>
                <w:rStyle w:val="IndexLink"/>
              </w:rPr>
              <w:t>419</w:t>
            </w:r>
          </w:hyperlink>
        </w:p>
        <w:p>
          <w:pPr>
            <w:pStyle w:val="Contents6"/>
            <w:tabs>
              <w:tab w:val="clear" w:pos="7609"/>
              <w:tab w:val="right" w:pos="9026" w:leader="dot"/>
            </w:tabs>
            <w:rPr/>
          </w:pPr>
          <w:hyperlink w:anchor="__RefHeading___Toc2758994_2142443653">
            <w:r>
              <w:rPr>
                <w:webHidden/>
                <w:rStyle w:val="IndexLink"/>
                <w:rtl w:val="true"/>
              </w:rPr>
              <w:t>الاُولى</w:t>
            </w:r>
            <w:r>
              <w:rPr>
                <w:rStyle w:val="IndexLink"/>
                <w:rtl w:val="true"/>
              </w:rPr>
              <w:t xml:space="preserve">: </w:t>
            </w:r>
            <w:r>
              <w:rPr>
                <w:rStyle w:val="IndexLink"/>
                <w:rtl w:val="true"/>
              </w:rPr>
              <w:t>أن يبيع عن المالك، فينكشف كونه وليّاً</w:t>
            </w:r>
            <w:r>
              <w:rPr>
                <w:rStyle w:val="IndexLink"/>
                <w:rtl w:val="true"/>
              </w:rPr>
              <w:t>.</w:t>
              <w:tab/>
            </w:r>
            <w:r>
              <w:rPr>
                <w:rStyle w:val="IndexLink"/>
              </w:rPr>
              <w:t>419</w:t>
            </w:r>
          </w:hyperlink>
        </w:p>
        <w:p>
          <w:pPr>
            <w:pStyle w:val="Contents6"/>
            <w:tabs>
              <w:tab w:val="clear" w:pos="7609"/>
              <w:tab w:val="right" w:pos="9026" w:leader="dot"/>
            </w:tabs>
            <w:rPr/>
          </w:pPr>
          <w:hyperlink w:anchor="__RefHeading___Toc2758996_2142443653">
            <w:r>
              <w:rPr>
                <w:webHidden/>
                <w:rStyle w:val="IndexLink"/>
                <w:rtl w:val="true"/>
              </w:rPr>
              <w:t>الصورة الثانية</w:t>
            </w:r>
            <w:r>
              <w:rPr>
                <w:rStyle w:val="IndexLink"/>
                <w:rtl w:val="true"/>
              </w:rPr>
              <w:t xml:space="preserve">: </w:t>
            </w:r>
            <w:r>
              <w:rPr>
                <w:rStyle w:val="IndexLink"/>
                <w:rtl w:val="true"/>
              </w:rPr>
              <w:t>أن يبيع لنفسه، فينكشف كونه وليّاً</w:t>
            </w:r>
            <w:r>
              <w:rPr>
                <w:rStyle w:val="IndexLink"/>
                <w:rtl w:val="true"/>
              </w:rPr>
              <w:t>.</w:t>
              <w:tab/>
            </w:r>
            <w:r>
              <w:rPr>
                <w:rStyle w:val="IndexLink"/>
              </w:rPr>
              <w:t>425</w:t>
            </w:r>
          </w:hyperlink>
        </w:p>
        <w:p>
          <w:pPr>
            <w:pStyle w:val="Contents6"/>
            <w:tabs>
              <w:tab w:val="clear" w:pos="7609"/>
              <w:tab w:val="right" w:pos="9026" w:leader="dot"/>
            </w:tabs>
            <w:rPr/>
          </w:pPr>
          <w:hyperlink w:anchor="__RefHeading___Toc2758998_2142443653">
            <w:r>
              <w:rPr>
                <w:webHidden/>
                <w:rStyle w:val="IndexLink"/>
                <w:rtl w:val="true"/>
              </w:rPr>
              <w:t>الصورة الثالثة</w:t>
            </w:r>
            <w:r>
              <w:rPr>
                <w:rStyle w:val="IndexLink"/>
                <w:rtl w:val="true"/>
              </w:rPr>
              <w:t xml:space="preserve">: </w:t>
            </w:r>
            <w:r>
              <w:rPr>
                <w:rStyle w:val="IndexLink"/>
                <w:rtl w:val="true"/>
              </w:rPr>
              <w:t>أن يبيع عن المالك، ثمّ ينكشف كونه مالكاً</w:t>
            </w:r>
            <w:r>
              <w:rPr>
                <w:rStyle w:val="IndexLink"/>
                <w:rtl w:val="true"/>
              </w:rPr>
              <w:t>.</w:t>
              <w:tab/>
            </w:r>
            <w:r>
              <w:rPr>
                <w:rStyle w:val="IndexLink"/>
              </w:rPr>
              <w:t>426</w:t>
            </w:r>
          </w:hyperlink>
        </w:p>
        <w:p>
          <w:pPr>
            <w:pStyle w:val="Contents4"/>
            <w:tabs>
              <w:tab w:val="clear" w:pos="8176"/>
              <w:tab w:val="right" w:pos="9026" w:leader="dot"/>
            </w:tabs>
            <w:rPr/>
          </w:pPr>
          <w:hyperlink w:anchor="__RefHeading___Toc2759000_2142443653">
            <w:r>
              <w:rPr>
                <w:webHidden/>
                <w:rStyle w:val="IndexLink"/>
                <w:rtl w:val="true"/>
              </w:rPr>
              <w:t>القول في المُجاز</w:t>
            </w:r>
            <w:r>
              <w:rPr>
                <w:rStyle w:val="IndexLink"/>
                <w:rtl w:val="true"/>
              </w:rPr>
              <w:tab/>
            </w:r>
            <w:r>
              <w:rPr>
                <w:rStyle w:val="IndexLink"/>
              </w:rPr>
              <w:t>432</w:t>
            </w:r>
          </w:hyperlink>
        </w:p>
        <w:p>
          <w:pPr>
            <w:pStyle w:val="Contents5"/>
            <w:tabs>
              <w:tab w:val="clear" w:pos="7892"/>
              <w:tab w:val="right" w:pos="9026" w:leader="dot"/>
            </w:tabs>
            <w:rPr/>
          </w:pPr>
          <w:hyperlink w:anchor="__RefHeading___Toc2759002_2142443653">
            <w:r>
              <w:rPr>
                <w:webHidden/>
                <w:rStyle w:val="IndexLink"/>
                <w:rtl w:val="true"/>
              </w:rPr>
              <w:t>ويتمّ ببيان اُمور</w:t>
            </w:r>
            <w:r>
              <w:rPr>
                <w:rStyle w:val="IndexLink"/>
                <w:rtl w:val="true"/>
              </w:rPr>
              <w:t>:</w:t>
              <w:tab/>
            </w:r>
            <w:r>
              <w:rPr>
                <w:rStyle w:val="IndexLink"/>
              </w:rPr>
              <w:t>432</w:t>
            </w:r>
          </w:hyperlink>
        </w:p>
        <w:p>
          <w:pPr>
            <w:pStyle w:val="Contents6"/>
            <w:tabs>
              <w:tab w:val="clear" w:pos="7609"/>
              <w:tab w:val="right" w:pos="9026" w:leader="dot"/>
            </w:tabs>
            <w:rPr/>
          </w:pPr>
          <w:hyperlink w:anchor="__RefHeading___Toc2759004_2142443653">
            <w:r>
              <w:rPr>
                <w:webHidden/>
                <w:rStyle w:val="IndexLink"/>
                <w:rtl w:val="true"/>
              </w:rPr>
              <w:t>الأوّل</w:t>
            </w:r>
            <w:r>
              <w:rPr>
                <w:rStyle w:val="IndexLink"/>
                <w:rtl w:val="true"/>
              </w:rPr>
              <w:t xml:space="preserve">: </w:t>
            </w:r>
            <w:r>
              <w:rPr>
                <w:rStyle w:val="IndexLink"/>
                <w:rtl w:val="true"/>
              </w:rPr>
              <w:t>اعتبار كون العقد المجاز جامعاً لجميع الشروط</w:t>
            </w:r>
            <w:r>
              <w:rPr>
                <w:rStyle w:val="IndexLink"/>
                <w:rtl w:val="true"/>
              </w:rPr>
              <w:tab/>
            </w:r>
            <w:r>
              <w:rPr>
                <w:rStyle w:val="IndexLink"/>
              </w:rPr>
              <w:t>432</w:t>
            </w:r>
          </w:hyperlink>
        </w:p>
        <w:p>
          <w:pPr>
            <w:pStyle w:val="Contents6"/>
            <w:tabs>
              <w:tab w:val="clear" w:pos="7609"/>
              <w:tab w:val="right" w:pos="9026" w:leader="dot"/>
            </w:tabs>
            <w:rPr/>
          </w:pPr>
          <w:hyperlink w:anchor="__RefHeading___Toc2759006_2142443653">
            <w:r>
              <w:rPr>
                <w:webHidden/>
                <w:rStyle w:val="IndexLink"/>
                <w:rtl w:val="true"/>
              </w:rPr>
              <w:t>بيان التحقيق</w:t>
            </w:r>
            <w:r>
              <w:rPr>
                <w:rStyle w:val="IndexLink"/>
                <w:rtl w:val="true"/>
              </w:rPr>
              <w:tab/>
            </w:r>
            <w:r>
              <w:rPr>
                <w:rStyle w:val="IndexLink"/>
              </w:rPr>
              <w:t>432</w:t>
            </w:r>
          </w:hyperlink>
        </w:p>
        <w:p>
          <w:pPr>
            <w:pStyle w:val="Contents6"/>
            <w:tabs>
              <w:tab w:val="clear" w:pos="7609"/>
              <w:tab w:val="right" w:pos="9026" w:leader="dot"/>
            </w:tabs>
            <w:rPr/>
          </w:pPr>
          <w:hyperlink w:anchor="__RefHeading___Toc2759008_2142443653">
            <w:r>
              <w:rPr>
                <w:webHidden/>
                <w:rStyle w:val="IndexLink"/>
                <w:rtl w:val="true"/>
              </w:rPr>
              <w:t>حول مختار الشيخ قدّس سرّه</w:t>
            </w:r>
            <w:r>
              <w:rPr>
                <w:rStyle w:val="IndexLink"/>
                <w:rtl w:val="true"/>
              </w:rPr>
              <w:tab/>
            </w:r>
            <w:r>
              <w:rPr>
                <w:rStyle w:val="IndexLink"/>
              </w:rPr>
              <w:t>433</w:t>
            </w:r>
          </w:hyperlink>
        </w:p>
        <w:p>
          <w:pPr>
            <w:pStyle w:val="Contents6"/>
            <w:tabs>
              <w:tab w:val="clear" w:pos="7609"/>
              <w:tab w:val="right" w:pos="9026" w:leader="dot"/>
            </w:tabs>
            <w:rPr/>
          </w:pPr>
          <w:hyperlink w:anchor="__RefHeading___Toc2759010_2142443653">
            <w:r>
              <w:rPr>
                <w:webHidden/>
                <w:rStyle w:val="IndexLink"/>
                <w:rtl w:val="true"/>
              </w:rPr>
              <w:t>حكم صور العلم الإجمالي باعتبار شرائط المعاملة</w:t>
            </w:r>
            <w:r>
              <w:rPr>
                <w:rStyle w:val="IndexLink"/>
                <w:rtl w:val="true"/>
              </w:rPr>
              <w:tab/>
            </w:r>
            <w:r>
              <w:rPr>
                <w:rStyle w:val="IndexLink"/>
              </w:rPr>
              <w:t>441</w:t>
            </w:r>
          </w:hyperlink>
        </w:p>
        <w:p>
          <w:pPr>
            <w:pStyle w:val="Contents6"/>
            <w:tabs>
              <w:tab w:val="clear" w:pos="7609"/>
              <w:tab w:val="right" w:pos="9026" w:leader="dot"/>
            </w:tabs>
            <w:rPr/>
          </w:pPr>
          <w:hyperlink w:anchor="__RefHeading___Toc2759012_2142443653">
            <w:r>
              <w:rPr>
                <w:webHidden/>
                <w:rStyle w:val="IndexLink"/>
                <w:rtl w:val="true"/>
              </w:rPr>
              <w:t>حول اشتراط بقاء الشرائط إلى زمان الإجازة</w:t>
            </w:r>
            <w:r>
              <w:rPr>
                <w:rStyle w:val="IndexLink"/>
                <w:rtl w:val="true"/>
              </w:rPr>
              <w:tab/>
            </w:r>
            <w:r>
              <w:rPr>
                <w:rStyle w:val="IndexLink"/>
              </w:rPr>
              <w:t>445</w:t>
            </w:r>
          </w:hyperlink>
        </w:p>
        <w:p>
          <w:pPr>
            <w:pStyle w:val="Contents6"/>
            <w:tabs>
              <w:tab w:val="clear" w:pos="7609"/>
              <w:tab w:val="right" w:pos="9026" w:leader="dot"/>
            </w:tabs>
            <w:rPr/>
          </w:pPr>
          <w:hyperlink w:anchor="__RefHeading___Toc2759014_2142443653">
            <w:r>
              <w:rPr>
                <w:webHidden/>
                <w:rStyle w:val="IndexLink"/>
                <w:rtl w:val="true"/>
              </w:rPr>
              <w:t>الأمر الثاني</w:t>
            </w:r>
            <w:r>
              <w:rPr>
                <w:rStyle w:val="IndexLink"/>
                <w:rtl w:val="true"/>
              </w:rPr>
              <w:t xml:space="preserve">: </w:t>
            </w:r>
            <w:r>
              <w:rPr>
                <w:rStyle w:val="IndexLink"/>
                <w:rtl w:val="true"/>
              </w:rPr>
              <w:t>اعتبار كون المجاز معلوماً بالتفصيل للمجيز</w:t>
            </w:r>
            <w:r>
              <w:rPr>
                <w:rStyle w:val="IndexLink"/>
                <w:rtl w:val="true"/>
              </w:rPr>
              <w:tab/>
            </w:r>
            <w:r>
              <w:rPr>
                <w:rStyle w:val="IndexLink"/>
              </w:rPr>
              <w:t>448</w:t>
            </w:r>
          </w:hyperlink>
        </w:p>
        <w:p>
          <w:pPr>
            <w:pStyle w:val="Contents6"/>
            <w:tabs>
              <w:tab w:val="clear" w:pos="7609"/>
              <w:tab w:val="right" w:pos="9026" w:leader="dot"/>
            </w:tabs>
            <w:rPr/>
          </w:pPr>
          <w:hyperlink w:anchor="__RefHeading___Toc2759016_2142443653">
            <w:r>
              <w:rPr>
                <w:webHidden/>
                <w:rStyle w:val="IndexLink"/>
                <w:rtl w:val="true"/>
              </w:rPr>
              <w:t>الأمر الثالث</w:t>
            </w:r>
            <w:r>
              <w:rPr>
                <w:rStyle w:val="IndexLink"/>
                <w:rtl w:val="true"/>
              </w:rPr>
              <w:t xml:space="preserve">: </w:t>
            </w:r>
            <w:r>
              <w:rPr>
                <w:rStyle w:val="IndexLink"/>
                <w:rtl w:val="true"/>
              </w:rPr>
              <w:t>حكم العقود المتعدّدة</w:t>
            </w:r>
            <w:r>
              <w:rPr>
                <w:rStyle w:val="IndexLink"/>
                <w:rtl w:val="true"/>
              </w:rPr>
              <w:tab/>
            </w:r>
            <w:r>
              <w:rPr>
                <w:rStyle w:val="IndexLink"/>
              </w:rPr>
              <w:t>451</w:t>
            </w:r>
          </w:hyperlink>
        </w:p>
        <w:p>
          <w:pPr>
            <w:pStyle w:val="Contents6"/>
            <w:tabs>
              <w:tab w:val="clear" w:pos="7609"/>
              <w:tab w:val="right" w:pos="9026" w:leader="dot"/>
            </w:tabs>
            <w:rPr/>
          </w:pPr>
          <w:hyperlink w:anchor="__RefHeading___Toc2759018_2142443653">
            <w:r>
              <w:rPr>
                <w:webHidden/>
                <w:rStyle w:val="IndexLink"/>
                <w:rtl w:val="true"/>
              </w:rPr>
              <w:t>شقوق البحث</w:t>
            </w:r>
            <w:r>
              <w:rPr>
                <w:rStyle w:val="IndexLink"/>
                <w:rtl w:val="true"/>
              </w:rPr>
              <w:tab/>
            </w:r>
            <w:r>
              <w:rPr>
                <w:rStyle w:val="IndexLink"/>
              </w:rPr>
              <w:t>451</w:t>
            </w:r>
          </w:hyperlink>
        </w:p>
        <w:p>
          <w:pPr>
            <w:pStyle w:val="Contents6"/>
            <w:tabs>
              <w:tab w:val="clear" w:pos="7609"/>
              <w:tab w:val="right" w:pos="9026" w:leader="dot"/>
            </w:tabs>
            <w:rPr/>
          </w:pPr>
          <w:hyperlink w:anchor="__RefHeading___Toc2759020_2142443653">
            <w:r>
              <w:rPr>
                <w:webHidden/>
                <w:rStyle w:val="IndexLink"/>
                <w:rtl w:val="true"/>
              </w:rPr>
              <w:t>حكم العقود المترتّبة على العوض</w:t>
            </w:r>
            <w:r>
              <w:rPr>
                <w:rStyle w:val="IndexLink"/>
                <w:rtl w:val="true"/>
              </w:rPr>
              <w:tab/>
            </w:r>
            <w:r>
              <w:rPr>
                <w:rStyle w:val="IndexLink"/>
              </w:rPr>
              <w:t>454</w:t>
            </w:r>
          </w:hyperlink>
        </w:p>
        <w:p>
          <w:pPr>
            <w:pStyle w:val="Contents6"/>
            <w:tabs>
              <w:tab w:val="clear" w:pos="7609"/>
              <w:tab w:val="right" w:pos="9026" w:leader="dot"/>
            </w:tabs>
            <w:rPr/>
          </w:pPr>
          <w:hyperlink w:anchor="__RefHeading___Toc2759022_2142443653">
            <w:r>
              <w:rPr>
                <w:webHidden/>
                <w:rStyle w:val="IndexLink"/>
                <w:rtl w:val="true"/>
              </w:rPr>
              <w:t>الإشكال على صحّة تتبّع العقود في صورة علم المشتري بالغصب</w:t>
            </w:r>
            <w:r>
              <w:rPr>
                <w:rStyle w:val="IndexLink"/>
                <w:rtl w:val="true"/>
              </w:rPr>
              <w:tab/>
            </w:r>
            <w:r>
              <w:rPr>
                <w:rStyle w:val="IndexLink"/>
              </w:rPr>
              <w:t>459</w:t>
            </w:r>
          </w:hyperlink>
        </w:p>
        <w:p>
          <w:pPr>
            <w:pStyle w:val="Contents4"/>
            <w:tabs>
              <w:tab w:val="clear" w:pos="8176"/>
              <w:tab w:val="right" w:pos="9026" w:leader="dot"/>
            </w:tabs>
            <w:rPr/>
          </w:pPr>
          <w:hyperlink w:anchor="__RefHeading___Toc2759024_2142443653">
            <w:r>
              <w:rPr>
                <w:webHidden/>
                <w:rStyle w:val="IndexLink"/>
                <w:rtl w:val="true"/>
              </w:rPr>
              <w:t>مسألة في أحكام الردّ</w:t>
            </w:r>
            <w:r>
              <w:rPr>
                <w:rStyle w:val="IndexLink"/>
                <w:rtl w:val="true"/>
              </w:rPr>
              <w:tab/>
            </w:r>
            <w:r>
              <w:rPr>
                <w:rStyle w:val="IndexLink"/>
              </w:rPr>
              <w:t>463</w:t>
            </w:r>
          </w:hyperlink>
        </w:p>
        <w:p>
          <w:pPr>
            <w:pStyle w:val="Contents5"/>
            <w:tabs>
              <w:tab w:val="clear" w:pos="7892"/>
              <w:tab w:val="right" w:pos="9026" w:leader="dot"/>
            </w:tabs>
            <w:rPr/>
          </w:pPr>
          <w:hyperlink w:anchor="__RefHeading___Toc2759026_2142443653">
            <w:r>
              <w:rPr>
                <w:webHidden/>
                <w:rStyle w:val="IndexLink"/>
                <w:rtl w:val="true"/>
              </w:rPr>
              <w:t>إشارة</w:t>
            </w:r>
            <w:r>
              <w:rPr>
                <w:rStyle w:val="IndexLink"/>
                <w:rtl w:val="true"/>
              </w:rPr>
              <w:tab/>
            </w:r>
            <w:r>
              <w:rPr>
                <w:rStyle w:val="IndexLink"/>
              </w:rPr>
              <w:t>463</w:t>
            </w:r>
          </w:hyperlink>
        </w:p>
        <w:p>
          <w:pPr>
            <w:pStyle w:val="Contents5"/>
            <w:tabs>
              <w:tab w:val="clear" w:pos="7892"/>
              <w:tab w:val="right" w:pos="9026" w:leader="dot"/>
            </w:tabs>
            <w:rPr/>
          </w:pPr>
          <w:hyperlink w:anchor="__RefHeading___Toc2759028_2142443653">
            <w:r>
              <w:rPr>
                <w:webHidden/>
                <w:rStyle w:val="IndexLink"/>
                <w:rtl w:val="true"/>
              </w:rPr>
              <w:t>حكم الشكّ في تحقّق الفسخ</w:t>
            </w:r>
            <w:r>
              <w:rPr>
                <w:rStyle w:val="IndexLink"/>
                <w:rtl w:val="true"/>
              </w:rPr>
              <w:tab/>
            </w:r>
            <w:r>
              <w:rPr>
                <w:rStyle w:val="IndexLink"/>
              </w:rPr>
              <w:t>463</w:t>
            </w:r>
          </w:hyperlink>
        </w:p>
        <w:p>
          <w:pPr>
            <w:pStyle w:val="Contents4"/>
            <w:tabs>
              <w:tab w:val="clear" w:pos="8176"/>
              <w:tab w:val="right" w:pos="9026" w:leader="dot"/>
            </w:tabs>
            <w:rPr/>
          </w:pPr>
          <w:hyperlink w:anchor="__RefHeading___Toc2759030_2142443653">
            <w:r>
              <w:rPr>
                <w:webHidden/>
                <w:rStyle w:val="IndexLink"/>
                <w:rtl w:val="true"/>
              </w:rPr>
              <w:t>مسألة</w:t>
            </w:r>
            <w:r>
              <w:rPr>
                <w:rStyle w:val="IndexLink"/>
                <w:rtl w:val="true"/>
              </w:rPr>
              <w:t xml:space="preserve">: </w:t>
            </w:r>
            <w:r>
              <w:rPr>
                <w:rStyle w:val="IndexLink"/>
                <w:rtl w:val="true"/>
              </w:rPr>
              <w:t>في الأيادي المتعاقبة</w:t>
            </w:r>
            <w:r>
              <w:rPr>
                <w:rStyle w:val="IndexLink"/>
                <w:rtl w:val="true"/>
              </w:rPr>
              <w:tab/>
            </w:r>
            <w:r>
              <w:rPr>
                <w:rStyle w:val="IndexLink"/>
              </w:rPr>
              <w:t>475</w:t>
            </w:r>
          </w:hyperlink>
        </w:p>
        <w:p>
          <w:pPr>
            <w:pStyle w:val="Contents5"/>
            <w:tabs>
              <w:tab w:val="clear" w:pos="7892"/>
              <w:tab w:val="right" w:pos="9026" w:leader="dot"/>
            </w:tabs>
            <w:rPr/>
          </w:pPr>
          <w:hyperlink w:anchor="__RefHeading___Toc2759032_2142443653">
            <w:r>
              <w:rPr>
                <w:webHidden/>
                <w:rStyle w:val="IndexLink"/>
                <w:rtl w:val="true"/>
              </w:rPr>
              <w:t>إشارة</w:t>
            </w:r>
            <w:r>
              <w:rPr>
                <w:rStyle w:val="IndexLink"/>
                <w:rtl w:val="true"/>
              </w:rPr>
              <w:tab/>
            </w:r>
            <w:r>
              <w:rPr>
                <w:rStyle w:val="IndexLink"/>
              </w:rPr>
              <w:t>475</w:t>
            </w:r>
          </w:hyperlink>
        </w:p>
        <w:p>
          <w:pPr>
            <w:pStyle w:val="Contents5"/>
            <w:tabs>
              <w:tab w:val="clear" w:pos="7892"/>
              <w:tab w:val="right" w:pos="9026" w:leader="dot"/>
            </w:tabs>
            <w:rPr/>
          </w:pPr>
          <w:hyperlink w:anchor="__RefHeading___Toc2759034_2142443653">
            <w:r>
              <w:rPr>
                <w:webHidden/>
                <w:rStyle w:val="IndexLink"/>
                <w:rtl w:val="true"/>
              </w:rPr>
              <w:t>حكم المالك مع من وقعت العين تحت يده</w:t>
            </w:r>
            <w:r>
              <w:rPr>
                <w:rStyle w:val="IndexLink"/>
                <w:rtl w:val="true"/>
              </w:rPr>
              <w:tab/>
            </w:r>
            <w:r>
              <w:rPr>
                <w:rStyle w:val="IndexLink"/>
              </w:rPr>
              <w:t>475</w:t>
            </w:r>
          </w:hyperlink>
        </w:p>
        <w:p>
          <w:pPr>
            <w:pStyle w:val="Contents5"/>
            <w:tabs>
              <w:tab w:val="clear" w:pos="7892"/>
              <w:tab w:val="right" w:pos="9026" w:leader="dot"/>
            </w:tabs>
            <w:rPr/>
          </w:pPr>
          <w:hyperlink w:anchor="__RefHeading___Toc2759036_2142443653">
            <w:r>
              <w:rPr>
                <w:webHidden/>
                <w:rStyle w:val="IndexLink"/>
                <w:rtl w:val="true"/>
              </w:rPr>
              <w:t>حكم المشتري مع الفضولي</w:t>
            </w:r>
            <w:r>
              <w:rPr>
                <w:rStyle w:val="IndexLink"/>
                <w:rtl w:val="true"/>
              </w:rPr>
              <w:tab/>
            </w:r>
            <w:r>
              <w:rPr>
                <w:rStyle w:val="IndexLink"/>
              </w:rPr>
              <w:t>480</w:t>
            </w:r>
          </w:hyperlink>
        </w:p>
        <w:p>
          <w:pPr>
            <w:pStyle w:val="Contents6"/>
            <w:tabs>
              <w:tab w:val="clear" w:pos="7609"/>
              <w:tab w:val="right" w:pos="9026" w:leader="dot"/>
            </w:tabs>
            <w:rPr/>
          </w:pPr>
          <w:hyperlink w:anchor="__RefHeading___Toc2759038_2142443653">
            <w:r>
              <w:rPr>
                <w:webHidden/>
                <w:rStyle w:val="IndexLink"/>
                <w:rtl w:val="true"/>
              </w:rPr>
              <w:t>إشارة</w:t>
            </w:r>
            <w:r>
              <w:rPr>
                <w:rStyle w:val="IndexLink"/>
                <w:rtl w:val="true"/>
              </w:rPr>
              <w:tab/>
            </w:r>
            <w:r>
              <w:rPr>
                <w:rStyle w:val="IndexLink"/>
              </w:rPr>
              <w:t>480</w:t>
            </w:r>
          </w:hyperlink>
        </w:p>
        <w:p>
          <w:pPr>
            <w:pStyle w:val="Contents6"/>
            <w:tabs>
              <w:tab w:val="clear" w:pos="7609"/>
              <w:tab w:val="right" w:pos="9026" w:leader="dot"/>
            </w:tabs>
            <w:rPr/>
          </w:pPr>
          <w:hyperlink w:anchor="__RefHeading___Toc2759040_2142443653">
            <w:r>
              <w:rPr>
                <w:webHidden/>
                <w:rStyle w:val="IndexLink"/>
                <w:rtl w:val="true"/>
              </w:rPr>
              <w:t>المسألة الاُولى حول رجوع المشتري إلى الفضولي بالثمن</w:t>
            </w:r>
            <w:r>
              <w:rPr>
                <w:rStyle w:val="IndexLink"/>
                <w:rtl w:val="true"/>
              </w:rPr>
              <w:tab/>
            </w:r>
            <w:r>
              <w:rPr>
                <w:rStyle w:val="IndexLink"/>
              </w:rPr>
              <w:t>480</w:t>
            </w:r>
          </w:hyperlink>
        </w:p>
        <w:p>
          <w:pPr>
            <w:pStyle w:val="Contents6"/>
            <w:tabs>
              <w:tab w:val="clear" w:pos="7609"/>
              <w:tab w:val="right" w:pos="9026" w:leader="dot"/>
            </w:tabs>
            <w:rPr/>
          </w:pPr>
          <w:hyperlink w:anchor="__RefHeading___Toc2759042_2142443653">
            <w:r>
              <w:rPr>
                <w:webHidden/>
                <w:rStyle w:val="IndexLink"/>
                <w:rtl w:val="true"/>
              </w:rPr>
              <w:t>المسألة الثانية</w:t>
            </w:r>
            <w:r>
              <w:rPr>
                <w:rStyle w:val="IndexLink"/>
                <w:rtl w:val="true"/>
              </w:rPr>
              <w:t xml:space="preserve">: </w:t>
            </w:r>
            <w:r>
              <w:rPr>
                <w:rStyle w:val="IndexLink"/>
                <w:rtl w:val="true"/>
              </w:rPr>
              <w:t>حكم ما يغترمه المشتري زائداً على الثمن</w:t>
            </w:r>
            <w:r>
              <w:rPr>
                <w:rStyle w:val="IndexLink"/>
                <w:rtl w:val="true"/>
              </w:rPr>
              <w:tab/>
            </w:r>
            <w:r>
              <w:rPr>
                <w:rStyle w:val="IndexLink"/>
              </w:rPr>
              <w:t>485</w:t>
            </w:r>
          </w:hyperlink>
        </w:p>
        <w:p>
          <w:pPr>
            <w:pStyle w:val="Contents6"/>
            <w:tabs>
              <w:tab w:val="clear" w:pos="7609"/>
              <w:tab w:val="right" w:pos="9026" w:leader="dot"/>
            </w:tabs>
            <w:rPr/>
          </w:pPr>
          <w:hyperlink w:anchor="__RefHeading___Toc2759044_2142443653">
            <w:r>
              <w:rPr>
                <w:webHidden/>
                <w:rStyle w:val="IndexLink"/>
                <w:rtl w:val="true"/>
              </w:rPr>
              <w:t>انحاء الغرامات</w:t>
            </w:r>
            <w:r>
              <w:rPr>
                <w:rStyle w:val="IndexLink"/>
                <w:rtl w:val="true"/>
              </w:rPr>
              <w:tab/>
            </w:r>
            <w:r>
              <w:rPr>
                <w:rStyle w:val="IndexLink"/>
              </w:rPr>
              <w:t>485</w:t>
            </w:r>
          </w:hyperlink>
        </w:p>
        <w:p>
          <w:pPr>
            <w:pStyle w:val="Contents6"/>
            <w:tabs>
              <w:tab w:val="clear" w:pos="7609"/>
              <w:tab w:val="right" w:pos="9026" w:leader="dot"/>
            </w:tabs>
            <w:rPr/>
          </w:pPr>
          <w:hyperlink w:anchor="__RefHeading___Toc2759046_2142443653">
            <w:r>
              <w:rPr>
                <w:webHidden/>
                <w:rStyle w:val="IndexLink"/>
                <w:rtl w:val="true"/>
              </w:rPr>
              <w:t>الاستدلال بقاعدة الغرور على رجوع المشتري إلى الغارّ</w:t>
            </w:r>
            <w:r>
              <w:rPr>
                <w:rStyle w:val="IndexLink"/>
                <w:rtl w:val="true"/>
              </w:rPr>
              <w:tab/>
            </w:r>
            <w:r>
              <w:rPr>
                <w:rStyle w:val="IndexLink"/>
              </w:rPr>
              <w:t>485</w:t>
            </w:r>
          </w:hyperlink>
        </w:p>
        <w:p>
          <w:pPr>
            <w:pStyle w:val="Contents6"/>
            <w:tabs>
              <w:tab w:val="clear" w:pos="7609"/>
              <w:tab w:val="right" w:pos="9026" w:leader="dot"/>
            </w:tabs>
            <w:rPr/>
          </w:pPr>
          <w:hyperlink w:anchor="__RefHeading___Toc2759048_2142443653">
            <w:r>
              <w:rPr>
                <w:webHidden/>
                <w:rStyle w:val="IndexLink"/>
                <w:rtl w:val="true"/>
              </w:rPr>
              <w:t>إشارة</w:t>
            </w:r>
            <w:r>
              <w:rPr>
                <w:rStyle w:val="IndexLink"/>
                <w:rtl w:val="true"/>
              </w:rPr>
              <w:tab/>
            </w:r>
            <w:r>
              <w:rPr>
                <w:rStyle w:val="IndexLink"/>
              </w:rPr>
              <w:t>485</w:t>
            </w:r>
          </w:hyperlink>
        </w:p>
        <w:p>
          <w:pPr>
            <w:pStyle w:val="Contents6"/>
            <w:tabs>
              <w:tab w:val="clear" w:pos="7609"/>
              <w:tab w:val="right" w:pos="9026" w:leader="dot"/>
            </w:tabs>
            <w:rPr/>
          </w:pPr>
          <w:hyperlink w:anchor="__RefHeading___Toc2759050_2142443653">
            <w:r>
              <w:rPr>
                <w:webHidden/>
                <w:rStyle w:val="IndexLink"/>
                <w:rtl w:val="true"/>
              </w:rPr>
              <w:t>بيان قاعدة الغرور ومدركها</w:t>
            </w:r>
            <w:r>
              <w:rPr>
                <w:rStyle w:val="IndexLink"/>
                <w:rtl w:val="true"/>
              </w:rPr>
              <w:tab/>
            </w:r>
            <w:r>
              <w:rPr>
                <w:rStyle w:val="IndexLink"/>
              </w:rPr>
              <w:t>486</w:t>
            </w:r>
          </w:hyperlink>
        </w:p>
        <w:p>
          <w:pPr>
            <w:pStyle w:val="Contents6"/>
            <w:tabs>
              <w:tab w:val="clear" w:pos="7609"/>
              <w:tab w:val="right" w:pos="9026" w:leader="dot"/>
            </w:tabs>
            <w:rPr/>
          </w:pPr>
          <w:hyperlink w:anchor="__RefHeading___Toc2759052_2142443653">
            <w:r>
              <w:rPr>
                <w:webHidden/>
                <w:rStyle w:val="IndexLink"/>
                <w:rtl w:val="true"/>
              </w:rPr>
              <w:t>بيان كون ضمان الغارّ والمتلف في عرض واحد</w:t>
            </w:r>
            <w:r>
              <w:rPr>
                <w:rStyle w:val="IndexLink"/>
                <w:rtl w:val="true"/>
              </w:rPr>
              <w:tab/>
            </w:r>
            <w:r>
              <w:rPr>
                <w:rStyle w:val="IndexLink"/>
              </w:rPr>
              <w:t>492</w:t>
            </w:r>
          </w:hyperlink>
        </w:p>
        <w:p>
          <w:pPr>
            <w:pStyle w:val="Contents6"/>
            <w:tabs>
              <w:tab w:val="clear" w:pos="7609"/>
              <w:tab w:val="right" w:pos="9026" w:leader="dot"/>
            </w:tabs>
            <w:rPr/>
          </w:pPr>
          <w:hyperlink w:anchor="__RefHeading___Toc2759054_2142443653">
            <w:r>
              <w:rPr>
                <w:webHidden/>
                <w:rStyle w:val="IndexLink"/>
                <w:rtl w:val="true"/>
              </w:rPr>
              <w:t>الاستدلال بقاعدة الإتلاف على رجوع المشتري إلى الغارّ</w:t>
            </w:r>
            <w:r>
              <w:rPr>
                <w:rStyle w:val="IndexLink"/>
                <w:rtl w:val="true"/>
              </w:rPr>
              <w:tab/>
            </w:r>
            <w:r>
              <w:rPr>
                <w:rStyle w:val="IndexLink"/>
              </w:rPr>
              <w:t>496</w:t>
            </w:r>
          </w:hyperlink>
        </w:p>
        <w:p>
          <w:pPr>
            <w:pStyle w:val="Contents6"/>
            <w:tabs>
              <w:tab w:val="clear" w:pos="7609"/>
              <w:tab w:val="right" w:pos="9026" w:leader="dot"/>
            </w:tabs>
            <w:rPr/>
          </w:pPr>
          <w:hyperlink w:anchor="__RefHeading___Toc2759056_2142443653">
            <w:r>
              <w:rPr>
                <w:webHidden/>
                <w:rStyle w:val="IndexLink"/>
                <w:rtl w:val="true"/>
              </w:rPr>
              <w:t>إشارة</w:t>
            </w:r>
            <w:r>
              <w:rPr>
                <w:rStyle w:val="IndexLink"/>
                <w:rtl w:val="true"/>
              </w:rPr>
              <w:tab/>
            </w:r>
            <w:r>
              <w:rPr>
                <w:rStyle w:val="IndexLink"/>
              </w:rPr>
              <w:t>496</w:t>
            </w:r>
          </w:hyperlink>
        </w:p>
        <w:p>
          <w:pPr>
            <w:pStyle w:val="Contents6"/>
            <w:tabs>
              <w:tab w:val="clear" w:pos="7609"/>
              <w:tab w:val="right" w:pos="9026" w:leader="dot"/>
            </w:tabs>
            <w:rPr/>
          </w:pPr>
          <w:hyperlink w:anchor="__RefHeading___Toc2759058_2142443653">
            <w:r>
              <w:rPr>
                <w:webHidden/>
                <w:rStyle w:val="IndexLink"/>
                <w:rtl w:val="true"/>
              </w:rPr>
              <w:t>بيان قاعدة الإتلاف ومدركها</w:t>
            </w:r>
            <w:r>
              <w:rPr>
                <w:rStyle w:val="IndexLink"/>
                <w:rtl w:val="true"/>
              </w:rPr>
              <w:tab/>
            </w:r>
            <w:r>
              <w:rPr>
                <w:rStyle w:val="IndexLink"/>
              </w:rPr>
              <w:t>496</w:t>
            </w:r>
          </w:hyperlink>
        </w:p>
        <w:p>
          <w:pPr>
            <w:pStyle w:val="Contents6"/>
            <w:tabs>
              <w:tab w:val="clear" w:pos="7609"/>
              <w:tab w:val="right" w:pos="9026" w:leader="dot"/>
            </w:tabs>
            <w:rPr/>
          </w:pPr>
          <w:hyperlink w:anchor="__RefHeading___Toc2759060_2142443653">
            <w:r>
              <w:rPr>
                <w:webHidden/>
                <w:rStyle w:val="IndexLink"/>
                <w:rtl w:val="true"/>
              </w:rPr>
              <w:t>بيان قاعدة التسبيب ومدركها</w:t>
            </w:r>
            <w:r>
              <w:rPr>
                <w:rStyle w:val="IndexLink"/>
                <w:rtl w:val="true"/>
              </w:rPr>
              <w:tab/>
            </w:r>
            <w:r>
              <w:rPr>
                <w:rStyle w:val="IndexLink"/>
              </w:rPr>
              <w:t>502</w:t>
            </w:r>
          </w:hyperlink>
        </w:p>
        <w:p>
          <w:pPr>
            <w:pStyle w:val="Contents6"/>
            <w:tabs>
              <w:tab w:val="clear" w:pos="7609"/>
              <w:tab w:val="right" w:pos="9026" w:leader="dot"/>
            </w:tabs>
            <w:rPr/>
          </w:pPr>
          <w:hyperlink w:anchor="__RefHeading___Toc2759062_2142443653">
            <w:r>
              <w:rPr>
                <w:webHidden/>
                <w:rStyle w:val="IndexLink"/>
                <w:rtl w:val="true"/>
              </w:rPr>
              <w:t>الاستدلال بقاعدة الضرر على رجوع المشتري إلى الغارّ</w:t>
            </w:r>
            <w:r>
              <w:rPr>
                <w:rStyle w:val="IndexLink"/>
                <w:rtl w:val="true"/>
              </w:rPr>
              <w:tab/>
            </w:r>
            <w:r>
              <w:rPr>
                <w:rStyle w:val="IndexLink"/>
              </w:rPr>
              <w:t>511</w:t>
            </w:r>
          </w:hyperlink>
        </w:p>
        <w:p>
          <w:pPr>
            <w:pStyle w:val="Contents5"/>
            <w:tabs>
              <w:tab w:val="clear" w:pos="7892"/>
              <w:tab w:val="right" w:pos="9026" w:leader="dot"/>
            </w:tabs>
            <w:rPr/>
          </w:pPr>
          <w:hyperlink w:anchor="__RefHeading___Toc2759064_2142443653">
            <w:r>
              <w:rPr>
                <w:webHidden/>
                <w:rStyle w:val="IndexLink"/>
                <w:rtl w:val="true"/>
              </w:rPr>
              <w:t>ثبوت الضمان على الغارّ والمغرور وجميع الأيادي المتعاقبة</w:t>
            </w:r>
            <w:r>
              <w:rPr>
                <w:rStyle w:val="IndexLink"/>
                <w:rtl w:val="true"/>
              </w:rPr>
              <w:tab/>
            </w:r>
            <w:r>
              <w:rPr>
                <w:rStyle w:val="IndexLink"/>
              </w:rPr>
              <w:t>514</w:t>
            </w:r>
          </w:hyperlink>
        </w:p>
        <w:p>
          <w:pPr>
            <w:pStyle w:val="Contents6"/>
            <w:tabs>
              <w:tab w:val="clear" w:pos="7609"/>
              <w:tab w:val="right" w:pos="9026" w:leader="dot"/>
            </w:tabs>
            <w:rPr/>
          </w:pPr>
          <w:hyperlink w:anchor="__RefHeading___Toc2759066_2142443653">
            <w:r>
              <w:rPr>
                <w:webHidden/>
                <w:rStyle w:val="IndexLink"/>
                <w:rtl w:val="true"/>
              </w:rPr>
              <w:t>إشارة</w:t>
            </w:r>
            <w:r>
              <w:rPr>
                <w:rStyle w:val="IndexLink"/>
                <w:rtl w:val="true"/>
              </w:rPr>
              <w:tab/>
            </w:r>
            <w:r>
              <w:rPr>
                <w:rStyle w:val="IndexLink"/>
              </w:rPr>
              <w:t>514</w:t>
            </w:r>
          </w:hyperlink>
        </w:p>
        <w:p>
          <w:pPr>
            <w:pStyle w:val="Contents6"/>
            <w:tabs>
              <w:tab w:val="clear" w:pos="7609"/>
              <w:tab w:val="right" w:pos="9026" w:leader="dot"/>
            </w:tabs>
            <w:rPr/>
          </w:pPr>
          <w:hyperlink w:anchor="__RefHeading___Toc2759068_2142443653">
            <w:r>
              <w:rPr>
                <w:webHidden/>
                <w:rStyle w:val="IndexLink"/>
                <w:rtl w:val="true"/>
              </w:rPr>
              <w:t>فيقع الإشكال في مقامين</w:t>
            </w:r>
            <w:r>
              <w:rPr>
                <w:rStyle w:val="IndexLink"/>
                <w:rtl w:val="true"/>
              </w:rPr>
              <w:t>:</w:t>
              <w:tab/>
            </w:r>
            <w:r>
              <w:rPr>
                <w:rStyle w:val="IndexLink"/>
              </w:rPr>
              <w:t>514</w:t>
            </w:r>
          </w:hyperlink>
        </w:p>
        <w:p>
          <w:pPr>
            <w:pStyle w:val="Contents6"/>
            <w:tabs>
              <w:tab w:val="clear" w:pos="7609"/>
              <w:tab w:val="right" w:pos="9026" w:leader="dot"/>
            </w:tabs>
            <w:rPr/>
          </w:pPr>
          <w:hyperlink w:anchor="__RefHeading___Toc2759070_2142443653">
            <w:r>
              <w:rPr>
                <w:webHidden/>
                <w:rStyle w:val="IndexLink"/>
                <w:rtl w:val="true"/>
              </w:rPr>
              <w:t>المقام الأوّل</w:t>
            </w:r>
            <w:r>
              <w:rPr>
                <w:rStyle w:val="IndexLink"/>
                <w:rtl w:val="true"/>
              </w:rPr>
              <w:t xml:space="preserve">: </w:t>
            </w:r>
            <w:r>
              <w:rPr>
                <w:rStyle w:val="IndexLink"/>
                <w:rtl w:val="true"/>
              </w:rPr>
              <w:t>كيفية اشتغال ذمم متعدّدة بمال واحد</w:t>
            </w:r>
            <w:r>
              <w:rPr>
                <w:rStyle w:val="IndexLink"/>
                <w:rtl w:val="true"/>
              </w:rPr>
              <w:tab/>
            </w:r>
            <w:r>
              <w:rPr>
                <w:rStyle w:val="IndexLink"/>
              </w:rPr>
              <w:t>514</w:t>
            </w:r>
          </w:hyperlink>
        </w:p>
        <w:p>
          <w:pPr>
            <w:pStyle w:val="Contents6"/>
            <w:tabs>
              <w:tab w:val="clear" w:pos="7609"/>
              <w:tab w:val="right" w:pos="9026" w:leader="dot"/>
            </w:tabs>
            <w:rPr/>
          </w:pPr>
          <w:hyperlink w:anchor="__RefHeading___Toc2759072_2142443653">
            <w:r>
              <w:rPr>
                <w:webHidden/>
                <w:rStyle w:val="IndexLink"/>
                <w:rtl w:val="true"/>
              </w:rPr>
              <w:t>المقام الثاني</w:t>
            </w:r>
            <w:r>
              <w:rPr>
                <w:rStyle w:val="IndexLink"/>
                <w:rtl w:val="true"/>
              </w:rPr>
              <w:t xml:space="preserve">: </w:t>
            </w:r>
            <w:r>
              <w:rPr>
                <w:rStyle w:val="IndexLink"/>
                <w:rtl w:val="true"/>
              </w:rPr>
              <w:t>توجيه رجوع الضامن السابق إلى اللاحق</w:t>
            </w:r>
            <w:r>
              <w:rPr>
                <w:rStyle w:val="IndexLink"/>
                <w:rtl w:val="true"/>
              </w:rPr>
              <w:tab/>
            </w:r>
            <w:r>
              <w:rPr>
                <w:rStyle w:val="IndexLink"/>
              </w:rPr>
              <w:t>521</w:t>
            </w:r>
          </w:hyperlink>
        </w:p>
        <w:p>
          <w:pPr>
            <w:pStyle w:val="Contents6"/>
            <w:tabs>
              <w:tab w:val="clear" w:pos="7609"/>
              <w:tab w:val="right" w:pos="9026" w:leader="dot"/>
            </w:tabs>
            <w:rPr/>
          </w:pPr>
          <w:hyperlink w:anchor="__RefHeading___Toc2759074_2142443653">
            <w:r>
              <w:rPr>
                <w:webHidden/>
                <w:rStyle w:val="IndexLink"/>
                <w:rtl w:val="true"/>
              </w:rPr>
              <w:t>إشارة</w:t>
            </w:r>
            <w:r>
              <w:rPr>
                <w:rStyle w:val="IndexLink"/>
                <w:rtl w:val="true"/>
              </w:rPr>
              <w:tab/>
            </w:r>
            <w:r>
              <w:rPr>
                <w:rStyle w:val="IndexLink"/>
              </w:rPr>
              <w:t>521</w:t>
            </w:r>
          </w:hyperlink>
        </w:p>
        <w:p>
          <w:pPr>
            <w:pStyle w:val="Contents6"/>
            <w:tabs>
              <w:tab w:val="clear" w:pos="7609"/>
              <w:tab w:val="right" w:pos="9026" w:leader="dot"/>
            </w:tabs>
            <w:rPr/>
          </w:pPr>
          <w:hyperlink w:anchor="__RefHeading___Toc2759076_2142443653">
            <w:r>
              <w:rPr>
                <w:webHidden/>
                <w:rStyle w:val="IndexLink"/>
                <w:rtl w:val="true"/>
              </w:rPr>
              <w:t>الأمر الأوّل</w:t>
            </w:r>
            <w:r>
              <w:rPr>
                <w:rStyle w:val="IndexLink"/>
                <w:rtl w:val="true"/>
              </w:rPr>
              <w:t xml:space="preserve">: </w:t>
            </w:r>
            <w:r>
              <w:rPr>
                <w:rStyle w:val="IndexLink"/>
                <w:rtl w:val="true"/>
              </w:rPr>
              <w:t xml:space="preserve">ظاهر </w:t>
            </w:r>
            <w:r>
              <w:rPr>
                <w:rStyle w:val="IndexLink"/>
                <w:rtl w:val="true"/>
              </w:rPr>
              <w:t>«</w:t>
            </w:r>
            <w:r>
              <w:rPr>
                <w:rStyle w:val="IndexLink"/>
                <w:rtl w:val="true"/>
              </w:rPr>
              <w:t>على اليد</w:t>
            </w:r>
            <w:r>
              <w:rPr>
                <w:rStyle w:val="IndexLink"/>
                <w:rtl w:val="true"/>
              </w:rPr>
              <w:t xml:space="preserve">» </w:t>
            </w:r>
            <w:r>
              <w:rPr>
                <w:rStyle w:val="IndexLink"/>
                <w:rtl w:val="true"/>
              </w:rPr>
              <w:t>الضمان لخصوص ما وقع تحت اليد</w:t>
            </w:r>
            <w:r>
              <w:rPr>
                <w:rStyle w:val="IndexLink"/>
                <w:rtl w:val="true"/>
              </w:rPr>
              <w:tab/>
            </w:r>
            <w:r>
              <w:rPr>
                <w:rStyle w:val="IndexLink"/>
              </w:rPr>
              <w:t>522</w:t>
            </w:r>
          </w:hyperlink>
        </w:p>
        <w:p>
          <w:pPr>
            <w:pStyle w:val="Contents6"/>
            <w:tabs>
              <w:tab w:val="clear" w:pos="7609"/>
              <w:tab w:val="right" w:pos="9026" w:leader="dot"/>
            </w:tabs>
            <w:rPr/>
          </w:pPr>
          <w:hyperlink w:anchor="__RefHeading___Toc2759078_2142443653">
            <w:r>
              <w:rPr>
                <w:webHidden/>
                <w:rStyle w:val="IndexLink"/>
                <w:rtl w:val="true"/>
              </w:rPr>
              <w:t>الأمر الثاني</w:t>
            </w:r>
            <w:r>
              <w:rPr>
                <w:rStyle w:val="IndexLink"/>
                <w:rtl w:val="true"/>
              </w:rPr>
              <w:t xml:space="preserve">: </w:t>
            </w:r>
            <w:r>
              <w:rPr>
                <w:rStyle w:val="IndexLink"/>
                <w:rtl w:val="true"/>
              </w:rPr>
              <w:t>الغرامات عند العقلاء</w:t>
            </w:r>
            <w:r>
              <w:rPr>
                <w:rStyle w:val="IndexLink"/>
                <w:rtl w:val="true"/>
              </w:rPr>
              <w:tab/>
            </w:r>
            <w:r>
              <w:rPr>
                <w:rStyle w:val="IndexLink"/>
              </w:rPr>
              <w:t>523</w:t>
            </w:r>
          </w:hyperlink>
        </w:p>
        <w:p>
          <w:pPr>
            <w:pStyle w:val="Contents6"/>
            <w:tabs>
              <w:tab w:val="clear" w:pos="7609"/>
              <w:tab w:val="right" w:pos="9026" w:leader="dot"/>
            </w:tabs>
            <w:rPr/>
          </w:pPr>
          <w:hyperlink w:anchor="__RefHeading___Toc2759080_2142443653">
            <w:r>
              <w:rPr>
                <w:webHidden/>
                <w:rStyle w:val="IndexLink"/>
                <w:rtl w:val="true"/>
              </w:rPr>
              <w:t>الأمر الثالث</w:t>
            </w:r>
            <w:r>
              <w:rPr>
                <w:rStyle w:val="IndexLink"/>
                <w:rtl w:val="true"/>
              </w:rPr>
              <w:t xml:space="preserve">: </w:t>
            </w:r>
            <w:r>
              <w:rPr>
                <w:rStyle w:val="IndexLink"/>
                <w:rtl w:val="true"/>
              </w:rPr>
              <w:t>بيان محتملات مفاد قاعدة اليد</w:t>
            </w:r>
            <w:r>
              <w:rPr>
                <w:rStyle w:val="IndexLink"/>
                <w:rtl w:val="true"/>
              </w:rPr>
              <w:tab/>
            </w:r>
            <w:r>
              <w:rPr>
                <w:rStyle w:val="IndexLink"/>
              </w:rPr>
              <w:t>525</w:t>
            </w:r>
          </w:hyperlink>
        </w:p>
        <w:p>
          <w:pPr>
            <w:pStyle w:val="Contents6"/>
            <w:tabs>
              <w:tab w:val="clear" w:pos="7609"/>
              <w:tab w:val="right" w:pos="9026" w:leader="dot"/>
            </w:tabs>
            <w:rPr/>
          </w:pPr>
          <w:hyperlink w:anchor="__RefHeading___Toc2759082_2142443653">
            <w:r>
              <w:rPr>
                <w:webHidden/>
                <w:rStyle w:val="IndexLink"/>
                <w:rtl w:val="true"/>
              </w:rPr>
              <w:t>توجيه كلام الشيخ الأنصاري في تصحيح الضمان</w:t>
            </w:r>
            <w:r>
              <w:rPr>
                <w:rStyle w:val="IndexLink"/>
                <w:rtl w:val="true"/>
              </w:rPr>
              <w:tab/>
            </w:r>
            <w:r>
              <w:rPr>
                <w:rStyle w:val="IndexLink"/>
              </w:rPr>
              <w:t>528</w:t>
            </w:r>
          </w:hyperlink>
        </w:p>
        <w:p>
          <w:pPr>
            <w:pStyle w:val="Contents6"/>
            <w:tabs>
              <w:tab w:val="clear" w:pos="7609"/>
              <w:tab w:val="right" w:pos="9026" w:leader="dot"/>
            </w:tabs>
            <w:rPr/>
          </w:pPr>
          <w:hyperlink w:anchor="__RefHeading___Toc2759084_2142443653">
            <w:r>
              <w:rPr>
                <w:webHidden/>
                <w:rStyle w:val="IndexLink"/>
                <w:rtl w:val="true"/>
              </w:rPr>
              <w:t>تبيين المحقّق النائيني مراد الشيخ قدّس سرّه</w:t>
            </w:r>
            <w:r>
              <w:rPr>
                <w:rStyle w:val="IndexLink"/>
                <w:rtl w:val="true"/>
              </w:rPr>
              <w:tab/>
            </w:r>
            <w:r>
              <w:rPr>
                <w:rStyle w:val="IndexLink"/>
              </w:rPr>
              <w:t>531</w:t>
            </w:r>
          </w:hyperlink>
        </w:p>
        <w:p>
          <w:pPr>
            <w:pStyle w:val="Contents6"/>
            <w:tabs>
              <w:tab w:val="clear" w:pos="7609"/>
              <w:tab w:val="right" w:pos="9026" w:leader="dot"/>
            </w:tabs>
            <w:rPr/>
          </w:pPr>
          <w:hyperlink w:anchor="__RefHeading___Toc2759086_2142443653">
            <w:r>
              <w:rPr>
                <w:webHidden/>
                <w:rStyle w:val="IndexLink"/>
                <w:rtl w:val="true"/>
              </w:rPr>
              <w:t>توجيه السيّد الطباطبائي رجوع السابقين إلى اللاحقين</w:t>
            </w:r>
            <w:r>
              <w:rPr>
                <w:rStyle w:val="IndexLink"/>
                <w:rtl w:val="true"/>
              </w:rPr>
              <w:tab/>
            </w:r>
            <w:r>
              <w:rPr>
                <w:rStyle w:val="IndexLink"/>
              </w:rPr>
              <w:t>535</w:t>
            </w:r>
          </w:hyperlink>
        </w:p>
        <w:p>
          <w:pPr>
            <w:pStyle w:val="Contents6"/>
            <w:tabs>
              <w:tab w:val="clear" w:pos="7609"/>
              <w:tab w:val="right" w:pos="9026" w:leader="dot"/>
            </w:tabs>
            <w:rPr/>
          </w:pPr>
          <w:hyperlink w:anchor="__RefHeading___Toc2759088_2142443653">
            <w:r>
              <w:rPr>
                <w:webHidden/>
                <w:rStyle w:val="IndexLink"/>
                <w:rtl w:val="true"/>
              </w:rPr>
              <w:t>التحقيق في التوجيه لرجوع السابق إلى اللاحق</w:t>
            </w:r>
            <w:r>
              <w:rPr>
                <w:rStyle w:val="IndexLink"/>
                <w:rtl w:val="true"/>
              </w:rPr>
              <w:tab/>
            </w:r>
            <w:r>
              <w:rPr>
                <w:rStyle w:val="IndexLink"/>
              </w:rPr>
              <w:t>542</w:t>
            </w:r>
          </w:hyperlink>
        </w:p>
        <w:p>
          <w:pPr>
            <w:pStyle w:val="Contents5"/>
            <w:tabs>
              <w:tab w:val="clear" w:pos="7892"/>
              <w:tab w:val="right" w:pos="9026" w:leader="dot"/>
            </w:tabs>
            <w:rPr/>
          </w:pPr>
          <w:hyperlink w:anchor="__RefHeading___Toc2759090_2142443653">
            <w:r>
              <w:rPr>
                <w:webHidden/>
                <w:rStyle w:val="IndexLink"/>
                <w:rtl w:val="true"/>
              </w:rPr>
              <w:t>سقوط ضمان كلّ لاحق بإرجاع العين إلى سابقه</w:t>
            </w:r>
            <w:r>
              <w:rPr>
                <w:rStyle w:val="IndexLink"/>
                <w:rtl w:val="true"/>
              </w:rPr>
              <w:tab/>
            </w:r>
            <w:r>
              <w:rPr>
                <w:rStyle w:val="IndexLink"/>
              </w:rPr>
              <w:t>545</w:t>
            </w:r>
          </w:hyperlink>
        </w:p>
        <w:p>
          <w:pPr>
            <w:pStyle w:val="Contents5"/>
            <w:tabs>
              <w:tab w:val="clear" w:pos="7892"/>
              <w:tab w:val="right" w:pos="9026" w:leader="dot"/>
            </w:tabs>
            <w:rPr/>
          </w:pPr>
          <w:hyperlink w:anchor="__RefHeading___Toc2759092_2142443653">
            <w:r>
              <w:rPr>
                <w:webHidden/>
                <w:rStyle w:val="IndexLink"/>
                <w:rtl w:val="true"/>
              </w:rPr>
              <w:t>حول إبراء المالك أحد من في السلسلة</w:t>
            </w:r>
            <w:r>
              <w:rPr>
                <w:rStyle w:val="IndexLink"/>
                <w:rtl w:val="true"/>
              </w:rPr>
              <w:tab/>
            </w:r>
            <w:r>
              <w:rPr>
                <w:rStyle w:val="IndexLink"/>
              </w:rPr>
              <w:t>546</w:t>
            </w:r>
          </w:hyperlink>
        </w:p>
        <w:p>
          <w:pPr>
            <w:pStyle w:val="Contents6"/>
            <w:tabs>
              <w:tab w:val="clear" w:pos="7609"/>
              <w:tab w:val="right" w:pos="9026" w:leader="dot"/>
            </w:tabs>
            <w:rPr/>
          </w:pPr>
          <w:hyperlink w:anchor="__RefHeading___Toc2759094_2142443653">
            <w:r>
              <w:rPr>
                <w:webHidden/>
                <w:rStyle w:val="IndexLink"/>
                <w:rtl w:val="true"/>
              </w:rPr>
              <w:t>بيانه</w:t>
            </w:r>
            <w:r>
              <w:rPr>
                <w:rStyle w:val="IndexLink"/>
                <w:rtl w:val="true"/>
              </w:rPr>
              <w:tab/>
            </w:r>
            <w:r>
              <w:rPr>
                <w:rStyle w:val="IndexLink"/>
              </w:rPr>
              <w:t>546</w:t>
            </w:r>
          </w:hyperlink>
        </w:p>
        <w:p>
          <w:pPr>
            <w:pStyle w:val="Contents6"/>
            <w:tabs>
              <w:tab w:val="clear" w:pos="7609"/>
              <w:tab w:val="right" w:pos="9026" w:leader="dot"/>
            </w:tabs>
            <w:rPr/>
          </w:pPr>
          <w:hyperlink w:anchor="__RefHeading___Toc2759096_2142443653">
            <w:r>
              <w:rPr>
                <w:webHidden/>
                <w:rStyle w:val="IndexLink"/>
                <w:rtl w:val="true"/>
              </w:rPr>
              <w:t>تفصيل المحقّق الرشتي بين المتقدّم والمتأخّر</w:t>
            </w:r>
            <w:r>
              <w:rPr>
                <w:rStyle w:val="IndexLink"/>
                <w:rtl w:val="true"/>
              </w:rPr>
              <w:tab/>
            </w:r>
            <w:r>
              <w:rPr>
                <w:rStyle w:val="IndexLink"/>
              </w:rPr>
              <w:t>549</w:t>
            </w:r>
          </w:hyperlink>
        </w:p>
        <w:p>
          <w:pPr>
            <w:pStyle w:val="Contents6"/>
            <w:tabs>
              <w:tab w:val="clear" w:pos="7609"/>
              <w:tab w:val="right" w:pos="9026" w:leader="dot"/>
            </w:tabs>
            <w:rPr/>
          </w:pPr>
          <w:hyperlink w:anchor="__RefHeading___Toc2759098_2142443653">
            <w:r>
              <w:rPr>
                <w:webHidden/>
                <w:rStyle w:val="IndexLink"/>
                <w:rtl w:val="true"/>
              </w:rPr>
              <w:t>حول رجوع المالك إلى جميع الأيادي مع بقاء العين</w:t>
            </w:r>
            <w:r>
              <w:rPr>
                <w:rStyle w:val="IndexLink"/>
                <w:rtl w:val="true"/>
              </w:rPr>
              <w:tab/>
            </w:r>
            <w:r>
              <w:rPr>
                <w:rStyle w:val="IndexLink"/>
              </w:rPr>
              <w:t>552</w:t>
            </w:r>
          </w:hyperlink>
        </w:p>
        <w:p>
          <w:pPr>
            <w:pStyle w:val="Contents4"/>
            <w:tabs>
              <w:tab w:val="clear" w:pos="8176"/>
              <w:tab w:val="right" w:pos="9026" w:leader="dot"/>
            </w:tabs>
            <w:rPr/>
          </w:pPr>
          <w:hyperlink w:anchor="__RefHeading___Toc2759100_2142443653">
            <w:r>
              <w:rPr>
                <w:webHidden/>
                <w:rStyle w:val="IndexLink"/>
                <w:rtl w:val="true"/>
              </w:rPr>
              <w:t>مسألة بيع الفضولي مال نفسه مع مال غيره</w:t>
            </w:r>
            <w:r>
              <w:rPr>
                <w:rStyle w:val="IndexLink"/>
                <w:rtl w:val="true"/>
              </w:rPr>
              <w:tab/>
            </w:r>
            <w:r>
              <w:rPr>
                <w:rStyle w:val="IndexLink"/>
              </w:rPr>
              <w:t>555</w:t>
            </w:r>
          </w:hyperlink>
        </w:p>
        <w:p>
          <w:pPr>
            <w:pStyle w:val="Contents5"/>
            <w:tabs>
              <w:tab w:val="clear" w:pos="7892"/>
              <w:tab w:val="right" w:pos="9026" w:leader="dot"/>
            </w:tabs>
            <w:rPr/>
          </w:pPr>
          <w:hyperlink w:anchor="__RefHeading___Toc2759102_2142443653">
            <w:r>
              <w:rPr>
                <w:webHidden/>
                <w:rStyle w:val="IndexLink"/>
                <w:rtl w:val="true"/>
              </w:rPr>
              <w:t>إشارة</w:t>
            </w:r>
            <w:r>
              <w:rPr>
                <w:rStyle w:val="IndexLink"/>
                <w:rtl w:val="true"/>
              </w:rPr>
              <w:tab/>
            </w:r>
            <w:r>
              <w:rPr>
                <w:rStyle w:val="IndexLink"/>
              </w:rPr>
              <w:t>555</w:t>
            </w:r>
          </w:hyperlink>
        </w:p>
        <w:p>
          <w:pPr>
            <w:pStyle w:val="Contents5"/>
            <w:tabs>
              <w:tab w:val="clear" w:pos="7892"/>
              <w:tab w:val="right" w:pos="9026" w:leader="dot"/>
            </w:tabs>
            <w:rPr/>
          </w:pPr>
          <w:hyperlink w:anchor="__RefHeading___Toc2759104_2142443653">
            <w:r>
              <w:rPr>
                <w:webHidden/>
                <w:rStyle w:val="IndexLink"/>
                <w:rtl w:val="true"/>
              </w:rPr>
              <w:t>حكم المسألة بحسب القواعد</w:t>
            </w:r>
            <w:r>
              <w:rPr>
                <w:rStyle w:val="IndexLink"/>
                <w:rtl w:val="true"/>
              </w:rPr>
              <w:tab/>
            </w:r>
            <w:r>
              <w:rPr>
                <w:rStyle w:val="IndexLink"/>
              </w:rPr>
              <w:t>555</w:t>
            </w:r>
          </w:hyperlink>
        </w:p>
        <w:p>
          <w:pPr>
            <w:pStyle w:val="Contents5"/>
            <w:tabs>
              <w:tab w:val="clear" w:pos="7892"/>
              <w:tab w:val="right" w:pos="9026" w:leader="dot"/>
            </w:tabs>
            <w:rPr/>
          </w:pPr>
          <w:hyperlink w:anchor="__RefHeading___Toc2759106_2142443653">
            <w:r>
              <w:rPr>
                <w:webHidden/>
                <w:rStyle w:val="IndexLink"/>
                <w:rtl w:val="true"/>
              </w:rPr>
              <w:t>تصحيح البيع في المقام وفيما يقبل مع ما لا يقبل بصحيحة الصفّار</w:t>
            </w:r>
            <w:r>
              <w:rPr>
                <w:rStyle w:val="IndexLink"/>
                <w:rtl w:val="true"/>
              </w:rPr>
              <w:tab/>
            </w:r>
            <w:r>
              <w:rPr>
                <w:rStyle w:val="IndexLink"/>
              </w:rPr>
              <w:t>569</w:t>
            </w:r>
          </w:hyperlink>
        </w:p>
        <w:p>
          <w:pPr>
            <w:pStyle w:val="Contents5"/>
            <w:tabs>
              <w:tab w:val="clear" w:pos="7892"/>
              <w:tab w:val="right" w:pos="9026" w:leader="dot"/>
            </w:tabs>
            <w:rPr/>
          </w:pPr>
          <w:hyperlink w:anchor="__RefHeading___Toc2759108_2142443653">
            <w:r>
              <w:rPr>
                <w:webHidden/>
                <w:rStyle w:val="IndexLink"/>
                <w:rtl w:val="true"/>
              </w:rPr>
              <w:t>تقييد الصحّة بما إذا لم يتولّد من الردّ مانع شرعي كالربا</w:t>
            </w:r>
            <w:r>
              <w:rPr>
                <w:rStyle w:val="IndexLink"/>
                <w:rtl w:val="true"/>
              </w:rPr>
              <w:tab/>
            </w:r>
            <w:r>
              <w:rPr>
                <w:rStyle w:val="IndexLink"/>
              </w:rPr>
              <w:t>579</w:t>
            </w:r>
          </w:hyperlink>
        </w:p>
        <w:p>
          <w:pPr>
            <w:pStyle w:val="Contents6"/>
            <w:tabs>
              <w:tab w:val="clear" w:pos="7609"/>
              <w:tab w:val="right" w:pos="9026" w:leader="dot"/>
            </w:tabs>
            <w:rPr/>
          </w:pPr>
          <w:hyperlink w:anchor="__RefHeading___Toc2759110_2142443653">
            <w:r>
              <w:rPr>
                <w:webHidden/>
                <w:rStyle w:val="IndexLink"/>
                <w:rtl w:val="true"/>
              </w:rPr>
              <w:t>إشارة</w:t>
            </w:r>
            <w:r>
              <w:rPr>
                <w:rStyle w:val="IndexLink"/>
                <w:rtl w:val="true"/>
              </w:rPr>
              <w:tab/>
            </w:r>
            <w:r>
              <w:rPr>
                <w:rStyle w:val="IndexLink"/>
              </w:rPr>
              <w:t>579</w:t>
            </w:r>
          </w:hyperlink>
        </w:p>
        <w:p>
          <w:pPr>
            <w:pStyle w:val="Contents6"/>
            <w:tabs>
              <w:tab w:val="clear" w:pos="7609"/>
              <w:tab w:val="right" w:pos="9026" w:leader="dot"/>
            </w:tabs>
            <w:rPr/>
          </w:pPr>
          <w:hyperlink w:anchor="__RefHeading___Toc2759112_2142443653">
            <w:r>
              <w:rPr>
                <w:webHidden/>
                <w:rStyle w:val="IndexLink"/>
                <w:rtl w:val="true"/>
              </w:rPr>
              <w:t>حكم بيع درهم ودينار بدرهمين ودينارين وكان الدرهم للغير</w:t>
            </w:r>
            <w:r>
              <w:rPr>
                <w:rStyle w:val="IndexLink"/>
                <w:rtl w:val="true"/>
              </w:rPr>
              <w:tab/>
            </w:r>
            <w:r>
              <w:rPr>
                <w:rStyle w:val="IndexLink"/>
              </w:rPr>
              <w:t>579</w:t>
            </w:r>
          </w:hyperlink>
        </w:p>
        <w:p>
          <w:pPr>
            <w:pStyle w:val="Contents6"/>
            <w:tabs>
              <w:tab w:val="clear" w:pos="7609"/>
              <w:tab w:val="right" w:pos="9026" w:leader="dot"/>
            </w:tabs>
            <w:rPr/>
          </w:pPr>
          <w:hyperlink w:anchor="__RefHeading___Toc2759114_2142443653">
            <w:r>
              <w:rPr>
                <w:webHidden/>
                <w:rStyle w:val="IndexLink"/>
                <w:rtl w:val="true"/>
              </w:rPr>
              <w:t>بيانه</w:t>
            </w:r>
            <w:r>
              <w:rPr>
                <w:rStyle w:val="IndexLink"/>
                <w:rtl w:val="true"/>
              </w:rPr>
              <w:tab/>
            </w:r>
            <w:r>
              <w:rPr>
                <w:rStyle w:val="IndexLink"/>
              </w:rPr>
              <w:t>579</w:t>
            </w:r>
          </w:hyperlink>
        </w:p>
        <w:p>
          <w:pPr>
            <w:pStyle w:val="Contents6"/>
            <w:tabs>
              <w:tab w:val="clear" w:pos="7609"/>
              <w:tab w:val="right" w:pos="9026" w:leader="dot"/>
            </w:tabs>
            <w:rPr/>
          </w:pPr>
          <w:hyperlink w:anchor="__RefHeading___Toc2759116_2142443653">
            <w:r>
              <w:rPr>
                <w:webHidden/>
                <w:rStyle w:val="IndexLink"/>
                <w:rtl w:val="true"/>
              </w:rPr>
              <w:t>استنكار تحليل الربا بالحيل المذكورة</w:t>
            </w:r>
            <w:r>
              <w:rPr>
                <w:rStyle w:val="IndexLink"/>
                <w:rtl w:val="true"/>
              </w:rPr>
              <w:tab/>
            </w:r>
            <w:r>
              <w:rPr>
                <w:rStyle w:val="IndexLink"/>
              </w:rPr>
              <w:t>585</w:t>
            </w:r>
          </w:hyperlink>
        </w:p>
        <w:p>
          <w:pPr>
            <w:pStyle w:val="Contents6"/>
            <w:tabs>
              <w:tab w:val="clear" w:pos="7609"/>
              <w:tab w:val="right" w:pos="9026" w:leader="dot"/>
            </w:tabs>
            <w:rPr/>
          </w:pPr>
          <w:hyperlink w:anchor="__RefHeading___Toc2759118_2142443653">
            <w:r>
              <w:rPr>
                <w:webHidden/>
                <w:rStyle w:val="IndexLink"/>
                <w:rtl w:val="true"/>
              </w:rPr>
              <w:t>أقسام الربا</w:t>
            </w:r>
            <w:r>
              <w:rPr>
                <w:rStyle w:val="IndexLink"/>
                <w:rtl w:val="true"/>
              </w:rPr>
              <w:tab/>
            </w:r>
            <w:r>
              <w:rPr>
                <w:rStyle w:val="IndexLink"/>
              </w:rPr>
              <w:t>586</w:t>
            </w:r>
          </w:hyperlink>
        </w:p>
        <w:p>
          <w:pPr>
            <w:pStyle w:val="Contents6"/>
            <w:tabs>
              <w:tab w:val="clear" w:pos="7609"/>
              <w:tab w:val="right" w:pos="9026" w:leader="dot"/>
            </w:tabs>
            <w:rPr/>
          </w:pPr>
          <w:hyperlink w:anchor="__RefHeading___Toc2759120_2142443653">
            <w:r>
              <w:rPr>
                <w:webHidden/>
                <w:rStyle w:val="IndexLink"/>
                <w:rtl w:val="true"/>
              </w:rPr>
              <w:t>بيان مورد الروايات الموهمة للتخلّص عن الربا</w:t>
            </w:r>
            <w:r>
              <w:rPr>
                <w:rStyle w:val="IndexLink"/>
                <w:rtl w:val="true"/>
              </w:rPr>
              <w:tab/>
            </w:r>
            <w:r>
              <w:rPr>
                <w:rStyle w:val="IndexLink"/>
              </w:rPr>
              <w:t>591</w:t>
            </w:r>
          </w:hyperlink>
        </w:p>
        <w:p>
          <w:pPr>
            <w:pStyle w:val="Contents6"/>
            <w:tabs>
              <w:tab w:val="clear" w:pos="7609"/>
              <w:tab w:val="right" w:pos="9026" w:leader="dot"/>
            </w:tabs>
            <w:rPr/>
          </w:pPr>
          <w:hyperlink w:anchor="__RefHeading___Toc2759122_2142443653">
            <w:r>
              <w:rPr>
                <w:webHidden/>
                <w:rStyle w:val="IndexLink"/>
                <w:rtl w:val="true"/>
              </w:rPr>
              <w:t>حكم بيع العبد الآبق مع الضميمة</w:t>
            </w:r>
            <w:r>
              <w:rPr>
                <w:rStyle w:val="IndexLink"/>
                <w:rtl w:val="true"/>
              </w:rPr>
              <w:tab/>
            </w:r>
            <w:r>
              <w:rPr>
                <w:rStyle w:val="IndexLink"/>
              </w:rPr>
              <w:t>603</w:t>
            </w:r>
          </w:hyperlink>
        </w:p>
        <w:p>
          <w:pPr>
            <w:pStyle w:val="Contents4"/>
            <w:tabs>
              <w:tab w:val="clear" w:pos="8176"/>
              <w:tab w:val="right" w:pos="9026" w:leader="dot"/>
            </w:tabs>
            <w:rPr/>
          </w:pPr>
          <w:hyperlink w:anchor="__RefHeading___Toc2759124_2142443653">
            <w:r>
              <w:rPr>
                <w:webHidden/>
                <w:rStyle w:val="IndexLink"/>
                <w:rtl w:val="true"/>
              </w:rPr>
              <w:t>مسألة حكم بيع من له النصف النصفَ</w:t>
            </w:r>
            <w:r>
              <w:rPr>
                <w:rStyle w:val="IndexLink"/>
                <w:rtl w:val="true"/>
              </w:rPr>
              <w:tab/>
            </w:r>
            <w:r>
              <w:rPr>
                <w:rStyle w:val="IndexLink"/>
              </w:rPr>
              <w:t>607</w:t>
            </w:r>
          </w:hyperlink>
        </w:p>
        <w:p>
          <w:pPr>
            <w:pStyle w:val="Contents5"/>
            <w:tabs>
              <w:tab w:val="clear" w:pos="7892"/>
              <w:tab w:val="right" w:pos="9026" w:leader="dot"/>
            </w:tabs>
            <w:rPr/>
          </w:pPr>
          <w:hyperlink w:anchor="__RefHeading___Toc2759126_2142443653">
            <w:r>
              <w:rPr>
                <w:webHidden/>
                <w:rStyle w:val="IndexLink"/>
                <w:rtl w:val="true"/>
              </w:rPr>
              <w:t>إشارة</w:t>
            </w:r>
            <w:r>
              <w:rPr>
                <w:rStyle w:val="IndexLink"/>
                <w:rtl w:val="true"/>
              </w:rPr>
              <w:tab/>
            </w:r>
            <w:r>
              <w:rPr>
                <w:rStyle w:val="IndexLink"/>
              </w:rPr>
              <w:t>607</w:t>
            </w:r>
          </w:hyperlink>
        </w:p>
        <w:p>
          <w:pPr>
            <w:pStyle w:val="Contents5"/>
            <w:tabs>
              <w:tab w:val="clear" w:pos="7892"/>
              <w:tab w:val="right" w:pos="9026" w:leader="dot"/>
            </w:tabs>
            <w:rPr/>
          </w:pPr>
          <w:hyperlink w:anchor="__RefHeading___Toc2759128_2142443653">
            <w:r>
              <w:rPr>
                <w:webHidden/>
                <w:rStyle w:val="IndexLink"/>
                <w:rtl w:val="true"/>
              </w:rPr>
              <w:t>ماهية الكسر المشاع</w:t>
            </w:r>
            <w:r>
              <w:rPr>
                <w:rStyle w:val="IndexLink"/>
                <w:rtl w:val="true"/>
              </w:rPr>
              <w:tab/>
            </w:r>
            <w:r>
              <w:rPr>
                <w:rStyle w:val="IndexLink"/>
              </w:rPr>
              <w:t>607</w:t>
            </w:r>
          </w:hyperlink>
        </w:p>
        <w:p>
          <w:pPr>
            <w:pStyle w:val="Contents5"/>
            <w:tabs>
              <w:tab w:val="clear" w:pos="7892"/>
              <w:tab w:val="right" w:pos="9026" w:leader="dot"/>
            </w:tabs>
            <w:rPr/>
          </w:pPr>
          <w:hyperlink w:anchor="__RefHeading___Toc2759130_2142443653">
            <w:r>
              <w:rPr>
                <w:webHidden/>
                <w:rStyle w:val="IndexLink"/>
                <w:rtl w:val="true"/>
              </w:rPr>
              <w:t>حكم عدم قصد البائع إلاّ معنى النصف</w:t>
            </w:r>
            <w:r>
              <w:rPr>
                <w:rStyle w:val="IndexLink"/>
                <w:rtl w:val="true"/>
              </w:rPr>
              <w:tab/>
            </w:r>
            <w:r>
              <w:rPr>
                <w:rStyle w:val="IndexLink"/>
              </w:rPr>
              <w:t>613</w:t>
            </w:r>
          </w:hyperlink>
        </w:p>
        <w:p>
          <w:pPr>
            <w:pStyle w:val="Contents5"/>
            <w:tabs>
              <w:tab w:val="clear" w:pos="7892"/>
              <w:tab w:val="right" w:pos="9026" w:leader="dot"/>
            </w:tabs>
            <w:rPr/>
          </w:pPr>
          <w:hyperlink w:anchor="__RefHeading___Toc2759132_2142443653">
            <w:r>
              <w:rPr>
                <w:webHidden/>
                <w:rStyle w:val="IndexLink"/>
                <w:rtl w:val="true"/>
              </w:rPr>
              <w:t>حكم إرادة البائع شيئاً معيّناً من النصف</w:t>
            </w:r>
            <w:r>
              <w:rPr>
                <w:rStyle w:val="IndexLink"/>
                <w:rtl w:val="true"/>
              </w:rPr>
              <w:tab/>
            </w:r>
            <w:r>
              <w:rPr>
                <w:rStyle w:val="IndexLink"/>
              </w:rPr>
              <w:t>625</w:t>
            </w:r>
          </w:hyperlink>
        </w:p>
        <w:p>
          <w:pPr>
            <w:pStyle w:val="Contents4"/>
            <w:tabs>
              <w:tab w:val="clear" w:pos="8176"/>
              <w:tab w:val="right" w:pos="9026" w:leader="dot"/>
            </w:tabs>
            <w:rPr/>
          </w:pPr>
          <w:hyperlink w:anchor="__RefHeading___Toc2759134_2142443653">
            <w:r>
              <w:rPr>
                <w:webHidden/>
                <w:rStyle w:val="IndexLink"/>
                <w:rtl w:val="true"/>
              </w:rPr>
              <w:t>مسألة ولاية الأب والجدّ</w:t>
            </w:r>
            <w:r>
              <w:rPr>
                <w:rStyle w:val="IndexLink"/>
                <w:rtl w:val="true"/>
              </w:rPr>
              <w:tab/>
            </w:r>
            <w:r>
              <w:rPr>
                <w:rStyle w:val="IndexLink"/>
              </w:rPr>
              <w:t>628</w:t>
            </w:r>
          </w:hyperlink>
        </w:p>
        <w:p>
          <w:pPr>
            <w:pStyle w:val="Contents5"/>
            <w:tabs>
              <w:tab w:val="clear" w:pos="7892"/>
              <w:tab w:val="right" w:pos="9026" w:leader="dot"/>
            </w:tabs>
            <w:rPr/>
          </w:pPr>
          <w:hyperlink w:anchor="__RefHeading___Toc2759136_2142443653">
            <w:r>
              <w:rPr>
                <w:webHidden/>
                <w:rStyle w:val="IndexLink"/>
                <w:rtl w:val="true"/>
              </w:rPr>
              <w:t>بيانها</w:t>
            </w:r>
            <w:r>
              <w:rPr>
                <w:rStyle w:val="IndexLink"/>
                <w:rtl w:val="true"/>
              </w:rPr>
              <w:tab/>
            </w:r>
            <w:r>
              <w:rPr>
                <w:rStyle w:val="IndexLink"/>
              </w:rPr>
              <w:t>628</w:t>
            </w:r>
          </w:hyperlink>
        </w:p>
        <w:p>
          <w:pPr>
            <w:pStyle w:val="Contents5"/>
            <w:tabs>
              <w:tab w:val="clear" w:pos="7892"/>
              <w:tab w:val="right" w:pos="9026" w:leader="dot"/>
            </w:tabs>
            <w:rPr/>
          </w:pPr>
          <w:hyperlink w:anchor="__RefHeading___Toc2759138_2142443653">
            <w:r>
              <w:rPr>
                <w:webHidden/>
                <w:rStyle w:val="IndexLink"/>
                <w:rtl w:val="true"/>
              </w:rPr>
              <w:t>حول الإشكال في ولاية الجدّ وإن علا</w:t>
            </w:r>
            <w:r>
              <w:rPr>
                <w:rStyle w:val="IndexLink"/>
                <w:rtl w:val="true"/>
              </w:rPr>
              <w:tab/>
            </w:r>
            <w:r>
              <w:rPr>
                <w:rStyle w:val="IndexLink"/>
              </w:rPr>
              <w:t>639</w:t>
            </w:r>
          </w:hyperlink>
        </w:p>
        <w:p>
          <w:pPr>
            <w:pStyle w:val="Contents5"/>
            <w:tabs>
              <w:tab w:val="clear" w:pos="7892"/>
              <w:tab w:val="right" w:pos="9026" w:leader="dot"/>
            </w:tabs>
            <w:rPr/>
          </w:pPr>
          <w:hyperlink w:anchor="__RefHeading___Toc2759140_2142443653">
            <w:r>
              <w:rPr>
                <w:webHidden/>
                <w:rStyle w:val="IndexLink"/>
                <w:rtl w:val="true"/>
              </w:rPr>
              <w:t>حول اعتبار العدالة</w:t>
            </w:r>
            <w:r>
              <w:rPr>
                <w:rStyle w:val="IndexLink"/>
                <w:rtl w:val="true"/>
              </w:rPr>
              <w:tab/>
            </w:r>
            <w:r>
              <w:rPr>
                <w:rStyle w:val="IndexLink"/>
              </w:rPr>
              <w:t>643</w:t>
            </w:r>
          </w:hyperlink>
        </w:p>
        <w:p>
          <w:pPr>
            <w:pStyle w:val="Contents6"/>
            <w:tabs>
              <w:tab w:val="clear" w:pos="7609"/>
              <w:tab w:val="right" w:pos="9026" w:leader="dot"/>
            </w:tabs>
            <w:rPr/>
          </w:pPr>
          <w:hyperlink w:anchor="__RefHeading___Toc2759142_2142443653">
            <w:r>
              <w:rPr>
                <w:webHidden/>
                <w:rStyle w:val="IndexLink"/>
                <w:rtl w:val="true"/>
              </w:rPr>
              <w:t>بيانه</w:t>
            </w:r>
            <w:r>
              <w:rPr>
                <w:rStyle w:val="IndexLink"/>
                <w:rtl w:val="true"/>
              </w:rPr>
              <w:tab/>
            </w:r>
            <w:r>
              <w:rPr>
                <w:rStyle w:val="IndexLink"/>
              </w:rPr>
              <w:t>643</w:t>
            </w:r>
          </w:hyperlink>
        </w:p>
        <w:p>
          <w:pPr>
            <w:pStyle w:val="Contents6"/>
            <w:tabs>
              <w:tab w:val="clear" w:pos="7609"/>
              <w:tab w:val="right" w:pos="9026" w:leader="dot"/>
            </w:tabs>
            <w:rPr/>
          </w:pPr>
          <w:hyperlink w:anchor="__RefHeading___Toc2759144_2142443653">
            <w:r>
              <w:rPr>
                <w:webHidden/>
                <w:rStyle w:val="IndexLink"/>
                <w:rtl w:val="true"/>
              </w:rPr>
              <w:t>دليل صاحب الإيضاح على اعتبار العدالة</w:t>
            </w:r>
            <w:r>
              <w:rPr>
                <w:rStyle w:val="IndexLink"/>
                <w:rtl w:val="true"/>
              </w:rPr>
              <w:tab/>
            </w:r>
            <w:r>
              <w:rPr>
                <w:rStyle w:val="IndexLink"/>
              </w:rPr>
              <w:t>646</w:t>
            </w:r>
          </w:hyperlink>
        </w:p>
        <w:p>
          <w:pPr>
            <w:pStyle w:val="Contents6"/>
            <w:tabs>
              <w:tab w:val="clear" w:pos="7609"/>
              <w:tab w:val="right" w:pos="9026" w:leader="dot"/>
            </w:tabs>
            <w:rPr/>
          </w:pPr>
          <w:hyperlink w:anchor="__RefHeading___Toc2759146_2142443653">
            <w:r>
              <w:rPr>
                <w:webHidden/>
                <w:rStyle w:val="IndexLink"/>
                <w:rtl w:val="true"/>
              </w:rPr>
              <w:t>الاستدلال بآية الركون على اعتبار العدالة</w:t>
            </w:r>
            <w:r>
              <w:rPr>
                <w:rStyle w:val="IndexLink"/>
                <w:rtl w:val="true"/>
              </w:rPr>
              <w:tab/>
            </w:r>
            <w:r>
              <w:rPr>
                <w:rStyle w:val="IndexLink"/>
              </w:rPr>
              <w:t>648</w:t>
            </w:r>
          </w:hyperlink>
        </w:p>
        <w:p>
          <w:pPr>
            <w:pStyle w:val="Contents6"/>
            <w:tabs>
              <w:tab w:val="clear" w:pos="7609"/>
              <w:tab w:val="right" w:pos="9026" w:leader="dot"/>
            </w:tabs>
            <w:rPr/>
          </w:pPr>
          <w:hyperlink w:anchor="__RefHeading___Toc2759148_2142443653">
            <w:r>
              <w:rPr>
                <w:webHidden/>
                <w:rStyle w:val="IndexLink"/>
                <w:rtl w:val="true"/>
              </w:rPr>
              <w:t>الاستدلال بآية النبأ على الاعتبار</w:t>
            </w:r>
            <w:r>
              <w:rPr>
                <w:rStyle w:val="IndexLink"/>
                <w:rtl w:val="true"/>
              </w:rPr>
              <w:tab/>
            </w:r>
            <w:r>
              <w:rPr>
                <w:rStyle w:val="IndexLink"/>
              </w:rPr>
              <w:t>651</w:t>
            </w:r>
          </w:hyperlink>
        </w:p>
        <w:p>
          <w:pPr>
            <w:pStyle w:val="Contents6"/>
            <w:tabs>
              <w:tab w:val="clear" w:pos="7609"/>
              <w:tab w:val="right" w:pos="9026" w:leader="dot"/>
            </w:tabs>
            <w:rPr/>
          </w:pPr>
          <w:hyperlink w:anchor="__RefHeading___Toc2759150_2142443653">
            <w:r>
              <w:rPr>
                <w:webHidden/>
                <w:rStyle w:val="IndexLink"/>
                <w:rtl w:val="true"/>
              </w:rPr>
              <w:t>الاستدلال برواية الفضل على الاعتبار</w:t>
            </w:r>
            <w:r>
              <w:rPr>
                <w:rStyle w:val="IndexLink"/>
                <w:rtl w:val="true"/>
              </w:rPr>
              <w:tab/>
            </w:r>
            <w:r>
              <w:rPr>
                <w:rStyle w:val="IndexLink"/>
              </w:rPr>
              <w:t>654</w:t>
            </w:r>
          </w:hyperlink>
        </w:p>
        <w:p>
          <w:pPr>
            <w:pStyle w:val="Contents5"/>
            <w:tabs>
              <w:tab w:val="clear" w:pos="7892"/>
              <w:tab w:val="right" w:pos="9026" w:leader="dot"/>
            </w:tabs>
            <w:rPr/>
          </w:pPr>
          <w:hyperlink w:anchor="__RefHeading___Toc2759152_2142443653">
            <w:r>
              <w:rPr>
                <w:webHidden/>
                <w:rStyle w:val="IndexLink"/>
                <w:rtl w:val="true"/>
              </w:rPr>
              <w:t>حول اشتراط المصلحة في تصرّف الأب والجدّ</w:t>
            </w:r>
            <w:r>
              <w:rPr>
                <w:rStyle w:val="IndexLink"/>
                <w:rtl w:val="true"/>
              </w:rPr>
              <w:tab/>
            </w:r>
            <w:r>
              <w:rPr>
                <w:rStyle w:val="IndexLink"/>
              </w:rPr>
              <w:t>655</w:t>
            </w:r>
          </w:hyperlink>
        </w:p>
        <w:p>
          <w:pPr>
            <w:pStyle w:val="Contents6"/>
            <w:tabs>
              <w:tab w:val="clear" w:pos="7609"/>
              <w:tab w:val="right" w:pos="9026" w:leader="dot"/>
            </w:tabs>
            <w:rPr/>
          </w:pPr>
          <w:hyperlink w:anchor="__RefHeading___Toc2759154_2142443653">
            <w:r>
              <w:rPr>
                <w:webHidden/>
                <w:rStyle w:val="IndexLink"/>
                <w:rtl w:val="true"/>
              </w:rPr>
              <w:t>بيانه</w:t>
            </w:r>
            <w:r>
              <w:rPr>
                <w:rStyle w:val="IndexLink"/>
                <w:rtl w:val="true"/>
              </w:rPr>
              <w:tab/>
            </w:r>
            <w:r>
              <w:rPr>
                <w:rStyle w:val="IndexLink"/>
              </w:rPr>
              <w:t>655</w:t>
            </w:r>
          </w:hyperlink>
        </w:p>
        <w:p>
          <w:pPr>
            <w:pStyle w:val="Contents6"/>
            <w:tabs>
              <w:tab w:val="clear" w:pos="7609"/>
              <w:tab w:val="right" w:pos="9026" w:leader="dot"/>
            </w:tabs>
            <w:rPr/>
          </w:pPr>
          <w:hyperlink w:anchor="__RefHeading___Toc2759156_2142443653">
            <w:r>
              <w:rPr>
                <w:webHidden/>
                <w:rStyle w:val="IndexLink"/>
                <w:rtl w:val="true"/>
              </w:rPr>
              <w:t xml:space="preserve">البحث في آية </w:t>
            </w:r>
            <w:r>
              <w:rPr>
                <w:rStyle w:val="IndexLink"/>
                <w:rtl w:val="true"/>
              </w:rPr>
              <w:t>«</w:t>
            </w:r>
            <w:r>
              <w:rPr>
                <w:rStyle w:val="IndexLink"/>
                <w:rtl w:val="true"/>
              </w:rPr>
              <w:t>لاَ تَقْرَبُوا مَالَ الْيَتِيمِ</w:t>
            </w:r>
            <w:r>
              <w:rPr>
                <w:rStyle w:val="IndexLink"/>
                <w:rtl w:val="true"/>
              </w:rPr>
              <w:t>»</w:t>
              <w:tab/>
            </w:r>
            <w:r>
              <w:rPr>
                <w:rStyle w:val="IndexLink"/>
              </w:rPr>
              <w:t>659</w:t>
            </w:r>
          </w:hyperlink>
        </w:p>
        <w:p>
          <w:pPr>
            <w:pStyle w:val="Contents4"/>
            <w:tabs>
              <w:tab w:val="clear" w:pos="8176"/>
              <w:tab w:val="right" w:pos="9026" w:leader="dot"/>
            </w:tabs>
            <w:rPr/>
          </w:pPr>
          <w:hyperlink w:anchor="__RefHeading___Toc2759158_2142443653">
            <w:r>
              <w:rPr>
                <w:webHidden/>
                <w:rStyle w:val="IndexLink"/>
                <w:rtl w:val="true"/>
              </w:rPr>
              <w:t>مسألة ولاية الفقيه</w:t>
            </w:r>
            <w:r>
              <w:rPr>
                <w:rStyle w:val="IndexLink"/>
                <w:rtl w:val="true"/>
              </w:rPr>
              <w:tab/>
            </w:r>
            <w:r>
              <w:rPr>
                <w:rStyle w:val="IndexLink"/>
              </w:rPr>
              <w:t>664</w:t>
            </w:r>
          </w:hyperlink>
        </w:p>
        <w:p>
          <w:pPr>
            <w:pStyle w:val="Contents5"/>
            <w:tabs>
              <w:tab w:val="clear" w:pos="7892"/>
              <w:tab w:val="right" w:pos="9026" w:leader="dot"/>
            </w:tabs>
            <w:rPr/>
          </w:pPr>
          <w:hyperlink w:anchor="__RefHeading___Toc2759160_2142443653">
            <w:r>
              <w:rPr>
                <w:webHidden/>
                <w:rStyle w:val="IndexLink"/>
                <w:rtl w:val="true"/>
              </w:rPr>
              <w:t>إشارة</w:t>
            </w:r>
            <w:r>
              <w:rPr>
                <w:rStyle w:val="IndexLink"/>
                <w:rtl w:val="true"/>
              </w:rPr>
              <w:tab/>
            </w:r>
            <w:r>
              <w:rPr>
                <w:rStyle w:val="IndexLink"/>
              </w:rPr>
              <w:t>664</w:t>
            </w:r>
          </w:hyperlink>
        </w:p>
        <w:p>
          <w:pPr>
            <w:pStyle w:val="Contents5"/>
            <w:tabs>
              <w:tab w:val="clear" w:pos="7892"/>
              <w:tab w:val="right" w:pos="9026" w:leader="dot"/>
            </w:tabs>
            <w:rPr/>
          </w:pPr>
          <w:hyperlink w:anchor="__RefHeading___Toc2759162_2142443653">
            <w:r>
              <w:rPr>
                <w:webHidden/>
                <w:rStyle w:val="IndexLink"/>
                <w:rtl w:val="true"/>
              </w:rPr>
              <w:t>ضرورة الحكومة الإسلامية</w:t>
            </w:r>
            <w:r>
              <w:rPr>
                <w:rStyle w:val="IndexLink"/>
                <w:rtl w:val="true"/>
              </w:rPr>
              <w:tab/>
            </w:r>
            <w:r>
              <w:rPr>
                <w:rStyle w:val="IndexLink"/>
              </w:rPr>
              <w:t>664</w:t>
            </w:r>
          </w:hyperlink>
        </w:p>
        <w:p>
          <w:pPr>
            <w:pStyle w:val="Contents5"/>
            <w:tabs>
              <w:tab w:val="clear" w:pos="7892"/>
              <w:tab w:val="right" w:pos="9026" w:leader="dot"/>
            </w:tabs>
            <w:rPr/>
          </w:pPr>
          <w:hyperlink w:anchor="__RefHeading___Toc2759164_2142443653">
            <w:r>
              <w:rPr>
                <w:webHidden/>
                <w:rStyle w:val="IndexLink"/>
                <w:rtl w:val="true"/>
              </w:rPr>
              <w:t>الكلام في شخص الوالي</w:t>
            </w:r>
            <w:r>
              <w:rPr>
                <w:rStyle w:val="IndexLink"/>
                <w:rtl w:val="true"/>
              </w:rPr>
              <w:tab/>
            </w:r>
            <w:r>
              <w:rPr>
                <w:rStyle w:val="IndexLink"/>
              </w:rPr>
              <w:t>669</w:t>
            </w:r>
          </w:hyperlink>
        </w:p>
        <w:p>
          <w:pPr>
            <w:pStyle w:val="Contents5"/>
            <w:tabs>
              <w:tab w:val="clear" w:pos="7892"/>
              <w:tab w:val="right" w:pos="9026" w:leader="dot"/>
            </w:tabs>
            <w:rPr/>
          </w:pPr>
          <w:hyperlink w:anchor="__RefHeading___Toc2759166_2142443653">
            <w:r>
              <w:rPr>
                <w:webHidden/>
                <w:rStyle w:val="IndexLink"/>
                <w:rtl w:val="true"/>
              </w:rPr>
              <w:t>ما يعتبر في الوالي</w:t>
            </w:r>
            <w:r>
              <w:rPr>
                <w:rStyle w:val="IndexLink"/>
                <w:rtl w:val="true"/>
              </w:rPr>
              <w:tab/>
            </w:r>
            <w:r>
              <w:rPr>
                <w:rStyle w:val="IndexLink"/>
              </w:rPr>
              <w:t>670</w:t>
            </w:r>
          </w:hyperlink>
        </w:p>
        <w:p>
          <w:pPr>
            <w:pStyle w:val="Contents5"/>
            <w:tabs>
              <w:tab w:val="clear" w:pos="7892"/>
              <w:tab w:val="right" w:pos="9026" w:leader="dot"/>
            </w:tabs>
            <w:rPr/>
          </w:pPr>
          <w:hyperlink w:anchor="__RefHeading___Toc2759168_2142443653">
            <w:r>
              <w:rPr>
                <w:webHidden/>
                <w:rStyle w:val="IndexLink"/>
                <w:rtl w:val="true"/>
              </w:rPr>
              <w:t>فالخلافة لها معنيان واصطلاحان</w:t>
            </w:r>
            <w:r>
              <w:rPr>
                <w:rStyle w:val="IndexLink"/>
                <w:rtl w:val="true"/>
              </w:rPr>
              <w:t>:</w:t>
              <w:tab/>
            </w:r>
            <w:r>
              <w:rPr>
                <w:rStyle w:val="IndexLink"/>
              </w:rPr>
              <w:t>673</w:t>
            </w:r>
          </w:hyperlink>
        </w:p>
        <w:p>
          <w:pPr>
            <w:pStyle w:val="Contents5"/>
            <w:tabs>
              <w:tab w:val="clear" w:pos="7892"/>
              <w:tab w:val="right" w:pos="9026" w:leader="dot"/>
            </w:tabs>
            <w:rPr/>
          </w:pPr>
          <w:hyperlink w:anchor="__RefHeading___Toc2759170_2142443653">
            <w:r>
              <w:rPr>
                <w:webHidden/>
                <w:rStyle w:val="IndexLink"/>
                <w:rtl w:val="true"/>
              </w:rPr>
              <w:t>أدلّة ولاية الفقيه</w:t>
            </w:r>
            <w:r>
              <w:rPr>
                <w:rStyle w:val="IndexLink"/>
                <w:rtl w:val="true"/>
              </w:rPr>
              <w:tab/>
            </w:r>
            <w:r>
              <w:rPr>
                <w:rStyle w:val="IndexLink"/>
              </w:rPr>
              <w:t>675</w:t>
            </w:r>
          </w:hyperlink>
        </w:p>
        <w:p>
          <w:pPr>
            <w:pStyle w:val="Contents6"/>
            <w:tabs>
              <w:tab w:val="clear" w:pos="7609"/>
              <w:tab w:val="right" w:pos="9026" w:leader="dot"/>
            </w:tabs>
            <w:rPr/>
          </w:pPr>
          <w:hyperlink w:anchor="__RefHeading___Toc2759172_2142443653">
            <w:r>
              <w:rPr>
                <w:webHidden/>
                <w:rStyle w:val="IndexLink"/>
                <w:rtl w:val="true"/>
              </w:rPr>
              <w:t>إشارة</w:t>
            </w:r>
            <w:r>
              <w:rPr>
                <w:rStyle w:val="IndexLink"/>
                <w:rtl w:val="true"/>
              </w:rPr>
              <w:tab/>
            </w:r>
            <w:r>
              <w:rPr>
                <w:rStyle w:val="IndexLink"/>
              </w:rPr>
              <w:t>675</w:t>
            </w:r>
          </w:hyperlink>
        </w:p>
        <w:p>
          <w:pPr>
            <w:pStyle w:val="Contents6"/>
            <w:tabs>
              <w:tab w:val="clear" w:pos="7609"/>
              <w:tab w:val="right" w:pos="9026" w:leader="dot"/>
            </w:tabs>
            <w:rPr/>
          </w:pPr>
          <w:hyperlink w:anchor="__RefHeading___Toc2759174_2142443653">
            <w:r>
              <w:rPr>
                <w:webHidden/>
                <w:rStyle w:val="IndexLink"/>
                <w:rtl w:val="true"/>
              </w:rPr>
              <w:t>الاستدلال بمرسلة الفقيه</w:t>
            </w:r>
            <w:r>
              <w:rPr>
                <w:rStyle w:val="IndexLink"/>
                <w:rtl w:val="true"/>
              </w:rPr>
              <w:tab/>
            </w:r>
            <w:r>
              <w:rPr>
                <w:rStyle w:val="IndexLink"/>
              </w:rPr>
              <w:t>675</w:t>
            </w:r>
          </w:hyperlink>
        </w:p>
        <w:p>
          <w:pPr>
            <w:pStyle w:val="Contents6"/>
            <w:tabs>
              <w:tab w:val="clear" w:pos="7609"/>
              <w:tab w:val="right" w:pos="9026" w:leader="dot"/>
            </w:tabs>
            <w:rPr/>
          </w:pPr>
          <w:hyperlink w:anchor="__RefHeading___Toc2759176_2142443653">
            <w:r>
              <w:rPr>
                <w:webHidden/>
                <w:rStyle w:val="IndexLink"/>
                <w:rtl w:val="true"/>
              </w:rPr>
              <w:t>الاستدلال برواية علي بن أبي حمزة</w:t>
            </w:r>
            <w:r>
              <w:rPr>
                <w:rStyle w:val="IndexLink"/>
                <w:rtl w:val="true"/>
              </w:rPr>
              <w:tab/>
            </w:r>
            <w:r>
              <w:rPr>
                <w:rStyle w:val="IndexLink"/>
              </w:rPr>
              <w:t>679</w:t>
            </w:r>
          </w:hyperlink>
        </w:p>
        <w:p>
          <w:pPr>
            <w:pStyle w:val="Contents6"/>
            <w:tabs>
              <w:tab w:val="clear" w:pos="7609"/>
              <w:tab w:val="right" w:pos="9026" w:leader="dot"/>
            </w:tabs>
            <w:rPr/>
          </w:pPr>
          <w:hyperlink w:anchor="__RefHeading___Toc2759178_2142443653">
            <w:r>
              <w:rPr>
                <w:webHidden/>
                <w:rStyle w:val="IndexLink"/>
                <w:rtl w:val="true"/>
              </w:rPr>
              <w:t>الاستدلال بموثّقة السكوني</w:t>
            </w:r>
            <w:r>
              <w:rPr>
                <w:rStyle w:val="IndexLink"/>
                <w:rtl w:val="true"/>
              </w:rPr>
              <w:tab/>
            </w:r>
            <w:r>
              <w:rPr>
                <w:rStyle w:val="IndexLink"/>
              </w:rPr>
              <w:t>682</w:t>
            </w:r>
          </w:hyperlink>
        </w:p>
        <w:p>
          <w:pPr>
            <w:pStyle w:val="Contents6"/>
            <w:tabs>
              <w:tab w:val="clear" w:pos="7609"/>
              <w:tab w:val="right" w:pos="9026" w:leader="dot"/>
            </w:tabs>
            <w:rPr/>
          </w:pPr>
          <w:hyperlink w:anchor="__RefHeading___Toc2759180_2142443653">
            <w:r>
              <w:rPr>
                <w:webHidden/>
                <w:rStyle w:val="IndexLink"/>
                <w:rtl w:val="true"/>
              </w:rPr>
              <w:t>الاستدلال بالتوقيع المبارك</w:t>
            </w:r>
            <w:r>
              <w:rPr>
                <w:rStyle w:val="IndexLink"/>
                <w:rtl w:val="true"/>
              </w:rPr>
              <w:tab/>
            </w:r>
            <w:r>
              <w:rPr>
                <w:rStyle w:val="IndexLink"/>
              </w:rPr>
              <w:t>683</w:t>
            </w:r>
          </w:hyperlink>
        </w:p>
        <w:p>
          <w:pPr>
            <w:pStyle w:val="Contents6"/>
            <w:tabs>
              <w:tab w:val="clear" w:pos="7609"/>
              <w:tab w:val="right" w:pos="9026" w:leader="dot"/>
            </w:tabs>
            <w:rPr/>
          </w:pPr>
          <w:hyperlink w:anchor="__RefHeading___Toc2759182_2142443653">
            <w:r>
              <w:rPr>
                <w:webHidden/>
                <w:rStyle w:val="IndexLink"/>
                <w:rtl w:val="true"/>
              </w:rPr>
              <w:t>الاستدلال بمقبولة عمر بن حنظلة</w:t>
            </w:r>
            <w:r>
              <w:rPr>
                <w:rStyle w:val="IndexLink"/>
                <w:rtl w:val="true"/>
              </w:rPr>
              <w:tab/>
            </w:r>
            <w:r>
              <w:rPr>
                <w:rStyle w:val="IndexLink"/>
              </w:rPr>
              <w:t>686</w:t>
            </w:r>
          </w:hyperlink>
        </w:p>
        <w:p>
          <w:pPr>
            <w:pStyle w:val="Contents6"/>
            <w:tabs>
              <w:tab w:val="clear" w:pos="7609"/>
              <w:tab w:val="right" w:pos="9026" w:leader="dot"/>
            </w:tabs>
            <w:rPr/>
          </w:pPr>
          <w:hyperlink w:anchor="__RefHeading___Toc2759184_2142443653">
            <w:r>
              <w:rPr>
                <w:webHidden/>
                <w:rStyle w:val="IndexLink"/>
                <w:rtl w:val="true"/>
              </w:rPr>
              <w:t>الاستشهاد بمشهورة أبي خديجة</w:t>
            </w:r>
            <w:r>
              <w:rPr>
                <w:rStyle w:val="IndexLink"/>
                <w:rtl w:val="true"/>
              </w:rPr>
              <w:tab/>
            </w:r>
            <w:r>
              <w:rPr>
                <w:rStyle w:val="IndexLink"/>
              </w:rPr>
              <w:t>691</w:t>
            </w:r>
          </w:hyperlink>
        </w:p>
        <w:p>
          <w:pPr>
            <w:pStyle w:val="Contents6"/>
            <w:tabs>
              <w:tab w:val="clear" w:pos="7609"/>
              <w:tab w:val="right" w:pos="9026" w:leader="dot"/>
            </w:tabs>
            <w:rPr/>
          </w:pPr>
          <w:hyperlink w:anchor="__RefHeading___Toc2759186_2142443653">
            <w:r>
              <w:rPr>
                <w:webHidden/>
                <w:rStyle w:val="IndexLink"/>
                <w:rtl w:val="true"/>
              </w:rPr>
              <w:t>الاستدلال بصحيحة القدّاح</w:t>
            </w:r>
            <w:r>
              <w:rPr>
                <w:rStyle w:val="IndexLink"/>
                <w:rtl w:val="true"/>
              </w:rPr>
              <w:tab/>
            </w:r>
            <w:r>
              <w:rPr>
                <w:rStyle w:val="IndexLink"/>
              </w:rPr>
              <w:t>695</w:t>
            </w:r>
          </w:hyperlink>
        </w:p>
        <w:p>
          <w:pPr>
            <w:pStyle w:val="Contents6"/>
            <w:tabs>
              <w:tab w:val="clear" w:pos="7609"/>
              <w:tab w:val="right" w:pos="9026" w:leader="dot"/>
            </w:tabs>
            <w:rPr/>
          </w:pPr>
          <w:hyperlink w:anchor="__RefHeading___Toc2759188_2142443653">
            <w:r>
              <w:rPr>
                <w:webHidden/>
                <w:rStyle w:val="IndexLink"/>
                <w:rtl w:val="true"/>
              </w:rPr>
              <w:t>الاستدلال بروايات اُخر</w:t>
            </w:r>
            <w:r>
              <w:rPr>
                <w:rStyle w:val="IndexLink"/>
                <w:rtl w:val="true"/>
              </w:rPr>
              <w:tab/>
            </w:r>
            <w:r>
              <w:rPr>
                <w:rStyle w:val="IndexLink"/>
              </w:rPr>
              <w:t>700</w:t>
            </w:r>
          </w:hyperlink>
        </w:p>
        <w:p>
          <w:pPr>
            <w:pStyle w:val="Contents5"/>
            <w:tabs>
              <w:tab w:val="clear" w:pos="7892"/>
              <w:tab w:val="right" w:pos="9026" w:leader="dot"/>
            </w:tabs>
            <w:rPr/>
          </w:pPr>
          <w:hyperlink w:anchor="__RefHeading___Toc2759190_2142443653">
            <w:r>
              <w:rPr>
                <w:webHidden/>
                <w:rStyle w:val="IndexLink"/>
                <w:rtl w:val="true"/>
              </w:rPr>
              <w:t xml:space="preserve">عدم ثبوت ما يختصّ للمعصوم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للفقيه</w:t>
            </w:r>
            <w:r>
              <w:rPr>
                <w:rStyle w:val="IndexLink"/>
                <w:rtl w:val="true"/>
              </w:rPr>
              <w:tab/>
            </w:r>
            <w:r>
              <w:rPr>
                <w:rStyle w:val="IndexLink"/>
              </w:rPr>
              <w:t>705</w:t>
            </w:r>
          </w:hyperlink>
        </w:p>
        <w:p>
          <w:pPr>
            <w:pStyle w:val="Contents6"/>
            <w:tabs>
              <w:tab w:val="clear" w:pos="7609"/>
              <w:tab w:val="right" w:pos="9026" w:leader="dot"/>
            </w:tabs>
            <w:rPr/>
          </w:pPr>
          <w:hyperlink w:anchor="__RefHeading___Toc2759192_2142443653">
            <w:r>
              <w:rPr>
                <w:webHidden/>
                <w:rStyle w:val="IndexLink"/>
                <w:rtl w:val="true"/>
              </w:rPr>
              <w:t>بيانه</w:t>
            </w:r>
            <w:r>
              <w:rPr>
                <w:rStyle w:val="IndexLink"/>
                <w:rtl w:val="true"/>
              </w:rPr>
              <w:tab/>
            </w:r>
            <w:r>
              <w:rPr>
                <w:rStyle w:val="IndexLink"/>
              </w:rPr>
              <w:t>705</w:t>
            </w:r>
          </w:hyperlink>
        </w:p>
        <w:p>
          <w:pPr>
            <w:pStyle w:val="Contents6"/>
            <w:tabs>
              <w:tab w:val="clear" w:pos="7609"/>
              <w:tab w:val="right" w:pos="9026" w:leader="dot"/>
            </w:tabs>
            <w:rPr/>
          </w:pPr>
          <w:hyperlink w:anchor="__RefHeading___Toc2759194_2142443653">
            <w:r>
              <w:rPr>
                <w:webHidden/>
                <w:rStyle w:val="IndexLink"/>
                <w:rtl w:val="true"/>
              </w:rPr>
              <w:t xml:space="preserve">حكم سهم الإمام </w:t>
            </w:r>
            <w:r>
              <w:rPr>
                <w:rStyle w:val="IndexLink"/>
                <w:rtl w:val="true"/>
              </w:rPr>
              <w:t>(</w:t>
            </w:r>
            <w:r>
              <w:rPr>
                <w:rStyle w:val="IndexLink"/>
                <w:rtl w:val="true"/>
              </w:rPr>
              <w:t>عليه السّلام</w:t>
            </w:r>
            <w:r>
              <w:rPr>
                <w:rStyle w:val="IndexLink"/>
                <w:rtl w:val="true"/>
              </w:rPr>
              <w:t>)</w:t>
              <w:tab/>
            </w:r>
            <w:r>
              <w:rPr>
                <w:rStyle w:val="IndexLink"/>
              </w:rPr>
              <w:t>705</w:t>
            </w:r>
          </w:hyperlink>
        </w:p>
        <w:p>
          <w:pPr>
            <w:pStyle w:val="Contents6"/>
            <w:tabs>
              <w:tab w:val="clear" w:pos="7609"/>
              <w:tab w:val="right" w:pos="9026" w:leader="dot"/>
            </w:tabs>
            <w:rPr/>
          </w:pPr>
          <w:hyperlink w:anchor="__RefHeading___Toc2759196_2142443653">
            <w:r>
              <w:rPr>
                <w:webHidden/>
                <w:rStyle w:val="IndexLink"/>
                <w:rtl w:val="true"/>
              </w:rPr>
              <w:t>بيان سهم السادة</w:t>
            </w:r>
            <w:r>
              <w:rPr>
                <w:rStyle w:val="IndexLink"/>
                <w:rtl w:val="true"/>
              </w:rPr>
              <w:tab/>
            </w:r>
            <w:r>
              <w:rPr>
                <w:rStyle w:val="IndexLink"/>
              </w:rPr>
              <w:t>706</w:t>
            </w:r>
          </w:hyperlink>
        </w:p>
        <w:p>
          <w:pPr>
            <w:pStyle w:val="Contents6"/>
            <w:tabs>
              <w:tab w:val="clear" w:pos="7609"/>
              <w:tab w:val="right" w:pos="9026" w:leader="dot"/>
            </w:tabs>
            <w:rPr/>
          </w:pPr>
          <w:hyperlink w:anchor="__RefHeading___Toc2759198_2142443653">
            <w:r>
              <w:rPr>
                <w:webHidden/>
                <w:rStyle w:val="IndexLink"/>
                <w:rtl w:val="true"/>
              </w:rPr>
              <w:t xml:space="preserve">بيان سهم الإمام </w:t>
            </w:r>
            <w:r>
              <w:rPr>
                <w:rStyle w:val="IndexLink"/>
                <w:rtl w:val="true"/>
              </w:rPr>
              <w:t>(</w:t>
            </w:r>
            <w:r>
              <w:rPr>
                <w:rStyle w:val="IndexLink"/>
                <w:rtl w:val="true"/>
              </w:rPr>
              <w:t>عليه السّلام</w:t>
            </w:r>
            <w:r>
              <w:rPr>
                <w:rStyle w:val="IndexLink"/>
                <w:rtl w:val="true"/>
              </w:rPr>
              <w:t>)</w:t>
              <w:tab/>
            </w:r>
            <w:r>
              <w:rPr>
                <w:rStyle w:val="IndexLink"/>
              </w:rPr>
              <w:t>709</w:t>
            </w:r>
          </w:hyperlink>
        </w:p>
        <w:p>
          <w:pPr>
            <w:pStyle w:val="Contents6"/>
            <w:tabs>
              <w:tab w:val="clear" w:pos="7609"/>
              <w:tab w:val="right" w:pos="9026" w:leader="dot"/>
            </w:tabs>
            <w:rPr/>
          </w:pPr>
          <w:hyperlink w:anchor="__RefHeading___Toc2759200_2142443653">
            <w:r>
              <w:rPr>
                <w:webHidden/>
                <w:rStyle w:val="IndexLink"/>
                <w:rtl w:val="true"/>
              </w:rPr>
              <w:t>حكم الاُمور الحسبية</w:t>
            </w:r>
            <w:r>
              <w:rPr>
                <w:rStyle w:val="IndexLink"/>
                <w:rtl w:val="true"/>
              </w:rPr>
              <w:tab/>
            </w:r>
            <w:r>
              <w:rPr>
                <w:rStyle w:val="IndexLink"/>
              </w:rPr>
              <w:t>716</w:t>
            </w:r>
          </w:hyperlink>
        </w:p>
        <w:p>
          <w:pPr>
            <w:pStyle w:val="Contents5"/>
            <w:tabs>
              <w:tab w:val="clear" w:pos="7892"/>
              <w:tab w:val="right" w:pos="9026" w:leader="dot"/>
            </w:tabs>
            <w:rPr/>
          </w:pPr>
          <w:hyperlink w:anchor="__RefHeading___Toc2759202_2142443653">
            <w:r>
              <w:rPr>
                <w:webHidden/>
                <w:rStyle w:val="IndexLink"/>
                <w:rtl w:val="true"/>
              </w:rPr>
              <w:t>النسبة بين أدلّة ولاية الفقيه وأدلّة الحثّ على المعروف</w:t>
            </w:r>
            <w:r>
              <w:rPr>
                <w:rStyle w:val="IndexLink"/>
                <w:rtl w:val="true"/>
              </w:rPr>
              <w:tab/>
            </w:r>
            <w:r>
              <w:rPr>
                <w:rStyle w:val="IndexLink"/>
              </w:rPr>
              <w:t>718</w:t>
            </w:r>
          </w:hyperlink>
        </w:p>
        <w:p>
          <w:pPr>
            <w:pStyle w:val="Contents4"/>
            <w:tabs>
              <w:tab w:val="clear" w:pos="8176"/>
              <w:tab w:val="right" w:pos="9026" w:leader="dot"/>
            </w:tabs>
            <w:rPr/>
          </w:pPr>
          <w:hyperlink w:anchor="__RefHeading___Toc2759204_2142443653">
            <w:r>
              <w:rPr>
                <w:webHidden/>
                <w:rStyle w:val="IndexLink"/>
                <w:rtl w:val="true"/>
              </w:rPr>
              <w:t>مسألة ولاية عدول المؤمنين</w:t>
            </w:r>
            <w:r>
              <w:rPr>
                <w:rStyle w:val="IndexLink"/>
                <w:rtl w:val="true"/>
              </w:rPr>
              <w:tab/>
            </w:r>
            <w:r>
              <w:rPr>
                <w:rStyle w:val="IndexLink"/>
              </w:rPr>
              <w:t>722</w:t>
            </w:r>
          </w:hyperlink>
        </w:p>
        <w:p>
          <w:pPr>
            <w:pStyle w:val="Contents5"/>
            <w:tabs>
              <w:tab w:val="clear" w:pos="7892"/>
              <w:tab w:val="right" w:pos="9026" w:leader="dot"/>
            </w:tabs>
            <w:rPr/>
          </w:pPr>
          <w:hyperlink w:anchor="__RefHeading___Toc2759206_2142443653">
            <w:r>
              <w:rPr>
                <w:webHidden/>
                <w:rStyle w:val="IndexLink"/>
                <w:rtl w:val="true"/>
              </w:rPr>
              <w:t>البحث في الحسبيّات</w:t>
            </w:r>
            <w:r>
              <w:rPr>
                <w:rStyle w:val="IndexLink"/>
                <w:rtl w:val="true"/>
              </w:rPr>
              <w:tab/>
            </w:r>
            <w:r>
              <w:rPr>
                <w:rStyle w:val="IndexLink"/>
              </w:rPr>
              <w:t>722</w:t>
            </w:r>
          </w:hyperlink>
        </w:p>
        <w:p>
          <w:pPr>
            <w:pStyle w:val="Contents5"/>
            <w:tabs>
              <w:tab w:val="clear" w:pos="7892"/>
              <w:tab w:val="right" w:pos="9026" w:leader="dot"/>
            </w:tabs>
            <w:rPr/>
          </w:pPr>
          <w:hyperlink w:anchor="__RefHeading___Toc2759208_2142443653">
            <w:r>
              <w:rPr>
                <w:webHidden/>
                <w:rStyle w:val="IndexLink"/>
                <w:rtl w:val="true"/>
              </w:rPr>
              <w:t>مقتضی الأخبار الخاصّة</w:t>
            </w:r>
            <w:r>
              <w:rPr>
                <w:rStyle w:val="IndexLink"/>
                <w:rtl w:val="true"/>
              </w:rPr>
              <w:tab/>
            </w:r>
            <w:r>
              <w:rPr>
                <w:rStyle w:val="IndexLink"/>
              </w:rPr>
              <w:t>724</w:t>
            </w:r>
          </w:hyperlink>
        </w:p>
        <w:p>
          <w:pPr>
            <w:pStyle w:val="Contents6"/>
            <w:tabs>
              <w:tab w:val="clear" w:pos="7609"/>
              <w:tab w:val="right" w:pos="9026" w:leader="dot"/>
            </w:tabs>
            <w:rPr/>
          </w:pPr>
          <w:hyperlink w:anchor="__RefHeading___Toc2759210_2142443653">
            <w:r>
              <w:rPr>
                <w:webHidden/>
                <w:rStyle w:val="IndexLink"/>
                <w:rtl w:val="true"/>
              </w:rPr>
              <w:t>إشارة</w:t>
            </w:r>
            <w:r>
              <w:rPr>
                <w:rStyle w:val="IndexLink"/>
                <w:rtl w:val="true"/>
              </w:rPr>
              <w:tab/>
            </w:r>
            <w:r>
              <w:rPr>
                <w:rStyle w:val="IndexLink"/>
              </w:rPr>
              <w:t>724</w:t>
            </w:r>
          </w:hyperlink>
        </w:p>
        <w:p>
          <w:pPr>
            <w:pStyle w:val="Contents6"/>
            <w:tabs>
              <w:tab w:val="clear" w:pos="7609"/>
              <w:tab w:val="right" w:pos="9026" w:leader="dot"/>
            </w:tabs>
            <w:rPr/>
          </w:pPr>
          <w:hyperlink w:anchor="__RefHeading___Toc2759212_2142443653">
            <w:r>
              <w:rPr>
                <w:webHidden/>
                <w:rStyle w:val="IndexLink"/>
                <w:rtl w:val="true"/>
              </w:rPr>
              <w:t>دلالة صحيحة ابن بزيع على ولاية العدول</w:t>
            </w:r>
            <w:r>
              <w:rPr>
                <w:rStyle w:val="IndexLink"/>
                <w:rtl w:val="true"/>
              </w:rPr>
              <w:tab/>
            </w:r>
            <w:r>
              <w:rPr>
                <w:rStyle w:val="IndexLink"/>
              </w:rPr>
              <w:t>724</w:t>
            </w:r>
          </w:hyperlink>
        </w:p>
        <w:p>
          <w:pPr>
            <w:pStyle w:val="Contents6"/>
            <w:tabs>
              <w:tab w:val="clear" w:pos="7609"/>
              <w:tab w:val="right" w:pos="9026" w:leader="dot"/>
            </w:tabs>
            <w:rPr/>
          </w:pPr>
          <w:hyperlink w:anchor="__RefHeading___Toc2759214_2142443653">
            <w:r>
              <w:rPr>
                <w:webHidden/>
                <w:rStyle w:val="IndexLink"/>
                <w:rtl w:val="true"/>
              </w:rPr>
              <w:t>دلالة صحيحة الأشعري على ولاية العدول</w:t>
            </w:r>
            <w:r>
              <w:rPr>
                <w:rStyle w:val="IndexLink"/>
                <w:rtl w:val="true"/>
              </w:rPr>
              <w:tab/>
            </w:r>
            <w:r>
              <w:rPr>
                <w:rStyle w:val="IndexLink"/>
              </w:rPr>
              <w:t>728</w:t>
            </w:r>
          </w:hyperlink>
        </w:p>
        <w:p>
          <w:pPr>
            <w:pStyle w:val="Contents6"/>
            <w:tabs>
              <w:tab w:val="clear" w:pos="7609"/>
              <w:tab w:val="right" w:pos="9026" w:leader="dot"/>
            </w:tabs>
            <w:rPr/>
          </w:pPr>
          <w:hyperlink w:anchor="__RefHeading___Toc2759216_2142443653">
            <w:r>
              <w:rPr>
                <w:webHidden/>
                <w:rStyle w:val="IndexLink"/>
                <w:rtl w:val="true"/>
              </w:rPr>
              <w:t>دلالة موثّقة سماعة على ولاية العدول</w:t>
            </w:r>
            <w:r>
              <w:rPr>
                <w:rStyle w:val="IndexLink"/>
                <w:rtl w:val="true"/>
              </w:rPr>
              <w:tab/>
            </w:r>
            <w:r>
              <w:rPr>
                <w:rStyle w:val="IndexLink"/>
              </w:rPr>
              <w:t>730</w:t>
            </w:r>
          </w:hyperlink>
        </w:p>
        <w:p>
          <w:pPr>
            <w:pStyle w:val="Contents5"/>
            <w:tabs>
              <w:tab w:val="clear" w:pos="7892"/>
              <w:tab w:val="right" w:pos="9026" w:leader="dot"/>
            </w:tabs>
            <w:rPr/>
          </w:pPr>
          <w:hyperlink w:anchor="__RefHeading___Toc2759218_2142443653">
            <w:r>
              <w:rPr>
                <w:webHidden/>
                <w:rStyle w:val="IndexLink"/>
                <w:rtl w:val="true"/>
              </w:rPr>
              <w:t>حول كفاية الوثاقة</w:t>
            </w:r>
            <w:r>
              <w:rPr>
                <w:rStyle w:val="IndexLink"/>
                <w:rtl w:val="true"/>
              </w:rPr>
              <w:tab/>
            </w:r>
            <w:r>
              <w:rPr>
                <w:rStyle w:val="IndexLink"/>
              </w:rPr>
              <w:t>731</w:t>
            </w:r>
          </w:hyperlink>
        </w:p>
        <w:p>
          <w:pPr>
            <w:pStyle w:val="Contents5"/>
            <w:tabs>
              <w:tab w:val="clear" w:pos="7892"/>
              <w:tab w:val="right" w:pos="9026" w:leader="dot"/>
            </w:tabs>
            <w:rPr/>
          </w:pPr>
          <w:hyperlink w:anchor="__RefHeading___Toc2759220_2142443653">
            <w:r>
              <w:rPr>
                <w:webHidden/>
                <w:rStyle w:val="IndexLink"/>
                <w:rtl w:val="true"/>
              </w:rPr>
              <w:t>حول مزاحمة فقيه لفقيه آخر</w:t>
            </w:r>
            <w:r>
              <w:rPr>
                <w:rStyle w:val="IndexLink"/>
                <w:rtl w:val="true"/>
              </w:rPr>
              <w:tab/>
            </w:r>
            <w:r>
              <w:rPr>
                <w:rStyle w:val="IndexLink"/>
              </w:rPr>
              <w:t>739</w:t>
            </w:r>
          </w:hyperlink>
        </w:p>
        <w:p>
          <w:pPr>
            <w:pStyle w:val="Contents5"/>
            <w:tabs>
              <w:tab w:val="clear" w:pos="7892"/>
              <w:tab w:val="right" w:pos="9026" w:leader="dot"/>
            </w:tabs>
            <w:rPr/>
          </w:pPr>
          <w:hyperlink w:anchor="__RefHeading___Toc2759222_2142443653">
            <w:r>
              <w:rPr>
                <w:webHidden/>
                <w:rStyle w:val="IndexLink"/>
                <w:rtl w:val="true"/>
              </w:rPr>
              <w:t>جواز مزاحمة الفقيه لغيره</w:t>
            </w:r>
            <w:r>
              <w:rPr>
                <w:rStyle w:val="IndexLink"/>
                <w:rtl w:val="true"/>
              </w:rPr>
              <w:tab/>
            </w:r>
            <w:r>
              <w:rPr>
                <w:rStyle w:val="IndexLink"/>
              </w:rPr>
              <w:t>747</w:t>
            </w:r>
          </w:hyperlink>
        </w:p>
        <w:p>
          <w:pPr>
            <w:pStyle w:val="Contents5"/>
            <w:tabs>
              <w:tab w:val="clear" w:pos="7892"/>
              <w:tab w:val="right" w:pos="9026" w:leader="dot"/>
            </w:tabs>
            <w:rPr/>
          </w:pPr>
          <w:hyperlink w:anchor="__RefHeading___Toc2759224_2142443653">
            <w:r>
              <w:rPr>
                <w:webHidden/>
                <w:rStyle w:val="IndexLink"/>
                <w:rtl w:val="true"/>
              </w:rPr>
              <w:t>حول جواز تصرّف الكلّ في مال اليتيم مع المصلحة</w:t>
            </w:r>
            <w:r>
              <w:rPr>
                <w:rStyle w:val="IndexLink"/>
                <w:rtl w:val="true"/>
              </w:rPr>
              <w:tab/>
            </w:r>
            <w:r>
              <w:rPr>
                <w:rStyle w:val="IndexLink"/>
              </w:rPr>
              <w:t>748</w:t>
            </w:r>
          </w:hyperlink>
        </w:p>
        <w:p>
          <w:pPr>
            <w:pStyle w:val="Contents5"/>
            <w:tabs>
              <w:tab w:val="clear" w:pos="7892"/>
              <w:tab w:val="right" w:pos="9026" w:leader="dot"/>
            </w:tabs>
            <w:rPr/>
          </w:pPr>
          <w:hyperlink w:anchor="__RefHeading___Toc2759226_2142443653">
            <w:r>
              <w:rPr>
                <w:webHidden/>
                <w:rStyle w:val="IndexLink"/>
                <w:rtl w:val="true"/>
              </w:rPr>
              <w:t>اعتبار المصلحة في تصرّفات غير الأب والجدّ</w:t>
            </w:r>
            <w:r>
              <w:rPr>
                <w:rStyle w:val="IndexLink"/>
                <w:rtl w:val="true"/>
              </w:rPr>
              <w:tab/>
            </w:r>
            <w:r>
              <w:rPr>
                <w:rStyle w:val="IndexLink"/>
              </w:rPr>
              <w:t>755</w:t>
            </w:r>
          </w:hyperlink>
        </w:p>
        <w:p>
          <w:pPr>
            <w:pStyle w:val="Contents6"/>
            <w:tabs>
              <w:tab w:val="clear" w:pos="7609"/>
              <w:tab w:val="right" w:pos="9026" w:leader="dot"/>
            </w:tabs>
            <w:rPr/>
          </w:pPr>
          <w:hyperlink w:anchor="__RefHeading___Toc2759228_2142443653">
            <w:r>
              <w:rPr>
                <w:webHidden/>
                <w:rStyle w:val="IndexLink"/>
                <w:rtl w:val="true"/>
              </w:rPr>
              <w:t>إشارة</w:t>
            </w:r>
            <w:r>
              <w:rPr>
                <w:rStyle w:val="IndexLink"/>
                <w:rtl w:val="true"/>
              </w:rPr>
              <w:tab/>
            </w:r>
            <w:r>
              <w:rPr>
                <w:rStyle w:val="IndexLink"/>
              </w:rPr>
              <w:t>755</w:t>
            </w:r>
          </w:hyperlink>
        </w:p>
        <w:p>
          <w:pPr>
            <w:pStyle w:val="Contents6"/>
            <w:tabs>
              <w:tab w:val="clear" w:pos="7609"/>
              <w:tab w:val="right" w:pos="9026" w:leader="dot"/>
            </w:tabs>
            <w:rPr/>
          </w:pPr>
          <w:hyperlink w:anchor="__RefHeading___Toc2759230_2142443653">
            <w:r>
              <w:rPr>
                <w:webHidden/>
                <w:rStyle w:val="IndexLink"/>
                <w:rtl w:val="true"/>
              </w:rPr>
              <w:t xml:space="preserve">حول مفاد آية </w:t>
            </w:r>
            <w:r>
              <w:rPr>
                <w:rStyle w:val="IndexLink"/>
                <w:rtl w:val="true"/>
              </w:rPr>
              <w:t>«</w:t>
            </w:r>
            <w:r>
              <w:rPr>
                <w:rStyle w:val="IndexLink"/>
                <w:rtl w:val="true"/>
              </w:rPr>
              <w:t>وَلاَ تَقْرَبُوا مَالَ الْيَتِيمِ</w:t>
            </w:r>
            <w:r>
              <w:rPr>
                <w:rStyle w:val="IndexLink"/>
                <w:rtl w:val="true"/>
              </w:rPr>
              <w:t>»</w:t>
              <w:tab/>
            </w:r>
            <w:r>
              <w:rPr>
                <w:rStyle w:val="IndexLink"/>
              </w:rPr>
              <w:t>756</w:t>
            </w:r>
          </w:hyperlink>
        </w:p>
        <w:p>
          <w:pPr>
            <w:pStyle w:val="Contents4"/>
            <w:tabs>
              <w:tab w:val="clear" w:pos="8176"/>
              <w:tab w:val="right" w:pos="9026" w:leader="dot"/>
            </w:tabs>
            <w:rPr/>
          </w:pPr>
          <w:hyperlink w:anchor="__RefHeading___Toc2759232_2142443653">
            <w:r>
              <w:rPr>
                <w:webHidden/>
                <w:rStyle w:val="IndexLink"/>
                <w:rtl w:val="true"/>
              </w:rPr>
              <w:t>مسألة جواز نقل المصحف إلى الكافر</w:t>
            </w:r>
            <w:r>
              <w:rPr>
                <w:rStyle w:val="IndexLink"/>
                <w:rtl w:val="true"/>
              </w:rPr>
              <w:tab/>
            </w:r>
            <w:r>
              <w:rPr>
                <w:rStyle w:val="IndexLink"/>
              </w:rPr>
              <w:t>773</w:t>
            </w:r>
          </w:hyperlink>
        </w:p>
        <w:p>
          <w:pPr>
            <w:pStyle w:val="Contents2"/>
            <w:tabs>
              <w:tab w:val="clear" w:pos="8743"/>
              <w:tab w:val="right" w:pos="9026" w:leader="dot"/>
            </w:tabs>
            <w:rPr/>
          </w:pPr>
          <w:hyperlink w:anchor="__RefHeading___Toc2759234_2142443653">
            <w:r>
              <w:rPr>
                <w:webHidden/>
                <w:rStyle w:val="IndexLink"/>
                <w:rtl w:val="true"/>
              </w:rPr>
              <w:t>الفهارس العامّة</w:t>
            </w:r>
            <w:r>
              <w:rPr>
                <w:rStyle w:val="IndexLink"/>
                <w:rtl w:val="true"/>
              </w:rPr>
              <w:tab/>
            </w:r>
            <w:r>
              <w:rPr>
                <w:rStyle w:val="IndexLink"/>
              </w:rPr>
              <w:t>784</w:t>
            </w:r>
          </w:hyperlink>
        </w:p>
        <w:p>
          <w:pPr>
            <w:pStyle w:val="Contents3"/>
            <w:tabs>
              <w:tab w:val="clear" w:pos="8459"/>
              <w:tab w:val="right" w:pos="9026" w:leader="dot"/>
            </w:tabs>
            <w:rPr/>
          </w:pPr>
          <w:hyperlink w:anchor="__RefHeading___Toc2759236_2142443653">
            <w:r>
              <w:rPr>
                <w:webHidden/>
                <w:rStyle w:val="IndexLink"/>
                <w:rtl w:val="true"/>
              </w:rPr>
              <w:t>اشارة</w:t>
            </w:r>
            <w:r>
              <w:rPr>
                <w:rStyle w:val="IndexLink"/>
                <w:rtl w:val="true"/>
              </w:rPr>
              <w:tab/>
            </w:r>
            <w:r>
              <w:rPr>
                <w:rStyle w:val="IndexLink"/>
              </w:rPr>
              <w:t>784</w:t>
            </w:r>
          </w:hyperlink>
        </w:p>
        <w:p>
          <w:pPr>
            <w:pStyle w:val="Contents3"/>
            <w:tabs>
              <w:tab w:val="clear" w:pos="8459"/>
              <w:tab w:val="right" w:pos="9026" w:leader="dot"/>
            </w:tabs>
            <w:rPr/>
          </w:pPr>
          <w:hyperlink w:anchor="__RefHeading___Toc2759238_2142443653">
            <w:r>
              <w:rPr>
                <w:webHidden/>
                <w:rStyle w:val="IndexLink"/>
                <w:rtl w:val="true"/>
              </w:rPr>
              <w:t>فهرس الآيات الكريمة</w:t>
            </w:r>
            <w:r>
              <w:rPr>
                <w:rStyle w:val="IndexLink"/>
                <w:rtl w:val="true"/>
              </w:rPr>
              <w:tab/>
            </w:r>
            <w:r>
              <w:rPr>
                <w:rStyle w:val="IndexLink"/>
              </w:rPr>
              <w:t>786</w:t>
            </w:r>
          </w:hyperlink>
        </w:p>
        <w:p>
          <w:pPr>
            <w:pStyle w:val="Contents3"/>
            <w:tabs>
              <w:tab w:val="clear" w:pos="8459"/>
              <w:tab w:val="right" w:pos="9026" w:leader="dot"/>
            </w:tabs>
            <w:rPr/>
          </w:pPr>
          <w:hyperlink w:anchor="__RefHeading___Toc2759240_2142443653">
            <w:r>
              <w:rPr>
                <w:webHidden/>
                <w:rStyle w:val="IndexLink"/>
                <w:rtl w:val="true"/>
              </w:rPr>
              <w:t>فهرس الأحاديث الشريفة</w:t>
            </w:r>
            <w:r>
              <w:rPr>
                <w:rStyle w:val="IndexLink"/>
                <w:rtl w:val="true"/>
              </w:rPr>
              <w:tab/>
            </w:r>
            <w:r>
              <w:rPr>
                <w:rStyle w:val="IndexLink"/>
              </w:rPr>
              <w:t>796</w:t>
            </w:r>
          </w:hyperlink>
        </w:p>
        <w:p>
          <w:pPr>
            <w:pStyle w:val="Contents3"/>
            <w:tabs>
              <w:tab w:val="clear" w:pos="8459"/>
              <w:tab w:val="right" w:pos="9026" w:leader="dot"/>
            </w:tabs>
            <w:rPr/>
          </w:pPr>
          <w:hyperlink w:anchor="__RefHeading___Toc2759242_2142443653">
            <w:r>
              <w:rPr>
                <w:webHidden/>
                <w:rStyle w:val="IndexLink"/>
                <w:rtl w:val="true"/>
              </w:rPr>
              <w:t xml:space="preserve">فهرس أسماء المعصومين </w:t>
            </w:r>
            <w:r>
              <w:rPr>
                <w:rStyle w:val="IndexLink"/>
                <w:rtl w:val="true"/>
              </w:rPr>
              <w:t>(</w:t>
            </w:r>
            <w:r>
              <w:rPr>
                <w:rStyle w:val="IndexLink"/>
                <w:rtl w:val="true"/>
              </w:rPr>
              <w:t>عليهم السّلام</w:t>
            </w:r>
            <w:r>
              <w:rPr>
                <w:rStyle w:val="IndexLink"/>
                <w:rtl w:val="true"/>
              </w:rPr>
              <w:t>)</w:t>
              <w:tab/>
            </w:r>
            <w:r>
              <w:rPr>
                <w:rStyle w:val="IndexLink"/>
              </w:rPr>
              <w:t>812</w:t>
            </w:r>
          </w:hyperlink>
        </w:p>
        <w:p>
          <w:pPr>
            <w:pStyle w:val="Contents3"/>
            <w:tabs>
              <w:tab w:val="clear" w:pos="8459"/>
              <w:tab w:val="right" w:pos="9026" w:leader="dot"/>
            </w:tabs>
            <w:rPr/>
          </w:pPr>
          <w:hyperlink w:anchor="__RefHeading___Toc2759244_2142443653">
            <w:r>
              <w:rPr>
                <w:webHidden/>
                <w:rStyle w:val="IndexLink"/>
                <w:rtl w:val="true"/>
              </w:rPr>
              <w:t>فهرس الأعلام</w:t>
            </w:r>
            <w:r>
              <w:rPr>
                <w:rStyle w:val="IndexLink"/>
                <w:rtl w:val="true"/>
              </w:rPr>
              <w:tab/>
            </w:r>
            <w:r>
              <w:rPr>
                <w:rStyle w:val="IndexLink"/>
              </w:rPr>
              <w:t>814</w:t>
            </w:r>
          </w:hyperlink>
        </w:p>
        <w:p>
          <w:pPr>
            <w:pStyle w:val="Contents3"/>
            <w:tabs>
              <w:tab w:val="clear" w:pos="8459"/>
              <w:tab w:val="right" w:pos="9026" w:leader="dot"/>
            </w:tabs>
            <w:rPr/>
          </w:pPr>
          <w:hyperlink w:anchor="__RefHeading___Toc2759246_2142443653">
            <w:r>
              <w:rPr>
                <w:webHidden/>
                <w:rStyle w:val="IndexLink"/>
                <w:rtl w:val="true"/>
              </w:rPr>
              <w:t>فهرس الكتب الواردة في المتن</w:t>
            </w:r>
            <w:r>
              <w:rPr>
                <w:rStyle w:val="IndexLink"/>
                <w:rtl w:val="true"/>
              </w:rPr>
              <w:tab/>
            </w:r>
            <w:r>
              <w:rPr>
                <w:rStyle w:val="IndexLink"/>
              </w:rPr>
              <w:t>828</w:t>
            </w:r>
          </w:hyperlink>
        </w:p>
        <w:p>
          <w:pPr>
            <w:pStyle w:val="Contents3"/>
            <w:tabs>
              <w:tab w:val="clear" w:pos="8459"/>
              <w:tab w:val="right" w:pos="9026" w:leader="dot"/>
            </w:tabs>
            <w:rPr/>
          </w:pPr>
          <w:hyperlink w:anchor="__RefHeading___Toc2759248_2142443653">
            <w:r>
              <w:rPr>
                <w:webHidden/>
                <w:rStyle w:val="IndexLink"/>
                <w:rtl w:val="true"/>
              </w:rPr>
              <w:t>فهرس مصادر التحقيق</w:t>
            </w:r>
            <w:r>
              <w:rPr>
                <w:rStyle w:val="IndexLink"/>
                <w:rtl w:val="true"/>
              </w:rPr>
              <w:tab/>
            </w:r>
            <w:r>
              <w:rPr>
                <w:rStyle w:val="IndexLink"/>
              </w:rPr>
              <w:t>833</w:t>
            </w:r>
          </w:hyperlink>
        </w:p>
        <w:p>
          <w:pPr>
            <w:pStyle w:val="Contents3"/>
            <w:tabs>
              <w:tab w:val="clear" w:pos="8459"/>
              <w:tab w:val="right" w:pos="9026" w:leader="dot"/>
            </w:tabs>
            <w:rPr/>
          </w:pPr>
          <w:hyperlink w:anchor="__RefHeading___Toc2759250_2142443653">
            <w:r>
              <w:rPr>
                <w:webHidden/>
                <w:rStyle w:val="IndexLink"/>
                <w:rtl w:val="true"/>
              </w:rPr>
              <w:t>فهرس الموضوعات</w:t>
            </w:r>
            <w:r>
              <w:rPr>
                <w:rStyle w:val="IndexLink"/>
                <w:rtl w:val="true"/>
              </w:rPr>
              <w:tab/>
            </w:r>
            <w:r>
              <w:rPr>
                <w:rStyle w:val="IndexLink"/>
              </w:rPr>
              <w:t>855</w:t>
            </w:r>
          </w:hyperlink>
        </w:p>
        <w:p>
          <w:pPr>
            <w:pStyle w:val="Contents3"/>
            <w:tabs>
              <w:tab w:val="clear" w:pos="8459"/>
              <w:tab w:val="right" w:pos="9026" w:leader="dot"/>
            </w:tabs>
            <w:rPr/>
          </w:pPr>
          <w:hyperlink w:anchor="__RefHeading___Toc2759252_2142443653">
            <w:r>
              <w:rPr>
                <w:webHidden/>
                <w:rStyle w:val="IndexLink"/>
                <w:rtl w:val="true"/>
              </w:rPr>
              <w:t>الفهارس العامّة</w:t>
            </w:r>
            <w:r>
              <w:rPr>
                <w:rStyle w:val="IndexLink"/>
                <w:rtl w:val="true"/>
              </w:rPr>
              <w:tab/>
            </w:r>
            <w:r>
              <w:rPr>
                <w:rStyle w:val="IndexLink"/>
              </w:rPr>
              <w:t>866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4_140163"/>
      <w:bookmarkStart w:id="1" w:name="pg15204_140163"/>
      <w:bookmarkEnd w:id="1"/>
    </w:p>
    <w:p>
      <w:pPr>
        <w:pStyle w:val="Heading2"/>
        <w:numPr>
          <w:ilvl w:val="1"/>
          <w:numId w:val="1"/>
        </w:numPr>
        <w:rPr/>
      </w:pPr>
      <w:bookmarkStart w:id="2" w:name="pg15204_140163"/>
      <w:bookmarkStart w:id="3" w:name="__RefHeading___Toc275865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سرّه الشریف المجلد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سرّه</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هادي الرضوي الخانکهداني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865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04_140167"/>
      <w:bookmarkStart w:id="8" w:name="pg15204_140167"/>
      <w:bookmarkEnd w:id="8"/>
    </w:p>
    <w:p>
      <w:pPr>
        <w:pStyle w:val="Heading2"/>
        <w:numPr>
          <w:ilvl w:val="1"/>
          <w:numId w:val="1"/>
        </w:numPr>
        <w:rPr/>
      </w:pPr>
      <w:bookmarkStart w:id="9" w:name="pg15204_140167"/>
      <w:bookmarkStart w:id="10" w:name="__RefHeading___Toc2758654_2142443653"/>
      <w:bookmarkStart w:id="11" w:name="_Toc3"/>
      <w:bookmarkEnd w:id="9"/>
      <w:bookmarkEnd w:id="10"/>
      <w:r>
        <w:rPr>
          <w:rtl w:val="true"/>
        </w:rPr>
        <w:t>الكلام في شروط المتعاملين</w:t>
      </w:r>
      <w:bookmarkEnd w:id="11"/>
    </w:p>
    <w:p>
      <w:pPr>
        <w:pStyle w:val="Heading3"/>
        <w:numPr>
          <w:ilvl w:val="2"/>
          <w:numId w:val="1"/>
        </w:numPr>
        <w:rPr/>
      </w:pPr>
      <w:bookmarkStart w:id="12" w:name="__RefHeading___Toc2758656_2142443653"/>
      <w:bookmarkStart w:id="13" w:name="_Toc4"/>
      <w:bookmarkEnd w:id="12"/>
      <w:r>
        <w:rPr>
          <w:rtl w:val="true"/>
        </w:rPr>
        <w:t>الشرط الأول</w:t>
      </w:r>
      <w:r>
        <w:rPr>
          <w:rtl w:val="true"/>
        </w:rPr>
        <w:t xml:space="preserve">: </w:t>
      </w:r>
      <w:r>
        <w:rPr>
          <w:rtl w:val="true"/>
        </w:rPr>
        <w:t>البلوغ في المتعاملين</w:t>
      </w:r>
      <w:bookmarkEnd w:id="13"/>
    </w:p>
    <w:p>
      <w:pPr>
        <w:pStyle w:val="Heading4"/>
        <w:numPr>
          <w:ilvl w:val="3"/>
          <w:numId w:val="1"/>
        </w:numPr>
        <w:rPr/>
      </w:pPr>
      <w:bookmarkStart w:id="14" w:name="__RefHeading___Toc2758658_2142443653"/>
      <w:bookmarkStart w:id="15" w:name="_Toc5"/>
      <w:bookmarkEnd w:id="14"/>
      <w:r>
        <w:rPr>
          <w:rtl w:val="true"/>
        </w:rPr>
        <w:t>مسألة اعتبار البلوغ في المتعاملين</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 w:name="__RefHeading___Toc2758660_2142443653"/>
      <w:bookmarkStart w:id="17" w:name="_Toc6"/>
      <w:bookmarkEnd w:id="16"/>
      <w:r>
        <w:rPr>
          <w:rtl w:val="true"/>
        </w:rPr>
        <w:t>إشارة</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وقد ادّعيت الشهرة</w:t>
      </w:r>
      <w:r>
        <w:rPr>
          <w:rStyle w:val="FootnoteAnchor"/>
          <w:rtl w:val="true"/>
        </w:rPr>
        <w:footnoteReference w:id="2"/>
      </w:r>
      <w:r>
        <w:rPr>
          <w:rFonts w:ascii="IRNazanin" w:hAnsi="IRNazanin" w:eastAsia="IRNazanin"/>
          <w:color w:val="111111"/>
          <w:sz w:val="28"/>
          <w:sz w:val="28"/>
          <w:szCs w:val="28"/>
          <w:rtl w:val="true"/>
          <w:lang w:bidi="fa-IR"/>
        </w:rPr>
        <w:t>والإجماع</w:t>
      </w:r>
      <w:r>
        <w:rPr>
          <w:rStyle w:val="FootnoteAnchor"/>
          <w:rtl w:val="true"/>
        </w:rPr>
        <w:footnoteReference w:id="3"/>
      </w:r>
      <w:r>
        <w:rPr>
          <w:rFonts w:ascii="Amiri" w:hAnsi="Amiri" w:eastAsia="Amiri" w:cs="Amiri"/>
          <w:color w:val="111111"/>
          <w:sz w:val="28"/>
          <w:sz w:val="28"/>
          <w:szCs w:val="28"/>
          <w:rtl w:val="true"/>
          <w:lang w:bidi="ar-SA"/>
        </w:rPr>
        <w:t>على بطلان عقد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الصغير محجور عليه 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مميّزاً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تصرّفاته إلاّ ما استثني، كعباداته، وإسلامه، وإحرامه، وتدبيره، ووصيّته، وإيصال الهديّة، وإذنه في الدخول، على خلاف في ذلك</w:t>
      </w:r>
      <w:r>
        <w:rPr>
          <w:rStyle w:val="FootnoteAnchor"/>
          <w:rtl w:val="true"/>
        </w:rPr>
        <w:footnoteReference w:id="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ومورد البحث الصبيّ المميّز، وأمّا غيره ممّن لا يعرف معنى المعاملة والعقود، فلا بحث في بطلان ما صدر منه؛ ممّا هو قابل للصحّة والبطلان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الفرق بين المميّز وغيره في بعض الوضعيات ، كحصول الجنابة بالدخول، وضمان الإتلاف</w:t>
      </w:r>
      <w:r>
        <w:rPr>
          <w:rFonts w:eastAsia="Amiri" w:cs="Amiri" w:ascii="Amiri" w:hAnsi="Amiri"/>
          <w:color w:val="111111"/>
          <w:sz w:val="28"/>
          <w:szCs w:val="28"/>
          <w:rtl w:val="true"/>
          <w:lang w:bidi="ar-SA"/>
        </w:rPr>
        <w:t xml:space="preserve">. </w:t>
      </w:r>
      <w:bookmarkStart w:id="18" w:name="pg15204_140170"/>
    </w:p>
    <w:p>
      <w:pPr>
        <w:pStyle w:val="BookText"/>
        <w:rPr/>
      </w:pPr>
      <w:bookmarkEnd w:id="18"/>
      <w:r>
        <w:rPr>
          <w:rFonts w:ascii="Amiri" w:hAnsi="Amiri" w:eastAsia="Amiri" w:cs="Amiri"/>
          <w:color w:val="111111"/>
          <w:sz w:val="28"/>
          <w:sz w:val="28"/>
          <w:szCs w:val="28"/>
          <w:rtl w:val="true"/>
          <w:lang w:bidi="ar-SA"/>
        </w:rPr>
        <w:t>والأولى صرف الكلام إلى معاملات الصبيّ وعقوده وإيقاعاته ؛ فإنّ الاستقصاء في موارد الاستثناء واُمور اُخر، مغاير لوضع الرسالة، فنقول</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2758662_2142443653"/>
      <w:bookmarkStart w:id="20" w:name="_Toc7"/>
      <w:bookmarkEnd w:id="19"/>
      <w:r>
        <w:rPr>
          <w:rtl w:val="true"/>
        </w:rPr>
        <w:t>الكلام في عقد الصبيّ المميّز</w:t>
      </w:r>
      <w:bookmarkEnd w:id="20"/>
    </w:p>
    <w:p>
      <w:pPr>
        <w:pStyle w:val="Heading6"/>
        <w:numPr>
          <w:ilvl w:val="5"/>
          <w:numId w:val="1"/>
        </w:numPr>
        <w:rPr/>
      </w:pPr>
      <w:bookmarkStart w:id="21" w:name="__RefHeading___Toc2758664_2142443653"/>
      <w:bookmarkStart w:id="22" w:name="_Toc8"/>
      <w:bookmarkEnd w:id="21"/>
      <w:r>
        <w:rPr>
          <w:rtl w:val="true"/>
        </w:rPr>
        <w:t>تمهید</w:t>
      </w:r>
      <w:bookmarkEnd w:id="22"/>
    </w:p>
    <w:p>
      <w:pPr>
        <w:pStyle w:val="BookText"/>
        <w:rPr/>
      </w:pP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الصبيّ المميّز الرشيد،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المميّز غير الرشيد، وفي كلّ منهما يقع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الصبيّ مستقلاًّ في عقوده وإيقاعاته، ولا يحتاج في صحّتها إلى إذن الوليّ ولا إجازته؟ لا بمعنى أنّه مع بقاء ولايته هل يحتاج إليهما؟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الولاية حينئذٍ لغو، بل بمعنى أنّ أمد ولاية الوليّ الإجباري إلى وقت التميّز أو الرشد، فمع أحدهما تنقطع الولاية، مضافاً إلى عدم لغويته، فتصحّ من الوليّ والمولّى عليه مستقلاًّ، نظير ولاية الجدّ والأب،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استقلاله، هل تصحّ معاملاته بإذن وليّه أو إجازته، فيكون بعد الإذن مستقلاًّ في العمل من غير احتياج إلى نظر الوليّ، وتكون معاملاته بلا إذنٍ فضولية؟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استقلاله بهذا المعنى، هل تصحّ معاملاته بوكالة من وليّه في مال نفسه؛ أي الصغير، أو بوكالة من غيره في ماله؟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صحّة معاملاته مطلقاً، هل تصحّ عقوده وإيقاعاته بالوكالة في مجرّد إجراء الصيغة، أو أنّ العقد الصادر منه كالصادر من غير المميّز؟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الصبيّ غير محجور مطلقاً، أو محجور عن الاستقلال، أو عن </w:t>
      </w:r>
      <w:bookmarkStart w:id="23" w:name="pg15204_140171"/>
    </w:p>
    <w:p>
      <w:pPr>
        <w:pStyle w:val="BookText"/>
        <w:rPr/>
      </w:pPr>
      <w:bookmarkEnd w:id="23"/>
      <w:r>
        <w:rPr>
          <w:rFonts w:ascii="Amiri" w:hAnsi="Amiri" w:eastAsia="Amiri" w:cs="Amiri"/>
          <w:color w:val="111111"/>
          <w:sz w:val="28"/>
          <w:sz w:val="28"/>
          <w:szCs w:val="28"/>
          <w:rtl w:val="true"/>
          <w:lang w:bidi="ar-SA"/>
        </w:rPr>
        <w:t>العمل مطلقاً، أو عن مجرّد إجراء الصيغة أيضاً ولو كان العمل لغيره؟</w:t>
      </w:r>
    </w:p>
    <w:p>
      <w:pPr>
        <w:pStyle w:val="BookText"/>
        <w:rPr/>
      </w:pPr>
      <w:r>
        <w:rPr>
          <w:rFonts w:ascii="Amiri" w:hAnsi="Amiri" w:eastAsia="Amiri" w:cs="Amiri"/>
          <w:color w:val="111111"/>
          <w:sz w:val="28"/>
          <w:sz w:val="28"/>
          <w:szCs w:val="28"/>
          <w:rtl w:val="true"/>
          <w:lang w:bidi="ar-SA"/>
        </w:rPr>
        <w:t>والأولى تقديم الكلام في الرشيد الذي وردت فيه آية الابتلاء</w:t>
      </w:r>
      <w:r>
        <w:rPr>
          <w:rStyle w:val="FootnoteAnchor"/>
          <w:rtl w:val="true"/>
        </w:rPr>
        <w:footnoteReference w:id="5"/>
      </w:r>
      <w:r>
        <w:rPr>
          <w:rFonts w:ascii="Amiri" w:hAnsi="Amiri" w:eastAsia="Amiri" w:cs="Amiri"/>
          <w:color w:val="111111"/>
          <w:sz w:val="28"/>
          <w:sz w:val="28"/>
          <w:szCs w:val="28"/>
          <w:rtl w:val="true"/>
          <w:lang w:bidi="ar-SA"/>
        </w:rPr>
        <w:t>ويظهر منه حال غير الرشيد أيضاً، فنقول</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2758666_2142443653"/>
      <w:bookmarkStart w:id="25" w:name="_Toc9"/>
      <w:bookmarkEnd w:id="24"/>
      <w:r>
        <w:rPr>
          <w:rtl w:val="true"/>
        </w:rPr>
        <w:t>احتمالات أخذ الرشد والبلوغ في موضوع صحّة المعاملات</w:t>
      </w:r>
      <w:bookmarkEnd w:id="25"/>
    </w:p>
    <w:p>
      <w:pPr>
        <w:pStyle w:val="BookText"/>
        <w:rPr/>
      </w:pP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الرشد تمام الموضوع في صحّة المعاملات، من غير دخالة البلوغ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البلوغ تمام الموضوع ، والرشد غير 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كلّ منهما جزء الموضوع، فتصحّ المعاملات من البالغ الرشيد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كلّ منهما تمام الموضوع؛ بمعنى صحّة المعاملة مع أحد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أو البلوغ، فتصحّ من الرشيد غير البالغ، ومن البالغ غير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استبعاد في كون البلوغ تمام الموضوع منفكّاً عن الرشد، كما أنّ السفيه الذي عرض عليه السفه بعد البلوغ، غير محجور عليه، وتصحّ معاملاته قبل حجر الحاكم إيّاه على أصحّ القولين</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2758668_2142443653"/>
      <w:bookmarkStart w:id="27" w:name="_Toc10"/>
      <w:bookmarkEnd w:id="26"/>
      <w:r>
        <w:rPr>
          <w:rtl w:val="true"/>
        </w:rPr>
        <w:t>الكلام حول آية الابتلاء والتحقيق عن مفادها</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الاحتمالات،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w:t>
      </w:r>
    </w:p>
    <w:p>
      <w:pPr>
        <w:pStyle w:val="BookText"/>
        <w:rPr/>
      </w:pPr>
      <w:r>
        <w:rPr>
          <w:rFonts w:ascii="Amiri" w:hAnsi="Amiri" w:eastAsia="Amiri" w:cs="Amiri"/>
          <w:color w:val="111111"/>
          <w:sz w:val="28"/>
          <w:sz w:val="28"/>
          <w:szCs w:val="28"/>
          <w:rtl w:val="true"/>
          <w:lang w:bidi="ar-SA"/>
        </w:rPr>
        <w:t xml:space="preserve">أَنْ يَكْبَرُوا وَمَنْ كَانَ غَنِيّاً فَلْيَسْتَعْفِفْ وَمَنْ كَانَ فَقِيراً فَلْيَأْكُلْ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آخرها </w:t>
      </w:r>
      <w:r>
        <w:rPr>
          <w:rStyle w:val="FootnoteAnchor"/>
          <w:rtl w:val="true"/>
        </w:rPr>
        <w:footnoteReference w:id="6"/>
      </w:r>
      <w:r>
        <w:rPr>
          <w:rFonts w:ascii="Amiri" w:hAnsi="Amiri" w:eastAsia="Amiri" w:cs="Amiri"/>
          <w:color w:val="111111"/>
          <w:sz w:val="28"/>
          <w:sz w:val="28"/>
          <w:szCs w:val="28"/>
          <w:rtl w:val="true"/>
          <w:lang w:bidi="ar-SA"/>
        </w:rPr>
        <w:t>، إذ 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بالاختبار حتّى زمان البلوغ،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اختبروهم حتّى زمان بلوغ النكاح الذي هو كناية عن البلوغ، سواء كان بالاحتلام أو غيره، ووقت البلوغ وإن كان زمان انقطاع اليتم، فلا يقال للبالغ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مجاز شائع في أوّل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يكون الرشد تمام الموضوع، ولا يكون البلوغ دخيلاً في صحّة المعاملة؛ لأنّ الظاهر أنّ الاختبار واجب من وقت يحتمل الرشد في اليتامى، ويبقى وجوبه إلى زمان البلوغ، فيكون زمان اليتم والبلوغ داخلاً في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فإيناس الرشد في كلّ من الزمانين موضوع لحكم الصحّة، فيجب ردّ مال اليتيم إليه مع إيناس الرشد، سواء كان قبل بلوغه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حال البلوغ على هذا الاحتمال؛ لدفع توهّم أنّ الاختبار مختصّ بغير البالغ، وأمّا البالغ فلا يحتاج إليه، ويجب دفعه إليه بلا اختبار، أو حتّى مع عدم رشده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بحيث تكون الغاية خارجة عن المغيّا،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وَاشْرَبُوا حَتَّى يَتَبَيَّنَ لَكُمُ الْخَيْطُ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
      </w:r>
      <w:r>
        <w:rPr>
          <w:rFonts w:ascii="Amiri" w:hAnsi="Amiri" w:eastAsia="Amiri" w:cs="Amiri"/>
          <w:color w:val="111111"/>
          <w:sz w:val="28"/>
          <w:sz w:val="28"/>
          <w:szCs w:val="28"/>
          <w:rtl w:val="true"/>
          <w:lang w:bidi="ar-SA"/>
        </w:rPr>
        <w:t>، فيكون مورد الاختبار من زمان يحتمل فيه رشده إلى انقطاع اليتم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ولازمه أن يكون الرشد قبل البلوغ موضوعاً مستقلاًّ لصحّة معاملاته، والبلوغ موضوعاً مستقلاًّ آخر ولو مع عدم الرشد؛ ضرورة أنّ الموضوع للاختبار هو اليتامى ، وحال البلوغ خارج، فيختصّ حكم الاختبار وإيناس الرشد ووجوب ردّ المال، باليتامى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البالغ موضوعاً مستقلاًّ غير محتاج إلى الاختبار، أو موضوعاً مستقلاًّ ولو انكشف عدم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الرشد من الصفات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بلغ النكاح،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الاختبار حال البلوغ ليس لأجل دخالة البلوغ أو استقلاله، بل لأجل تحقّق الرشد؛ لقيام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ما قبل البلوغ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تمام موضوعية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بالرشد قبل البلوغ يحتاج إلى الاختبار، وبعده لا يحتاج إليه؛ لقيام الأمارة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الرشد لا يلازم بلوغ النكاح ، ولا يكون من الصفات النوعية له، فإيناس الرشد قبل البلوغ علّة للاستقلال ووجوب ردّ المال، فإذا بلغ النكاح يردّ إليه ماله بلا احتياج إلى الاختبار؛ لعدم احتمال عدم جواز ردّه إليه بعد البلوغ، وعدم وجوب الاختبار، فيكون البالغ أسوأ حالاً من غيره، ولازمه استقلال البالغ ولو لم يكن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الاستقلال معلول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الرشد وإن كان قبل البلوغ، أو البلوغ وإن لم يتحقّق الرشد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ويكون المراد من الآية الكريمة أنّ لزوم </w:t>
      </w:r>
    </w:p>
    <w:p>
      <w:pPr>
        <w:pStyle w:val="BookText"/>
        <w:rPr/>
      </w:pPr>
      <w:r>
        <w:rPr>
          <w:rFonts w:ascii="Amiri" w:hAnsi="Amiri" w:eastAsia="Amiri" w:cs="Amiri"/>
          <w:color w:val="111111"/>
          <w:sz w:val="28"/>
          <w:sz w:val="28"/>
          <w:szCs w:val="28"/>
          <w:rtl w:val="true"/>
          <w:lang w:bidi="ar-SA"/>
        </w:rPr>
        <w:t>الابتلاء مستمرّ إلى زمان البلوغ، وبعد استمراره إليه إمّا أن يعلم رشده، فيردّ إليه ماله ، أو لا فلا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كون واحد منهما، تمام الموضوع لاستقلاله ووجوب دفعه إليه، وإنّما المجموع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أوجب الابتلاء من زمان يحتمل فيه الرشد إلى زمان البلوغ؛ لأجل أهمّية الموضوع، واحتياج كشف الرشد وإيناسه إلى زمان معتدّ به، جرّب فيه الطفل ، وعلم منه العقل والتدبير، وهو ممّا لا يمكن الاطّلاع عليه بشهر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ذلك للاحتياط في أموال اليتامى، ولعلّ الأمر به قبل البلوغ إلى أوّل زمانه؛ لأجل عدم التأخير في ردّ المال إلى صاحبه، وعدم الأكل منه بقدر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كان المالك مستقلاًّ رشيداً ولو لم يحرز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ردّ المال إلى صاحبه، وعدم الأكل منه في أوّل زمان 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ابتداء للتعليل،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 وجملة الشرط والجزاء جزاء له، فيراد أنّه يجب ابتلاء اليتامى؛ لأجل أ نّه إذا بلغوا النكاح فاُونس منهم الرشد، يدفع إليهم أموالهم، فتكون النتيجة كالثالث، ولعلّ هذا الوجه هو ما نسب إلى بحر العلوم قدّس سرّه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أظهرها ثالثها ، لا لما ذكره بعض الأعاظم قدّس سرّه بقوله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سبحانه بإيتاء الأيتام أموالهم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وَآتُوا الْيَتَامَى </w:t>
      </w:r>
    </w:p>
    <w:p>
      <w:pPr>
        <w:pStyle w:val="BookText"/>
        <w:rPr/>
      </w:pP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ونهى عن دفع المال إلى السفيه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بيّن الحدّ الفاصل بين ما يحلّ للوليّ وما لا يحلّ، فجعل لجواز الدفع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وإيناس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إحراز الرشد بعد البلوغ، لم يكن وجه لجعل غاية الابتلاء هو البلوغ، وكان المناسب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فإن آنستم منهم رشداً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الوجه الأوّل المأخوذ من الطبرسي</w:t>
      </w:r>
      <w:r>
        <w:rPr>
          <w:rStyle w:val="FootnoteAnchor"/>
          <w:rtl w:val="true"/>
        </w:rPr>
        <w:footnoteReference w:id="12"/>
      </w:r>
      <w:r>
        <w:rPr>
          <w:rFonts w:ascii="Amiri" w:hAnsi="Amiri" w:eastAsia="Amiri" w:cs="Amiri"/>
          <w:color w:val="111111"/>
          <w:sz w:val="28"/>
          <w:sz w:val="28"/>
          <w:szCs w:val="28"/>
          <w:rtl w:val="true"/>
          <w:lang w:bidi="ar-SA"/>
        </w:rPr>
        <w:t xml:space="preserve">، لا يدلّ على مقصوده لو لم يكن مؤيّداً للاحتمال الثاني من الاحتمالات؛ بدعوى أنّ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الإيتاء ولو مع سفههم،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منه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جواز إيتاء السفهاء من اليتامى أموالهم، والجمع بينهما يقتضي الإيتاء مع رشدهم، وهذا 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الفرق بين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آية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الثانية بيّن كيفية العلم بالرشد والسفه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جعل البلوغ غاية ؛ لأجل </w:t>
      </w:r>
    </w:p>
    <w:p>
      <w:pPr>
        <w:pStyle w:val="BookText"/>
        <w:rPr/>
      </w:pPr>
      <w:r>
        <w:rPr>
          <w:rFonts w:ascii="Amiri" w:hAnsi="Amiri" w:eastAsia="Amiri" w:cs="Amiri"/>
          <w:color w:val="111111"/>
          <w:sz w:val="28"/>
          <w:sz w:val="28"/>
          <w:szCs w:val="28"/>
          <w:rtl w:val="true"/>
          <w:lang w:bidi="ar-SA"/>
        </w:rPr>
        <w:t>إفهام أنّ لزوم الابتلاء إنّما هو قبل البلوغ، لكشف الرشد الذي هو تمام الموضوع للاستقلال، وأمّا إذا انتهى إلى البلوغ فلا يجب الابتلاء ؛ لأنّ البلوغ موضوع آخر للاستقلال كما مرّ بيانه، فيكون ذلك أيضاً من مرجّحات الاحتمال الثاني في كلامنا، والأوّل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الأظهرية لأجل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الغاية، أنّ الابتلاء يجب أن يكون مستمرّاً من زمان احتمال الرشد إلى زمان بلوغ النكاح، 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الابتلاء المستمرّ عرفاً إلى حال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اختبرتموهم إلى زمان بلوغهم فآنستم حاله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فإيناس الرشد في زمان البلوغ موضوع للحكم ، فتدلّ الآية على أنّ كلاًّ منهما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ورجّحه على سائر الوجوه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وخروجها عنهما نادر جدّاً ، لا يحمل عليه التنزيل، بل يقتضي انقطاع الابتلاء بالبلوغ ، وليس كذلك ؛ لاستمراره إلى ظهور الرشد أو اليأس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لازمه الحجر على البالغ الرشيد إذا لم يؤنس منه رشد قبل البلوغ ، وارتفاعه عمّن لم يبلغ إذا اُونس منه الرشد ؛ لانتفاء الشرط في الأوّل ، ووجوده في الثاني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الاستظهار من الكلام هو العرف العامّ ، ولا شبهة في فهم العرف من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الابتلاء ،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الابتلاء إلى زمان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الشرط على فرض تسليمها، لا توجب عدم حمل التنزيل عليه بعد ظهوره فيه ، ما لم يخلّ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وجملة الشرط والجزاء جزاءً، والمجموع غاية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مخالف لفهم العقلاء، ومحتاج إلى التأوّل والتأمّل، بل وخارج عن الاُسلوب السديد الفصيح ، ولا يحمل عليه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الغاية وابتدائية، نادر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الأذهان الخالية عن المناقشات وتحميل الدقائق عليها، لا ينقدح فيها إلاّ ما ذكرناه واستظهرناه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اقتضاء انقطاع الابتلاء بالبلوغ، فهو إمّا لازم الوجه الذي اختاره أيضاً، وإمّا غير لازم لسائر الوجوه؛ فإنّ لازم سياق الكلام، والعلّة التي من أجلها عرفاً أمر الشارع الأقدس بالابتلاء قبل زمان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فيه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الاجتناب عن ثبوت الولاية ظاهراً لمن خرج عن الحجر بالرشد، أو بالرشد والبلوغ، أو بأحدهما حسب اختلاف الاحتمالات، وللاحتياط في أموال اليتامى بعد خروجهم عن الحجر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ومناسبات الحكم والموضوع عرفاً، تقتضي أن لا يكون للغاية مفهوم، وأن يثبت الابتلاء حتّى بعد البلوغ ولا ينقطع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الآية ظاهراً ليست بصدد بيان حدود الابتلاء بحسب الغاية، بل سيقت </w:t>
      </w:r>
    </w:p>
    <w:p>
      <w:pPr>
        <w:pStyle w:val="BookText"/>
        <w:rPr/>
      </w:pPr>
      <w:r>
        <w:rPr>
          <w:rFonts w:ascii="Amiri" w:hAnsi="Amiri" w:eastAsia="Amiri" w:cs="Amiri"/>
          <w:color w:val="111111"/>
          <w:sz w:val="28"/>
          <w:sz w:val="28"/>
          <w:szCs w:val="28"/>
          <w:rtl w:val="true"/>
          <w:lang w:bidi="ar-SA"/>
        </w:rPr>
        <w:t>لنكتة اُخرى، هي تقديم الابتلاء على زمان البلوغ؛ لردّ مال الطفل إليه أوّل زمانه إذا كان رشيداً، وفي مثله لا مفهوم للغاية، بل النكتة الموجودة قبلها موجودة بعدها أيضاً ، فيفهم منها لزوم الابتلاء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لا نسلّم دلالتها على لزومه بعد البلوغ على الوجه الذي اختاره؛ لأنّ الظاهر أنّ الابتلاء مختصّ باليتامى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بَلَغُوا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لو فرض كونه جملة شرطية على نحو ما رامه، لكن لا شبهة في عدم انقطاعها عن الجملة السابقة؛ بمعنى أنّ الظاهر الذي لا ينكر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ومتفرّع على الابتلاء المذكور قبلها، ويكون الابتلاء لأجل إيناس الرشد، فحينئذٍ تكون الآية ساكتة عن الابتلاء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محصّل المعنى على فرض الشرطية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فإذا بلغوا وصار ابتلاؤهم قبل البلوغ موجباً لإيناس الرشد منهم بعده،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ساكتة عن الاختبار بعد البلوغ، فمع عدم الاختبار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نسياناً، أو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قطع الجملة السابقة عن اللاحقة، وكان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بَلَغُوا النِّكَاحَ فَإِنْ 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جملة مستأنفة غير مربوطة بما قبلها، لم تدلّ على وجوب الاختبار؛ لأنّ إيناس الرشد لا يلزم أن يكون بوجوب الاختبار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منه على ذلك، أنّ البالغ إذا اُونس منه الرشد، يردّ ماله إليه، فللوليّ انتظار حصول الرشد والعلم به من باب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الحجر على البالغ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ظهر جوابه في خلال ذكر الوجوه المتقدّمة ولازمها،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الآية الكريمة أنّ الطفل المميّز قبل الرشد، أو قبل البلوغ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مستقلّاً، ولا يدفع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هل تدلّ الآية على عدم نفوذ معاملاته ولو بإذن الوليّ أو إجازته ، أو تدلّ على نفوذها في الجملة؟</w:t>
      </w:r>
    </w:p>
    <w:p>
      <w:pPr>
        <w:pStyle w:val="BookText"/>
        <w:rPr/>
      </w:pPr>
      <w:r>
        <w:rPr>
          <w:rFonts w:ascii="Amiri" w:hAnsi="Amiri" w:eastAsia="Amiri" w:cs="Amiri"/>
          <w:color w:val="111111"/>
          <w:sz w:val="28"/>
          <w:sz w:val="28"/>
          <w:szCs w:val="28"/>
          <w:rtl w:val="true"/>
          <w:lang w:bidi="ar-SA"/>
        </w:rPr>
        <w:t>فعن أبي حنيفة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نفوذها بإذن الوليّ في المعاملات الاختبارية؛ تمسّكاً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جواز الابتلاء بالمعاملات، ولازمه صحّتها ونفوذها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الشافعي</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أمر بدفع المال إليهم بعد البلوغ وإيناس الرشد، وإذا ثبت بموجب هذه الآية أ نّه لا يجوز دفع المال إليه حال الصغر، وجب أن لا يجوز تصرّفه حاله؛ لأ نّه لا قائل بالفرق</w:t>
      </w:r>
      <w:r>
        <w:rPr>
          <w:rStyle w:val="FootnoteAnchor"/>
          <w:rtl w:val="true"/>
        </w:rPr>
        <w:footnoteReference w:id="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ورود إشكاله عليه؛ لأنّ مدّعاه أنّ الآية تدلّ على نفوذ تصرّفه بإذن وليّه؛ فيما يرجع إلى الاختبار، لا تصرّفه مطلقاً، وهو لا يلازم دفع المال إليه واستقلاله في المعاملات، وعدم القائل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جواز رفع اليد عن ظاهر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أن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الآية لا يقتضي صحّة المعاملة ونفوذها؛ لعدم إطلاقها من هذه الجهة، بل لها إطلاق من جهة الابتلاء فقط، والابتلاء لا يلازم صحّة المعاملة، بل الدخيل فيه نفس المعاملة، سواء كانت صحيحة نافذة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 الموضوع في الابتلاء الكاشف عن رشده، هو ذات المعاملة، والصحّة لا دخالة لها في المقصود، وليست الآية في مقام البيان من هذه الجهة، بل لا معنى 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الابتلاء إنّما هو لإيناس الرشد، لا لكشف البلوغ بناءً على غير الاحتمال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والثالث، ممّا كان بلوغ النكاح بحسبهما غاية للابتلاء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الابتلاء إلى البلوغ لا يعقل أن يكون كاشفاً عنه؛ لأنّ الكاشف لا يعقل أن يكون مقيّداً بالمنكشف ، ولا مغيّاً به ؛ لأنّ الابتلاء إلى البلوغ يقتضي معلوميته، وجعل الأمارة له يقتضي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عقلي من كون الابتلاء لكشف البلوغ أو الرشد؛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فإذا بلغوا حدّ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الابتلاء عن بلوغهم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إليهم أموالهم إذا اُونس منهم الرشد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وابتلوهم؛ لأجل أنّه إذا بلغوا النكاح، وكان ابتلاؤهم كاشفاً عن رشدهم، فادفعوا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مع ضعف أصل الاحتمال كما مرّ</w:t>
      </w:r>
      <w:r>
        <w:rPr>
          <w:rStyle w:val="FootnoteAnchor"/>
          <w:rtl w:val="true"/>
        </w:rPr>
        <w:footnoteReference w:id="18"/>
      </w:r>
      <w:r>
        <w:rPr>
          <w:rFonts w:ascii="Amiri" w:hAnsi="Amiri" w:eastAsia="Amiri" w:cs="Amiri"/>
          <w:color w:val="111111"/>
          <w:sz w:val="28"/>
          <w:sz w:val="28"/>
          <w:szCs w:val="28"/>
          <w:rtl w:val="true"/>
          <w:lang w:bidi="ar-SA"/>
        </w:rPr>
        <w:t xml:space="preserve">، يكون الاحتمال الأخير من الاحتمالين أظهر؛ لأنّ البلوغ حدّ النكاح واقعاً لا ربط له بالابتلاء؛ فإنّ وجوده الواقعي حاصل، ابتلي اليتيم أم لا ، والربط إنّما هو بين الابتلاء والعلم بالبلوغ، فكان حقّ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اُونس منهم البلوغ أو علم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الابتلاء لإيناس الرشد؛ للمناسبة الواضحة بين الابتلاء والإيناس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يتشبّث برواية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لكون الابتلاء لكشف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جلّ وعزّ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يده مال بعض اليتامى، فلا يجوز أن يعطيه حتّى يبلغ النكاح ويحتلم، فإذا احتلم ووجب عليه الحدود وإقامة الفرائض، ولا يكون مضيّعاً، ولا شارب خمر، ولا زانياً، فإذا اُونس منه الرشد دفع إليه المال، ويشهد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لا يعلمون أنّه قد بلغ، فليمتحن بريح إبطه، أو نبت عانته، وإذا كان ذلك فقد بلغ، فيدفع إليه ماله إذا كان رشيداً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الامتحان في الرواية تفسير للابتلاء في الآية الكريمة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ضعف الرواية</w:t>
      </w:r>
      <w:r>
        <w:rPr>
          <w:rStyle w:val="FootnoteAnchor"/>
          <w:rtl w:val="true"/>
        </w:rPr>
        <w:footnoteReference w:id="21"/>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رواية غير ظاهر</w:t>
      </w:r>
      <w:r>
        <w:rPr>
          <w:rStyle w:val="FootnoteAnchor"/>
          <w:rtl w:val="true"/>
        </w:rPr>
        <w:footnoteReference w:id="22"/>
      </w:r>
      <w:r>
        <w:rPr>
          <w:rFonts w:ascii="Amiri" w:hAnsi="Amiri" w:eastAsia="Amiri" w:cs="Amiri"/>
          <w:color w:val="111111"/>
          <w:sz w:val="28"/>
          <w:sz w:val="28"/>
          <w:szCs w:val="28"/>
          <w:rtl w:val="true"/>
          <w:lang w:bidi="ar-SA"/>
        </w:rPr>
        <w:t>، بل لم تسند إلى أبي جعفر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ذيل الآية السابقة على هذه الآية ذكر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منه، أو أنّ المراد نفسه كما هو دأبه ودأب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صدرها بصدد بيان حاصل مفاد الآية؛ حيث كان البلوغ والرشد معتبرين في وجوب دفع المال إليه،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بيان للرشد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امتحان الرّشد لا تحتاج إلى البيان، وأصل الامتحان قد تعرّضت له الآية، وأمّا كيفية امتحان البلوغ بما ذكر، فمحتاج إلى البيان، ولا إشعار فيها بأنّ الامتحان المذكور هو الابتلاء في الآية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الامتحان هو الجهل بالمنكشف، فالآية لو كانت متعرّضة لامتحان البلوغ، لا بدّ من فرض جهل المخاطب بالبلوغ، فلا يتناسب معه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كانوا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أنّ الابتلاء لكشف المجهول، وهو الرشد، لكن لمّا كان البلوغ جزء موضوع وقد يتّفق عدم العلم به، بيّن أمارة البلوغ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مسبوقية الآية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بناءً على بعض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دفع المال إلى البالغ الرشيد، معلول رفع حجره، وسقوط ولاية الوليّ عنه، واستقلاله في اُموره، فيكون وجوب الدفع على حذو وجوب ردّ مال الغير، وعدم حلّه إلاّ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من الآية الكريمة رفع حجره، واستقلاله، وصيرورته بالرشد والبلوغ كسائر الناس، فلا يحلّ ماله بلا إذنه وطيب نفسه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احتمال كونه وجوباً تعبّدياً مستقلاًّ مخصوصاً باليتامى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وجب دفع المال إليه حتّى مع طيب نفسه بالبقاء عند وليّه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فمقطوع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احتمال كون وجوب الدفع كناية عن رفع الحجر وسقوط ولاية الوليّ</w:t>
      </w:r>
      <w:r>
        <w:rPr>
          <w:rStyle w:val="FootnoteAnchor"/>
          <w:rtl w:val="true"/>
        </w:rPr>
        <w:footnoteReference w:id="26"/>
      </w:r>
      <w:r>
        <w:rPr>
          <w:rFonts w:ascii="Amiri" w:hAnsi="Amiri" w:eastAsia="Amiri" w:cs="Amiri"/>
          <w:color w:val="111111"/>
          <w:sz w:val="28"/>
          <w:sz w:val="28"/>
          <w:szCs w:val="28"/>
          <w:rtl w:val="true"/>
          <w:lang w:bidi="ar-SA"/>
        </w:rPr>
        <w:t>،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موافق لفهم العرف، وعلى هذا لا يحتمل بقاء الحجر بعد دفع المال إليه، وهو واضح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يفهم من مفهوم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البالغ والبالغ غير الرشيد محجوران عن التصرّف الاستقلالي، سواء كان بنحو الدفع إليهما وكانا كسائر المالكين، أو </w:t>
      </w:r>
    </w:p>
    <w:p>
      <w:pPr>
        <w:pStyle w:val="BookText"/>
        <w:rPr/>
      </w:pPr>
      <w:r>
        <w:rPr>
          <w:rFonts w:ascii="Amiri" w:hAnsi="Amiri" w:eastAsia="Amiri" w:cs="Amiri"/>
          <w:color w:val="111111"/>
          <w:sz w:val="28"/>
          <w:sz w:val="28"/>
          <w:szCs w:val="28"/>
          <w:rtl w:val="true"/>
          <w:lang w:bidi="ar-SA"/>
        </w:rPr>
        <w:t>لم يدفع إليهما، لكن كانا مستقلّين في معاملاتهما؛ بحيث وجب على الوليّ ترتيب آثار الصحّة على معاملاتهما، وردّ الثمن أو المثمن إلى المتعامل، وأخذ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أنّ وجوب الدفع معلول سلب الحجر ورفع ولاية الوليّ، وفي مقابله عدم سلبه وبقاء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المناسبة بين الصغر والسفه وعدم الاستقلال، تفيد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صالح لاستقلال التصرّف ولو بإذن الوليّ، أو بالوكالة منه في التصرّف في أمواله الّتي تحت يد الوليّ ؛ وذلك لأنّ المتفاهم عرفاً من حجره أنّ النكتة فيه أ نّه لصلاح حال اليتيم، ولأجل التحفّظ على ماله؛ لئلاّ يضيع ماله بالتصرّفات السفهية، فيبقى عند بلوغه ورشده صفر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يكتفى بالبلوغ فقط، ولا بالرشد كذلك؛ لغاية الاحتياط والحزم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إذن الوليّ في تصرّفه بنحو الاستبداد والاستقلال، بلا نظر منه في صلاحه وفساده، وتوكيله في التصرّف في أمواله، وإجازته لتصرّفاته كذلك، منافٍ لحجره وجعل الولاية عليه، ومخالف للآية الكريمة ولو بمناسبات الحكم والموضوع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محجور عن التصرّف في ماله، ولا يرفع الحجر عنه إلاّ بالبلوغ والرشد،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التصرّف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معاملاته، وصار مستقلاًّ كسائر البالغين العاقلين، من غير احتياج إلى تشخيص الوليّ صلاحه؟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إذا أقدم على معاملة بلا إذنه، ثمّ قال الوليّ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في الصلاح والفساد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التصرّف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الأمر وصحّت المعاملة؛ لأ نّها تنسب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ما ذكر مخالف للحجر ونكتته المعلومة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دلالة في الآية على حجره عن إجراء مجرّد الصيغة بعد تمامية المقاولة بين وليّه وغيره، والظاهر عدم استفادة حجره عن الوكالة عن الغير أيضاً، فلا بدّ فيهما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يتوقّف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في المفهوم، حتّى ينكر إطلاقه،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بصدد بيان حدّ الخروج عن اليتم، لا في مقام بيان الحجر، فلعلّ كيفية الحجر كانت معروفة معهودة، فنزلت الآية لبيان حدّه وزمان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فيها للأولياء، ومن كان مال اليتيم تحت يده ، فكان الحجر مفروغاً عنه،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هو كون مالهم تحت يد الأولياء العرفية، وأمّا الحجر بالمعنى الشرعي وحدوده، فليس كذلك، أو لم تثبت معهوديته، فيمكن أن يكون التنزيل وارداً لبيان الأمرين، فيؤخذ بإطلاقه في الموردين، فتأمّل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ما ذكرناه على الإطلاق؛ لأنّ طريق استفادته المناسبات العقلائية بين الحكم وموضوعه، بل لا يتوقّف ذلك على المفهوم بالمعنى المعهود، حتّى يردّ بإنكار المفهوم للشرط وغيره؛ وذلك لأنّ ارتفاع الحكم عن </w:t>
      </w:r>
    </w:p>
    <w:p>
      <w:pPr>
        <w:pStyle w:val="BookText"/>
        <w:rPr/>
      </w:pPr>
      <w:r>
        <w:rPr>
          <w:rFonts w:ascii="Amiri" w:hAnsi="Amiri" w:eastAsia="Amiri" w:cs="Amiri"/>
          <w:color w:val="111111"/>
          <w:sz w:val="28"/>
          <w:sz w:val="28"/>
          <w:szCs w:val="28"/>
          <w:rtl w:val="true"/>
          <w:lang w:bidi="ar-SA"/>
        </w:rPr>
        <w:t>الموضوع بارتفاعه عقلي، وهو كافٍ في استفادة ما ذكرناه بالمناسبات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للحكم، أنّ الابتلاء وغيره ممّا يستفاد من الآية، مختصّ باليتامى، فالصغار الذين هم تحت ولاية الأب والجدّ غير مشمولين لها؛ لعدم كونهم 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أب ليس يتيماً، فهو خارج عن مفاد الآية، سيّما مع خصوصية في اليتامى ليست في سائر الصغار، وهي فقد الأب، واحتياجه إلى المال أكثر ممّن له أب يقوم بنفقته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لدى العقل والعقلاء، أنّ الرشد والبلوغ تمام الموضوع لرفع الحجر، ولا دخالة لوجود الأب والجدّ وفقدهما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ببلوغ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حدّه؛ أي حدّ صلاحية النكاح، وهو حدّ الحلم بحسب العادة والنوع، فيختصّ بمن بلغ خمسة عشر؛ فإنّ نوع الأطفال يبلغون في هذا الحدّ، بتفاوتٍ واختلافٍ في شهور ما، فيخرج منه من احتلم فيما دونه، كثلاثة عشر، ويدخل فيه من بلغ خمسة عشر ولو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بلوغ الحلم فعلاً، فيدخل فيه من احتلم في أيّ زمان كان، ويخرج من لم يحتلم ولو بلغ من العمر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بلوغ حدّه فعلاً لولا العوارض؛ أي بلوغه بحسب الطبائع السليمة لا العليلة، فيدخل فيه المحتلم في أيّ زمان كان، ومن بلغ خمسة عشر ولو لم يحتلم لعلّة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هو الأخير؛ لأنّ الظاهر من بلوغ النكاح بلوغه فعلاً، والطبائع غير السليمة النادرة ترجع إلى السليمة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مقتضى الجمود على ظاهر الآية، أنّ حصول رشدٍ ما، كافٍ في وجوب دفع المال إليهم بعد بلوغهم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بحسب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يكون الموضوع لوجوبه عدم السفاهة، أو حصول الرشد؛ وذلك لأنّ قوله تعالى قبل آية الابتلاء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الَّتِى جَعَلَ اللّه‌ُ لَكُمْ قِيَاماً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اُريد به أموالهم؛ أي أموال السفهاء، كما في رواية</w:t>
      </w:r>
      <w:r>
        <w:rPr>
          <w:rStyle w:val="FootnoteAnchor"/>
          <w:rtl w:val="true"/>
        </w:rPr>
        <w:footnoteReference w:id="27"/>
      </w:r>
      <w:r>
        <w:rPr>
          <w:rFonts w:ascii="Amiri" w:hAnsi="Amiri" w:eastAsia="Amiri" w:cs="Amiri"/>
          <w:color w:val="111111"/>
          <w:sz w:val="28"/>
          <w:sz w:val="28"/>
          <w:szCs w:val="28"/>
          <w:rtl w:val="true"/>
          <w:lang w:bidi="ar-SA"/>
        </w:rPr>
        <w:t xml:space="preserve">، أو الأعمّ من أموالهم وأموال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الميزان في حرمة الدفع ولزومه هو السفه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آية الابتلاء أنّ الميزان هو إيناس رشدٍ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الموضوع لحرمة الدفع السفاهة،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سفاهة ما كافية في تحقّقه، فإذا كان سفيهاً في معاملاته دون عطاياه، أو في عطاياه وجوائزه دون معاملاته، كفى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السفيه هو ما كان سفيهاً بقول مطلق وبلا قيد، والسفيه من جهة ليس كذلك، فيكون الموضوع هو السفيه من جميع الجهات، فمن كان رشيداً من جهة يجب دفع المال إليه؛ إذ الأمر دائر بين الحرمة والوجوب، وفي وجوب الدفع إلى غير السفيه يأتي الاحتمالان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كان الموضوع في وجوب الدفع غير السفيه بقول مطلق، يمكن أن يكون إيناس رشدٍ ما، أمارةً على عدم سفهه بقول مطلق عند الشكّ في تحقّق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لوجوب الدفع إيناس الرشد مطلقاً؛ لظهور آية الابتلاء فيه ببيان نشير إليه، وأمّا الآية المتقدّمة، فظاهرها عدم إيتاء أموال المخاطبين، لا اليتامى والسفهاء، وإن ورد في بعض ضعاف الروايات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 جَعَلَ اللّه‌ُ لَكُمْ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القيام بأمرها، وهو مال السفيه، ويستأنس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 وَاكْسُوهُم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بدواً من آية الابتلاء وإن كان كفاية رشدٍ ما؛ إذ الرشد كالعلم ماهية بسيطة يتنوّع أو يتصنّف باعتبار متعلّقاته، فكما أنّ علم الفقه غير علم الكلام؛ باعتبار اختلاف متعلّقهما، كذلك الرشد في المعاملات غير الرشد في العطيّات والجوائز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البدوي من الآية كفاية رشدٍ ما في وجوب الدفع، فيمكن أن يكون رشدٌ ما موضوعاً، فيجب الدفع ولو مع العلم بعدم رشده من جهة أو جهات، أو يكون أمارة تحقّق الرشد المطلق، فلا يدفع مع العلم بعدم رشده من جهة اُخرى، ويجب عند الشكّ؛ لقيام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حصول الرشد بقول مطلق ومن جميع الجهات؛ لمناسبات الحكم والموضوع، لأنّ إيناس الرشد ليس إلاّ لأجل صلوحه معه لإصلاح ماله وعدم صرفه فيما لا يعني، وهو يناسب الرشد بالنسبة إلى التصرّفات في ماله مطلقاً، لا من جهة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يفهم من إيجاب الابتلاء من زمان يحتمل فيه الرشد إلى </w:t>
      </w:r>
      <w:bookmarkStart w:id="28" w:name="pg15204_140189"/>
    </w:p>
    <w:p>
      <w:pPr>
        <w:pStyle w:val="BookText"/>
        <w:rPr/>
      </w:pPr>
      <w:bookmarkEnd w:id="28"/>
      <w:r>
        <w:rPr>
          <w:rFonts w:ascii="Amiri" w:hAnsi="Amiri" w:eastAsia="Amiri" w:cs="Amiri"/>
          <w:color w:val="111111"/>
          <w:sz w:val="28"/>
          <w:sz w:val="28"/>
          <w:szCs w:val="28"/>
          <w:rtl w:val="true"/>
          <w:lang w:bidi="ar-SA"/>
        </w:rPr>
        <w:t xml:space="preserve">زمان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يكون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بإيناس الرشد العلم بالرشد المطلق، لا من جهة ما؛ فإنّه المناسب للابتلاء في تلك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كفاية الرشد في الجملة ساقط، كاحتمال طريقيته للرشد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حول الآية الكريمة، وبقيّته موكولة إلى كتاب الحجر</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2758670_2142443653"/>
      <w:bookmarkStart w:id="30" w:name="_Toc11"/>
      <w:bookmarkEnd w:id="29"/>
      <w:r>
        <w:rPr>
          <w:rtl w:val="true"/>
        </w:rPr>
        <w:t>الكلام حول الروايات الواردة في المقام</w:t>
      </w:r>
      <w:bookmarkEnd w:id="30"/>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لها ربط بالآية الكريمة من حيث التعرّض لغاية انقطاع اليتم،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جواز أمر الصغير إذا صار بالغاً، ولم تتعرّض للرشد، كرواية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الجارية ليست مثل الغلام، إنّ الجارية إذا تزوّجت ودخل بها ولها تسع سنين، ذهب عنها اليتم، ودفع إليها مالها، وجاز أمرها في الشراء والبيع، واُقيمت عليها الحدود التامّة، واُخذت لها 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عن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جواز أمر الرشيد، كرواية الأصبغ بن نُباتة، عن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قضى أن يحجر على الغلام المفسد حتّى يعقل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أنّ الحجر يرتفع بالرشد، والغلام الرشيد غير محجور عليه، والظاهر أنّه من أحكامه الكلّية، لا قضيّة 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كفاية أحد الأمرين في جواز أمره، كصحيحة العيص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اليتيمة متى يدفع إليها مالها؟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زوّجت؟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زوّجت فقد انقطع ملك الوصيّ عنها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المزوّجة تنقطع عنها الولاية وتستقلّ في أمرها، والتزويج كناية عن البلوغ حدّ النكاح؛ إذ لا دخالة للزواج الفعلي في الحكم، وليس كناية عن الرشد؛ لأنّ الرشيدة قد ذكر حكمها، والظاهر أنّ الرشد تمام الموضوع، وكذا بلوغ النكاح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أنّهما دخيلان في الموضوع؛ وكلاًّ منهما جزؤه، كصحيحة هشام،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يتم اليتيم بالاحتلام، وهو أشدّه، وإن احتلم ولم يؤنس منه رشده وكان سفيهاً أو ضعيفاً، فليمسك عنه وليّه ماله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يتيم قد قرأ القرآن، وليس بعقله بأس، وله مال على يد رجل، فأراد الذي عنده المال أن يعمل به مضاربة، فأذن له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يعمل به حتّى يحتلم ويدفع إليه ماله، وإن احتلم ولم يكن له عقل، لم يُدفع إليه شيء أبداً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بالعقل الرشد، لا مقابل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المضمون روايات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الجمع بين الطائفتين الأوّلتين والثالثة وكذا الرابعة، واضح؛ لحمل المطلقات على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مع الرابعة، فلا يخلو من إشكال؛ لأنّ الظاهر من الثالثة مقابلة الرشد للبلوغ، وأنّ كلّ واحدٍ منهما تمام الموضوع، ومن الرابعة أنّ كلاًّ منهما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الرابعة صريحة في دخالة الرشد بعد الاحتلام، والثالثة ظاهرها السياقي استقلال كلّ منهما، وهو لا يقاوم الصريح، فيحمل إطلاق كلّ من الفقرتين على المقيّد، مضافاً إلى مخالفة الثالثة لظاهر الكتاب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من هذه الجهة في الروايات؛ إذ بعد جمعها توافق ظاهر الآية </w:t>
      </w:r>
    </w:p>
    <w:p>
      <w:pPr>
        <w:pStyle w:val="BookText"/>
        <w:rPr/>
      </w:pPr>
      <w:r>
        <w:rPr>
          <w:rFonts w:ascii="Amiri" w:hAnsi="Amiri" w:eastAsia="Amiri" w:cs="Amiri"/>
          <w:color w:val="111111"/>
          <w:sz w:val="28"/>
          <w:sz w:val="28"/>
          <w:szCs w:val="28"/>
          <w:rtl w:val="true"/>
          <w:lang w:bidi="ar-SA"/>
        </w:rPr>
        <w:t>الكريمة؛ من توقّف الاستقلال على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استفادة عدم نفوذ معاملاته ولو بإذن الوليّ، أو إجازته، أو توكيله في التصرّف في ماله منها؟</w:t>
      </w:r>
    </w:p>
    <w:p>
      <w:pPr>
        <w:pStyle w:val="BookText"/>
        <w:rPr/>
      </w:pPr>
      <w:r>
        <w:rPr>
          <w:rFonts w:ascii="IRNazanin" w:hAnsi="IRNazanin" w:eastAsia="IRNazanin"/>
          <w:color w:val="111111"/>
          <w:sz w:val="28"/>
          <w:sz w:val="28"/>
          <w:szCs w:val="28"/>
          <w:rtl w:val="true"/>
          <w:lang w:bidi="fa-IR"/>
        </w:rPr>
        <w:t xml:space="preserve">الظاهر ذلك، سواء فيه ما 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يدفع إليه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فليمسك عنه وليّه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والغلام لا يجوز أمره في الشراء والبيع، ولا يخرج عن اليتم حتّى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الإطلاق صحّة الاستثناء؛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أمره إلاّ بإذن وليّه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تأوّل وتجوّز، وليس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موقوف على الإذن كما في البيع الفضولي، حتّى 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بعد الإذن أمر المولّى عليه؛ لأنّ البيع والشراء لنفسه، والتدبير له، ومجرّد الإذن في العمل لا يوجب سلب الأمر عنه، وثبوته للوليّ، وكذا الحال في التوكيل المطلق؛ بحيث يستقلّ في التدبير بعد كون المعاملة لنفسه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أبي الحسين الخادم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عليه أمره، إلاّ أن يكون سفيهاً أو ضعيفاً</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يدلّ على أنّ عدم الجواز لأجل إفساده المال، ومعه كيف يمكن إنفاذ معاملاته بمجرّد قول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معاملتك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عنان الاختيار بيده، وترك التدبير فيها، حتّى </w:t>
      </w:r>
    </w:p>
    <w:p>
      <w:pPr>
        <w:pStyle w:val="BookText"/>
        <w:rPr/>
      </w:pPr>
      <w:r>
        <w:rPr>
          <w:rFonts w:ascii="Amiri" w:hAnsi="Amiri" w:eastAsia="Amiri" w:cs="Amiri"/>
          <w:color w:val="111111"/>
          <w:sz w:val="28"/>
          <w:sz w:val="28"/>
          <w:szCs w:val="28"/>
          <w:rtl w:val="true"/>
          <w:lang w:bidi="ar-SA"/>
        </w:rPr>
        <w:t>أفسد وضيّع، أو كان في مظانّهما؟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الارتياب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استفادة ما ذكر من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 نّها لا تفسد ولا تضيّع، يدفع إليها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احتلم ولم يؤنس منه رشده وكان سفيهاً أو ضعيفاً، فليمسك عنه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يحجر على الغلام المفسد حتّى يعقل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أنّ المراد منها عدم دفع المال إليهم، وإمساك الوليّ مالهم، والحجر عليهم لأجل إفسادهم وتضييعهم، فكيف يمكن القول بجواز جعل مالهم في مظانّ الإفساد ومعرض التضييع، والاكتفاء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بدفع المال ليس الدفع الخارجي، بل يكون كناية عن جعلهم مختارين ومدبّرين في الأمر، ومع عدم الرشد لا يجوز جعلهم كذلك، فكانت دلالتها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غير ناظرة إلى الآية، كروايات رفع القلم،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عمر بامرأة مجنونة قد زنت فأمر برجمها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القلم يرفع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حتّى يحتلم، وعن المجنون حتّى يفيق، وعن النائم حتّى يستيقظ؟</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إلاّ 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اللّه 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البختري، عن أبي عبداللّه،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يقول في المجنون والمعتوه الذي لا يفيق والصبيّ الذي لم 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عمدهما خطأ تحمله العاقلة، وقد رفع عنهما القلم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متى يجب عليه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عليه ثلاث عشرة سنة، فإن احتلم قبل ذلك فقد وجب عليه الصلاة، وجرى عليه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برفع القلم، هو التعبير المعروف في الألسنة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رُفع القلم عنه، وكانت أعماله كأعمال المجانين، لا يترتّب عليها الأثر، ووجودها كعدمها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التعبير المعروف مأخوذ من الرواية، لا العكس، مع أنّ فيها رفع القلم عن المجنون، ولا يصحّ فيه ما ذكر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أعمال </w:t>
      </w:r>
    </w:p>
    <w:p>
      <w:pPr>
        <w:pStyle w:val="BookText"/>
        <w:rPr/>
      </w:pPr>
      <w:r>
        <w:rPr>
          <w:rFonts w:ascii="Amiri" w:hAnsi="Amiri" w:eastAsia="Amiri" w:cs="Amiri"/>
          <w:color w:val="111111"/>
          <w:sz w:val="28"/>
          <w:sz w:val="28"/>
          <w:szCs w:val="28"/>
          <w:rtl w:val="true"/>
          <w:lang w:bidi="ar-SA"/>
        </w:rPr>
        <w:t>المجنون كأعمال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يراد أنّ وجوده كعدمه،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المحتمل أن يراد بالرفع، قبال 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الحلم كتبت عليه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فيراد أنّه قبل بلوغه لا تكتب عليه السيّئات، وقلم كتب السيّئات مرفوع عنه، فكان كناية عن عدم كونه مكلّفاً بالأحكام الإلزامية، التي كانت مخالفتها موجبة للسيّئة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المستحبّات والأفعال الحسنة عقلاً وشرعاً، فلا ترفع عنه، وهذا يناسب الامتنان، بل يتلائم مع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رفع الرجم عن الزانية، وهو دليل على أعمّية مضمونها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لا يثبت في الزنا إذا كان بغير معصية، كالصادر مكرهاً، أو اشتباهاً وخطأً، ولعلّ المراد برفع القلم رفع التكليف، ومعه لا يرجم، فلا تدلّ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سلب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برفعه رفع ذاته؛ بنحو الحقيقة الادّعائية، وكان مصحّح الادّعاء رفع الآثار المكتوبة بالقلم مطلقاً، نظير ما قلناه في حديث الرفع</w:t>
      </w:r>
      <w:r>
        <w:rPr>
          <w:rStyle w:val="FootnoteAnchor"/>
          <w:rtl w:val="true"/>
        </w:rPr>
        <w:footnoteReference w:id="42"/>
      </w:r>
      <w:r>
        <w:rPr>
          <w:rFonts w:ascii="Amiri" w:hAnsi="Amiri" w:eastAsia="Amiri" w:cs="Amiri"/>
          <w:color w:val="111111"/>
          <w:sz w:val="28"/>
          <w:sz w:val="28"/>
          <w:szCs w:val="28"/>
          <w:rtl w:val="true"/>
          <w:lang w:bidi="ar-SA"/>
        </w:rPr>
        <w:t>بأن يدّعى أنّ القلم الذي لا يترتّب عليه الأثر، ولا يكتب به شيء، ليس بقلم، فهو مرفوع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رفع ذاته بلحاظ الآثار المترتّبة على الأفعال الصادرة عن عمد </w:t>
      </w:r>
    </w:p>
    <w:p>
      <w:pPr>
        <w:pStyle w:val="BookText"/>
        <w:rPr/>
      </w:pPr>
      <w:r>
        <w:rPr>
          <w:rFonts w:ascii="IRNazanin" w:hAnsi="IRNazanin" w:eastAsia="IRNazanin"/>
          <w:color w:val="111111"/>
          <w:sz w:val="28"/>
          <w:sz w:val="28"/>
          <w:szCs w:val="28"/>
          <w:rtl w:val="true"/>
          <w:lang w:bidi="fa-IR"/>
        </w:rPr>
        <w:t>والتفات؛ بمناسبة الحكم والموضوع، ومناسبة ذكر المجنون والنائم، فخرجت الأفعال التی تترتّب الآثار على ذات‌ها ولو مع عدم الالتفات، كالجنابة والضمان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برفعه رفع وصفه لا ذاته؛ أی رفعه عن صفحة المكتوب، كنایة عن سلب الآثار مطلقاً، أو الآثار المذكورة فی الاحتمال السابق؛ بمناسبة الحكم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من بینها هو رفع القلم عنهم، لا رفع ذاته، ویراد رفع الكتب علیهم، 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بدعوى أنّ القلم موضوع علیهم، والثقل ثقل القلم بلحاظ الآثار، وهو المرفوع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ومقتضى إطلاقه رفع مطلق الآثار، أو الآثار التی لها وزر وثقل، ومع قیام القرینة المتقدّمة، یختصّ بالآثار المترتّبة على الأفعال الصادرة عن التفات، دون ما یترتّب على ذات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الظاهر خروج الأفعال المستحبّة، بل وما لا وزر وثقل علیه، ودخول سائر الآثار وضعاً وتكلیفاً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إطلاق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القلم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ذيل قضيّة المجنونة؛ لأنّه إشارة إلى أمر معهود 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ما هو المعهود هو رفع أمر خاصّ، كقلم التكليف اللازم منه درء الحدّ أو قلم الحدّ، كما ورد 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على مجنون حتّى يفيق، ولا على صبيّ حتّى يدرك، ولا على النائم حتّى يستيقظ</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 يفترق عن حديث الرفع؛ فإنّه في مقام البيان، دون هذا الذي ذكر لردع عمر ودرء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إطلاقه، فلا يشمل رفع الأثر عن مجرّد عقده، بعد كون تدبير المعاملة تحت نظر الوليّ أو المتعاملين، وإنّما كان الصغير وكيلاً أو مأذوناً في مجرّد إجراء الصيغة؛ لأنّ الظاهر من رفع القلم عنه، عدم كتب الآثار التي تكتب عليه لو كان كبيراً، وفي إجراء الصيغة لا يكتب أثر على المجري، لا له، ولا عليه، فهو خارج عن الحديث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أنّ كلّ ما صدر منه بحكم العدم، وأنّ عباراته مسلوبة الأثر</w:t>
      </w:r>
      <w:r>
        <w:rPr>
          <w:rStyle w:val="FootnoteAnchor"/>
          <w:rtl w:val="true"/>
        </w:rPr>
        <w:footnoteReference w:id="44"/>
      </w:r>
      <w:r>
        <w:rPr>
          <w:rFonts w:ascii="Amiri" w:hAnsi="Amiri" w:eastAsia="Amiri" w:cs="Amiri"/>
          <w:color w:val="111111"/>
          <w:sz w:val="28"/>
          <w:sz w:val="28"/>
          <w:szCs w:val="28"/>
          <w:rtl w:val="true"/>
          <w:lang w:bidi="ar-SA"/>
        </w:rPr>
        <w:t>، ممنوعة مخالفة لظاهر الرواية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أبي البختري، فيأتي الكلام فيها عقيب بيان مفاد ما دلّت على أنّ عمده خطأ، كحسنة محمّد بن مسلم</w:t>
      </w:r>
      <w:r>
        <w:rPr>
          <w:rStyle w:val="FootnoteAnchor"/>
          <w:rtl w:val="true"/>
        </w:rPr>
        <w:footnoteReference w:id="45"/>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وخطأه واحد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وموثّقة إسحاق بن عمّار</w:t>
      </w:r>
      <w:r>
        <w:rPr>
          <w:rStyle w:val="FootnoteAnchor"/>
          <w:rtl w:val="true"/>
        </w:rPr>
        <w:footnoteReference w:id="47"/>
      </w:r>
      <w:r>
        <w:rPr>
          <w:rFonts w:ascii="Amiri" w:hAnsi="Amiri" w:eastAsia="Amiri" w:cs="Amiri"/>
          <w:color w:val="111111"/>
          <w:sz w:val="28"/>
          <w:sz w:val="28"/>
          <w:szCs w:val="28"/>
          <w:rtl w:val="true"/>
          <w:lang w:bidi="ar-SA"/>
        </w:rPr>
        <w:t xml:space="preserve">،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الصبيان قصاص، عمدهم خطأ، يكون فيه العقل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 المجنون المغلوب على عقله والصبيّ، فعمدهما خطأ على عاقلتهما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الصبيان قصاص، عمدهم خطأ تحمله العاقلة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غير الرواية الاُولى، الاختصاص بباب الجنايات، لا لمجرّد ذكر الحمل على العاقلة في ذيلها، بل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عمده خطأ يحمل </w:t>
      </w:r>
    </w:p>
    <w:p>
      <w:pPr>
        <w:pStyle w:val="BookText"/>
        <w:rPr/>
      </w:pPr>
      <w:r>
        <w:rPr>
          <w:rFonts w:ascii="Amiri" w:hAnsi="Amiri" w:eastAsia="Amiri" w:cs="Amiri"/>
          <w:color w:val="111111"/>
          <w:sz w:val="28"/>
          <w:sz w:val="28"/>
          <w:szCs w:val="28"/>
          <w:rtl w:val="true"/>
          <w:lang w:bidi="ar-SA"/>
        </w:rPr>
        <w:t>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عمده يحمل عليها، مع أنّ ما يحمل عليها فرد نادر من 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يراد خصوص عمده في الجنايات؛ لأجل معهودية كون الخطأ مورد الحكم، وهو الحمل على العاقلة، وإلاّ يلزم منه التقييد إلى حدّ الاستهجان، فلا 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محمّد بن مسلم، فهي وإن كان لها إطلاق، ومقتضى الصناعة لزوم الأخذ بإطلاقها؛ لعدم التنافي بينها وبين غيرها، لكونهما مثبتين، لكن ورود جميع الروايات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المجنون والأعمى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الجناية، وكون الحكم فيها معهوداً، يوهن الإطلاق؛ لقوّة احتمال اتّكال المتكلّم على تلك المعهودية فلم يذكر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 الظاهر مقابلة العمد والخطأ، وإنّما يتصوّر العمد والخطأ فيما أمكن انقسامه إليهما؛ بأن يكون ترتّب مسبّبه عليه قهراً معقولاً، فتارةً يصيب القصد بالإضافة إلى ما يترتّب عليه، واُخرى يخطّئ عنه، كالرمي الذي يترتّب عليه القتل المقصود به تارةً، وغير المقصود به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يترتّب على الأسباب المعاملية شيء قهراً، حتّى يكون تارةً مقصوداً من السبب، واُخرى غير مقصود منه، ليوصف المترتّب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عمده وخطأه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صدر منه عمداً خطأ تنزيلاً، فالعقد الصادر منه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صدر عمداً، وقسم خطأً، كمن أراد تزويج فاطمة من زيد، فأخطأ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سكينة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إجارة ملك فأنشأ بيعه خطأً، فكما أنّ الإنشاء الخطئي لا يترتّب عليه أثر، فكذلك العمدي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صدر منه وأمكن تقسيمه إلى العمد والخطأ، كان عمده بمنزلته، والاختصاص بالأفعال التي ذكرها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التنزيل من أثر، إمّا في المنزّل، أو المنزّل عليه، أو فيهما، فقد يكون للفعل الخطئي أثر، وفي العمدي أثر آخر، وقد يكون في العمدي أثر، دون الخطئي أو العكس، وفي جميعها يصحّ التنزيل، وأثره ثبوت الأثر تارةً، وسلبه اُخرى، وثبوت وسلب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قيل من أنّ التعبير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مقام كان لكلّ من العمد والخطأ حكم في الشريعة على خلاف الآخر، فيراد عدم تعدّده واختلافه في الصبيّ، فيختصّ بباب الجنايات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الأظهر في مثل هذا التعبير إرادة سلب الأثر عن العمد،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قوله وعدم قوله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أنّه لا يترتّب على قوله أثر، ولو منع هذا الظهور فلا أقلّ من إطلاقه لكلا الموردين، فلا وجه لاختصاصه بما ادّعي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أبي البختري التي جمع فيها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الشيخ الأعظم قدّس سرّه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رفع القلم في الذيل ليس له وجه ارتباط إلاّ بأن يكون علّة لأصل الحكم، وهو ثبوت الدية على العاقلة، أو بأن يكون معلولاً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ذكره للارتباط المذكور، بل يكفي في الارتباط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عمده خطأً، ورفع القلم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حكمين لموضوع واحد،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لا يجوز له الدخول في المسجدين، ولا يجوز له مسّ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الجملة الثانية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أوهم كونها حالية مرتبطة بما قبلها نحو ارتباط، لكن يمكن أن تكون معطوفة لا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بدّ من الربط،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التفسيرين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العمد خطأً يتصوّر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للخطأ حكم كباب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ملغىً كالعقود والإيقاعات ونحوها ممّا لو وقع خطأً لا يترتّب عليه أثر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المتكلّم أن يفيد الموردين وتفسيرهما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الأثر الثبوتي،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الأثر السلبي، فكأ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بمنزلة الخطأ في باب الجنايات، فتحمله العاقلة، وعمدهما بلا حكم في غيرها، وقد رفع القلم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أفاده الشيخ رحمه اللّه تعالى من علّية رفع القلم لثبوت الحكمعلى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إشكال ظاهر، وهو أنّ رفع القلم عنهما لا يعقل أن يكون علّة لثبوت الحكم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كلامه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الشرعية ثابتة بين سلب حكم الجناية عن الصغير والمجنون، وبين ثبوته على العاقلة، كما يشعر أو يشير إليها بعض الروايات الدالّة على أنّ جناية الأعمى على بيت المال، معلّلاً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حقّ مسلم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ونحوها في غير الباب ظاهراً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الملازمة، لو كان رفع القلم علّة لسلب الحكم عنهما، لكان بوجه علّة لثبوت ملازمه، فلولا رفع القلم عنهما لم يثبت الحكم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التوجيه المذكور قوله متّصلاً بما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ارتباطها بالكلام على وجه العلّية أو المعلولية للحكم المذكور في الرواية؛ أعني عدم مؤاخذة الصبيّ والمجنون بمقتضى جناية العمد، وهو القصاص، ولا بمقتضى شبه العمد، وهو الدية في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الجمع بين كلامه السابق؛ حيث جعل العلّة علّة لثبوت الحكم على </w:t>
      </w:r>
    </w:p>
    <w:p>
      <w:pPr>
        <w:pStyle w:val="BookText"/>
        <w:rPr/>
      </w:pPr>
      <w:r>
        <w:rPr>
          <w:rFonts w:ascii="Amiri" w:hAnsi="Amiri" w:eastAsia="Amiri" w:cs="Amiri"/>
          <w:color w:val="111111"/>
          <w:sz w:val="28"/>
          <w:sz w:val="28"/>
          <w:szCs w:val="28"/>
          <w:rtl w:val="true"/>
          <w:lang w:bidi="ar-SA"/>
        </w:rPr>
        <w:t xml:space="preserve">العاقلة، وكلامه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المعلول عدم مؤاخذتهما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له إلاّ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ذكرناه في وجه ربط رفع القلم بسابقه، يمكن استفادة الكبرى الكلّية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عليها ما ذكرناه في سائر الروايات المشتملة على الحمل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الحمل على المعهود، تخلّصاً من التقييد المستهجن</w:t>
      </w:r>
      <w:r>
        <w:rPr>
          <w:rStyle w:val="FootnoteAnchor"/>
          <w:rtl w:val="true"/>
        </w:rPr>
        <w:footnoteReference w:id="58"/>
      </w:r>
      <w:r>
        <w:rPr>
          <w:rFonts w:ascii="Amiri" w:hAnsi="Amiri" w:eastAsia="Amiri" w:cs="Amiri"/>
          <w:color w:val="111111"/>
          <w:sz w:val="28"/>
          <w:sz w:val="28"/>
          <w:szCs w:val="28"/>
          <w:rtl w:val="true"/>
          <w:lang w:bidi="ar-SA"/>
        </w:rPr>
        <w:t xml:space="preserve">؛ وذلك لأنّ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الموردين، فكأ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لعمدهما في مورد الجنايات حكم الجناية خطأً، وفي غيرها مسلوب عنهما الحكم؛ لرفع القلم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يرد عليها ما أوردناه على بعض روايات رفع القلم؛ من الإشكال على إطلاقها </w:t>
      </w:r>
      <w:r>
        <w:rPr>
          <w:rStyle w:val="FootnoteAnchor"/>
          <w:rtl w:val="true"/>
        </w:rPr>
        <w:footnoteReference w:id="59"/>
      </w:r>
      <w:r>
        <w:rPr>
          <w:rFonts w:ascii="Amiri" w:hAnsi="Amiri" w:eastAsia="Amiri" w:cs="Amiri"/>
          <w:color w:val="111111"/>
          <w:sz w:val="28"/>
          <w:sz w:val="28"/>
          <w:szCs w:val="28"/>
          <w:rtl w:val="true"/>
          <w:lang w:bidi="ar-SA"/>
        </w:rPr>
        <w:t>لأنّها في مقام البيان، ولا بأس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على فرض كونهما جملتين مستقلّتين وحكمين لموضوع واحد، يصحّ الأخذ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الإشكال المتقدّم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الارتباط العلّي والمعلولي، فلا تخلو من إشكال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قيل من أنّ رفع القلم علّة للجملة السابقة؛ أي عمده خطأ، ومقتضاه التعدّي إلى غير باب الجنايات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 بباب الجنايات، لكان تنزيل العمد منزلة الخطأ بلحاظ ثبوت حكم الخطأ له، ولا تعقل علّية رفع القلم للتنزيل بهذا اللحاظ؛ فإنّ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الحكم على الطفل، والتنزيل المذكور بلحاظ ثبوت حكم الخطأ ؛ أي الحمل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علّيته للتنزيل المذكور، فمقتضاها التعميم لكلّ مورد يكون للخطأ حكم ولو في غير الجنايات، لا التعميم لما هو أجنبيّ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عدم جواز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لرفع القلم؛ لأنّ التنزيل بلحاظ ثبوت الحكم على العاقلة، ليس علّة لسلب الحكم عن الصغير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يصحّ جعل تنزيل العمد منزلة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لعين المحذور 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عمدهما في غير مورد الجنايات علّة، فلا محذور فيه من هذه الجهة، لكنّه مخالف لظاهر الرواية، بل لا تصحّ إرادة خصوص غير موردها مع ذكر الحمل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علّية تنزيل العمد منزلة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بل العكس أولى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وجه ارتباط رفع القلم بما قبله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تنزيل العمد منزلة الخطأ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الخطأ، وهو الدية على العاقلة، ويقتضي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 العمد وشبهه، وحيث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بيان ما يقتضيه بالمطابقة،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يقتضيه بالالتزام،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بين الدلالتين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1" w:name="pg15204_140205"/>
    </w:p>
    <w:p>
      <w:pPr>
        <w:pStyle w:val="BookText"/>
        <w:rPr/>
      </w:pPr>
      <w:bookmarkEnd w:id="31"/>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وأن تكون الدلالة المطابقية والالتزامية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رفع عنهما 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متحقّقة كما هو مدّعاه، وهي مفقودة؛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التذييل بما ذكر، لكان شاملاً لباب الجنايات وغيره بمقتضى إطلاقه، فيشمل ما لم يكن للخطأ فيه حكم، وكان ملغىً وبلا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دلالته المطابقية على فرضها، أعمّ من ثبوت حكم الخطأ، ومن مورد رفع القلم، فلا تصحّ الدلالة المطابقية ولا الالتزامية بما أفاد، فلا يكون وجه الربط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المتحصّل من أوّل الباب إلى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معاملات الصبيّ على التفصيل المتقدّم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2758672_2142443653"/>
      <w:bookmarkStart w:id="33" w:name="_Toc12"/>
      <w:bookmarkEnd w:id="32"/>
      <w:r>
        <w:rPr>
          <w:rtl w:val="true"/>
        </w:rPr>
        <w:t>عدم اعتبار البلوغ في إجراء الصيغة والوكالة عن الغير</w:t>
      </w:r>
      <w:bookmarkEnd w:id="33"/>
    </w:p>
    <w:p>
      <w:pPr>
        <w:pStyle w:val="BookText"/>
        <w:rPr/>
      </w:pPr>
      <w:r>
        <w:rPr>
          <w:rFonts w:ascii="Amiri" w:hAnsi="Amiri" w:eastAsia="Amiri" w:cs="Amiri"/>
          <w:color w:val="111111"/>
          <w:sz w:val="28"/>
          <w:sz w:val="28"/>
          <w:szCs w:val="28"/>
          <w:rtl w:val="true"/>
          <w:lang w:bidi="ar-SA"/>
        </w:rPr>
        <w:t>وأمّا اعتبار البلوغ في إجراء الصيغة بعد تمامية المساومة بين المتبايعين، فلم يقم دليل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لم يقم دليل ممّا تقدّم على بطلان وكالته عن الغير في المعاملة، فلو أذن شخص صبيّاً مميّزاً في إيقاع معاملة، أو أجاز معاملته، كانت الأدلّة السابقة قاصرة عن إثبات بطلانها؛ فإنّها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وخطأه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مربوطة بتصرّفاته في أمواله بالبيع والشراء ونحوهما، وقد عرفت حال هذه الرواية وغيرها في هذا المنوال</w:t>
      </w:r>
      <w:r>
        <w:rPr>
          <w:rFonts w:eastAsia="Amiri" w:cs="Amiri" w:ascii="Amiri" w:hAnsi="Amiri"/>
          <w:color w:val="111111"/>
          <w:sz w:val="28"/>
          <w:szCs w:val="28"/>
          <w:rtl w:val="true"/>
          <w:lang w:bidi="ar-SA"/>
        </w:rPr>
        <w:t xml:space="preserve">. </w:t>
      </w:r>
      <w:bookmarkStart w:id="34" w:name="pg15204_140206"/>
    </w:p>
    <w:p>
      <w:pPr>
        <w:pStyle w:val="Heading6"/>
        <w:numPr>
          <w:ilvl w:val="5"/>
          <w:numId w:val="1"/>
        </w:numPr>
        <w:rPr/>
      </w:pPr>
      <w:bookmarkStart w:id="35" w:name="__RefHeading___Toc2758674_2142443653"/>
      <w:bookmarkStart w:id="36" w:name="_Toc13"/>
      <w:bookmarkEnd w:id="34"/>
      <w:bookmarkEnd w:id="35"/>
      <w:r>
        <w:rPr>
          <w:rtl w:val="true"/>
        </w:rPr>
        <w:t>حول الإجماع المدّعى في المقام</w:t>
      </w:r>
      <w:bookmarkEnd w:id="36"/>
    </w:p>
    <w:p>
      <w:pPr>
        <w:pStyle w:val="BookText"/>
        <w:rPr/>
      </w:pPr>
      <w:r>
        <w:rPr>
          <w:rFonts w:ascii="Amiri" w:hAnsi="Amiri" w:eastAsia="Amiri" w:cs="Amiri"/>
          <w:color w:val="111111"/>
          <w:sz w:val="28"/>
          <w:sz w:val="28"/>
          <w:szCs w:val="28"/>
          <w:rtl w:val="true"/>
          <w:lang w:bidi="ar-SA"/>
        </w:rPr>
        <w:t>بقي الكلام في الإجماع المدّعى والمعروف بين المتأخّرين</w:t>
      </w:r>
      <w:r>
        <w:rPr>
          <w:rStyle w:val="FootnoteAnchor"/>
          <w:rtl w:val="true"/>
        </w:rPr>
        <w:footnoteReference w:id="62"/>
      </w:r>
      <w:r>
        <w:rPr>
          <w:rFonts w:ascii="Amiri" w:hAnsi="Amiri" w:eastAsia="Amiri" w:cs="Amiri"/>
          <w:color w:val="111111"/>
          <w:sz w:val="28"/>
          <w:sz w:val="28"/>
          <w:szCs w:val="28"/>
          <w:rtl w:val="true"/>
          <w:lang w:bidi="ar-SA"/>
        </w:rPr>
        <w:t>، وتحقّقه ممنوع في مثل هذه المسألة التي تراكمت فيها الأدلّة كتاباً وسنّة، مع تمسّكهم بها قديماً وحديثاً، ومعه كيف يمكن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عدم إجماعية المسألة في عصر شيخ الطائفة قدّس سرّه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الصبيّ وشراؤه، سواء أذن له فيه الوليّ أم لم يأذن،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بإذن الوليّ صحّ، وإن كان بغير إذنه وقف على 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والشراء حكم شرعي، ولا يثبت إلاّ بشرع، وليس فيه ما يدلّ على أنّ بيع الصبيّ وشراءه صحيحان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 .»</w:t>
      </w:r>
      <w:r>
        <w:rPr>
          <w:rStyle w:val="FootnoteAnchor"/>
          <w:rtl w:val="true"/>
        </w:rPr>
        <w:footnoteReference w:id="6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طريقته المعهودة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الاستناد إلى الإجماع في كلّ مسألة إجماعية عنده، وقد صرّح في أوّل الكتاب</w:t>
      </w:r>
      <w:r>
        <w:rPr>
          <w:rStyle w:val="FootnoteAnchor"/>
          <w:rtl w:val="true"/>
        </w:rPr>
        <w:footnoteReference w:id="64"/>
      </w:r>
      <w:r>
        <w:rPr>
          <w:rFonts w:ascii="Amiri" w:hAnsi="Amiri" w:eastAsia="Amiri" w:cs="Amiri"/>
          <w:color w:val="111111"/>
          <w:sz w:val="28"/>
          <w:sz w:val="28"/>
          <w:szCs w:val="28"/>
          <w:rtl w:val="true"/>
          <w:lang w:bidi="ar-SA"/>
        </w:rPr>
        <w:t>بذلك، فمن عدم تمسّكه به والاستناد إلى الأصل، يظهر عدم تحقّق الإجماع في عصره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عنوان المسألة إنّما هو في معاملات الصبيّ، التي تكون لإذن الوليّ أو إجازته فيها دخالة، وهو تصرّفاته في ماله، فالوكالة في مجرّد إجراء </w:t>
      </w:r>
    </w:p>
    <w:p>
      <w:pPr>
        <w:pStyle w:val="BookText"/>
        <w:rPr/>
      </w:pPr>
      <w:r>
        <w:rPr>
          <w:rFonts w:ascii="Amiri" w:hAnsi="Amiri" w:eastAsia="Amiri" w:cs="Amiri"/>
          <w:color w:val="111111"/>
          <w:sz w:val="28"/>
          <w:sz w:val="28"/>
          <w:szCs w:val="28"/>
          <w:rtl w:val="true"/>
          <w:lang w:bidi="ar-SA"/>
        </w:rPr>
        <w:t>الصيغة، وكذا الوكالة عن الغير في إيقاع المعاملة، خارجتان عن محطّ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 نّها غير إجماعية</w:t>
      </w:r>
      <w:r>
        <w:rPr>
          <w:rStyle w:val="FootnoteAnchor"/>
          <w:rtl w:val="true"/>
        </w:rPr>
        <w:footnoteReference w:id="65"/>
      </w:r>
      <w:r>
        <w:rPr>
          <w:rFonts w:ascii="IRNazanin" w:hAnsi="IRNazanin" w:eastAsia="IRNazanin"/>
          <w:color w:val="111111"/>
          <w:sz w:val="28"/>
          <w:sz w:val="28"/>
          <w:szCs w:val="28"/>
          <w:rtl w:val="true"/>
          <w:lang w:bidi="fa-IR"/>
        </w:rPr>
        <w:t>، فراجع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جملة ما يحتاج إليه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المتبايعين نافذي التصرّف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موضوع كلامه هو التصرّفات المالية، فالوكالة في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مال نفسه عن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مجرّد إجراء الصيغة، خارجة عن محطّ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 من شرائط صحّة انعقاد العقد ثبوت الولاية في المعقود عليه، وتعقيبه بكلام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عن ذلك أيضاً بيع من ليس بكامل العقل وشراؤه؛ فإنّه لا ينعقد وإن أجازه الوليّ؛ بدليل ما قدّمناه من الإجماع، ونفي الدليل الشرعي على انعقاده، ويحتجّ على المخالف بما رووه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الشرط ثبوت الولاية في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كلامه هو التصرّفات المالية المحتاجة إلى الولاية في المعقود عليه، فمثل مجرّد إجراء الصيغة والوكالة عن الوليّ خارج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الإجماع المدّعى إنّما هو في ناقص العقل، وهو السفيه أو الأعمّ منه ومن المجنون، فالصغير الرشيد خارج عن كلامه</w:t>
      </w:r>
      <w:r>
        <w:rPr>
          <w:rFonts w:eastAsia="Amiri" w:cs="Amiri" w:ascii="Amiri" w:hAnsi="Amiri"/>
          <w:color w:val="111111"/>
          <w:sz w:val="28"/>
          <w:szCs w:val="28"/>
          <w:rtl w:val="true"/>
          <w:lang w:bidi="ar-SA"/>
        </w:rPr>
        <w:t xml:space="preserve">. </w:t>
      </w:r>
      <w:bookmarkStart w:id="37" w:name="pg15204_140208"/>
    </w:p>
    <w:p>
      <w:pPr>
        <w:pStyle w:val="BookText"/>
        <w:rPr/>
      </w:pPr>
      <w:bookmarkEnd w:id="3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الشروط فمنها ما يتعلّق بالمتعاقدين، وهو البلوغ والعقل والاختيار، فلا يصحّ بيع الصبيّ ولا شراؤه ولو أذن له الوليّ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الوليّ، غير صورة إجراء الصيغة محضاً، بل وغير صورة وكالته عن الغير في التصرّفات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عبارته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عبارة الصبيّ سواء كان مميّزاً أو لا، أذن له الوليّ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وجهين اعتباريين فيه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بيع المميّز وشراؤه بإذن الوليّ؟ الوجه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يصحّ ولا ينفذ</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ثبوت الخلاف فيه</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2758676_2142443653"/>
      <w:bookmarkStart w:id="39" w:name="_Toc14"/>
      <w:bookmarkEnd w:id="38"/>
      <w:r>
        <w:rPr>
          <w:rtl w:val="true"/>
        </w:rPr>
        <w:t>حول التفصيل في معاملات الصبيّ بين الأشياء اليسيرة والخطيرة</w:t>
      </w:r>
      <w:bookmarkEnd w:id="39"/>
    </w:p>
    <w:p>
      <w:pPr>
        <w:pStyle w:val="BookText"/>
        <w:rPr/>
      </w:pPr>
      <w:r>
        <w:rPr>
          <w:rFonts w:ascii="Amiri" w:hAnsi="Amiri" w:eastAsia="Amiri" w:cs="Amiri"/>
          <w:color w:val="111111"/>
          <w:sz w:val="28"/>
          <w:sz w:val="28"/>
          <w:szCs w:val="28"/>
          <w:rtl w:val="true"/>
          <w:lang w:bidi="ar-SA"/>
        </w:rPr>
        <w:t>ثمّ إنّه هل تكون معاملات الصبيّ باطلة مطلقاً، من غير فرق بين الأشياء اليسيرة والخطيرة، ومن غير فرق بين معاملاته في أمواله بإذن الوليّ ولو في اليسيرة، وبين معاملاته في أموال غيره بإذنه كذلك؟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بمقتضى عموم النصّ والفتوى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التصرّف في أموال غيره بإذنه، فقد مرّ الإشكال في شمول الأدلّة 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الغضّ عنه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تعارف المعاملات غير الخطيرة من الصبيان، لم يكن مختصّاً بزمان، بل نوع البشر من لدن اجتماعه المدني وتعارف المعاملات والأخذ والإعطاء بينهم، كان أمرهم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حدوث تعارف معاملة الصبيّ بعد عصر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باطل مقطوع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التعارف في عصر نزول الآية وصدور الأحاديث، كان موجباً لصرف الأذهان عمّا تعارف بينهم؛ فإنّ كسر ما هو المتعارف وردع ما هو الشائع الذائع، يحتاج إلى بيان زائد على ما في مثل تلك الأدلّة، كما قلنا نظيره في رادعية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من أنّه غير صالح للرادعية عمّا هو المرتكز الشائع المعمول 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مراد الشارع من الأدلّة المتقدّمة هو الإطلاق، وأراد نهي المسلمين عن المعاملة مع الصغار حتّى في اليسيرة، وكان المسلمون يفهمون منها مراده، فلا بدّ وأن يلتزم إمّا بعدم تعارف بيع الصغير في عصر النبوّة والخلفاء في الدول الإسلامية، وهو باطل بالضرورة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يلتزم بتجاهر المسلمين بمخالفة الإسلام في هذا الأمر الشائع من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عصر الخلفاء إلى سائر الأعصار، وترك الجميع نهيهم عن ذلك الأمر الفاسد المفسد، واكتفوا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الالتزام بصحّة معاملاته في تلك المحقّرات،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المحدّث الكاشاني قدّس سرّه التمسّك بدليل الحرج في تصحيح معاملاته في اليسيرة ممّا جرت العادة بها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الأعظم قدّس سرّه بأنّ الحرج ممنوع، سواء أراد أنّ الحرج يلزم من منعهم عن المعاملة في المحقّرات، والتزام مباشرة البالغين لشرائها، أم أراد أنّه يلزم من التجنّب عن معاملتهم بعد بناء الناس على نصب الصبيان للبيع والشراء في الأشياء الحقيرة</w:t>
      </w:r>
      <w:r>
        <w:rPr>
          <w:rStyle w:val="FootnoteAnchor"/>
          <w:rtl w:val="true"/>
        </w:rPr>
        <w:footnoteReference w:id="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قدّس سرّه أراد بلزوم الحرج أنّ التعارف الكذائي يوجب اختلاط جميع أموال أهل السوق وغيرهم بالحرام، اختلاط الكثير بالكثير، ومعه يلزم الحرج؛ لعدم المفرّ من الحرام حتّى في المعاملة مع الكبار، بعد مخالطة الصغار معهم في المعاملات والأخذ والإعطاء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باعتبار اليد حتّى مع هذا الاختلاط الكثير، وهو مشكل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المعاملة بدليل الحرج غير وجيه؛ لأنّ دليله ليس مشرّعاً ومثبتاً للحكم، بل رافع للحكم الحرجي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العامّة صحّة معاملات الصبيّ المميّز؛ لصدق العناوين عليها قطعاً، وإنّما المانع عنها دليل حجر الصبيّ، ومع محكوميته في مورد المحقّرات لدليل الحرج، تبقى الأدلّة المصحّحة على حالها، فالاستناد في الصحّة إليها، لا إلى دليل الحرج، فلو ثبت الحرج فلا إشكال، إلاّ أنّ الشأن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صحّة معاملاته في الجملة بموثّقة السكوني</w:t>
      </w:r>
      <w:r>
        <w:rPr>
          <w:rStyle w:val="FootnoteAnchor"/>
          <w:rtl w:val="true"/>
        </w:rPr>
        <w:footnoteReference w:id="79"/>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كسب الإماء ؛ فإنّها إن لم تجد زنت، إلاّ أمة قد عُرفت بصنعة يد، ونهى عن كسب الغلام الصغير الذي لا يُحسن صناعة بيده؛ فإنّه إن لم يجد سرق</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المفروض فيها هو المكسوب الذي في يده، ويراد الأخذ منه بمعاملة ونحوها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رأس المال والثمن ونحوهما تحت يده، وكان تحت يد الوليّ، وأجازه في إجراء الصيغة أو إتمام المعاملة، من غير أن يكون المال تحت يده، فهو خارج عن مصبّ الرواية، ولا يناسبه تعليلها؛ فإنّ النهي لأجل التحرّز عن مال الحرام المحتمل، إذ مع احتمال السرقة، يحتمل أن يكون ما في يده من الكسب أيضاً مكسوباً بمال السرقة، وكان حراماً لأجل بطلان المعاملة بالمتاع المسروق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داعي لرفع اليد عن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النهي بالكسب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ما في يده؛ بزعم أنّ الكسب بعد فرضه لا يحتمل فيه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صحّة معاملات الصبيّ الذي يحسن صنعة، بل على صحّة معاملات الصبيّ مطلقاً إن كان النهي تنزيهياً، كما هو الظاهر بقرينة صدرها وتعليلها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فيها بالنسبة إلى مطلق معاملاته؛ لكونها في مقام بيان حكم كراهة كسب من لا يحسن الصنعة، فلو احتمل اعتبار شرط في صحّة معاملاته، لا يمكن دفعه بها، فالقدر المتيقّن منها صحّتها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منها عدم سقوط أفعاله وألفاظه، ومورد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المعاملة في الأشياء اليسيرة ممّا تعارف إيكالها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منها هو معاملاته بمال نفسه، لا بمال غيره بوكالة منه أو إذنه؛ لأنّ سلب الكراهة عمّن يحسن صنعة واستثناءه، ظاهر في أنّ الكسب المنهيّ عنه تنزيهاً هو الكسب بمال نفسه، ولو فرض التعميم لأجل التعليل، لا يحتمل الاختصاص بمال الغير ومورد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تدلّ على صحّتها في الجملة، سواء كان النهي متعلّقاً بكسبه بالمعنى المصدري، أم بمكسوبه، وسواء كان النهي للتحريم، أو التنزيه، وسواء كان المراد بالمكسوب ما في يده أعمّ من كسبه وغيره، أم اختصّ بما حصل بالكسب كما هو ظاهرها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بإطلاق الأدلّة وعمومها بالنسبة إلى مطلق معاملاته، وكانت المعاملة باليسيرة داخلة فيها، فلا تنبغي الشبهة في قيام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w:t>
      </w:r>
    </w:p>
    <w:p>
      <w:pPr>
        <w:pStyle w:val="BookText"/>
        <w:rPr/>
      </w:pPr>
      <w:r>
        <w:rPr>
          <w:rFonts w:ascii="Amiri" w:hAnsi="Amiri" w:eastAsia="Amiri" w:cs="Amiri"/>
          <w:color w:val="111111"/>
          <w:sz w:val="28"/>
          <w:sz w:val="28"/>
          <w:szCs w:val="28"/>
          <w:rtl w:val="true"/>
          <w:lang w:bidi="ar-SA"/>
        </w:rPr>
        <w:t xml:space="preserve">المتديّنين والمبالين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المعاملة بالأشياء غير الخطيرة مع الأطفال، ولا يحتمل حدوثها في العصر المتأخّر عن عصر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نقل بانصرافها عن موردها، فتخصيصها بها مشكل؛ لأنّ حجّية السيرة وصلاحيتها لتخصيصها، معلّقة على عدم الردع وإمضاء الشارع، وإطلاق الأدلّة صالح للرادعية بلا توقّف على شيء، فحجّية الإطلاق منجّزة، وحجّية السيرة وصلاحيتها للتخصيص معلّقة على عدم الرادع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انصراف الأدلّة عن مورد السيرة كما تقدّم</w:t>
      </w:r>
      <w:r>
        <w:rPr>
          <w:rStyle w:val="FootnoteAnchor"/>
          <w:rtl w:val="true"/>
        </w:rPr>
        <w:footnoteReference w:id="81"/>
      </w:r>
      <w:r>
        <w:rPr>
          <w:rFonts w:ascii="Amiri" w:hAnsi="Amiri" w:eastAsia="Amiri" w:cs="Amiri"/>
          <w:color w:val="111111"/>
          <w:sz w:val="28"/>
          <w:sz w:val="28"/>
          <w:szCs w:val="28"/>
          <w:rtl w:val="true"/>
          <w:lang w:bidi="ar-SA"/>
        </w:rPr>
        <w:t>، لكن القدر المتيقّن منها معاملاته مع إذن الوليّ ولو بالكشف عن ظاهر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بعض المحقّقين قدّس سرّه لمّا لم ير مجالاً لإنكار السيرة واتّصالها بعصر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يرتض برفع اليد عن الأدلّة وإطلاقها، حاول التطبيق على القواعد بأنّ المعاملة واقعة في تلك الموارد بين الوليّ والطرف، وكان الطرف موجباً وقابلاً، من الوليّ وكالة، ومن نفسه أصالة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الوليّ موجب، والطرف قابل، وفعل الطفل كاشف عن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ما قامت عليه السيرة معاطاة أو بحكمها، ولا يعتبر فيها إلاّ المراضاة ووصول كلّ من العوضين إلى الطرف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بأنّ مثلها كالفرار من المطر إلى الميزاب، والتزام بخلاف الواقعيات والقواعد بلا وجه ملزم، ولعلّ إنكار السيرة أو اتّصالها بعصر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أسهل من الالتزام بما هو خلاف الواقع بداهة؛ إذ لا شبهة في أنّ ما </w:t>
      </w:r>
    </w:p>
    <w:p>
      <w:pPr>
        <w:pStyle w:val="BookText"/>
        <w:rPr/>
      </w:pPr>
      <w:r>
        <w:rPr>
          <w:rFonts w:ascii="Amiri" w:hAnsi="Amiri" w:eastAsia="Amiri" w:cs="Amiri"/>
          <w:color w:val="111111"/>
          <w:sz w:val="28"/>
          <w:sz w:val="28"/>
          <w:szCs w:val="28"/>
          <w:rtl w:val="true"/>
          <w:lang w:bidi="ar-SA"/>
        </w:rPr>
        <w:t>هو الواقع في المعاملات المتعارفة أنّ الصبيان طرف فيها، من غير خطور أوليائهم في الأذهان، ويرى العقلاء والمتعاملان معاملاتهم معاطاة، كسائر المعاملات المعاطاتية، والتعاطي المعاملي بين الصبيّ وطرفه لا غير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وكالته عن الغير في إجراء الصيغة، بل وفي أصل المعاملات بلا إذن الوليّ، وصحّة معاملاته في الاُمور اليسيرة المتعارفة مع إذن الأولياء</w:t>
      </w:r>
      <w:r>
        <w:rPr>
          <w:rFonts w:eastAsia="Amiri" w:cs="Amiri" w:ascii="Amiri" w:hAnsi="Amiri"/>
          <w:color w:val="111111"/>
          <w:sz w:val="28"/>
          <w:szCs w:val="28"/>
          <w:rtl w:val="true"/>
          <w:lang w:bidi="ar-SA"/>
        </w:rPr>
        <w:t xml:space="preserve">. </w:t>
      </w:r>
      <w:bookmarkStart w:id="40" w:name="pg15204_140215"/>
    </w:p>
    <w:p>
      <w:pPr>
        <w:pStyle w:val="Heading3"/>
        <w:numPr>
          <w:ilvl w:val="2"/>
          <w:numId w:val="1"/>
        </w:numPr>
        <w:rPr/>
      </w:pPr>
      <w:bookmarkStart w:id="41" w:name="__RefHeading___Toc2758678_2142443653"/>
      <w:bookmarkStart w:id="42" w:name="_Toc15"/>
      <w:bookmarkEnd w:id="40"/>
      <w:bookmarkEnd w:id="41"/>
      <w:r>
        <w:rPr>
          <w:rtl w:val="true"/>
        </w:rPr>
        <w:t>الشرط الثاني</w:t>
      </w:r>
      <w:r>
        <w:rPr>
          <w:rtl w:val="true"/>
        </w:rPr>
        <w:t xml:space="preserve">: </w:t>
      </w:r>
      <w:r>
        <w:rPr>
          <w:rtl w:val="true"/>
        </w:rPr>
        <w:t>قصد المتعاملين لمدلول العقد</w:t>
      </w:r>
      <w:bookmarkEnd w:id="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2758680_2142443653"/>
      <w:bookmarkStart w:id="44" w:name="_Toc16"/>
      <w:bookmarkEnd w:id="43"/>
      <w:r>
        <w:rPr>
          <w:rtl w:val="true"/>
        </w:rPr>
        <w:t>مسألة اعتبار قصد المتعاملين لمدلول العقد</w:t>
      </w:r>
      <w:bookmarkEnd w:id="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شرائط المتعاقدين قصدهما لمدلول العقد الذي يتلفّظان به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اعتبار ذلك في المعاملات الجارية باللفظ، ولا في اعتبار القصد لمدلول العقد في المعاطاة، فالتلفّظ والتعاطي غلطاً واشتباهاً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لسانه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أعطى سلعته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بمعاملة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تلفّظ عن إرادة والتفات، لكن أراد إيجاد اللفظ من دون استعماله في المعنى،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لفظ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استعمل الألفاظ في معانيها، لكن أراد الحكاية التصوّرية،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من زيد، غير آجرت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استعملها في المعاني التصديقية، لكن لم يكن جدّه تحقّق مدلول العقد، </w:t>
      </w:r>
      <w:bookmarkStart w:id="45" w:name="pg15204_140218"/>
    </w:p>
    <w:p>
      <w:pPr>
        <w:pStyle w:val="BookText"/>
        <w:rPr/>
      </w:pPr>
      <w:bookmarkEnd w:id="45"/>
      <w:r>
        <w:rPr>
          <w:rFonts w:ascii="Amiri" w:hAnsi="Amiri" w:eastAsia="Amiri" w:cs="Amiri"/>
          <w:color w:val="111111"/>
          <w:sz w:val="28"/>
          <w:sz w:val="28"/>
          <w:szCs w:val="28"/>
          <w:rtl w:val="true"/>
          <w:lang w:bidi="ar-SA"/>
        </w:rPr>
        <w:t xml:space="preserve">كالمستعمل مجازاً أو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التحقيق من استعمال الألفاظ في معانيها الحقيقية في المجازات والكنايات</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ينشئ المعاملة، وكلّ ذلك ليس بمعاملة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فيها من إرادة إيقاع مدلول العقد جدّاً، سواء في المعاطاة ممّا يكون التعاطي لذلك، أو العقود اللفظية، واعتبار ذلك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ذلك من شرائط العقد أو المتعاقدين، غير ظاهر؛ فإنّ شرائط الشيء تلاحظ بعد ما هو دخيل في ماهيته أو تحقّق حقيقته، فليس الإيجاب والقبول من شرائط العقد وزان الشروط المصطلحة، والقصد المذكور محقّق لحقيقة المعاملة، لا من شرائط العقد، ولا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المعتبرة في العقد، ما تعتبر فيه بعد تجوهره وتحقّق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عنها، كالعربية؛ فإنّ العقد غير العربي عقد فاقد للشرط، والعقد العربي واجد له، وكالبلوغ في المتعاقدين، فإنّه من غير البالغ عقد فاقد للشرط، وأمّا إيقاع العقد فليس من شرائط العقد أو المتعاقدين، والقصد دخيل في إيقاعه وتحقّقه، والأمر سهل</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758682_2142443653"/>
      <w:bookmarkStart w:id="47" w:name="_Toc17"/>
      <w:bookmarkEnd w:id="46"/>
      <w:r>
        <w:rPr>
          <w:rtl w:val="true"/>
        </w:rPr>
        <w:t>مسألة</w:t>
      </w:r>
      <w:r>
        <w:rPr>
          <w:rtl w:val="true"/>
        </w:rPr>
        <w:t xml:space="preserve">: </w:t>
      </w:r>
      <w:r>
        <w:rPr>
          <w:rtl w:val="true"/>
        </w:rPr>
        <w:t>اعتبار تعيين المالكين</w:t>
      </w:r>
      <w:bookmarkEnd w:id="47"/>
    </w:p>
    <w:p>
      <w:pPr>
        <w:pStyle w:val="Heading5"/>
        <w:numPr>
          <w:ilvl w:val="4"/>
          <w:numId w:val="1"/>
        </w:numPr>
        <w:rPr/>
      </w:pPr>
      <w:bookmarkStart w:id="48" w:name="__RefHeading___Toc2758684_2142443653"/>
      <w:bookmarkStart w:id="49" w:name="_Toc18"/>
      <w:bookmarkEnd w:id="48"/>
      <w:r>
        <w:rPr>
          <w:rtl w:val="true"/>
        </w:rPr>
        <w:t>إشارة</w:t>
      </w:r>
      <w:bookmarkEnd w:id="49"/>
    </w:p>
    <w:p>
      <w:pPr>
        <w:pStyle w:val="BookText"/>
        <w:rPr/>
      </w:pPr>
      <w:r>
        <w:rPr>
          <w:rFonts w:ascii="Amiri" w:hAnsi="Amiri" w:eastAsia="Amiri" w:cs="Amiri"/>
          <w:color w:val="111111"/>
          <w:sz w:val="28"/>
          <w:sz w:val="28"/>
          <w:szCs w:val="28"/>
          <w:rtl w:val="true"/>
          <w:lang w:bidi="ar-SA"/>
        </w:rPr>
        <w:t>هل يعتبر تعيين المالكين اللذين يتحقّق النقل والانتقال بالنسبة إليهما، أو 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اختار لزومه فيما إذا توقّف التعيّن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وجه وقوع العقد الممكن </w:t>
      </w:r>
      <w:bookmarkStart w:id="50" w:name="pg15204_140219"/>
    </w:p>
    <w:p>
      <w:pPr>
        <w:pStyle w:val="BookText"/>
        <w:rPr/>
      </w:pPr>
      <w:bookmarkEnd w:id="50"/>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المحقّقين،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والشيخ الأعظم</w:t>
      </w:r>
      <w:r>
        <w:rPr>
          <w:rStyle w:val="FootnoteAnchor"/>
          <w:rtl w:val="true"/>
        </w:rPr>
        <w:footnoteReference w:id="86"/>
      </w:r>
      <w:r>
        <w:rPr>
          <w:rFonts w:ascii="IRNazanin" w:hAnsi="IRNazanin" w:eastAsia="IRNazanin"/>
          <w:color w:val="111111"/>
          <w:sz w:val="28"/>
          <w:sz w:val="28"/>
          <w:szCs w:val="28"/>
          <w:rtl w:val="true"/>
          <w:lang w:bidi="fa-IR"/>
        </w:rPr>
        <w:t xml:space="preserve">، وبعض من تأخّر عنهما </w:t>
      </w:r>
      <w:r>
        <w:rPr>
          <w:rStyle w:val="FootnoteAnchor"/>
          <w:rtl w:val="true"/>
        </w:rPr>
        <w:footnoteReference w:id="87"/>
      </w:r>
      <w:r>
        <w:rPr>
          <w:rFonts w:ascii="Amiri" w:hAnsi="Amiri" w:eastAsia="Amiri" w:cs="Amiri"/>
          <w:color w:val="111111"/>
          <w:sz w:val="28"/>
          <w:sz w:val="28"/>
          <w:szCs w:val="28"/>
          <w:rtl w:val="true"/>
          <w:lang w:bidi="ar-SA"/>
        </w:rPr>
        <w:t>قدّس أسرارهم، وإن اختلفوا في وجهه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758686_2142443653"/>
      <w:bookmarkStart w:id="52" w:name="_Toc19"/>
      <w:bookmarkEnd w:id="51"/>
      <w:r>
        <w:rPr>
          <w:rtl w:val="true"/>
        </w:rPr>
        <w:t>حول استدلال صاحب المقابس على اعتبار التعيين</w:t>
      </w:r>
      <w:bookmarkEnd w:id="52"/>
    </w:p>
    <w:p>
      <w:pPr>
        <w:pStyle w:val="BookText"/>
        <w:rPr/>
      </w:pPr>
      <w:r>
        <w:rPr>
          <w:rFonts w:ascii="Amiri" w:hAnsi="Amiri" w:eastAsia="Amiri" w:cs="Amiri"/>
          <w:color w:val="111111"/>
          <w:sz w:val="28"/>
          <w:sz w:val="28"/>
          <w:szCs w:val="28"/>
          <w:rtl w:val="true"/>
          <w:lang w:bidi="ar-SA"/>
        </w:rPr>
        <w:t>وقد استدلّ الأوّل بوجه عقلي، هو لزوم بقاء المملوك بلا مالك معيّن في نفس الأمر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المبهم وغير المعيّن لا تحقّق له واقعاً، فلا يعقل أن يكون طرف الإضافة، فيلزم منه أن يكون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مالك واقعي، مع أنّ المتضايفين متكافئان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 كلّ منهما محتمل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العقد على وجه الإبهام، كمن كان وكيلاً من شخصين في شراء شيء أو بيعه،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كرّاً من الحنطة من أحدهما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الوكيل من شخصين آخرين لأحدهما،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لأحد الموكّلين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الإيجاب مبهماً، والقابل المعيّن قبل المبهم، كما إذا أوجب الوكيل من أحد الموكّلين، وقبل شخص معيّن ذلك المبهم أو العكس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الإيجاب من معيّن لمبهم، فقبل معيّن،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 </w:t>
      </w:r>
    </w:p>
    <w:p>
      <w:pPr>
        <w:pStyle w:val="BookText"/>
        <w:rPr/>
      </w:pPr>
      <w:r>
        <w:rPr>
          <w:rFonts w:ascii="Amiri" w:hAnsi="Amiri" w:eastAsia="Amiri" w:cs="Amiri"/>
          <w:color w:val="111111"/>
          <w:sz w:val="28"/>
          <w:sz w:val="28"/>
          <w:szCs w:val="28"/>
          <w:rtl w:val="true"/>
          <w:lang w:bidi="ar-SA"/>
        </w:rPr>
        <w:t>فرسي من 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واحد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باع الفضولي لغيره في الذمّة ولم يعيّن، فأجاز معيّن، والظاهر من صدر كلامه وذيله اعتبار التعيين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البرهان العقلي الذي أقامه قاصر عن إثبات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الثاني فواضح؛ لأنّ الإيجاب لا يؤثّر في النقل الواقعي حتّى يلزم ما ذكره، وبعد ضمّ القبول من معيّن أو عن معيّن، انتقل الملك إلى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الأوّل؛ فلأنّ غاية ما يلزم من برهانه أ نّه يعتبر في انتقال المال في المعاملات أن ينتقل إلى مالك معيّن، فيلزم منه أن لا يؤثّر الإيجاب والقبول إلاّ بعد تعيّن الطرفين، فإذا باع وكيل أحد الشخصين عن قبل أحدهما من أحد الشخصين، وقبل وكيلهما لأحدهما، لم يقع نقل واقعي؛ للزوم المحذور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على شرط عقلي هو تعيين الطرفين، فإذا تعيّنا بوجه من وجوه التعيين، صار المال منتقلاً إلى المعيّنين بلا لزوم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برهانه على فرض تماميته، يقتضي عدم معقولية تأثير المعاملة فعلاً، لا إلغاء الإيجاب والقبول، غاية الأمر تصير المعاملة كالفضولي وكبيع المكره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والقبول لو كانا علّة تامّة للتأثير، ولم يمكن انفكاك الأثر منهما، لكان لما ذكره وجه، لكن بعد ما لم يكن ألفاظ المعاملات من قبيل العلل، بل تكون موضوعة لاعتبار العقلاء، فلا مانع من اشتراطها شرعاً أو عقلاً بشرائط متأخّرة، وعند حصولها يصير النقل محقّقاً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البرهان العقلي، للزم منه عدم التأثير الفعلي، لا إلغاء العقد ولغويته، فلا بدّ فيه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دفع برهان آخر، ربّما يستشمّ من كلام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المعاوضة والمبادلة دخول كلّ من العوضين في ملك مالك الآخر، وإلاّ لم يكن كلّ منهما عوضاً وبدلاً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وتقريبه على الوجه العقلي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الحقيقية غير معقولة في المقام؛ لامتناع دخول العوض في ملك الواحد المردّد واقعاً، إذ لا واقعية له ذاتاً وتحقّقاً وماهية وتقرّراً، فلو صحّت المعاوضة لزم منها تحقّق الإضافة بلا مضاف، أو مضاف إليه، أو بدونهما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وجه دفعه، وعرفت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ما ذكر عدم ترتّب الأثر فعلاً على الإنشاء، لا إلغاؤه رأساً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على المطلوب بأنّ إنشاء البيع عبارة عن جعل إضافة بين العوضين إيقاعاً؛ بمقتضى ماهية المبادلة، وجعل الإضافة بين الشيء وما هو مردّد واقعي محال؛ لامتناع جعل إضافة ولو إنشائية بين الموجود والمعدوم، ولازم عدم تعيين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 عدم تعيين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لا موجودية الواحد المردّد من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لا موجودية الواحد المردّد من العوضين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عنه بأنّ الإنشاء على العناوين القابلة للتحقّق لا مانع منه، </w:t>
      </w:r>
    </w:p>
    <w:p>
      <w:pPr>
        <w:pStyle w:val="BookText"/>
        <w:rPr/>
      </w:pPr>
      <w:r>
        <w:rPr>
          <w:rFonts w:ascii="Amiri" w:hAnsi="Amiri" w:eastAsia="Amiri" w:cs="Amiri"/>
          <w:color w:val="111111"/>
          <w:sz w:val="28"/>
          <w:sz w:val="28"/>
          <w:szCs w:val="28"/>
          <w:rtl w:val="true"/>
          <w:lang w:bidi="ar-SA"/>
        </w:rPr>
        <w:t>كما هو الشأن في الأحكام الشرعية المترتّبة على الماهيات والعناوين القابلة للصدق على الخارج ، وفي المقام يمكن إنشاء مبادلة عين بعشرة في ذمّة أحد الشخصين ، أو مبادلة مال أحد الشخصين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فالإنشاء متعلّق بالعناوين التي لا ترديد فيها إلاّ بالحمل الأوّلي،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كلّ منهما قابلاً للصدق على المصداق المعيّن غير المبهم، صحّ وأمكن ذلك الإنشاء، ولا يلزم أن يكون مصداق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مبهماً، كما لا يكون مصداق الكلّي كلّياً، فزيد مصداق أحدهما وهو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مصداق لأحدهما بما هو، كما لا مصداق للكلّي في الخارج بما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متعلّق بالعنوان المعيّن بالحمل الشائع، وهو قابل للتحقّق،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لأحدكما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أحدهما صحّ، ولا يأتي الإشكال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لو أنشأ على عنوان كلّي، لا إبهام فيه حتّى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للبطلان بأ نّه لولا التعيين لزم أن لا يحصل الجزم بشيء من العقود التي لم يتعيّن فيها العوضان، ولا بشيء من الأحكام والآثار المترتّبة على ذلك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بالجزم ما هو معتبر في العبادات على رأي</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p>
    <w:p>
      <w:pPr>
        <w:pStyle w:val="BookText"/>
        <w:rPr/>
      </w:pPr>
      <w:r>
        <w:rPr>
          <w:rFonts w:ascii="Amiri" w:hAnsi="Amiri" w:eastAsia="Amiri" w:cs="Amiri"/>
          <w:color w:val="111111"/>
          <w:sz w:val="28"/>
          <w:sz w:val="28"/>
          <w:szCs w:val="28"/>
          <w:rtl w:val="true"/>
          <w:lang w:bidi="ar-SA"/>
        </w:rPr>
        <w:t xml:space="preserve">حين الإتيان جازماً بنقل شيء معيّن في مقابل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مصادرة؛ لأنّ الكلام في اعتباره،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اللازم منه هو الترديد في الإنشاء، فهو ممنوع؛ لأنّ المردّد هو المتعلّق لا الإنشاء، واعتبار عدم الترديد في المتعلّق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عدم الجزم والعلم بترتّب الأثر على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الانتهاء إلى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بتالٍ فاسد؛ إذ لا يعتبر في صحّتها الجزم بهذا المعنى، كما أ نّه قد يلزم ذلك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المقام يمكن الجزم؛ لانتهائه إلى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إلزاماً أو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الجزم بالأحكام والآثار، فلا وجه لاعتباره؛ لأنّ ترتّبها على الموضوعات لا يتوقّف على جزم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انصراف الأدلّة عن العقد المبهم؛ لعدم التعارف والمعهودية</w:t>
      </w:r>
      <w:r>
        <w:rPr>
          <w:rStyle w:val="FootnoteAnchor"/>
          <w:rtl w:val="true"/>
        </w:rPr>
        <w:footnoteReference w:id="93"/>
      </w:r>
      <w:r>
        <w:rPr>
          <w:rFonts w:ascii="Amiri" w:hAnsi="Amiri" w:eastAsia="Amiri" w:cs="Amiri"/>
          <w:color w:val="111111"/>
          <w:sz w:val="28"/>
          <w:sz w:val="28"/>
          <w:szCs w:val="28"/>
          <w:rtl w:val="true"/>
          <w:lang w:bidi="ar-SA"/>
        </w:rPr>
        <w:t>، فممنوع بعد كونه عقداً عقلائياً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أدلّة إنفاذ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الموضوع للوفاء القرار بما هو، والمؤمن عند شرطه بما هو شرط، من غير لحاظ متعلّقات الشرط وأطراف العقود</w:t>
      </w:r>
      <w:r>
        <w:rPr>
          <w:rFonts w:eastAsia="Amiri" w:cs="Amiri" w:ascii="Amiri" w:hAnsi="Amiri"/>
          <w:color w:val="111111"/>
          <w:sz w:val="28"/>
          <w:szCs w:val="28"/>
          <w:rtl w:val="true"/>
          <w:lang w:bidi="ar-SA"/>
        </w:rPr>
        <w:t xml:space="preserve">. </w:t>
      </w:r>
      <w:bookmarkStart w:id="53" w:name="pg15204_140224"/>
    </w:p>
    <w:p>
      <w:pPr>
        <w:pStyle w:val="BookText"/>
        <w:rPr/>
      </w:pPr>
      <w:bookmarkEnd w:id="53"/>
      <w:r>
        <w:rPr>
          <w:rFonts w:ascii="Amiri" w:hAnsi="Amiri" w:eastAsia="Amiri" w:cs="Amiri"/>
          <w:color w:val="111111"/>
          <w:sz w:val="28"/>
          <w:sz w:val="28"/>
          <w:szCs w:val="28"/>
          <w:rtl w:val="true"/>
          <w:lang w:bidi="ar-SA"/>
        </w:rPr>
        <w:t>بل لو فرض قصور الأدلّة عن شمول مثل المورد، فلا شبهة في إمكان إسراء الحكم إليه عرفاً بمناسبات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الانصراف عن العقد بما هو عقد وقرار وعن الشرط بما هو كذلك، ممنوع جدّاً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758688_2142443653"/>
      <w:bookmarkStart w:id="55" w:name="_Toc20"/>
      <w:bookmarkEnd w:id="54"/>
      <w:r>
        <w:rPr>
          <w:rtl w:val="true"/>
        </w:rPr>
        <w:t>استدلال الشيخ الأعظم على اعتبار التعيين</w:t>
      </w:r>
      <w:bookmarkEnd w:id="55"/>
    </w:p>
    <w:p>
      <w:pPr>
        <w:pStyle w:val="BookText"/>
        <w:rPr/>
      </w:pPr>
      <w:r>
        <w:rPr>
          <w:rFonts w:ascii="Amiri" w:hAnsi="Amiri" w:eastAsia="Amiri" w:cs="Amiri"/>
          <w:color w:val="111111"/>
          <w:sz w:val="28"/>
          <w:sz w:val="28"/>
          <w:szCs w:val="28"/>
          <w:rtl w:val="true"/>
          <w:lang w:bidi="ar-SA"/>
        </w:rPr>
        <w:t>ثمّ إنّ الشيخ الأعظم قدّس سرّه تمسّك للمطلوب بوجهين غير ما احتمل من كلامه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ملكية العوض وترتّب آثار الملك عليه في الكلّيات، إنّما هي بالإضافة إلى ذمّة معيّنة، وإجراء أحكام الملك على ما في ذمّة الواحد المردّد بين شخصين فصاعداً غير معهود، والاحتياج إلى تعيين المالك لذلك، لا لكونه في نفسه معتبراً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نظره قدّس سرّه إلى أنّ شرط تعيين المالك متأخّر عمّا يعتبر في قوام ذات المعاملة، وملكية الشيء دخيلة في ذاتها، والتعيين لأجل ما هو دخيل في قوامها، لا لاعتباره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يضاف إلى ذمّة معيّن لا يكون مالاً، ولا يترتّب عليه أحكامه، ومالية العوضين دخيلة في ذات المعاملة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لزوم الملكية والمالية بالمعنى المدّعى في </w:t>
      </w:r>
    </w:p>
    <w:p>
      <w:pPr>
        <w:pStyle w:val="BookText"/>
        <w:rPr/>
      </w:pPr>
      <w:r>
        <w:rPr>
          <w:rFonts w:ascii="Amiri" w:hAnsi="Amiri" w:eastAsia="Amiri" w:cs="Amiri"/>
          <w:color w:val="111111"/>
          <w:sz w:val="28"/>
          <w:sz w:val="28"/>
          <w:szCs w:val="28"/>
          <w:rtl w:val="true"/>
          <w:lang w:bidi="ar-SA"/>
        </w:rPr>
        <w:t>المعاملات،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بعشرة في ذمّة 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واحد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العشرة بالقبول ملكاً ومالاً ومضافة إلى ذمّة معيّنة،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منّاً من الحنطة من ذمّة أحدكما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أحدهما صحّ؛ لكون المعاملة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ينته إلى التعيين أبداً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مبادلة مال بمال أو تمليك عين بعوض، إنّما هو في المعاملة المسبّبية لا الإنشائية، والمبادلة الحقيقية لا تكون بصرف الإيجاب، ومع ضمّ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السبب، أو شرط لتمامية السبب للتبادل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الملكية والمالية، فالتبادل الواقعي إنّما هو بين المالين والملكين، هذا إذا كان الموجب غير القابل كما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المتصدّي للمعاملة شخص واحد، فأوجب من أحد الموكّلين، وقبل لأحدهما، فيأتي فيه الكلام المتقدّم في الجواب عن المحقّق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التبادل الواقعي موقوف على التعيين، فلا يلزم ممّا ذكر لغوية الصيغة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الإضافة إلى الذمّة لا تعقل أن تكون موجبة للملكية، وكيف تكون الإضافة التصوّرية مملّكة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صارت موجبة، لكانت موجبة في عهدة أحدهما؛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لا ترديد فيه، وإنّما الترديد في مثل هذا أو هذا، لا أحدهما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المالية، فإنّ الإضافة إلى ذمّة أحد الشخصين أو أشخاص معدودين </w:t>
      </w:r>
      <w:bookmarkStart w:id="56" w:name="pg15204_140226"/>
    </w:p>
    <w:p>
      <w:pPr>
        <w:pStyle w:val="BookText"/>
        <w:rPr/>
      </w:pPr>
      <w:bookmarkEnd w:id="56"/>
      <w:r>
        <w:rPr>
          <w:rFonts w:ascii="Amiri" w:hAnsi="Amiri" w:eastAsia="Amiri" w:cs="Amiri"/>
          <w:color w:val="111111"/>
          <w:sz w:val="28"/>
          <w:sz w:val="28"/>
          <w:szCs w:val="28"/>
          <w:rtl w:val="true"/>
          <w:lang w:bidi="ar-SA"/>
        </w:rPr>
        <w:t>محصورين، توجب المالية بعد إمكان التحقّق الخارجي، كما أنّ مالية ما في الذمّة المعيّنة أيضاً لأجل إمكان التحقّق لا لذاتها، هذا كلّه إذا كان تعيّن المالكين يحتاج إلى التعيين</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758690_2142443653"/>
      <w:bookmarkStart w:id="58" w:name="_Toc21"/>
      <w:bookmarkEnd w:id="57"/>
      <w:r>
        <w:rPr>
          <w:rtl w:val="true"/>
        </w:rPr>
        <w:t>حول اعتبار تعيين المالكين فيما إذا كانا معيّنين في الخارج</w:t>
      </w:r>
      <w:bookmarkEnd w:id="58"/>
    </w:p>
    <w:p>
      <w:pPr>
        <w:pStyle w:val="BookText"/>
        <w:rPr/>
      </w:pPr>
      <w:r>
        <w:rPr>
          <w:rFonts w:ascii="Amiri" w:hAnsi="Amiri" w:eastAsia="Amiri" w:cs="Amiri"/>
          <w:color w:val="111111"/>
          <w:sz w:val="28"/>
          <w:sz w:val="28"/>
          <w:szCs w:val="28"/>
          <w:rtl w:val="true"/>
          <w:lang w:bidi="ar-SA"/>
        </w:rPr>
        <w:t>وأمّا إذا كانا معيّنين، كما في الأعيان الخارجية المملوكة لأشخاص معيّنة، ولم يصحّ وقوع البيع إلاّ بوجه واحد، فهل يعتبر التعيين في النيّة أو اللفظ ومنه الانصراف، أو لا يعتبر، لكن تضرّ نيّة الخلاف أو التصريح به، أو لا يضرّ التصريح به فضلاً عن نيّته؟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غير لازم؛ لأنّ لازم مبادلة مال مملوك لشخص معيّن واقعاً بمال كذلك، هو خروج كلّ منهما عن ملك صاحبه، ودخوله في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ينبغي الكلام فيه، لكن قد يقع البيع على العين الشخصية الخارجية على نحو الإبهام والإجمال، كما لو علم إجمالاً بأنّ العين إمّا لزيد أو لعمرو، فأنشأ البيع لأحدهما، أو علم أ نّها لزيد، لكن أوقع البيع لأحدهما فضولاً؛ برجاء إجازة زيد أو عمرو بعد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بصحّة الفضولي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النحو وأشباهه يأتي الخلاف في لزوم التعيين وعدمه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جعله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 المتقدّمين</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في الشخصي، </w:t>
      </w:r>
    </w:p>
    <w:p>
      <w:pPr>
        <w:pStyle w:val="BookText"/>
        <w:rPr/>
      </w:pPr>
      <w:r>
        <w:rPr>
          <w:rFonts w:ascii="Amiri" w:hAnsi="Amiri" w:eastAsia="Amiri" w:cs="Amiri"/>
          <w:color w:val="111111"/>
          <w:sz w:val="28"/>
          <w:sz w:val="28"/>
          <w:szCs w:val="28"/>
          <w:rtl w:val="true"/>
          <w:lang w:bidi="ar-SA"/>
        </w:rPr>
        <w:t>فلا يرجع النزاع فيه إلى محصّل؛ لأنّ المفروض التعيّن، فلا معنى فيه للنزاع في لزوم التعيين وعدمه، إلاّ أن يرجع إلى لزوم التلفّظ به أو الإخطار بالبال تفصيلاً،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نيّة الخلاف أو التصريح بذلك، فإن كان مع جهل المتعامل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الإنشاء على عنوان واقعي، له مصداق واقعي، فأخطأ في التطبيق،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 موكّلي زيد أو وهو زيد، لموكّلي عمرو، أو وهو عمرو،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موكّله في البيع عمرو، وفي الشراء زيد، فاشتبه الأمر عليه واعتقد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إشكال في الصحّة؛ لأنّ الإنشاء وقع على ما هو عليه، والخطأ في التطبيق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اعتقاده الخلاف موجباً لإيقاع المعاملة جدّاً على خلاف الواقع، كمن اعتقد أنّه وكيل زيد في بيع فرسه من عمرو، ووكيل عمرو في شرائه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فرس زيد من عمرو بهذه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الفرس لعمرو، والعشرة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ماهية البيع عبارة عن التبادل بين الشيئين في الملكية، ولا دخالة لإضافة المالكين فيها، صحّ؛ لحصول ما هو دخيل فيه، وتحقّق الجدّ من المنشئ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عبارة عن إخراج مال من ملك البائع إلى ملك المشتري وبالعكس، وكانت هذه القيود دخيلة فيها، يقع باطلاً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بين الإنشاء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هذا الفرس الذي لزيد بهذا الثمن الذي </w:t>
      </w:r>
    </w:p>
    <w:p>
      <w:pPr>
        <w:pStyle w:val="BookText"/>
        <w:rPr/>
      </w:pP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من زيد فرسه بثمن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بالصحّة في الأوّل؛ لأنّ العقد واقع بين الفرس والثمن، والتوصيف بغير ما هو عليه فيهما غير مضرّ، نظير ما يقال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بالصحّة مع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وبالبطلان في الثاني؛ لعدم وجود المثمن والثمن، لأنّ زيداً ليس مالكاً للفرس، ولا سيّما إذا قلنا بأنّ البيع عبارة عن تبادل إضافة المالكية؛ فإنّ الفرق على هذا أوضح، لوقوع الإنشاء على الأوّل على ذات المتبادلين، والتوصيف خارج عن مصبّه، وليس توصيف الأمر الموجود كتوصيف الكلّيات، وعلى الثاني على نفس الإضافة إذا اُريد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المتخيّلة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عمراً فرس زيد بعوض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الفرس والعوض خارجيين، والفرس لعمرو، والعوض لزيد؛ فإنّ تمليك مال كلّ منهما لنفسه غير معقول، ومباين لحقيقة المعاوضة، والإنشاء وقع على إضافة مفقودة، ولا معنى لوقوع المعاملة على خلاف ما وقعت وانشئت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المبادلة بين الإضافتين استقلالاً، تكون باطلة لفقدهما، وإن وقعت بين العينين وكان تبادل الإضافتين الواقعيتين قهراً وتبعاً، صحّت ولغا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ماهية المعاملة هي مبادلة مال بمال، ويقع تبادل الإضافات تبعاً مطلقاً، كان الوجه الصحّة في الفرضين، هذا كلّه مع جهل المنشئ بالواقعة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علمه وتعقيبه الإنشاء بما يخالف الواقع في العوضين الموجودين، </w:t>
      </w:r>
    </w:p>
    <w:p>
      <w:pPr>
        <w:pStyle w:val="BookText"/>
        <w:rPr/>
      </w:pPr>
      <w:r>
        <w:rPr>
          <w:rFonts w:ascii="Amiri" w:hAnsi="Amiri" w:eastAsia="Amiri" w:cs="Amiri"/>
          <w:color w:val="111111"/>
          <w:sz w:val="28"/>
          <w:sz w:val="28"/>
          <w:szCs w:val="28"/>
          <w:rtl w:val="true"/>
          <w:lang w:bidi="ar-SA"/>
        </w:rPr>
        <w:t>فهل تقع المعاملة باطلة، أو صحيحة ويلغو القيد المنافي، أو يقع كلّ من المعاملة وقيده صحيحاً؟</w:t>
      </w:r>
    </w:p>
    <w:p>
      <w:pPr>
        <w:pStyle w:val="BookText"/>
        <w:rPr/>
      </w:pPr>
      <w:r>
        <w:rPr>
          <w:rFonts w:ascii="Amiri" w:hAnsi="Amiri" w:eastAsia="Amiri" w:cs="Amiri"/>
          <w:color w:val="111111"/>
          <w:sz w:val="28"/>
          <w:sz w:val="28"/>
          <w:szCs w:val="28"/>
          <w:rtl w:val="true"/>
          <w:lang w:bidi="ar-SA"/>
        </w:rPr>
        <w:t>قد يقال بالثالث؛ بدعوى أنّ المعاوضة الحقيقية، لا تتقوّم بدخول العوض في ملك من خرج عن ملكه المعوّض، فجاز مع قصد المعاوضة الحقيقية، قصد دخول أحدهما في ملك غير من خرج الآخر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البيع اعتبار التبديل في المملوك، واعتبار الهبة التبديل في المالك، فيقوم مالك، ويجلس آخر مكانه، كما في الإرث، فإن قيّدت المعاوضة بأن ينتقل كلّ منهما أو أحدهما إلى غير مالك الآخر، انتقل إلى الذي قصد، فتصير بيعاً فيه معنى الهبة، أو معاملة فيها معنى البيع والهبة جميعاً </w:t>
      </w:r>
      <w:r>
        <w:rPr>
          <w:rStyle w:val="FootnoteAnchor"/>
          <w:rtl w:val="true"/>
        </w:rPr>
        <w:footnoteReference w:id="10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المعاملة الكذائية إنشاء الهبة والبيع جميعاً؛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من 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مال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المال إلى زيد وإن كانت قبل ورود الهيئة الإنشائية عليها، جملةً ناقصة ومعنى تصوّرياً، لا يمكن إنشاء الهبة ونحوها بها، لكن بعد ما وردت عليها الهيئة التامّة، صارت الجملة الناقصة تامّة؛ بتبع تمامية الهيئة، كما أنّ القيود الناقصة تصير تامّة بتبع الهيئة الإخبارية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ينحلّ قوله في المثال المتقدّم إلى بيع الفرس، وإنشاء كونه لزيد، فصحّ أ نّه بيع فيه معنى الهبة، أو معاملة فيها معناهما، ويمكن أن تجعل الجملة </w:t>
      </w:r>
    </w:p>
    <w:p>
      <w:pPr>
        <w:pStyle w:val="BookText"/>
        <w:rPr/>
      </w:pP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إنشاء بيع حقيقةً وبالمعنى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إنشاء الهبة، فجمع فيه 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الجدّي بإخراج المال عن ملك زيد، لا يعقل إلاّ أن تتقدّم عليه الهبة، وتحقّق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الإنشاء الجدّي للبيع الكذائي، 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استعمال اللفظ في المعنى الحقيقي والكنائي، أسوأ حالاً من استعماله في أكثر من معنىً واحد،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في الثاني</w:t>
      </w:r>
      <w:r>
        <w:rPr>
          <w:rStyle w:val="FootnoteAnchor"/>
          <w:rtl w:val="true"/>
        </w:rPr>
        <w:footnoteReference w:id="101"/>
      </w:r>
      <w:r>
        <w:rPr>
          <w:rFonts w:ascii="Amiri" w:hAnsi="Amiri" w:eastAsia="Amiri" w:cs="Amiri"/>
          <w:color w:val="111111"/>
          <w:sz w:val="28"/>
          <w:sz w:val="28"/>
          <w:szCs w:val="28"/>
          <w:rtl w:val="true"/>
          <w:lang w:bidi="ar-SA"/>
        </w:rPr>
        <w:t>، يشكل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على هذا، لا بدّ من قبول المتّهب وقبضه أيضاً حتّى تصحّ الهبة، ففي الحقيقة يكون ذلك معاملتين، يحتاج كلّ منهما إلى القبول، لا معاملة فيها معنى الهبة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في اعتبار الهبة غير مرضيّ؛ فإنّ اعتبارها نقل الملك مجّاناً أو بعوض، لا قيام مالك مقام مالك آخر، كما أنّ باب الإرث أيضاً نقل الملك إلى الوارث، كما هو ظاهر الكتاب والسنّة</w:t>
      </w:r>
      <w:r>
        <w:rPr>
          <w:rStyle w:val="FootnoteAnchor"/>
          <w:rtl w:val="true"/>
        </w:rPr>
        <w:footnoteReference w:id="102"/>
      </w:r>
      <w:r>
        <w:rPr>
          <w:rFonts w:ascii="Amiri" w:hAnsi="Amiri" w:eastAsia="Amiri" w:cs="Amiri"/>
          <w:color w:val="111111"/>
          <w:sz w:val="28"/>
          <w:sz w:val="28"/>
          <w:szCs w:val="28"/>
          <w:rtl w:val="true"/>
          <w:lang w:bidi="ar-SA"/>
        </w:rPr>
        <w:t>، لا قيام الوارث مقام المورّث كما قيل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إثبات مطلوبه لا يبتني على كون اعتبار الهبة ما ذكره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نحو بيع أو نحو معاملة، مفاده إخراج المثمن من </w:t>
      </w:r>
    </w:p>
    <w:p>
      <w:pPr>
        <w:pStyle w:val="BookText"/>
        <w:rPr/>
      </w:pPr>
      <w:r>
        <w:rPr>
          <w:rFonts w:ascii="Amiri" w:hAnsi="Amiri" w:eastAsia="Amiri" w:cs="Amiri"/>
          <w:color w:val="111111"/>
          <w:sz w:val="28"/>
          <w:sz w:val="28"/>
          <w:szCs w:val="28"/>
          <w:rtl w:val="true"/>
          <w:lang w:bidi="ar-SA"/>
        </w:rPr>
        <w:t>ملك شخص، وإدخال ثمنه في ملك آخر، فهو بيع حقيقة ينتج معنى الهبة، أو معاملة تنتج معناهما، كما هو الظاهر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منع؛ لأنّ إنشاء إخراج ملك نفسه عن ملك غيره جدّاً غير معقول، وإدخال الثمن أو المثمن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إخراج أحدهما عن ملكه أو ملك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معقولاً، لكن لا يكون ذلك بيعاً، ولا معاملة اُخرى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اغترّ ببعض الأمثلة،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النعل لابني أو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منها الهبة بعد الاشتراء، أو لانتفاعهما بعده،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الجلّ لفرسي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بدا له بعد الاشتراء ولم يعطهما، لا يعدّ غاصباً، بل لا يجوز لهما التصرّف فيه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 الإنشاء كذلك جدّاً، فلا محالة تتبادل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قلناه سابقاً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لا يتوقّف على إدخال الشيء في ملك من خرج عوضه عن ملكه، كان في قبال من زعم اعتبار الملكية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الوقف ليس كذلك، لكن تبادل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إضافة الولاية والسلطنة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وفي بيع الكلّي أيضاً تمليك وإيقاع إضافة مقابل عوض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لازم ما ذكره دخول الشيء في ملك الغير قهراً عليه وبلا اختيار منه، كما في الإرث، وهو غير وجيه في المعاملات والعقود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عدم معقولية إنشاء إخراج ملكه عن ملك الغير جدّاً، فهل يقع البيع باطلاً، أو يصحّ ويلغو القيد؟</w:t>
      </w:r>
    </w:p>
    <w:p>
      <w:pPr>
        <w:pStyle w:val="BookText"/>
        <w:rPr/>
      </w:pPr>
      <w:r>
        <w:rPr>
          <w:rFonts w:ascii="Amiri" w:hAnsi="Amiri" w:eastAsia="Amiri" w:cs="Amiri"/>
          <w:color w:val="111111"/>
          <w:sz w:val="28"/>
          <w:sz w:val="28"/>
          <w:szCs w:val="28"/>
          <w:rtl w:val="true"/>
          <w:lang w:bidi="ar-SA"/>
        </w:rPr>
        <w:t>يمكن أن يقال بالثاني؛ بدعوى أنّ ما لا يصحّ الجدّ به هو حيثية إضافة ملكه إلى غيره تصديقاً، وأمّا أصل تبادل العينين فلا مانع منه، فينحلّ الإنشاء إلى تبادلهما، وإلى إضافة غير واقعية، فيصحّ الجدّ في الأوّل، دون الثاني فيلغو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الخاصّ لا ينحلّ إلى أمرين، بل هو إنشاء وحداني خاصّ، لا يعقل الجدّ به، وليس نظير بيع ما يملك وما لا يملك؛ فإنّه قابل للانحلال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التعقيب بالمنافي لا يضرّ بالإنشاء؛ لأ نّه من المعاني الإيجادية، فلا يعقل بعد الإيجاد انقلابه عمّا هو عليه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صحيح لو وقع المنافي بعد تمام المعاملة إيجاباً وقبولاً، لا في مثل المقام؛ فإنّ إيجاب إخراج مال نفسه عن غيره غير معقول، فلا يعقل تحقّق المعنى الإيجادي، لا أ نّه بعد تحقّقه تعقّب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من أنّه إذا باع مال نفسه عن غيره، فلا إشكال في عدم وقوعه عن غيره، والظاهر وقوعه عن البائع، ولغوية قصده عن الغير؛ لأنّه غير معقول لا يتحقّق القصد إليه حقيقة، ولذا لو باع مال غيره عن نفسه وقع للغير مع إجازته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وقوعه عن نفسه لغو دائماً، ووجوده كعدمه، إلاّ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وقوع بيع مال نفسه لغيره إنّما لا يعقل إذا فرض قصده للمعاوضة الحقيقية، لم لا يجعل هذا قرينة على عدم إرادته من البيع المبادلة الحقيقية، أو على تنزيل الغير منزلة نفسه في مالكية المبيع كما سيأتي أنّ المعاوضة الحقيقية في بيع الغاصب لنفسه لا تتصوّر إلاّ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فيحكم ببطلان المعاملة؛ لعدم قصد المعاوضة الحقيقية مع المالك الحقيقي</w:t>
      </w:r>
      <w:r>
        <w:rPr>
          <w:rStyle w:val="FootnoteAnchor"/>
          <w:rtl w:val="true"/>
        </w:rPr>
        <w:footnoteReference w:id="1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معقولية القصد إلى وقوع بيع مال نفسه عن غيره، لا يوجب صحّة المعاملة ولغوية القيد، بل الظاهر بطلانها رأساً؛ لعدم القصد إلى البيع الحقيقي بل امتناعه،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الإنشاء الخاصّ لا ينحلّ إلى إنشاءين ومنشأين، نظير ما يقال في الشرط الفاسد وعدم مفسديته للمعاملة</w:t>
      </w:r>
      <w:r>
        <w:rPr>
          <w:rStyle w:val="FootnoteAnchor"/>
          <w:rtl w:val="true"/>
        </w:rPr>
        <w:footnoteReference w:id="107"/>
      </w:r>
      <w:r>
        <w:rPr>
          <w:rFonts w:ascii="Amiri" w:hAnsi="Amiri" w:eastAsia="Amiri" w:cs="Amiri"/>
          <w:color w:val="111111"/>
          <w:sz w:val="28"/>
          <w:sz w:val="28"/>
          <w:szCs w:val="28"/>
          <w:rtl w:val="true"/>
          <w:lang w:bidi="ar-SA"/>
        </w:rPr>
        <w:t>، وكذا الحال في بيع مال غيره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بوقوع المعاملة ترتّب الأثر فعلاً، وانتقال مال الغير عن نفسه، أو مال نفسه عن غيره فعلاً، فلا يعقل قصده، فتقع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إنشاؤها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يترتّب عليه الأثر في موطنه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مع الإجازة لو قلنا بصحّة عقد من باع شيئاً عن نفسه ثمّ ملكه</w:t>
      </w:r>
      <w:r>
        <w:rPr>
          <w:rStyle w:val="FootnoteAnchor"/>
          <w:rtl w:val="true"/>
        </w:rPr>
        <w:footnoteReference w:id="108"/>
      </w:r>
      <w:r>
        <w:rPr>
          <w:rFonts w:ascii="Amiri" w:hAnsi="Amiri" w:eastAsia="Amiri" w:cs="Amiri"/>
          <w:color w:val="111111"/>
          <w:sz w:val="28"/>
          <w:sz w:val="28"/>
          <w:szCs w:val="28"/>
          <w:rtl w:val="true"/>
          <w:lang w:bidi="ar-SA"/>
        </w:rPr>
        <w:t>، فلو باع مال نفسه عن غيره مع العلم بأنّ الغير يملكه فيجيز، أو مع رجائه، صحّ على هذا المبنى، فلا فرق بين من باع مال غيره عن نفسه، أو مال نفسه عن غيره في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استثنائه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الكلام إنّما هو في مقام الثبوت لا الإثبات، فلا وجه لجعل ما ذكره قرينة على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التنزيل فلا يصحّح المعاملة الحقيقية، لا في المقام، ولا في بيع الغاصب؛ لأنّ الجدّ بها محال، والتنزيل مع الالتفات إلى أطراف القضيّة، لا يوجب إمكان الجدّ حقيقة وإخراج مال غيره عن نفسه أو العكس واقعاً، فهل يمكن أن ينزّل أحد نفسه منزلة السلطان، فيأمر الجند جدّاً بأوامر 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جعل نفسه منزلة المالك، والبيع له بوجوده التنزيلي، فيقع حقيقة للمالك إذا أجاز لا للمنشئ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بيع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الكلّيات وما في الذمم، فقال المحقّق التستري قدّس سرّه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لنفسه بمال في ذمّة زيد، فإن لم يكن وكيلاً عن زيد، وقع عنه، وتعلّق المال بذمّته، لا عن زيد ليقف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وكيلاً فالمقتضي لكلّ من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والجمع بينهما يقتضي إلغاء أحدهما، ولمّا لم يتعيّن احتمل البطلان؛ للتدافع، وصحّته عن نفسه؛ لعدم تعلّق الوكالة بمثل هذا الشراء، وترجيح جانب الأصالة، وعن الموكّل؛ لتعيّن العوض في ذمّة الموكّل، فقصد كون الشراء لنفسه لغو كما في المعيّن</w:t>
      </w:r>
      <w:r>
        <w:rPr>
          <w:rStyle w:val="FootnoteAnchor"/>
          <w:rtl w:val="true"/>
        </w:rPr>
        <w:footnoteReference w:id="1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نحو اضطراب في كلامه؛ حيث يظهر من </w:t>
      </w:r>
    </w:p>
    <w:p>
      <w:pPr>
        <w:pStyle w:val="BookText"/>
        <w:rPr/>
      </w:pPr>
      <w:r>
        <w:rPr>
          <w:rFonts w:ascii="Amiri" w:hAnsi="Amiri" w:eastAsia="Amiri" w:cs="Amiri"/>
          <w:color w:val="111111"/>
          <w:sz w:val="28"/>
          <w:sz w:val="28"/>
          <w:szCs w:val="28"/>
          <w:rtl w:val="true"/>
          <w:lang w:bidi="ar-SA"/>
        </w:rPr>
        <w:t xml:space="preserve">بعضه أنّ الكلام في مقام الثبوت، ومن بعضه أنّه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الوكالة لا وجه لتعلّق المال بذمّته وإلغاء ذمّة زيد، ولو قلنا في الأعيان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بلغوية القيد المنافي</w:t>
      </w:r>
      <w:r>
        <w:rPr>
          <w:rStyle w:val="FootnoteAnchor"/>
          <w:rtl w:val="true"/>
        </w:rPr>
        <w:footnoteReference w:id="110"/>
      </w:r>
      <w:r>
        <w:rPr>
          <w:rFonts w:ascii="Amiri" w:hAnsi="Amiri" w:eastAsia="Amiri" w:cs="Amiri"/>
          <w:color w:val="111111"/>
          <w:sz w:val="28"/>
          <w:sz w:val="28"/>
          <w:szCs w:val="28"/>
          <w:rtl w:val="true"/>
          <w:lang w:bidi="ar-SA"/>
        </w:rPr>
        <w:t>لأنّ الكلّيات تعيّنها بالإضافة إلى الذمم لفظاً أو انصرافاً، وليست مثل الأعيان المضافة واقعاً إلى صاحبها، فمع إلغاء القيد تقع صحيحة لصاحبها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فالكلّيات مع عدم إضافتها لما ذكر، لا تكون مضافة إلى أحد، فلا وجه لإلغاء القيد فيها، وجعلها على ذمّة العاقد؛ بدعوى الانصراف،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لغوية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ترجيح لجعل ذلك قرينة لما ذكر، على جعل ذمّة زيد قرينة على إلغاء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جانب الأصالة، فاسد؛ لأنّ ترجيحه إنّما هو فيما لم يتقيّد بما يفيد عدم الأصالة، ففي المقام يقع التدافع بين الصدر والذيل، ولا ترجيح بحسب مقام الإثبات ولا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الالتفات إلى أطراف القضيّة، لا يعقل الجدّ في المعاملة إن اُريد تأثيرها فعلاً، كما تقدّم نظيره</w:t>
      </w:r>
      <w:r>
        <w:rPr>
          <w:rStyle w:val="FootnoteAnchor"/>
          <w:rtl w:val="true"/>
        </w:rPr>
        <w:footnoteReference w:id="111"/>
      </w:r>
      <w:r>
        <w:rPr>
          <w:rFonts w:ascii="Amiri" w:hAnsi="Amiri" w:eastAsia="Amiri" w:cs="Amiri"/>
          <w:color w:val="111111"/>
          <w:sz w:val="28"/>
          <w:sz w:val="28"/>
          <w:szCs w:val="28"/>
          <w:rtl w:val="true"/>
          <w:lang w:bidi="ar-SA"/>
        </w:rPr>
        <w:t xml:space="preserve">، ومع عدم الالتفات تقع باطلة فعلاً؛ لعدم حصول المعاوضة حقيقة، وتصحّ 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باع ثمّ ملك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منه أنّ الحكم </w:t>
      </w:r>
    </w:p>
    <w:p>
      <w:pPr>
        <w:pStyle w:val="BookText"/>
        <w:rPr/>
      </w:pPr>
      <w:r>
        <w:rPr>
          <w:rFonts w:ascii="Amiri" w:hAnsi="Amiri" w:eastAsia="Amiri" w:cs="Amiri"/>
          <w:color w:val="111111"/>
          <w:sz w:val="28"/>
          <w:sz w:val="28"/>
          <w:szCs w:val="28"/>
          <w:rtl w:val="true"/>
          <w:lang w:bidi="ar-SA"/>
        </w:rPr>
        <w:t>بالبطلان لعدم الترجيح في مقام الظاهر، وإلاّ فيقتضي الجمع صحّة أحدهما وإلغاء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بالصحّة في الواحد لا بعينه، يلزم منه ما أورده على مثله قبيل ذلك من لزوم كون الملك بلا مالك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أو دفع الإشكال بما سبق منّا </w:t>
      </w:r>
      <w:r>
        <w:rPr>
          <w:rStyle w:val="FootnoteAnchor"/>
          <w:rtl w:val="true"/>
        </w:rPr>
        <w:footnoteReference w:id="112"/>
      </w:r>
      <w:r>
        <w:rPr>
          <w:rFonts w:ascii="Amiri" w:hAnsi="Amiri" w:eastAsia="Amiri" w:cs="Amiri"/>
          <w:color w:val="111111"/>
          <w:sz w:val="28"/>
          <w:sz w:val="28"/>
          <w:szCs w:val="28"/>
          <w:rtl w:val="true"/>
          <w:lang w:bidi="ar-SA"/>
        </w:rPr>
        <w:t xml:space="preserve">، لا يلزم البطلان، بل يلزم الرجوع إلى القرعة، وقد فرغنا في محلّه عن أنّ القرعة لكلّ أمر مشكل، ومصبّها باب تزاحم الحقوق، وهي من القواعد المحكمة العقلائية والشرعية، غير المخصّصة إلاّ نادراً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من التدافع تعليلاً للبطلان، هو التدافع في مقام الإثبات، وإلاّ كان مناقضاً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إلغاء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التشبّث في مقام ترجيح صحّته عن نفسه، بعدم تعلّق الوكالة بمثله، فهو خروج عن محطّ البحث، وبترجيح جانب الأصالة،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ترجيحه إنّما هو في مقام الظاهر والدعوى إذا لم يتقيّد الكلام بما يجعله ظاهراً في غير الأصالة، وكذا فيما إذا تدافع القيدان لا وجه للترجيح الظاهري أو الواقعي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تشبّثه في مقام ترجيح الوقوع عن الموكّل، بتعيّن العوض في ذمّته، فقصد كون الشراء لنفسه لغو كما في المعيّن؛ لعدم ترجيح ذلك على العكس، كما تقدّم ذكره</w:t>
      </w:r>
      <w:r>
        <w:rPr>
          <w:rFonts w:eastAsia="Amiri" w:cs="Amiri" w:ascii="Amiri" w:hAnsi="Amiri"/>
          <w:color w:val="111111"/>
          <w:sz w:val="28"/>
          <w:szCs w:val="28"/>
          <w:rtl w:val="true"/>
          <w:lang w:bidi="ar-SA"/>
        </w:rPr>
        <w:t xml:space="preserve">. </w:t>
      </w:r>
      <w:bookmarkStart w:id="59" w:name="pg15204_140237"/>
    </w:p>
    <w:p>
      <w:pPr>
        <w:pStyle w:val="Heading5"/>
        <w:numPr>
          <w:ilvl w:val="4"/>
          <w:numId w:val="1"/>
        </w:numPr>
        <w:rPr/>
      </w:pPr>
      <w:bookmarkStart w:id="60" w:name="__RefHeading___Toc2758692_2142443653"/>
      <w:bookmarkStart w:id="61" w:name="_Toc22"/>
      <w:bookmarkEnd w:id="59"/>
      <w:bookmarkEnd w:id="60"/>
      <w:r>
        <w:rPr>
          <w:rtl w:val="true"/>
        </w:rPr>
        <w:t>حول اعتبار تعيين الموجب للمشتري والقابل للبائع</w:t>
      </w:r>
      <w:bookmarkEnd w:id="61"/>
    </w:p>
    <w:p>
      <w:pPr>
        <w:pStyle w:val="BookText"/>
        <w:rPr/>
      </w:pPr>
      <w:r>
        <w:rPr>
          <w:rFonts w:ascii="Amiri" w:hAnsi="Amiri" w:eastAsia="Amiri" w:cs="Amiri"/>
          <w:color w:val="111111"/>
          <w:sz w:val="28"/>
          <w:sz w:val="28"/>
          <w:szCs w:val="28"/>
          <w:rtl w:val="true"/>
          <w:lang w:bidi="ar-SA"/>
        </w:rPr>
        <w:t>وهل يعتبر تعيين الموجب لخصوص المشتري، والقابل لخصوص البائع؟</w:t>
      </w:r>
    </w:p>
    <w:p>
      <w:pPr>
        <w:pStyle w:val="BookText"/>
        <w:rPr/>
      </w:pPr>
      <w:r>
        <w:rPr>
          <w:rFonts w:ascii="Amiri" w:hAnsi="Amiri" w:eastAsia="Amiri" w:cs="Amiri"/>
          <w:color w:val="111111"/>
          <w:sz w:val="28"/>
          <w:sz w:val="28"/>
          <w:szCs w:val="28"/>
          <w:rtl w:val="true"/>
          <w:lang w:bidi="ar-SA"/>
        </w:rPr>
        <w:t>والكلام فيه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التعيين مقابل الإبهام، كأن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عقداً وحلاًّ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معرفة البائع المشتري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لزومه؛ لأنّ المتعاملين ليسا ركناً في المعاملة، بل العوضان ركن؛ لاختلاف الأغراض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الطرفان في باب النكاح ركناً، وكذا المخاطب في الهبة والوصيّة والوكالة والوقف ركن؛ لاختلاف الأغراض بالنسبة إليهما في الأوّل، وبالنسبة إليه في غيره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الزوجين في النكاح بمنزلة العوضين؛ لاختلاف الأغراض بالنسبة إليهما، كاختلافها بالنسبة إلى العوضين، فتجب معرفتهما كما تجب معرفة العوضين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الأغراض النوعية في باب العوضين، موجب للغرر مع عدم المعرفة بهما ذاتاً ووصفاً بما يدفع بها الغرر، فلو باع منّاً معيّناً غير معلوم </w:t>
      </w:r>
    </w:p>
    <w:p>
      <w:pPr>
        <w:pStyle w:val="BookText"/>
        <w:rPr/>
      </w:pPr>
      <w:r>
        <w:rPr>
          <w:rFonts w:ascii="Amiri" w:hAnsi="Amiri" w:eastAsia="Amiri" w:cs="Amiri"/>
          <w:color w:val="111111"/>
          <w:sz w:val="28"/>
          <w:sz w:val="28"/>
          <w:szCs w:val="28"/>
          <w:rtl w:val="true"/>
          <w:lang w:bidi="ar-SA"/>
        </w:rPr>
        <w:t>ذاتاً، أو منّاً من حنطة لم يعلم أ نّها جيّدة أو رديئة، أو لا يعلم سائر أوصافها الدخيلة في الأغراض، بطل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الزوجان فليسا ركناً بهذا المعنى؛ لعدم لزوم معرفة كلّ منهما الآخر كمعرفة المتبايعين للعوضين، فيصحّ نكاح زوجة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مجهولة الاسم والوصف لزوج كذلك، فما هو المعتبر في النكاح ليس إلاّ التعيين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بعضهم من أنّ الزوجين في النكاح كالعوضين في سائر العقود، وتختلف الأغراض باختلافهما، فلا بدّ من التعيين وتوارد الإيجاب والقبول على شيء واحد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الأغراض ليس دليلاً على لزوم التعيين في قبال الإبهام؛ لعدم اطّراده لا في البيع، ولا في النكاح؛ لأنّ صاعين من صبرة واحدة لا تختلف الأغراض فيهما، فلا بدّ من الالتزام بصحّة بيع أحدهما لا بعينه، وهم لا يلتزمون به، وكذا الحال في امرأتين متماثلتين فيما لا تختلف فيه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 في قبال التوغّل في الإبهام، كبيع أحد الأشياء مع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في القصد واقعاً، فاعتباره في البيع لرفع الغرر، وأمّا النكاح فليس معاملة عند العقلاء والشارع الأقدس، ولا يجري فيه حكم الغرر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مانع من صحّة نكاح زوج معيّن واقعاً مجهول من جميع الجهات من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كذلك، ولا دليل على اعتبار المعرفة بهما، وقد عرفت حال اختلاف الأغراض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التعارف لا يوجب انصراف الأدلّة؛ فإنّ المتعارف في النكاح التفتيش عن حالها، وحال طائفتها، وجمالها، وثروتها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يمكن الالتزام ببطلانه مع عدم المعرفة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يعتبر تعيين الطرف في مقام التخاطب، بأن يكون الخطاب متوجّهاً إلى المشتري مثلاً؛ أي من ينتقل إليه المثمن؟</w:t>
      </w:r>
    </w:p>
    <w:p>
      <w:pPr>
        <w:pStyle w:val="BookText"/>
        <w:rPr/>
      </w:pPr>
      <w:r>
        <w:rPr>
          <w:rFonts w:ascii="Amiri" w:hAnsi="Amiri" w:eastAsia="Amiri" w:cs="Amiri"/>
          <w:color w:val="111111"/>
          <w:sz w:val="28"/>
          <w:sz w:val="28"/>
          <w:szCs w:val="28"/>
          <w:rtl w:val="true"/>
          <w:lang w:bidi="ar-SA"/>
        </w:rPr>
        <w:t>أو يصحّ التخاطب مع وكيله أو وصيّه، فيقول للوكيل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لا يعتبر مطلقاً؟</w:t>
      </w:r>
    </w:p>
    <w:p>
      <w:pPr>
        <w:pStyle w:val="BookText"/>
        <w:rPr/>
      </w:pPr>
      <w:r>
        <w:rPr>
          <w:rFonts w:ascii="Amiri" w:hAnsi="Amiri" w:eastAsia="Amiri" w:cs="Amiri"/>
          <w:color w:val="111111"/>
          <w:sz w:val="28"/>
          <w:sz w:val="28"/>
          <w:szCs w:val="28"/>
          <w:rtl w:val="true"/>
          <w:lang w:bidi="ar-SA"/>
        </w:rPr>
        <w:t>أو يعتبر فيما كان الطرف ركناً كالنكاح، دون غيره؟</w:t>
      </w:r>
    </w:p>
    <w:p>
      <w:pPr>
        <w:pStyle w:val="BookText"/>
        <w:rPr/>
      </w:pPr>
      <w:r>
        <w:rPr>
          <w:rFonts w:ascii="Amiri" w:hAnsi="Amiri" w:eastAsia="Amiri" w:cs="Amiri"/>
          <w:color w:val="111111"/>
          <w:sz w:val="28"/>
          <w:sz w:val="28"/>
          <w:szCs w:val="28"/>
          <w:rtl w:val="true"/>
          <w:lang w:bidi="ar-SA"/>
        </w:rPr>
        <w:t>والكلام هاهنا في أنّ السبب عند العقلاء والشارع هل هو العقد الذي خوطب به المشتري؛ أي يكون الخطاب معه من شرائط صحّته وسببيته، فلو خوطب به غيره بطل ولو أراد جدّاً الانتقال إلى الطرف الحقيقي، أو لا يعتبر؟</w:t>
      </w:r>
    </w:p>
    <w:p>
      <w:pPr>
        <w:pStyle w:val="BookText"/>
        <w:rPr/>
      </w:pPr>
      <w:r>
        <w:rPr>
          <w:rFonts w:ascii="Amiri" w:hAnsi="Amiri" w:eastAsia="Amiri" w:cs="Amiri"/>
          <w:color w:val="111111"/>
          <w:sz w:val="28"/>
          <w:sz w:val="28"/>
          <w:szCs w:val="28"/>
          <w:rtl w:val="true"/>
          <w:lang w:bidi="ar-SA"/>
        </w:rPr>
        <w:t>والظاهر التفصيل بين ما تعارف فيه لدى العقلاء أن يخاطب المقابل من غير نظر إلى كونه أصيلاً أو غيره، كالبيع وسائر المعاملات التي هي نظيره، وبين ما لا يتعارف فيه ذلك، كالنكاح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المعاملات لا بدّ وأن تكون جارية على قانون الوضع واللسان والمحاورات، من غير فرق بين أن تكون حقيقة أو مجازاً أو كناية، إذا جرت على قانون الاستعمال لدى العرف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البيع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اقتران بما يجعله ظاهراً في 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ذلك بيعاً، ولم تشمله الأدلّة وإن فرض استعماله في إنشاء البيع وقصد به الانتقال، وكذا لو أنشأه بنحو الرمز؛ بأن جعل </w:t>
      </w:r>
    </w:p>
    <w:p>
      <w:pPr>
        <w:pStyle w:val="BookText"/>
        <w:rPr/>
      </w:pPr>
      <w:r>
        <w:rPr>
          <w:rFonts w:ascii="Amiri" w:hAnsi="Amiri" w:eastAsia="Amiri" w:cs="Amiri"/>
          <w:color w:val="111111"/>
          <w:sz w:val="28"/>
          <w:sz w:val="28"/>
          <w:szCs w:val="28"/>
          <w:rtl w:val="true"/>
          <w:lang w:bidi="ar-SA"/>
        </w:rPr>
        <w:t>المتعاملان حرفاً من حروف التهجّي علامة إنشاء الإيجاب، وحرفاً علامة القبول، وذكرا العلامتين، وأرادا بهما إنشاء النقل وقبوله جدّاً، لم يكن بيعاً، ولم تترتّب عليه الآثار لدى العقلاء، ولم تشمله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الحال في المخاطبات الجارية في المعاملات، فلو قال مخاطباً للشمس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بها صاحبه، لم يعد بيعاً إلاّ مع قيام قرينة تجعله ظاهراً في مقصوده عرفاً، وكذا لو قال مخاطباً لأجنبيّ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تعارف إنشاء معاملة بالتخاطب مع القابل، من غير نظر إلى كونه أصيلاً، أو بمنزلته كالوكيل والوليّ، فالظاهر صحّتها؛ لأنّ التعارف يجعل الكلام ظاهراً في المعنى المقصود، أي الانتقال إلى المالك ولو بمثل الخطاب إلى وكيله، فتكون المعاملة عقلائية، وتشملها الأدلّة، بخلاف ما لو لم يتعارف كالنكاح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التعارف يلحق بالثاني؛ للشكّ في الصدق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غرض عقلائي غالباً في معرفة خصوص المشتري الذي ينتقل إليه المبيع، كما أنّ السرّ في عدمه في النكاح ونحوه تعلّق الأغراض العقلائية غالباً بمعرفة الزوجين أو الطرف كالموقوف عليهم، فكون الزوجين كالعوضين بهذا المعنى صحيح، دون المعنى المتقدّم، ولعلّ ذلك مراد الشيخ الأعظم قدّس سرّه</w:t>
      </w:r>
      <w:r>
        <w:rPr>
          <w:rStyle w:val="FootnoteAnchor"/>
          <w:rtl w:val="true"/>
        </w:rPr>
        <w:footnoteReference w:id="118"/>
      </w:r>
      <w:r>
        <w:rPr>
          <w:rFonts w:ascii="Amiri" w:hAnsi="Amiri" w:eastAsia="Amiri" w:cs="Amiri"/>
          <w:color w:val="111111"/>
          <w:sz w:val="28"/>
          <w:sz w:val="28"/>
          <w:szCs w:val="28"/>
          <w:rtl w:val="true"/>
          <w:lang w:bidi="ar-SA"/>
        </w:rPr>
        <w:t>لا ما تقدّم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 تعارفه في البيع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المتعارف في </w:t>
      </w:r>
    </w:p>
    <w:p>
      <w:pPr>
        <w:pStyle w:val="BookText"/>
        <w:rPr/>
      </w:pPr>
      <w:r>
        <w:rPr>
          <w:rFonts w:ascii="Amiri" w:hAnsi="Amiri" w:eastAsia="Amiri" w:cs="Amiri"/>
          <w:color w:val="111111"/>
          <w:sz w:val="28"/>
          <w:sz w:val="28"/>
          <w:szCs w:val="28"/>
          <w:rtl w:val="true"/>
          <w:lang w:bidi="ar-SA"/>
        </w:rPr>
        <w:t>المعاملات التخاطب مع طرف المخاطبة بخصوصيته؛ لأنّ أمارية اليد على ملكية ذي اليد، توجب الغفلة عن احتمال كون ما في يده لغيره، كالموكّل والموصي، وعلى فرض الاحتمال لا يعتني به العقلاء، ولازم التعارف المدّعى سقوط اليد عن الاعتبار وأمارية الملكية،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وجدان كلّ شخص، يشهد بأ نّه لدى المبايعة والمعاملة لا ينقدح في ذهنه التخاطب على الوجه الأعمّ، الذي ادّعاه الشيخ الأعظم قدّس سرّه</w:t>
      </w:r>
      <w:r>
        <w:rPr>
          <w:rStyle w:val="FootnoteAnchor"/>
          <w:rtl w:val="true"/>
        </w:rPr>
        <w:footnoteReference w:id="120"/>
      </w:r>
      <w:r>
        <w:rPr>
          <w:rFonts w:ascii="Amiri" w:hAnsi="Amiri" w:eastAsia="Amiri" w:cs="Amiri"/>
          <w:color w:val="111111"/>
          <w:sz w:val="28"/>
          <w:sz w:val="28"/>
          <w:szCs w:val="28"/>
          <w:rtl w:val="true"/>
          <w:lang w:bidi="ar-SA"/>
        </w:rPr>
        <w:t>، لو فرضت صحّته ثبوتاً، فبقي الإشكال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في باب البيع ونحوه لمّا لم يتعلّق إلاّ بمبادلة العينين، أو العين بالثمن ولو في الكلّيات، لا يكون الخطاب منظوراً إليه بالخصوص ولو ارتكازاً، ويكون المراد التعاطي والتقابل بين العوضين في المعاطاة وغيرها، من غير نظر إلى خصوصية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فالمسألة محلّ إشكال، ولا سيّما في الكلّيات؛ حيث لا تتعيّن إلاّ بالإضافة إلى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التخاطب مع وكيل الطرف؛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البائع 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الزوج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جوازه إذا أقام القرينة بنحو صار الكلام ظاهراً في المعنى المقصود، وجارياً على قواعد المحاورات، من غير فرق بين البيع ونحوه، والنكاح والوقف ونحوهما؛ لإطلاق الأدلّة، وعدم دليل على الاشتراط المذكور</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204_140243"/>
      <w:bookmarkStart w:id="63" w:name="pg15204_140243"/>
      <w:bookmarkEnd w:id="63"/>
    </w:p>
    <w:p>
      <w:pPr>
        <w:pStyle w:val="Heading3"/>
        <w:numPr>
          <w:ilvl w:val="2"/>
          <w:numId w:val="1"/>
        </w:numPr>
        <w:rPr/>
      </w:pPr>
      <w:bookmarkStart w:id="64" w:name="pg15204_140243"/>
      <w:bookmarkStart w:id="65" w:name="__RefHeading___Toc2758694_2142443653"/>
      <w:bookmarkStart w:id="66" w:name="_Toc23"/>
      <w:bookmarkEnd w:id="64"/>
      <w:bookmarkEnd w:id="65"/>
      <w:r>
        <w:rPr>
          <w:rtl w:val="true"/>
        </w:rPr>
        <w:t>الشرط الثالث</w:t>
      </w:r>
      <w:r>
        <w:rPr>
          <w:rtl w:val="true"/>
        </w:rPr>
        <w:t xml:space="preserve">: </w:t>
      </w:r>
      <w:r>
        <w:rPr>
          <w:rtl w:val="true"/>
        </w:rPr>
        <w:t>الاختيار في المتعاقدين</w:t>
      </w:r>
      <w:bookmarkEnd w:id="66"/>
    </w:p>
    <w:p>
      <w:pPr>
        <w:pStyle w:val="Heading4"/>
        <w:numPr>
          <w:ilvl w:val="3"/>
          <w:numId w:val="1"/>
        </w:numPr>
        <w:rPr/>
      </w:pPr>
      <w:bookmarkStart w:id="67" w:name="__RefHeading___Toc2758696_2142443653"/>
      <w:bookmarkStart w:id="68" w:name="_Toc24"/>
      <w:bookmarkEnd w:id="67"/>
      <w:r>
        <w:rPr>
          <w:rtl w:val="true"/>
        </w:rPr>
        <w:t>مسألة اعتبار الاختيار في المتعاقدين</w:t>
      </w:r>
      <w:bookmarkEnd w:id="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 w:name="__RefHeading___Toc2758698_2142443653"/>
      <w:bookmarkStart w:id="70" w:name="_Toc25"/>
      <w:bookmarkEnd w:id="69"/>
      <w:r>
        <w:rPr>
          <w:rtl w:val="true"/>
        </w:rPr>
        <w:t>إشارة</w:t>
      </w:r>
      <w:bookmarkEnd w:id="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5204_140245"/>
      <w:bookmarkStart w:id="72" w:name="pg15204_140245"/>
      <w:bookmarkEnd w:id="72"/>
    </w:p>
    <w:p>
      <w:pPr>
        <w:pStyle w:val="BookText"/>
        <w:rPr/>
      </w:pPr>
      <w:bookmarkStart w:id="73" w:name="pg15204_140245"/>
      <w:bookmarkEnd w:id="7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المتعاقدين الاختيار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القصد إلى وقوع مضمون العقد عن طيب النفس، في مقابل الكراهة وعدم طيب النفس، لا الاختيار في مقابل الجبر أو الاضطرار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2758700_2142443653"/>
      <w:bookmarkStart w:id="75" w:name="_Toc26"/>
      <w:bookmarkEnd w:id="74"/>
      <w:r>
        <w:rPr>
          <w:rtl w:val="true"/>
        </w:rPr>
        <w:t>عدم الإكراه هو الشرط المعتبر دون الاختيار</w:t>
      </w:r>
      <w:bookmarkEnd w:id="7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الأفعال الصادرة عن التفات وإرادة مسبوقة بالاختيار؛ لأنّه من مبادئها، غاية الأمر قد يكون الاختيار لأجل ملائمة الشيء وموافقته لشهوات الفاعل وميوله، فيشتاق إليه ويختاره ويصطفيه، ويرجّح وجوده فيريده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الشيء مخالفاً لميوله، فيكون إيجاده مكروهاً ومبغوضاً له، ومع </w:t>
      </w:r>
    </w:p>
    <w:p>
      <w:pPr>
        <w:pStyle w:val="BookText"/>
        <w:rPr/>
      </w:pPr>
      <w:r>
        <w:rPr>
          <w:rFonts w:ascii="Amiri" w:hAnsi="Amiri" w:eastAsia="Amiri" w:cs="Amiri"/>
          <w:color w:val="111111"/>
          <w:sz w:val="28"/>
          <w:sz w:val="28"/>
          <w:szCs w:val="28"/>
          <w:rtl w:val="true"/>
          <w:lang w:bidi="ar-SA"/>
        </w:rPr>
        <w:t>ذلك يدرك العقل الصلاح فيه؛ لدفع الأفسد بالفاسد، فهذا الإدراك العقلي المخالف للتمايلات النفسانية، موجب لترجيح جانب الفعل واختياره، فيريده مع كراهته جدّاً، كتناول السمّ للفرار عن الأشقّ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هذا أيضاً مشتاق إليه عقلاً</w:t>
      </w:r>
      <w:r>
        <w:rPr>
          <w:rStyle w:val="FootnoteAnchor"/>
          <w:rtl w:val="true"/>
        </w:rPr>
        <w:footnoteReference w:id="123"/>
      </w:r>
      <w:r>
        <w:rPr>
          <w:rFonts w:ascii="Amiri" w:hAnsi="Amiri" w:eastAsia="Amiri" w:cs="Amiri"/>
          <w:color w:val="111111"/>
          <w:sz w:val="28"/>
          <w:sz w:val="28"/>
          <w:szCs w:val="28"/>
          <w:rtl w:val="true"/>
          <w:lang w:bidi="ar-SA"/>
        </w:rPr>
        <w:t>، كما ترى؛ لأنّ شأن العقل الإدراك لا الاشتياق، فكأنّ القائل زعم أنّ الإرادة شوق مؤكّد، وهو غير وجيه، مخالف للوجدان والبرهان؛ لأنّ الإرادة والشوق من مقولتين، وليس الشوق عينها، ولا من مبادئها دائماً، نعم هو من مبادئها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الأفعال الصادرة عن التفات وإرادة مسبوقة بالاختيار والاصطفاء، ولا يعقل تعلّق الإرادة بلا ترجيح واصطفاء واختيار، فالفعل الاضطراري والإجباري والإكراهي كلّها من الأفعال الاختيارية، فمن يضطرّ إلى شرب دواء، أو يجبر أو يكره عليه، فلا محالة يرجّح فعله على الترك المترتّبة عليه المفسدة، فيفعله باختيار واصطفاء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والاختيار في جميع الموارد ماهية واحدة، لا تختلف ذاتاً وماهية، وليس الاختيار المقابل للاضطرار غير الاختيار المقابل للإكراه، ولا غير الاختيار الذي في سائر الأفعال، وإن اختلفت مبادئ الاختيار في تلك الأفعال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الشرط في المتعاقدين ليس الاختيار، حتّى نحتاج إلى دعوى خروج الاختيار المقابل للاضطرار وغيره، مع ما عرفت من عدم ثبوت معانٍ كثيرة له، أو نحتاج إلى تفسيره بما فسّره الشيخ الأعظم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إلى وقوع مضمون العقد عن طيب النفس</w:t>
      </w:r>
      <w:r>
        <w:rPr>
          <w:rStyle w:val="FootnoteAnchor"/>
          <w:rtl w:val="true"/>
        </w:rPr>
        <w:footnoteReference w:id="124"/>
      </w:r>
      <w:r>
        <w:rPr>
          <w:rFonts w:ascii="Amiri" w:hAnsi="Amiri" w:eastAsia="Amiri" w:cs="Amiri"/>
          <w:color w:val="111111"/>
          <w:sz w:val="28"/>
          <w:sz w:val="28"/>
          <w:szCs w:val="28"/>
          <w:rtl w:val="true"/>
          <w:lang w:bidi="ar-SA"/>
        </w:rPr>
        <w:t>، مع أنّ المضطرّ أيضاً لا يقصده عن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بطيب النفس القصد إلى وقوعه جدّاً، فالمكره قد يكون كذلك، إلاّ أن يراد به قصده بلا إكراه مكره، وهو كما ترى تبعيد للمسافة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القصد إلى وقوع مضمون العقد في الخارج، كما يظهر من ذيل كلامه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غير تامّ؛ لأنّ مورد البحث في عقد المكره هو ما تمّ سائر شرائطه، ولا فرق بينه وبين سائر العقود إلاّ بأنّه أوجده بإكراه مكره دون غيره، ففرض عدم القصد إلى تحقّق مضمونه خروج عن محطّ البحث؛ لأنّ المختار أيضاً إن لم يقصد تحقّق مضمونه لا يكون عقده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فالبطلان فيه لأجل عدم القصد المعتبر فيه، لا للإكراه، فلو فرض أنّ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لدهشته ووحشته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العقد وقصد حصول مضمونه في الخارج، يقع باطلاً؛ بدليل نفي الإكراه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موضوع البحث هو ذلك، لا ما كان فاقداً لسائر الشروط، كما صرّحوا به</w:t>
      </w:r>
      <w:r>
        <w:rPr>
          <w:rStyle w:val="FootnoteAnchor"/>
          <w:rtl w:val="true"/>
        </w:rPr>
        <w:footnoteReference w:id="126"/>
      </w:r>
      <w:r>
        <w:rPr>
          <w:rFonts w:ascii="Amiri" w:hAnsi="Amiri" w:eastAsia="Amiri" w:cs="Amiri"/>
          <w:color w:val="111111"/>
          <w:sz w:val="28"/>
          <w:sz w:val="28"/>
          <w:szCs w:val="28"/>
          <w:rtl w:val="true"/>
          <w:lang w:bidi="ar-SA"/>
        </w:rPr>
        <w:t>، وليس الشرط أيضاً عدم صدوره بكره منه؛ لما عرفت من أنّ الصدور بكره يشترك بين المكره والمضطرّ</w:t>
      </w:r>
      <w:r>
        <w:rPr>
          <w:rFonts w:eastAsia="Amiri" w:cs="Amiri" w:ascii="Amiri" w:hAnsi="Amiri"/>
          <w:color w:val="111111"/>
          <w:sz w:val="28"/>
          <w:szCs w:val="28"/>
          <w:rtl w:val="true"/>
          <w:lang w:bidi="ar-SA"/>
        </w:rPr>
        <w:t xml:space="preserve">. </w:t>
      </w:r>
      <w:bookmarkStart w:id="76" w:name="pg15204_140248"/>
    </w:p>
    <w:p>
      <w:pPr>
        <w:pStyle w:val="BookText"/>
        <w:rPr/>
      </w:pPr>
      <w:bookmarkEnd w:id="76"/>
      <w:r>
        <w:rPr>
          <w:rFonts w:ascii="Amiri" w:hAnsi="Amiri" w:eastAsia="Amiri" w:cs="Amiri"/>
          <w:color w:val="111111"/>
          <w:sz w:val="28"/>
          <w:sz w:val="28"/>
          <w:szCs w:val="28"/>
          <w:rtl w:val="true"/>
          <w:lang w:bidi="ar-SA"/>
        </w:rPr>
        <w:t>بل الشرط هو عدم مكره يكره المتعاقدين على العقد، أو عدم إكراههما فيه، أو عدم كونهما مكرهين، فهل الإكراه مانع، أو عدمه شرط؟ فيه كلام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758702_2142443653"/>
      <w:bookmarkStart w:id="78" w:name="_Toc27"/>
      <w:bookmarkEnd w:id="77"/>
      <w:r>
        <w:rPr>
          <w:rtl w:val="true"/>
        </w:rPr>
        <w:t>الاستدلال بحديث الرفع على اعتبار عدم الإكراه</w:t>
      </w:r>
      <w:bookmarkEnd w:id="78"/>
    </w:p>
    <w:p>
      <w:pPr>
        <w:pStyle w:val="BookText"/>
        <w:rPr/>
      </w:pPr>
      <w:r>
        <w:rPr>
          <w:rFonts w:ascii="Amiri" w:hAnsi="Amiri" w:eastAsia="Amiri" w:cs="Amiri"/>
          <w:color w:val="111111"/>
          <w:sz w:val="28"/>
          <w:sz w:val="28"/>
          <w:szCs w:val="28"/>
          <w:rtl w:val="true"/>
          <w:lang w:bidi="ar-SA"/>
        </w:rPr>
        <w:t>ويدلّ على المطلوب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المدّعى</w:t>
      </w:r>
      <w:r>
        <w:rPr>
          <w:rStyle w:val="FootnoteAnchor"/>
          <w:rtl w:val="true"/>
        </w:rPr>
        <w:footnoteReference w:id="127"/>
      </w:r>
      <w:r>
        <w:rPr>
          <w:rFonts w:ascii="Amiri" w:hAnsi="Amiri" w:eastAsia="Amiri" w:cs="Amiri"/>
          <w:color w:val="111111"/>
          <w:sz w:val="28"/>
          <w:sz w:val="28"/>
          <w:szCs w:val="28"/>
          <w:rtl w:val="true"/>
          <w:lang w:bidi="ar-SA"/>
        </w:rPr>
        <w:t xml:space="preserve">، على تأمّل فيه، ومضافاً إلى أنّ الأمر كذلك عند العقلاء أيضاً؛ فإنّهم لا يلزمون العاقد مكرهاً بالعمل به، وأدلّة نفوذ المعاملات منصرفة عن مثله أيضاً، وعليه يكون التمسّك بحديث الرفع مع الغضّ عمّا ذكر، كالتمسّك بالأصل مع وجود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128"/>
      </w:r>
      <w:r>
        <w:rPr>
          <w:rFonts w:ascii="Amiri" w:hAnsi="Amiri" w:eastAsia="Amiri" w:cs="Amiri"/>
          <w:color w:val="111111"/>
          <w:sz w:val="28"/>
          <w:sz w:val="28"/>
          <w:szCs w:val="28"/>
          <w:rtl w:val="true"/>
          <w:lang w:bidi="ar-SA"/>
        </w:rPr>
        <w:t>بالتقريب الذي فصّلناه في الاُصول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الرفع إلى نفس الموضوعات من الحقائق الادّعائية، ومصحّحها رفع جميع آثارها؛ إذ ليس فيها أثر بارز يمكن دعوى كونه بمنزلة جميع الآثار، حتّى يكون مصحّحاً للدعوى المذكورة، كقوله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لأنّ قائله ادّعى انحصار آثار الرجولية وصفاتها بالشجاعة والإقدام في المعارك، وادّعى أيضاً أنّ من لم يتّصف بهذه الصفة ليس برجل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ما اُكرهوا عليه مرفوع، وهو من الحقائق الادّعائية، ولا مصحّح للدعوى إلاّ رفع </w:t>
      </w:r>
    </w:p>
    <w:p>
      <w:pPr>
        <w:pStyle w:val="BookText"/>
        <w:rPr/>
      </w:pPr>
      <w:r>
        <w:rPr>
          <w:rFonts w:ascii="Amiri" w:hAnsi="Amiri" w:eastAsia="Amiri" w:cs="Amiri"/>
          <w:color w:val="111111"/>
          <w:sz w:val="28"/>
          <w:sz w:val="28"/>
          <w:szCs w:val="28"/>
          <w:rtl w:val="true"/>
          <w:lang w:bidi="ar-SA"/>
        </w:rPr>
        <w:t>جميع الآثار، أو المعظم الذي يكون غيره بمنزلة العدم، ولا شبهة في أنّ الأحكام الوضعية مشمولة له؛ إذ لا مصحّح لها مع عدم الشمول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فيه تقدير الأثر، أو تقدير المؤاخذة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كما يظهر بالقياس إلى أشباه التركيب في الكتاب والسنّة، وكلمات الفصحاء شعراً ونثراً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اُغمض عنه، فلا شبهة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الوضعيات؛ بملاحظة ما ورد في الأخبار وكلمات المفسّرين في شأن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من أنّها نزلت في قضيّة عمّار بن ياسر، حيث أكرهه الكفّار على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الأمر والنهي،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البرهان في تفسير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رواية عمرو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 ونسيانها، وما اُكرهوا عليه، وما لم يطيقوا،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منه أنّ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لقول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اُكرهوا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منه، له أحكام تكليفية ووضعية، كالكفر ونجاسة البدن وغيرهما، وقد ورد في روايات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بسبّه إذا اُكره عليه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الوضعية في السبّ والبراءة ونحوهما تابعة للحرمة التكليفية، فمع عدمها لا يترتّب عليهما الوضع، فلا تدلّ تلك الروايات على شموله للوضع؛ إذ مع اختصاصه بالتكليف يرفع الوضع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عمّا تقدّم، فاستفادة العموم من صحيحة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يستكره على اليمين، فيحلف بالطلاق والعتاق وصدقة ما يملك، أيلزمه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اُمّتي ما اُكرهوا عليه، وما لم يطيقوا، وما أخطأوا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الحلف بالطلاق والعتاق وإن لم يكن صحيحاً عندنا من غير إكراه أيضاً، إلاّ أنّ مجرّد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وقوع آثار ما حلف به بوضع ما اُكرهوا عليه، دليل على التعميم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مشكلة؛ لأنّ استشهاده به إنّما هو على سبيل التقيّة، لا على سبيل التصديق بصحّة التعليل؛ ضرورة أنّ حديث الرفع أجنبيّ عن بطلان الحلف على العتاق والطلاق، لأنّ تعليله بالإكراه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الحلف بهما باطلاً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بغير العلّة؛ لعدم تأثيره في بطلان الحلف بهما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تصديق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انطباق الكبرى على الصغرى، وعلّية الإكراه على الحلف للبطلان، لا وجه لاستفادة الحكم الوضعي منه؛ إذ الاستفادة منوطة بالاستشهاد والتطبيق، وهو على خلاف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يستفاد منها أنّ العامّة أو بعضهم كانوا قائلين باستفادة الحكم الوضعي منه، ولهذا استشهد به تقيّة وموافقة لهم،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عدوله بما ذكر لأجل عدم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فهم الطرف تعليله به، ففي الحقيقة تشبّث بتورية لطيفة، فأفاد الحكم وأظهر التقيّة، ولم يأتِ بشيء مخالف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يؤيّد الشمول للوضعيات بفهم علماء أهل اللسان الشمول، وإلاّ لم تكن التقيّة بمحلّها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في عموم حديث الرفع بأنّ شأن صدوره الآيات المشار إليها في رواية عمرو بن مروان المتقدّمة، فيراد به خصوص المؤاخذة في النسيان والخطأ،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بأنّ المورد وشأن النزول لا يوجب التقييد والتضييق في الكبرى الكلّية، ولا سيّما مع ورودها في روايات خالية عن هذه الإشارة، أترى إمكان </w:t>
      </w:r>
    </w:p>
    <w:p>
      <w:pPr>
        <w:pStyle w:val="BookText"/>
        <w:rPr/>
      </w:pPr>
      <w:r>
        <w:rPr>
          <w:rFonts w:ascii="IRNazanin" w:hAnsi="IRNazanin" w:eastAsia="IRNazanin"/>
          <w:color w:val="111111"/>
          <w:sz w:val="28"/>
          <w:sz w:val="28"/>
          <w:szCs w:val="28"/>
          <w:rtl w:val="true"/>
          <w:lang w:bidi="fa-IR"/>
        </w:rPr>
        <w:t xml:space="preserve">الاقتصار في قضيّة عمّار بن ياسر على المشابه لقصّته من 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وعدم الإسراء إلى سبّ غيره وإلى سائر المعاصي كشرب الخمر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روايات الرفع قويّ، لا يطرح بمجرّد ورود أنّ وجه صدورها ما ذكر في رواية 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الإشكال على كون مصحّح الدعوى رفع عموم الآثار، بأنّ بعض الآثار غير مرتفع، كما إذا اُكره على الجنابة أو الحدث الأصغر؛ فإنّ الحدث الأكبر أو الأصغر لو فرض كونهما من التكوينيات والحقائق التي كشف عنها الشارع، وهي غير قابلة للرفع، لكن حكمهما وأثرهما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قابلان له، مع عدم إمكان الالتزام 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بأنّ الإكراه عرفاً إنّما يتعلّق بفعل المكلّف، وهو الجماع أو الإجناب بالمعنى المصدري، ولا يتعلّق بالجنابة؛ لأنّها ليست فعله، ولا بالحدث الأصغر، فما هو مانع لم يتعلّق به الإكراه، وما تعلّق به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للجماع أو الإجناب أثر يرتفع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الإشكال في الاُصول بوجه آخر أوجه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 بعض الأعاظم قدّس سرّه في الجواب من أنّ الغسل والتطهير أمران وجوديان، قد أمر الشارع بهما عقيب الجنابة والنجاسة مطلقاً، من غير فرق بين الجنابة والنجاسة الاختيارية وغيرها </w:t>
      </w:r>
      <w:r>
        <w:rPr>
          <w:rStyle w:val="FootnoteAnchor"/>
          <w:rtl w:val="true"/>
        </w:rPr>
        <w:footnoteReference w:id="142"/>
      </w:r>
      <w:r>
        <w:rPr>
          <w:rFonts w:ascii="Amiri" w:hAnsi="Amiri" w:eastAsia="Amiri" w:cs="Amiri"/>
          <w:color w:val="111111"/>
          <w:sz w:val="28"/>
          <w:sz w:val="28"/>
          <w:szCs w:val="28"/>
          <w:rtl w:val="true"/>
          <w:lang w:bidi="ar-SA"/>
        </w:rPr>
        <w:t xml:space="preserve">، فلا يرجع إلى محصّل؛ لأنّ كونهما </w:t>
      </w:r>
    </w:p>
    <w:p>
      <w:pPr>
        <w:pStyle w:val="BookText"/>
        <w:rPr/>
      </w:pPr>
      <w:r>
        <w:rPr>
          <w:rFonts w:ascii="Amiri" w:hAnsi="Amiri" w:eastAsia="Amiri" w:cs="Amiri"/>
          <w:color w:val="111111"/>
          <w:sz w:val="28"/>
          <w:sz w:val="28"/>
          <w:szCs w:val="28"/>
          <w:rtl w:val="true"/>
          <w:lang w:bidi="ar-SA"/>
        </w:rPr>
        <w:t>وجوديين لا ينافي الرفع، بل يؤيّده، وإطلاق أدلّتهما لحال الاختيار وغيره، مصحّح الحكومة لا مانعها، ولا دليل على لزومهما حال الإكراه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في تصحيح الدعوى المتقدّمة على ما ذكرناه بخروج بعض الآثار كالآثار الاستحبابية، وكالإكراه على القتل، بل على الاُمور العظيمة جدّاً، كالردّ على الإسلام، وإبطال حجّته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الرفع إنّما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بمصاديقه، والمذكورات بالنسبة إلى ذلك العنوان في غاية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بل تلحق بالعدم، فلا يتنافى خروجها مع الدعوى المتقدّمة، بل انصراف الأدلّة عنها ربّما يصحّح الدعوى،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الإكراه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الغير على شيء قهراً، كما هو أحد معانيه لغةً</w:t>
      </w:r>
      <w:r>
        <w:rPr>
          <w:rStyle w:val="FootnoteAnchor"/>
          <w:rtl w:val="true"/>
        </w:rPr>
        <w:footnoteReference w:id="143"/>
      </w:r>
      <w:r>
        <w:rPr>
          <w:rFonts w:ascii="Amiri" w:hAnsi="Amiri" w:eastAsia="Amiri" w:cs="Amiri"/>
          <w:color w:val="111111"/>
          <w:sz w:val="28"/>
          <w:sz w:val="28"/>
          <w:szCs w:val="28"/>
          <w:rtl w:val="true"/>
          <w:lang w:bidi="ar-SA"/>
        </w:rPr>
        <w:t>، وهذا هو المناسب للرفع، ولما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من السلطان، والإكراه من الزوجة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سواء كان ما يقهره ويحمله عليه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يكرهه أم لا؛ لما عرفت من أنّ الإرادة ربّما تتعلّق بالمكروهات، وقد تتعلّق بما يشتاق إليه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شيء مشتاقاً إليه بحسب الطبع، لكن بواسطة الترجيحات العقلية لا تتعلّق به الإرادة، بل تتعلّق بتركه، كشرب الماء للمستسقي، فحينئذٍ </w:t>
      </w:r>
    </w:p>
    <w:p>
      <w:pPr>
        <w:pStyle w:val="BookText"/>
        <w:rPr/>
      </w:pPr>
      <w:r>
        <w:rPr>
          <w:rFonts w:ascii="Amiri" w:hAnsi="Amiri" w:eastAsia="Amiri" w:cs="Amiri"/>
          <w:color w:val="111111"/>
          <w:sz w:val="28"/>
          <w:sz w:val="28"/>
          <w:szCs w:val="28"/>
          <w:rtl w:val="true"/>
          <w:lang w:bidi="ar-SA"/>
        </w:rPr>
        <w:t>إن ألزمه جابر على شربه، يكون شربه عن إكراه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إكراهه حمله على ما يكرهه</w:t>
      </w:r>
      <w:r>
        <w:rPr>
          <w:rStyle w:val="FootnoteAnchor"/>
          <w:rtl w:val="true"/>
        </w:rPr>
        <w:footnoteReference w:id="146"/>
      </w:r>
      <w:r>
        <w:rPr>
          <w:rFonts w:ascii="Amiri" w:hAnsi="Amiri" w:eastAsia="Amiri" w:cs="Amiri"/>
          <w:color w:val="111111"/>
          <w:sz w:val="28"/>
          <w:sz w:val="28"/>
          <w:szCs w:val="28"/>
          <w:rtl w:val="true"/>
          <w:lang w:bidi="ar-SA"/>
        </w:rPr>
        <w:t xml:space="preserve">، وإن كان أحد معانيه، رغماً لقواعد باب الإفعال؛ ضرورة أنّ المعاملة التي تعلّقت الإرادة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الترجيحات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اشتاقت النفس إليها، لو اُوجدت بإ لزام القاهر وإجباره 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اشتاقت النفس إلى إيقاع معاملة بحسب حوائجها، وكان الشخص بصدد إيقاعها، لكن عند أمر آمر بإيقاعها تأ نّف عنه وأراد الترك، لا للكراهة عنها، بل لكراهة إطاعة أمره، فأوعده على الترك فأوجدها، يكون مكرهاً عليه وإن اشتاق إلى ذات المعاملة، وقد حقّق في محلّه عدم سراية الكراهة من عنوان إلى سائر العناوين المقارنة أو الملازمة 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فالمعاملة التي كانت مشتاقاً إليها بذاتها، وانطبق عليها في الخارج عنوان إطاعة الجائر، وكان هذا العنوان مكروهاً، تقع باطلة؛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لحمل الغير على ما يكرهه؛ لأنّ الظاهر من حمله على ما يكرهه تحقّق الكراهة قبل الحمل عليه لا به، فتأمّل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سراية الكراهة من عنوان الإطاعة للجائر إلى ذات المعاملة، وإن انطبق العنوانان على مصداق واحد واتّحدا في الخارج</w:t>
      </w:r>
      <w:r>
        <w:rPr>
          <w:rFonts w:eastAsia="Amiri" w:cs="Amiri" w:ascii="Amiri" w:hAnsi="Amiri"/>
          <w:color w:val="111111"/>
          <w:sz w:val="28"/>
          <w:szCs w:val="28"/>
          <w:rtl w:val="true"/>
          <w:lang w:bidi="ar-SA"/>
        </w:rPr>
        <w:t xml:space="preserve">. </w:t>
      </w:r>
      <w:bookmarkStart w:id="79" w:name="pg15204_140255"/>
    </w:p>
    <w:p>
      <w:pPr>
        <w:pStyle w:val="Heading5"/>
        <w:numPr>
          <w:ilvl w:val="4"/>
          <w:numId w:val="1"/>
        </w:numPr>
        <w:rPr/>
      </w:pPr>
      <w:bookmarkStart w:id="80" w:name="__RefHeading___Toc2758704_2142443653"/>
      <w:bookmarkStart w:id="81" w:name="_Toc28"/>
      <w:bookmarkEnd w:id="79"/>
      <w:bookmarkEnd w:id="80"/>
      <w:r>
        <w:rPr>
          <w:rtl w:val="true"/>
        </w:rPr>
        <w:t>حول القيود التي اعتبرها الشيخ الأعظم لوقوع الفعل مكرهاً عليه</w:t>
      </w:r>
      <w:bookmarkEnd w:id="81"/>
    </w:p>
    <w:p>
      <w:pPr>
        <w:pStyle w:val="BookText"/>
        <w:rPr/>
      </w:pPr>
      <w:r>
        <w:rPr>
          <w:rFonts w:ascii="Amiri" w:hAnsi="Amiri" w:eastAsia="Amiri" w:cs="Amiri"/>
          <w:color w:val="111111"/>
          <w:sz w:val="28"/>
          <w:sz w:val="28"/>
          <w:szCs w:val="28"/>
          <w:rtl w:val="true"/>
          <w:lang w:bidi="ar-SA"/>
        </w:rPr>
        <w:t>ثمّ إنّ القيود التي اعتبرها الشيخ الأعظم قدّس سرّه في وقوع الفعل مكرهاً عليه</w:t>
      </w:r>
      <w:r>
        <w:rPr>
          <w:rStyle w:val="FootnoteAnchor"/>
          <w:rtl w:val="true"/>
        </w:rPr>
        <w:footnoteReference w:id="148"/>
      </w: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 بتوعيد منه؛ لأنّ الاقتران به غير لازم، بل يكفي الأمر ممّن يخاف منه ولا يأمن من شرّه وضرّه لو ترك الإطاعة، ولعلّ مراده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مظنون الترتّب على تركه؛ لأنّ الظنّ به غير لازم، بل يكفي الخوف الحاصل من الاحتمال العقلائي، بل مطلق الاحتمال ولو ضعيفاً إذا كان الإيعاد بأمر مهمّ كالقتل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مضرّاً بحاله؛ لأنّه لا يلزم أن يكون كذلك إن اُريد به الوصول إلى حدّ الحرج، بل مطلق الضرر المعتدّ به كافٍ فيه، بل لا يلزم أن يكون ضرراً، فيكفي المنع عن النفع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سلب الاستقلال، فإن أراد به بيان الإكراه فلا كلام، وإلاّ فالمكره مستقلّ في العمل ومختار ومريد له كما تقدّم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758706_2142443653"/>
      <w:bookmarkStart w:id="83" w:name="_Toc29"/>
      <w:bookmarkEnd w:id="82"/>
      <w:r>
        <w:rPr>
          <w:rtl w:val="true"/>
        </w:rPr>
        <w:t>حول اعتبار عدم إمكان التفصّي في موضوع الإكراه</w:t>
      </w:r>
      <w:bookmarkEnd w:id="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موضوع الإكراه عدم إمكان التفصّي عن المتوعّد عليه بما لا يوجب ضرراً آخر مطلقاً، سواء كان بالتورية أو بفعل خارجي، أو لا مطلقاً، </w:t>
      </w:r>
    </w:p>
    <w:p>
      <w:pPr>
        <w:pStyle w:val="BookText"/>
        <w:rPr/>
      </w:pPr>
      <w:r>
        <w:rPr>
          <w:rFonts w:ascii="Amiri" w:hAnsi="Amiri" w:eastAsia="Amiri" w:cs="Amiri"/>
          <w:color w:val="111111"/>
          <w:sz w:val="28"/>
          <w:sz w:val="28"/>
          <w:szCs w:val="28"/>
          <w:rtl w:val="true"/>
          <w:lang w:bidi="ar-SA"/>
        </w:rPr>
        <w:t>أو يفصّل بين التورية والفعل الخارجي؟</w:t>
      </w:r>
    </w:p>
    <w:p>
      <w:pPr>
        <w:pStyle w:val="BookText"/>
        <w:rPr/>
      </w:pPr>
      <w:r>
        <w:rPr>
          <w:rFonts w:ascii="Amiri" w:hAnsi="Amiri" w:eastAsia="Amiri" w:cs="Amiri"/>
          <w:color w:val="111111"/>
          <w:sz w:val="28"/>
          <w:sz w:val="28"/>
          <w:szCs w:val="28"/>
          <w:rtl w:val="true"/>
          <w:lang w:bidi="ar-SA"/>
        </w:rPr>
        <w:t>قد اضطربت كلمات الشيخ الأعظم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الصدق العرفي مع إمكان التخلّص بالتورية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عدم الفرق بين الفعل والقول في عدم الصدق مع إمكانه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التفصيل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التورية قد تكون سهلة لشخص، بلا خوف الوقوع في الضرر المتوعّد به؛ لأجل الدهشة والوحشة والتمجمج في الكلام، ففي مثله لا شبهة في عدم صدق الإكراه لو أوقع المعاملة مع التفات ولم 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خائفاً من كشف الحال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أمكن التفصّي بالفعل الخارجي، كما لو أمكنه التفصّي في الباطن من غير علن، ولا يخاف كشف الحال والوقوع في الضرر، أو أمكنه علناً كذلك، فلا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القول والفعل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التورية يكون أصل التكلّم بالكلام مكرهاً عليه، فأثره مرفوع بالحديث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لأنّ الأثر مترتّب على الخصوصية، وهو مختار فيها، وإلاّ أمكن أن يقال بمثله في الفعل أيضاً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على فرض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التورية، لا يصحّ إلحاقه حكماً به بواسطة الأدلّة التي اُخذ عنوان الإكراه في موضوعها، كحديث الرفع، وما ورد في طلاق المكره، وعتقه، وكذا معاقد الإجماعات والشهرات المدّعاة</w:t>
      </w:r>
      <w:r>
        <w:rPr>
          <w:rStyle w:val="FootnoteAnchor"/>
          <w:rtl w:val="true"/>
        </w:rPr>
        <w:footnoteReference w:id="154"/>
      </w:r>
      <w:r>
        <w:rPr>
          <w:rFonts w:ascii="Amiri" w:hAnsi="Amiri" w:eastAsia="Amiri" w:cs="Amiri"/>
          <w:color w:val="111111"/>
          <w:sz w:val="28"/>
          <w:sz w:val="28"/>
          <w:szCs w:val="28"/>
          <w:rtl w:val="true"/>
          <w:lang w:bidi="ar-SA"/>
        </w:rPr>
        <w:t>لعدم إمكان الإلحاق بها، ضرورة عدم تعدّي الحكم عن موضوعه، وعدم مفاد لها إلاّ تعليق الحكم على المكره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الأعظم قدّس سرّه من أنّ حملها على صورة العجز عن التورية لجهل أو دهشة بعيد جدّاً </w:t>
      </w:r>
      <w:r>
        <w:rPr>
          <w:rStyle w:val="FootnoteAnchor"/>
          <w:rtl w:val="true"/>
        </w:rPr>
        <w:footnoteReference w:id="155"/>
      </w:r>
      <w:r>
        <w:rPr>
          <w:rFonts w:ascii="Amiri" w:hAnsi="Amiri" w:eastAsia="Amiri" w:cs="Amiri"/>
          <w:color w:val="111111"/>
          <w:sz w:val="28"/>
          <w:sz w:val="28"/>
          <w:szCs w:val="28"/>
          <w:rtl w:val="true"/>
          <w:lang w:bidi="ar-SA"/>
        </w:rPr>
        <w:t>،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الأمر بالكذب للتخلّص عن الظالم</w:t>
      </w:r>
      <w:r>
        <w:rPr>
          <w:rStyle w:val="FootnoteAnchor"/>
          <w:rtl w:val="true"/>
        </w:rPr>
        <w:footnoteReference w:id="156"/>
      </w:r>
      <w:r>
        <w:rPr>
          <w:rFonts w:ascii="Amiri" w:hAnsi="Amiri" w:eastAsia="Amiri" w:cs="Amiri"/>
          <w:color w:val="111111"/>
          <w:sz w:val="28"/>
          <w:sz w:val="28"/>
          <w:szCs w:val="28"/>
          <w:rtl w:val="true"/>
          <w:lang w:bidi="ar-SA"/>
        </w:rPr>
        <w:t>من غير ذكر لزوم التورية، فلعلّ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سهلة لنوع المكلّفين، فلو اُلزموا بها لوقعوا نوعاً في الضرر، وهذا لا يوجب جواز الكذب لو أمكن التخلّص عنه بلا خوف ومع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الكذب عبارة عن كلام ظاهر في معنىً غير مطابق للواقع، فالتورية كذب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فممنوع عرفاً ولغة؛ فإنّه عبارة عن الإخبار بما لا يطابق الواقع، من غير دخالة لظهور الكلام أو فهم المخاطب فيه، ولهذا لو أنشأ بكلام ظاهر في الإخبار </w:t>
      </w:r>
    </w:p>
    <w:p>
      <w:pPr>
        <w:pStyle w:val="BookText"/>
        <w:rPr/>
      </w:pPr>
      <w:r>
        <w:rPr>
          <w:rFonts w:ascii="Amiri" w:hAnsi="Amiri" w:eastAsia="Amiri" w:cs="Amiri"/>
          <w:color w:val="111111"/>
          <w:sz w:val="28"/>
          <w:sz w:val="28"/>
          <w:szCs w:val="28"/>
          <w:rtl w:val="true"/>
          <w:lang w:bidi="ar-SA"/>
        </w:rPr>
        <w:t>بما لا يطابق الواقع، لا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إنشاءه إخبار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أنّها مشتركة مع الكذب ملاكاً وحكماً؛ لأنّ 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كالإغراء بالجهل والإيقاع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فمدفوع؛ لعدم كون ملاك الكذب ما ذكر، ولهذا لا شبهة في حرمته ولو لم تترتّب عليه مفسدة، والإغراء بالجهل لا دليل على حرمته مطلقاً، كالإخبار كذباً بأنّ قطر الأرض كذا، أو بعدها عن الشمس كذا، فإنّه حرام، ولا تترتّب عليه مفسدة، ولا دليل على حرمة الإغراء بالجهل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أشرنا إليه من أنّ عدم التنبيه على التورية؛ لأجل ندرة إمكان التخلّص بها من غير احتمال الوقوع في الضرر المتوعّد به في موارد هجمة العشّار والظالم</w:t>
      </w:r>
      <w:r>
        <w:rPr>
          <w:rStyle w:val="FootnoteAnchor"/>
          <w:rtl w:val="true"/>
        </w:rPr>
        <w:footnoteReference w:id="159"/>
      </w:r>
      <w:r>
        <w:rPr>
          <w:rFonts w:ascii="Amiri" w:hAnsi="Amiri" w:eastAsia="Amiri" w:cs="Amiri"/>
          <w:color w:val="111111"/>
          <w:sz w:val="28"/>
          <w:sz w:val="28"/>
          <w:szCs w:val="28"/>
          <w:rtl w:val="true"/>
          <w:lang w:bidi="ar-SA"/>
        </w:rPr>
        <w:t>، فهل يكون ذلك نكتة للجعل، فيكون الكذب جائزاً في موارد الاستثناء مطلقاً ولو مع سهولة التخلّص بها، أو تكون الأدلّة منصرفة عن مثله؛ لندرته بنحو يلحق بالمعدوم؟</w:t>
      </w:r>
    </w:p>
    <w:p>
      <w:pPr>
        <w:pStyle w:val="BookText"/>
        <w:rPr/>
      </w:pPr>
      <w:r>
        <w:rPr>
          <w:rFonts w:ascii="Amiri" w:hAnsi="Amiri" w:eastAsia="Amiri" w:cs="Amiri"/>
          <w:color w:val="111111"/>
          <w:sz w:val="28"/>
          <w:sz w:val="28"/>
          <w:szCs w:val="28"/>
          <w:rtl w:val="true"/>
          <w:lang w:bidi="ar-SA"/>
        </w:rPr>
        <w:t xml:space="preserve">ثمّ لو فرض جواز الكذب في الصلاح والتقيّة مطلقاً، فلا يصحّ إسراء الحكم منه إلى الإنشائيات، كالبيع والإجارة وغيرهما، والبناء على عدم نفوذها مع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إلحاق الإنشاء في عدم النفوذ بالإخبار كذباً في عدم الحرمة التكليفية، لا وجه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الكلام في قضيّة عمّار، وما ورد في ذلك المضمار من الأمر </w:t>
      </w:r>
    </w:p>
    <w:p>
      <w:pPr>
        <w:pStyle w:val="BookText"/>
        <w:rPr/>
      </w:pPr>
      <w:r>
        <w:rPr>
          <w:rFonts w:ascii="Amiri" w:hAnsi="Amiri" w:eastAsia="Amiri" w:cs="Amiri"/>
          <w:color w:val="111111"/>
          <w:sz w:val="28"/>
          <w:sz w:val="28"/>
          <w:szCs w:val="28"/>
          <w:rtl w:val="true"/>
          <w:lang w:bidi="ar-SA"/>
        </w:rPr>
        <w:t>بالسبّ والبراءة</w:t>
      </w:r>
      <w:r>
        <w:rPr>
          <w:rStyle w:val="FootnoteAnchor"/>
          <w:rtl w:val="true"/>
        </w:rPr>
        <w:footnoteReference w:id="160"/>
      </w:r>
      <w:r>
        <w:rPr>
          <w:rFonts w:ascii="IRNazanin" w:hAnsi="IRNazanin" w:eastAsia="IRNazanin"/>
          <w:color w:val="111111"/>
          <w:sz w:val="28"/>
          <w:sz w:val="28"/>
          <w:szCs w:val="28"/>
          <w:rtl w:val="true"/>
          <w:lang w:bidi="fa-IR"/>
        </w:rPr>
        <w:t xml:space="preserve">فإنّ عدم الأمر بالتورية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إمكان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ظاهره السباب حرام؛ لأنّه إهانة، بل لعلّه نحو سباب،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نقل السباب سباب؛ إذ ليست له واقعية ولو في الاعتبار كالبيع وغيره من سائر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المكره على السباب لأئمّة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في ذلك العصر في معرض القتل، وكان اُمراء الجور عليهم اللعنة يقتلون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بالظنّ والوهم والتهمة، فالأمر بالتورية مع ذلك في مظنّة إيقاع المورّي في الهلاك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جواز إسراء الحكم منه إلى باب البيع ونحوه؛ ضرورة أنّ جواز الكذب لحفظ الدم، لا ربط له بنفوذ البيع مكرهاً مع إمكان التورية،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احتمال انصراف الأدلّة عن الذي يقدر على التورية بسهولة وبلا خوف 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قدّس سرّه تمسّك برواية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غضب ولا في قطيعة رحم ولا في جبر ولا في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الجبر والإكراه؟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من السلطان، ويكون الإكراه من الزوجة والاُمّ والأب، وليس ذلك بشيء</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على عدم اعتبار العجز عن التفصّي بوجه آخر </w:t>
      </w:r>
    </w:p>
    <w:p>
      <w:pPr>
        <w:pStyle w:val="BookText"/>
        <w:rPr/>
      </w:pPr>
      <w:r>
        <w:rPr>
          <w:rFonts w:ascii="Amiri" w:hAnsi="Amiri" w:eastAsia="Amiri" w:cs="Amiri"/>
          <w:color w:val="111111"/>
          <w:sz w:val="28"/>
          <w:sz w:val="28"/>
          <w:szCs w:val="28"/>
          <w:rtl w:val="true"/>
          <w:lang w:bidi="ar-SA"/>
        </w:rPr>
        <w:t xml:space="preserve">غير التورية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ضعف السند</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العرفي غير قابل للتعبّد، ولا شبهة في عدم الصدق مع إمكان التفصّي كما تقدّم</w:t>
      </w:r>
      <w:r>
        <w:rPr>
          <w:rStyle w:val="FootnoteAnchor"/>
          <w:rtl w:val="true"/>
        </w:rPr>
        <w:footnoteReference w:id="164"/>
      </w:r>
      <w:r>
        <w:rPr>
          <w:rFonts w:ascii="Amiri" w:hAnsi="Amiri" w:eastAsia="Amiri" w:cs="Amiri"/>
          <w:color w:val="111111"/>
          <w:sz w:val="28"/>
          <w:sz w:val="28"/>
          <w:szCs w:val="28"/>
          <w:rtl w:val="true"/>
          <w:lang w:bidi="ar-SA"/>
        </w:rPr>
        <w:t xml:space="preserve">، ولا يستفاد منها الإلحاق حكماً؛ لما تقدّم من أنّ الحكم المتعلّق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لإلحاق غيره به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الإكراه من المذكورين غير متصوّر وغير متحقّق، لكان اللازم حمل الإكراه فيها على معنى مقارب للإكراه العرفي، فيفهم منها الإلحاق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إكراه الزوجة وكذا الاُمّ والأب، أمر ممكن بل واقع، ولا يلزم في صدقه كون المكره أقوى من المكره، فلو أوعدت الزوجة زوجها بأنّه لو لم يطلّقها مثلاً لهتكت حرمته بخروجها من داره بوجه ينافي عرضه، أو أوعدته بأمثال ذلك، كانت مكرهة نحو إكراه الغالب القاهر أو أشدّ أحياناً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الاُمّ والأب؛ لإمكان إكراههما ابنهما بالإيعاد بفنون </w:t>
      </w:r>
      <w:bookmarkStart w:id="84" w:name="pg15204_140261"/>
    </w:p>
    <w:p>
      <w:pPr>
        <w:pStyle w:val="BookText"/>
        <w:rPr/>
      </w:pPr>
      <w:bookmarkEnd w:id="84"/>
      <w:r>
        <w:rPr>
          <w:rFonts w:ascii="Amiri" w:hAnsi="Amiri" w:eastAsia="Amiri" w:cs="Amiri"/>
          <w:color w:val="111111"/>
          <w:sz w:val="28"/>
          <w:sz w:val="28"/>
          <w:szCs w:val="28"/>
          <w:rtl w:val="true"/>
          <w:lang w:bidi="ar-SA"/>
        </w:rPr>
        <w:t>أعمال يهتك بها عرضه، ومع إمكان ذلك لا وجه للحمل على معنىً آخر غير الإكراه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ومقابلة الجبر والإكراه لبيان التسوية بين الموارد، وعدم الفرق بين كون المكره الجابر القاهر كالسلطان وغيره،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ولا يعقل جعل السببية للأخصّ بعد جعلها للأعمّ؛ للزوم اللغوية</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758708_2142443653"/>
      <w:bookmarkStart w:id="86" w:name="_Toc30"/>
      <w:bookmarkEnd w:id="85"/>
      <w:r>
        <w:rPr>
          <w:rtl w:val="true"/>
        </w:rPr>
        <w:t>تفصيل الشيخ بين الإكراه المسوّغ للمحرّمات والرافع لأثر المعاملات</w:t>
      </w:r>
      <w:bookmarkEnd w:id="86"/>
    </w:p>
    <w:p>
      <w:pPr>
        <w:pStyle w:val="BookText"/>
        <w:rPr/>
      </w:pPr>
      <w:r>
        <w:rPr>
          <w:rFonts w:ascii="Amiri" w:hAnsi="Amiri" w:eastAsia="Amiri" w:cs="Amiri"/>
          <w:color w:val="111111"/>
          <w:sz w:val="28"/>
          <w:sz w:val="28"/>
          <w:szCs w:val="28"/>
          <w:rtl w:val="true"/>
          <w:lang w:bidi="ar-SA"/>
        </w:rPr>
        <w:t>ثمّ إنّ الشيخ الأعظم قدّس سرّه فرّق بين الإكراه المسوّغ للمحرّمات وجعل مناطه</w:t>
      </w:r>
    </w:p>
    <w:p>
      <w:pPr>
        <w:pStyle w:val="BookText"/>
        <w:rPr/>
      </w:pPr>
      <w:r>
        <w:rPr>
          <w:rFonts w:ascii="Amiri" w:hAnsi="Amiri" w:eastAsia="Amiri" w:cs="Amiri"/>
          <w:color w:val="111111"/>
          <w:sz w:val="28"/>
          <w:sz w:val="28"/>
          <w:szCs w:val="28"/>
          <w:rtl w:val="true"/>
          <w:lang w:bidi="ar-SA"/>
        </w:rPr>
        <w:t>توقّف دفع ضرر المكره على ارتكاب المكره عليه، وبين الإكراه الرافع لأثر المعاملات وجعل المناط فيه عدم طيب النفس بالمعاملة؛ إذ قد يتحقّق مع إمكان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قاعداً في مكان متفرّغاً للعبادة، فجاءه من أكرهه على بيع وهو في هذا الحال، غير قادر على دفع ضرره، وهو كاره للخروج، لكن لو خرج أمكنه التفصّي بأمر خادمه على دفعه، ولو فرض في ذلك المثال إكراهه على محرّم لم يعذر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الفرق بين الجبر والإكراه في رواية ابن سنان، فالإكراه المعتبر في تسويغ المحظورات بمعنى الجبر، والرافع لأثر المعاملات هو الإكراه الذي في الخبر، والمعيار فيه عدم طيب النفس، لا الضرورة والإلجاء</w:t>
      </w:r>
      <w:r>
        <w:rPr>
          <w:rStyle w:val="FootnoteAnchor"/>
          <w:rtl w:val="true"/>
        </w:rPr>
        <w:footnoteReference w:id="16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كما تقدّم</w:t>
      </w:r>
      <w:r>
        <w:rPr>
          <w:rStyle w:val="FootnoteAnchor"/>
          <w:rtl w:val="true"/>
        </w:rPr>
        <w:footnoteReference w:id="167"/>
      </w:r>
      <w:r>
        <w:rPr>
          <w:rFonts w:ascii="Amiri" w:hAnsi="Amiri" w:eastAsia="Amiri" w:cs="Amiri"/>
          <w:color w:val="111111"/>
          <w:sz w:val="28"/>
          <w:sz w:val="28"/>
          <w:szCs w:val="28"/>
          <w:rtl w:val="true"/>
          <w:lang w:bidi="ar-SA"/>
        </w:rPr>
        <w:t>ليس بمعنى الحمل على ما يكرهه، بل بمعنى الإلزام والحمل على الشيء بكره وإجبار، ولا شبهة في عدم صدقه في المثال المذكور، ولا في عدم الفرق بين الوضعيات والتكليفيات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تفرّغ في مكان للعبادة، وأمكن خروجه منه بلا محذور ولا حرج، فأوجد المعاملة بأمر الغير، 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مكره وملزم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مكره في 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الخروج ضررياً أو حرجياً يصدق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168"/>
      </w:r>
      <w:r>
        <w:rPr>
          <w:rFonts w:ascii="Amiri" w:hAnsi="Amiri" w:eastAsia="Amiri" w:cs="Amiri"/>
          <w:color w:val="111111"/>
          <w:sz w:val="28"/>
          <w:sz w:val="28"/>
          <w:szCs w:val="28"/>
          <w:rtl w:val="true"/>
          <w:lang w:bidi="ar-SA"/>
        </w:rPr>
        <w:t>أنّ طيب النفس في المعاملات غير معتبر لو اُريد منه انشراح الصدر واشتياق النفس، وكذا الرضا المعتبر فيها ليس مقابل السخط، بل الطيب المعتبر فيها هو إيقاعها بلا تحميل الغير إيّاه، والرضا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سخط من معاملة، فغايته أنّه كالمضطرّ الذي يكون بيع داره التي هي ظلّ رأسه مكروهاً له، ومورد سخطه جدّاً، فلو باعها مع ذلك بلا إلزام غيره،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رضي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طيب نفسه وعدم رضاه بالمعنى المتقدّم، ولا شبهة في تحقّق الرضا والطيب المعتبر في المعاملة في المثال المتقدّم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فالكراهة وعدم انشراح الصدر غير مضرّة بصحّتها، وقد تقدّم الكلام في رواية ابن سنان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87" w:name="pg15204_140263"/>
    </w:p>
    <w:p>
      <w:pPr>
        <w:pStyle w:val="Heading5"/>
        <w:numPr>
          <w:ilvl w:val="4"/>
          <w:numId w:val="1"/>
        </w:numPr>
        <w:rPr/>
      </w:pPr>
      <w:bookmarkStart w:id="88" w:name="__RefHeading___Toc2758710_2142443653"/>
      <w:bookmarkStart w:id="89" w:name="_Toc31"/>
      <w:bookmarkEnd w:id="87"/>
      <w:bookmarkEnd w:id="88"/>
      <w:r>
        <w:rPr>
          <w:rtl w:val="true"/>
        </w:rPr>
        <w:t>النسبة بين الاضطرار والإكراه في حديث الرفع</w:t>
      </w:r>
      <w:bookmarkEnd w:id="89"/>
    </w:p>
    <w:p>
      <w:pPr>
        <w:pStyle w:val="BookText"/>
        <w:rPr/>
      </w:pPr>
      <w:r>
        <w:rPr>
          <w:rFonts w:ascii="Amiri" w:hAnsi="Amiri" w:eastAsia="Amiri" w:cs="Amiri"/>
          <w:color w:val="111111"/>
          <w:sz w:val="28"/>
          <w:sz w:val="28"/>
          <w:szCs w:val="28"/>
          <w:rtl w:val="true"/>
          <w:lang w:bidi="ar-SA"/>
        </w:rPr>
        <w:t xml:space="preserve">ثمّ إنّ النسبة بين الاضطرار والإكراه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فإنّ الإكراه الذي هو صفة للمكره بالكسر، فعل منه، والاضطرار صفة للمضطرّ، وهو منفعل به، ولا ربط بينهما مفهوماً، كما لا ينطبقان على مورد واحد، سواء حصل الاضطرار من إكراه مكره، أو حصل بحسب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الملزمية التي هي صفة المكره بالفتح، فهي مباينة للاضطرار مفهوماً، وبينهما عموم من وجه مورداً، فالاضطرار قد يحصل بواسطة الإكراه، فيكون الشخص ملزماً ومكرهاً وملجأً ومضطرّاً، كما لو أوعده بأمر خطير 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بحسب حوائجه لا من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الإكراه بلا اضطرار، كما لو أوعده بنهب مال معتدّ به، لا يكون نهبه موجباً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المرفوع في حديث الرفع هو الفعل الصادر عن إلزام الغير، يكون البطلان في المعاملات مستنداً إليه، لا إلى الاضطرار الحاصل منه؛ لتقدّمه ذاتاً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والاضطرار الحاصل من حوائجه لا يوجب بطلانها؛ لانصراف دليل الاضطرار عنه، إذ يلزم منه التضييق والتحريج عليه، مع أنّ الرفع للتوسعة امتناناً، فبطلان المعاملات لا يستند إلى الاضطرار مطلقاً إلاّ في بعض الموارد النادرة على ما سيأتي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الاضطرار موجب لرفع التكليف، كما أنّ الإكراه موجب له وإن لم يصل إلى حدّ الاضطرار والإلجاء، كما هو ظاهر دليل الرفع،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فإنّ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شأن نزولها على ما في التفاسير والأخبار</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سبّ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قضيّة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الاضطرار الحاصل من الإكراه</w:t>
      </w:r>
      <w:r>
        <w:rPr>
          <w:rStyle w:val="FootnoteAnchor"/>
          <w:rtl w:val="true"/>
        </w:rPr>
        <w:footnoteReference w:id="173"/>
      </w:r>
      <w:r>
        <w:rPr>
          <w:rFonts w:ascii="Amiri" w:hAnsi="Amiri" w:eastAsia="Amiri" w:cs="Amiri"/>
          <w:color w:val="111111"/>
          <w:sz w:val="28"/>
          <w:sz w:val="28"/>
          <w:szCs w:val="28"/>
          <w:rtl w:val="true"/>
          <w:lang w:bidi="ar-SA"/>
        </w:rPr>
        <w:t xml:space="preserve">، خلاف ظاهر الآية والروايات؛ حيث علّق الحكم فيها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الإكراه في الروايات قبال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 أنّ الإكراه بمراتبه يختصّ بالوضعيات</w:t>
      </w:r>
      <w:r>
        <w:rPr>
          <w:rStyle w:val="FootnoteAnchor"/>
          <w:rtl w:val="true"/>
        </w:rPr>
        <w:footnoteReference w:id="174"/>
      </w:r>
      <w:r>
        <w:rPr>
          <w:rFonts w:ascii="Amiri" w:hAnsi="Amiri" w:eastAsia="Amiri" w:cs="Amiri"/>
          <w:color w:val="111111"/>
          <w:sz w:val="28"/>
          <w:sz w:val="28"/>
          <w:szCs w:val="28"/>
          <w:rtl w:val="true"/>
          <w:lang w:bidi="ar-SA"/>
        </w:rPr>
        <w:t>، التزام بما هو خلاف الظواهر بلا جهة ملزمة، كما أنّ الاختصاص بالإكراه الموجب للاضطرار</w:t>
      </w:r>
      <w:r>
        <w:rPr>
          <w:rStyle w:val="FootnoteAnchor"/>
          <w:rtl w:val="true"/>
        </w:rPr>
        <w:footnoteReference w:id="175"/>
      </w:r>
      <w:r>
        <w:rPr>
          <w:rFonts w:ascii="IRNazanin" w:hAnsi="IRNazanin" w:eastAsia="IRNazanin"/>
          <w:color w:val="111111"/>
          <w:sz w:val="28"/>
          <w:sz w:val="28"/>
          <w:szCs w:val="28"/>
          <w:rtl w:val="true"/>
          <w:lang w:bidi="fa-IR"/>
        </w:rPr>
        <w:t>، خلاف الظاهر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اختلاف المحرّمات في جواز ارتكابها بالإكراه، بل في صدقه أيضاً عرفاً، فربّما يصدق الإلزام على فعل صغيرة دون كبيرة، وعلى كبيرة دون موبقة، كما قد يقال</w:t>
      </w:r>
      <w:r>
        <w:rPr>
          <w:rStyle w:val="FootnoteAnchor"/>
          <w:rtl w:val="true"/>
        </w:rPr>
        <w:footnoteReference w:id="176"/>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 xml:space="preserve">. </w:t>
      </w:r>
      <w:bookmarkStart w:id="90" w:name="pg15204_140265"/>
    </w:p>
    <w:p>
      <w:pPr>
        <w:pStyle w:val="BookText"/>
        <w:rPr/>
      </w:pPr>
      <w:bookmarkEnd w:id="90"/>
      <w:r>
        <w:rPr>
          <w:rFonts w:ascii="Amiri" w:hAnsi="Amiri" w:eastAsia="Amiri" w:cs="Amiri"/>
          <w:color w:val="111111"/>
          <w:sz w:val="28"/>
          <w:sz w:val="28"/>
          <w:szCs w:val="28"/>
          <w:rtl w:val="true"/>
          <w:lang w:bidi="ar-SA"/>
        </w:rPr>
        <w:t xml:space="preserve">وقد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التقيّة والحرج والضرر، منصرفة عن بعض المحرّمات التي في غاية الأهمّية بحسب الشرع والعقل وارتكاز المتشرّعة، كالإكراه على إبطال حجج الإسلام بالمغالطات، وكهدم الكعبة المعظّمة ومحو آثارها؛ بحيث يبطل هذا المشعر ويمحو أثره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758712_2142443653"/>
      <w:bookmarkStart w:id="92" w:name="_Toc32"/>
      <w:bookmarkEnd w:id="91"/>
      <w:r>
        <w:rPr>
          <w:rtl w:val="true"/>
        </w:rPr>
        <w:t>حكم الإكراه على نحو الاستغراق أو الطبيعة السارية</w:t>
      </w:r>
      <w:bookmarkEnd w:id="92"/>
    </w:p>
    <w:p>
      <w:pPr>
        <w:pStyle w:val="BookText"/>
        <w:rPr/>
      </w:pPr>
      <w:r>
        <w:rPr>
          <w:rFonts w:ascii="Amiri" w:hAnsi="Amiri" w:eastAsia="Amiri" w:cs="Amiri"/>
          <w:color w:val="111111"/>
          <w:sz w:val="28"/>
          <w:sz w:val="28"/>
          <w:szCs w:val="28"/>
          <w:rtl w:val="true"/>
          <w:lang w:bidi="ar-SA"/>
        </w:rPr>
        <w:t>ثمّ إنّ الإكراه قد يكون على نحو الاستغراق؛ بأن أكرهه على بيع جميع أمواله، وقد يكون على نحو الطبيعة المطلقة السارية، ففيهما كلّ ما وقع من المصاديق يكون مكرهاً عليه، فيكون باطلاً في الوضعيات، وغير محرّم في 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الخصوصيات المقارنة للمصاديق في الوجود الخارجي لم يتعلّق بها الأمر؛ ضرورة عدم تجاوز الأمر عن موضوعه، فالفرد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مصداق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مكرهاً عليه، لا بسائر العناوين، ككونه في مكان كذا، أو زمان كذا، أو البيع من شخص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المصاديق خصوصية ذات حكم، لم ترتفع بدليل الإكراه، فلو أكرهه على بيع جميع أمواله، ليس له بيع مصحفه من الكافر، ولو باع منه بطل البيع؛ للإكراه، وأثم في بيعه من الكافر؛ لأنّ الخصوصية غير مكره عليها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يمكن بيعه إلاّ منه ارتفعت الحرمة؛ للاضطرار، بل لو فرض أنّ </w:t>
      </w:r>
      <w:bookmarkStart w:id="93" w:name="pg15204_140266"/>
    </w:p>
    <w:p>
      <w:pPr>
        <w:pStyle w:val="BookText"/>
        <w:rPr/>
      </w:pPr>
      <w:bookmarkEnd w:id="93"/>
      <w:r>
        <w:rPr>
          <w:rFonts w:ascii="Amiri" w:hAnsi="Amiri" w:eastAsia="Amiri" w:cs="Amiri"/>
          <w:color w:val="111111"/>
          <w:sz w:val="28"/>
          <w:sz w:val="28"/>
          <w:szCs w:val="28"/>
          <w:rtl w:val="true"/>
          <w:lang w:bidi="ar-SA"/>
        </w:rPr>
        <w:t>جميع المصاديق ذو أثر ملازم، ترتفع بالاضطرار 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ترتفع في مثله بالإكراه، لكان دليله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من نحو هذا التوهّم؛ بالفرق بين القوانين الكلّية والأوامر الشخصية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2758714_2142443653"/>
      <w:bookmarkStart w:id="95" w:name="_Toc33"/>
      <w:bookmarkEnd w:id="94"/>
      <w:r>
        <w:rPr>
          <w:rtl w:val="true"/>
        </w:rPr>
        <w:t>حكم الإكراه على نفس الطبيعة</w:t>
      </w:r>
      <w:bookmarkEnd w:id="95"/>
    </w:p>
    <w:p>
      <w:pPr>
        <w:pStyle w:val="BookText"/>
        <w:rPr/>
      </w:pPr>
      <w:r>
        <w:rPr>
          <w:rFonts w:ascii="Amiri" w:hAnsi="Amiri" w:eastAsia="Amiri" w:cs="Amiri"/>
          <w:color w:val="111111"/>
          <w:sz w:val="28"/>
          <w:sz w:val="28"/>
          <w:szCs w:val="28"/>
          <w:rtl w:val="true"/>
          <w:lang w:bidi="ar-SA"/>
        </w:rPr>
        <w:t>ولو كان الإكراه على نفس الطبيعة؛ بحيث يسقط طلبه بأوّل الوجود، بطل ما وجد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لبعض المصاديق خصوصية زائدة لاحقة بها في الخارج، لم يرتفع حكمه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المصداق الذاتي للطبيعة، فيقع مكرهاً عليه وإن كان الإكراه على نفس الطبيعة لا الفرد؛ لأنّ الفرد عين الطبيعة، فما وجد هي الطبيعة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المكره عليها هي الطبيعة لا المصاديق، فهو مختار في المصاديق، فكلّ مصداق وجد فهو باختياره لا بالإكراه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فرد وجد في الخارج وكان أوّل وجود الطبيعة، فهو منطبق عليه بالنسبة للطبيعة المكره عليها، ولا يعقل وقوعه على نعت الاختيار مقابل الإكراه، والخصوصية المختارة ليست موضوعة للأثر، كالبيع في مكان كذا، أو مع خصوصيات محتفّة بالطبيعة حتّى صارت مثلاً هذا المصداق دون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نفس الطبيعة لا يعقل أن لا تكون مكرهاً عليها في الفرض، وأوّل المصاديق عين الطبيعة المكره عليها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بالطبيعة سرى إلى المصداق؛ فإنّه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بالأمر بالطبيعة ملزم ومكره على إيجادها بفردٍ ما، فيوجده إلزاماً وإكراهاً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أوجد في الفرض عدّة مصاديق في عرض واحد، فلا شبهة في عدم وقوع جميعها مكرهاً عليها ولو قلنا بأنّ كلّ واحد وقع امتثالاً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الأوامر الإلهية المتعلّقة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بأفراد عرضاً موجب لوقوع كلّ على سبيل الامتثال مستقلاًّ، ويستحقّ مثوبات بعدد الأفراد</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 الإكراه يعتبر عدم إمكان التفصّي، ومع كون ترك ما عدا واحد منها لا يترتّب عليه ضرر، لا يقع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حديث الامتثالات الكثيرة غير مرضيّ، وإن أمكن إقامة البرهان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إنكار عدم حصول الامتثال رأساً، ومع حصوله إمّا يكون بواحد معيّن، أو غير معيّن، أو بالمجموع، أو الجامع، أو كلّ واحد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الأخير باطل؛ لعدم ترجيح واحد معيّن، وعدم وجود غير المعيّن والمجموع بما هو كذلك، وكذا الجامع إلاّ على رأي الهمداني</w:t>
      </w:r>
      <w:r>
        <w:rPr>
          <w:rStyle w:val="FootnoteAnchor"/>
          <w:rtl w:val="true"/>
        </w:rPr>
        <w:footnoteReference w:id="181"/>
      </w:r>
      <w:r>
        <w:rPr>
          <w:rFonts w:ascii="Amiri" w:hAnsi="Amiri" w:eastAsia="Amiri" w:cs="Amiri"/>
          <w:color w:val="111111"/>
          <w:sz w:val="28"/>
          <w:sz w:val="28"/>
          <w:szCs w:val="28"/>
          <w:rtl w:val="true"/>
          <w:lang w:bidi="ar-SA"/>
        </w:rPr>
        <w:t>فلا بدّ من القول بالامتثال متكثّراً والمثوبات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الخلط بين المسائل العقلية البرهانية ومسألة الإطاعة والمثوبة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الاشتباه والمغالطة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الأمر على عامّ مجموعي، والامتثال بعامّ مجموعي، لا يوجب ذلك خرق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المجموع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باستصحاب الجامع في القسم الثاني والثالث منه</w:t>
      </w:r>
      <w:r>
        <w:rPr>
          <w:rStyle w:val="FootnoteAnchor"/>
          <w:rtl w:val="true"/>
        </w:rPr>
        <w:footnoteReference w:id="182"/>
      </w:r>
      <w:r>
        <w:rPr>
          <w:rFonts w:ascii="Amiri" w:hAnsi="Amiri" w:eastAsia="Amiri" w:cs="Amiri"/>
          <w:color w:val="111111"/>
          <w:sz w:val="28"/>
          <w:sz w:val="28"/>
          <w:szCs w:val="28"/>
          <w:rtl w:val="true"/>
          <w:lang w:bidi="ar-SA"/>
        </w:rPr>
        <w:t xml:space="preserve">، واتّبعنا العرف في وجود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تشخيص موضوعات الأحكام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نخرق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فالإطاعة وقعت بالجامع عرفاً أو المجموع كذلك؛ فإنّ الأمر الواحد والمأمور به كذلك، ليس له إلاّ إطاعة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الحلّ بطريق عقلي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بعد ما تعلّق بالطبيعة عارية عن كلّ لاحق، وبعد عدم إمكان تعلّقه بالأفراد الخارجية، وعدم إمكان كون الطبيعة مرآة للخارج بخصوصيتها، فالمأمور به لا محالة نفس الطبيعة، والأفراد مصاديق للطبيعة المأمور بها، وليست الأفراد بمأمور بها، كما أنّ مصاديق الكلّي ليست بكلّيات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فالمصاديق أفراد لكلّي واحد، وكذلك أفراد ومصاديق للمأمور به الواحد، وفي مثله لا يعقل أن تكون إطاعات، بل إطاعة لأمر واحد بالوجود الكثير، فلمّا كانت الأفراد لا تقع على نعت المأمور بها، لا يعقل أن تقع على نعت الإطاعات وإن وقعت على نعت الكثرة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وجدت في الخارج من الأفراد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التحليل والتجزئة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مصداق الإطاعة حقيقة إلاّ حيثية ما تعلّق بها الأمر؛ أي نفس الطبيعة، وتكثّرها خارج عن المطلوب والطلب والامتثال، فتكون الكثرة الخارجية امتثالاً واحداً لا امتثالات، وإن تحقّقت الكثرة بالوجود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تشخيص الطاعة مقام التحليل والتجريد، ففي هذا المقام يحكم العقل بأنّ نفس الطبيعة بما هي وقعت طاعة، لا الكثرة والملحقات بها، وإن كانت بتبع الوجود والعوارض متكثّرة حقيقة، فالطاعة واحدة بإتيان الكثير، فالطبيعة المتكثّرة في الخارج إطاعة واحدة لأمر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الطبيعة، وأتى بأكثر من فرد واحد، يقع الكلام في أنّ الجميع صحيح أو باطل، أو بعضها صحيح وبعضها باطل، وسيأتي الكلام فيه عند التعرّض للإكراه على أحدهما والإتيان بهما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بين أفراد الطبيعة تفاوت في الشدّة والضعف، أو الزيادة والنقص، فإن كان المكره عليه من التكليفيات، فالظاهر لزوم اختيار أقلّها محذوراً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أكرهه على شرب حرام ما، يجب عليه اختيار أضعفه مناطاً؛ لأنّ الرفع وإن تعلّق بالطبيعة القابلة للصدق على كلّ فرد، ومقتضى ما تقدّم</w:t>
      </w:r>
      <w:r>
        <w:rPr>
          <w:rStyle w:val="FootnoteAnchor"/>
          <w:rtl w:val="true"/>
        </w:rPr>
        <w:footnoteReference w:id="184"/>
      </w:r>
      <w:r>
        <w:rPr>
          <w:rFonts w:ascii="Amiri" w:hAnsi="Amiri" w:eastAsia="Amiri" w:cs="Amiri"/>
          <w:color w:val="111111"/>
          <w:sz w:val="28"/>
          <w:sz w:val="28"/>
          <w:szCs w:val="28"/>
          <w:rtl w:val="true"/>
          <w:lang w:bidi="ar-SA"/>
        </w:rPr>
        <w:t xml:space="preserve">أنّ أوّل الوجود منها مكره عليه ومرفوع الحكم، وبعد رفعه لا وجه للترجيح، لكن لمّا كان الرفع منّة على الاُمّة مع بقاء مفسدة المكره عليه، وليس من قبيل التخصّص </w:t>
      </w:r>
      <w:bookmarkStart w:id="96" w:name="pg15204_140270"/>
    </w:p>
    <w:p>
      <w:pPr>
        <w:pStyle w:val="BookText"/>
        <w:rPr/>
      </w:pPr>
      <w:bookmarkEnd w:id="96"/>
      <w:r>
        <w:rPr>
          <w:rFonts w:ascii="Amiri" w:hAnsi="Amiri" w:eastAsia="Amiri" w:cs="Amiri"/>
          <w:color w:val="111111"/>
          <w:sz w:val="28"/>
          <w:sz w:val="28"/>
          <w:szCs w:val="28"/>
          <w:rtl w:val="true"/>
          <w:lang w:bidi="ar-SA"/>
        </w:rPr>
        <w:t>الكاشف عن عدم الملاك، فلا محالة يحكم العقل بالجمع بين الغرضين ودفع الإكراه بالأقلّ محذوراً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جريان ذلك في الوضعيات، فلو أكرهه على بيع داره أو بستانه، يقع بيع أوّلهما مكرهاً عليه وإن كان أكثر قيمة، أو بقاؤه أهمّ لدى المالك</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758716_2142443653"/>
      <w:bookmarkStart w:id="98" w:name="_Toc34"/>
      <w:bookmarkEnd w:id="97"/>
      <w:r>
        <w:rPr>
          <w:rtl w:val="true"/>
        </w:rPr>
        <w:t>حكم إكراه الشخص على أحد الأمرين وبعض صور اُخرى</w:t>
      </w:r>
      <w:bookmarkEnd w:id="98"/>
    </w:p>
    <w:p>
      <w:pPr>
        <w:pStyle w:val="BookText"/>
        <w:rPr/>
      </w:pPr>
      <w:r>
        <w:rPr>
          <w:rFonts w:ascii="Amiri" w:hAnsi="Amiri" w:eastAsia="Amiri" w:cs="Amiri"/>
          <w:color w:val="111111"/>
          <w:sz w:val="28"/>
          <w:sz w:val="28"/>
          <w:szCs w:val="28"/>
          <w:rtl w:val="true"/>
          <w:lang w:bidi="ar-SA"/>
        </w:rPr>
        <w:t>ولو أكرهه على بيع داره أو أداء دينه، فلا شبهة في صدق الإكراه على إيقاع كلّ منهما لو كان أداء الدين مخالفاً لغرضه العقلائي، وكان كارهاً لأدائه، فالزم عليه أو على بيع الدار، فحينئذٍ لو باعها وقع باطلاً؛ لصدق الإكراه، وعدم انصراف الأدلّة عنه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عن الإكراه بحقّ؛ لأنّ الانصراف عنه لا يلازم الانصراف عن قرينه، وهو البيع، فدعوى صحّته</w:t>
      </w:r>
      <w:r>
        <w:rPr>
          <w:rStyle w:val="FootnoteAnchor"/>
          <w:rtl w:val="true"/>
        </w:rPr>
        <w:footnoteReference w:id="185"/>
      </w: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 أحد الشخصين على فعل أو على فعلين، فإن علم أحدهما أنّه لو لم يبادر إليه بادر الآخر؛ لجبنه وضعف قلبه، فالظاهر عدم كونه مكرهاً؛ لأنّه غير ملزم بالعمل، ولا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إتيان الآخر وخوف الوقوع في المهلكة يكون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أحدهما قادراً على إكراه الآخر على العمل، فإن كان إكراهه بحقّ، فالظاهر عدم صدق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التخلّص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كان بغير حقّ؛ لأنّ إمكان التخلّص بالقبيح أو بالحرام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المستتبع للقبح العقلائي أو العقوبة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سلب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يتعلّق الإكراه بالعاقد المالك، وقد يتعلّق بالمالك دون العاقد، كما لو اُكره على التوكيل في بيع داره، فالوكالة باطلة، والعقد فضولي، إلاّ أن يجيز الوكالة، وقلنا بالكشف الحقيقي أو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عن إكراه على طلاق زوجته، فالظاهر بطلان الطلاق، ولا يمكن تصحيحه بالإجازة إلاّ على الكشف المذكور، سواء قلنا بقيام الإجماع على عدم جريان الفضولية في الإيقاعات</w:t>
      </w:r>
      <w:r>
        <w:rPr>
          <w:rStyle w:val="FootnoteAnchor"/>
          <w:rtl w:val="true"/>
        </w:rPr>
        <w:footnoteReference w:id="186"/>
      </w:r>
      <w:r>
        <w:rPr>
          <w:rFonts w:ascii="Amiri" w:hAnsi="Amiri" w:eastAsia="Amiri" w:cs="Amiri"/>
          <w:color w:val="111111"/>
          <w:sz w:val="28"/>
          <w:sz w:val="28"/>
          <w:szCs w:val="28"/>
          <w:rtl w:val="true"/>
          <w:lang w:bidi="ar-SA"/>
        </w:rPr>
        <w:t>لأنّ إنفاذ الوكالة على النقل لا يفيد إلاّ في الأعمال اللاحقة، فلا بدّ في الطلاق من إجازة مستقلّة، والمفروض عدم جريان الفضولية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بأنّ عدم جريانها على مقتضى القاعدة، بدعوى أنّ العقود إنّما تجري فيها لا لاشتمالها على ألفاظها؛ لأنّها متصرّمة ذاتاً، ولا يعتبر العقلاء بقاءها، فلاتلحقها الإجازة، ولا للنقل والانتقال الاعتباريين؛ لعدم تحقّقهما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لحيثية اُخرى مشتملة عليها العقود، وهي حيثية العقد والقرار، ولا شبهة في بقائها اعتباراً عرفاً وشرعاً، ولهذا تعلّق بها وجوب الوفاء، فيجوز لحوق الإجازة بها لتلك الحيثية الباقية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الإيقاعات، فليس لها حيثية باقية؛ فإنّ الإنشاء وألفاظه لا بقاء لهما واقعاً ولا اعتباراً، والمنشأ لم يتحقّق؛ لعدم سلطنة الفضولي على إيقاعه، </w:t>
      </w:r>
    </w:p>
    <w:p>
      <w:pPr>
        <w:pStyle w:val="BookText"/>
        <w:rPr/>
      </w:pPr>
      <w:r>
        <w:rPr>
          <w:rFonts w:ascii="Amiri" w:hAnsi="Amiri" w:eastAsia="Amiri" w:cs="Amiri"/>
          <w:color w:val="111111"/>
          <w:sz w:val="28"/>
          <w:sz w:val="28"/>
          <w:szCs w:val="28"/>
          <w:rtl w:val="true"/>
          <w:lang w:bidi="ar-SA"/>
        </w:rPr>
        <w:t>فلا شيء فيها له بقاء يمكن لحوق الإجازة به، فتأمّل؛ لأنّه سيأتي النظر فيما ذكر فانتظر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يتعلّق الإكراه بالعاقد دون المالك، كما لو أكره المالك غيره على العقد أو الإيقاع، والظاهر هنا الصحّة، لا لما قاله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المكره بالكسر قاصد لمضمون العقد وراضٍ به</w:t>
      </w:r>
      <w:r>
        <w:rPr>
          <w:rStyle w:val="FootnoteAnchor"/>
          <w:rtl w:val="true"/>
        </w:rPr>
        <w:footnoteReference w:id="188"/>
      </w:r>
      <w:r>
        <w:rPr>
          <w:rFonts w:ascii="Amiri" w:hAnsi="Amiri" w:eastAsia="Amiri" w:cs="Amiri"/>
          <w:color w:val="111111"/>
          <w:sz w:val="28"/>
          <w:sz w:val="28"/>
          <w:szCs w:val="28"/>
          <w:rtl w:val="true"/>
          <w:lang w:bidi="ar-SA"/>
        </w:rPr>
        <w:t>، المشعر أو الظاهر في أنّ المأمور غير قاصد؛ لأنّه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عبارته مسلوبة لعارض تخلّف القصد، كما نقله عن الشهيد قدّس سرّه واستحسنه</w:t>
      </w:r>
      <w:r>
        <w:rPr>
          <w:rStyle w:val="FootnoteAnchor"/>
          <w:rtl w:val="true"/>
        </w:rPr>
        <w:footnoteReference w:id="189"/>
      </w:r>
      <w:r>
        <w:rPr>
          <w:rFonts w:ascii="Amiri" w:hAnsi="Amiri" w:eastAsia="Amiri" w:cs="Amiri"/>
          <w:color w:val="111111"/>
          <w:sz w:val="28"/>
          <w:sz w:val="28"/>
          <w:szCs w:val="28"/>
          <w:rtl w:val="true"/>
          <w:lang w:bidi="ar-SA"/>
        </w:rPr>
        <w:t xml:space="preserve">فإنّ المكره غالباً قاصد لمضمونه، وبطلان عقده ليس لفقد القصد، بل لكونه مكرهاً، وللإكراه موضوعية، والقصد الناشئ عن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لمضمونه واقعاً، وإن لم يترتّب عليه وعلى العقد الواقع به أثر من حيث كونه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الظاهر من حديث الرفع هو رفع ما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منّةً على الاُمّة المرحومة، والظاهر من الرفع عنهم منّةً هو رفع ما كان في وضعه نحو ثقل وشدّة تكليفاً أو وضعاً، ولا يرتفع به مطلق الأثر ولو كان بنفع المكره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 شيء خلاف غرضه لا يوجب رفعه بالحديث؛ لأنّه لا يرفع ما يخالف أغراض المكلّفين تكويناً، بل يرفع ما له بحسب الجعل الشرعي ثقل ووزر عليهم، وإجراء صيغة الطلاق لا أثر له بالنسبة إلى المجري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تحقّق أثر ملازم أو مقارن له لا يرتفع بالحديث، فلو اُكره على طلاق ابنته، لا يكون في نفس الطلاق أثر بالنسبة إلى مجري الصيغة، وإن كان طلاقها قد يوجب وجوب نفقتها عليه، لكن مثل هذا الأمر ليس منشأً لشمول الحديث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 على أمر في وقت موسّع،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من 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الخمر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بيعه لو بادر إليه قبل ضيق الوقت، ويحرم عليه شربها كذلك، أو يبطل ويحلّ، أو يفصّل بين الوضع والتكليف؟</w:t>
      </w:r>
    </w:p>
    <w:p>
      <w:pPr>
        <w:pStyle w:val="BookText"/>
        <w:rPr/>
      </w:pPr>
      <w:r>
        <w:rPr>
          <w:rFonts w:ascii="Amiri" w:hAnsi="Amiri" w:eastAsia="Amiri" w:cs="Amiri"/>
          <w:color w:val="111111"/>
          <w:sz w:val="28"/>
          <w:sz w:val="28"/>
          <w:szCs w:val="28"/>
          <w:rtl w:val="true"/>
          <w:lang w:bidi="ar-SA"/>
        </w:rPr>
        <w:t xml:space="preserve">الظاهر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إيقاع العقد وشرب الخمر في جميع أجزاء الوقت، بعد العلم بأنّه لا يرتفع الإكراه إلى آخر الوقت، وليس له التخلّص كذلك، كما هو مفروض المسألة؛ لأنّ التخيير عقلاً في إيقاعه آخر الوقت لا يوجب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إيجاب الصلاة من دلوك الشمس إلى غسق الليل، وكون المكلّف مختاراً عقلاً في تأخيرها إلى آخر الوقت، لا يوجب عدم وقوعها على صفة الفريضة لو أتى بها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اختياره في إيقاعه في هذا المكان أو ذاك، فهو لا ينافي الإكراه، فهو مكره في صرف الوجود، ومختار في إيقاع ما اُكره عليه في هذا المكان أو الزمان أو ذاك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الفرق بين التكليف والوضع، بعد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الاختصاص بواحد منهما، فمقتضاه جواز الارتكاب في أوّل الوقت</w:t>
      </w:r>
      <w:r>
        <w:rPr>
          <w:rFonts w:eastAsia="Amiri" w:cs="Amiri" w:ascii="Amiri" w:hAnsi="Amiri"/>
          <w:color w:val="111111"/>
          <w:sz w:val="28"/>
          <w:szCs w:val="28"/>
          <w:rtl w:val="true"/>
          <w:lang w:bidi="ar-SA"/>
        </w:rPr>
        <w:t xml:space="preserve">. </w:t>
      </w:r>
      <w:bookmarkStart w:id="99" w:name="pg15204_140274"/>
    </w:p>
    <w:p>
      <w:pPr>
        <w:pStyle w:val="BookText"/>
        <w:rPr/>
      </w:pPr>
      <w:bookmarkEnd w:id="99"/>
      <w:r>
        <w:rPr>
          <w:rFonts w:ascii="Amiri" w:hAnsi="Amiri" w:eastAsia="Amiri" w:cs="Amiri"/>
          <w:color w:val="111111"/>
          <w:sz w:val="28"/>
          <w:sz w:val="28"/>
          <w:szCs w:val="28"/>
          <w:rtl w:val="true"/>
          <w:lang w:bidi="ar-SA"/>
        </w:rPr>
        <w:t>وما قيل من أنّ المكلّف غير مضطرّ في الارتكاب، وفي التكاليف لا بدّ من الاضطرار</w:t>
      </w:r>
      <w:r>
        <w:rPr>
          <w:rStyle w:val="FootnoteAnchor"/>
          <w:rtl w:val="true"/>
        </w:rPr>
        <w:footnoteReference w:id="190"/>
      </w:r>
      <w:r>
        <w:rPr>
          <w:rFonts w:ascii="Amiri" w:hAnsi="Amiri" w:eastAsia="Amiri" w:cs="Amiri"/>
          <w:color w:val="111111"/>
          <w:sz w:val="28"/>
          <w:sz w:val="28"/>
          <w:szCs w:val="28"/>
          <w:rtl w:val="true"/>
          <w:lang w:bidi="ar-SA"/>
        </w:rPr>
        <w:t>، غير مرضيّ؛ لما مرّ من أنّ دليل الرفع رافع للتكليف في مورد الإكراه، كمورد الاضطرار</w:t>
      </w:r>
      <w:r>
        <w:rPr>
          <w:rStyle w:val="FootnoteAnchor"/>
          <w:rtl w:val="true"/>
        </w:rPr>
        <w:footnoteReference w:id="191"/>
      </w:r>
      <w:r>
        <w:rPr>
          <w:rFonts w:ascii="Amiri" w:hAnsi="Amiri" w:eastAsia="Amiri" w:cs="Amiri"/>
          <w:color w:val="111111"/>
          <w:sz w:val="28"/>
          <w:sz w:val="28"/>
          <w:szCs w:val="28"/>
          <w:rtl w:val="true"/>
          <w:lang w:bidi="ar-SA"/>
        </w:rPr>
        <w:t xml:space="preserve">، والبدار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بقاء الملاك مع رفعه، لا بدّ من التأخير إلى الضيق وحصول الاضطرار، وهو غير ظاهر بعد لزوم الإتيان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قبيل العجز عن القيام في الصلاة في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التأخير إلى الأخيرة</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المقام تابع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الفعل مكرهاً عليه، وهو صادق مع البدار، وفي باب الصلاة تابع لصدق العجز، والقادر على الركعات الأوّليات ليس بعاجز، ومع إتيانها يصير عاجزاً عن الأخيرة،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الاحتياط في التأخير إلى ضيق الوقت</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758718_2142443653"/>
      <w:bookmarkStart w:id="101" w:name="_Toc35"/>
      <w:bookmarkEnd w:id="100"/>
      <w:r>
        <w:rPr>
          <w:rtl w:val="true"/>
        </w:rPr>
        <w:t>حكم الإكراه على بيع واحد غير معيّن</w:t>
      </w:r>
      <w:bookmarkEnd w:id="101"/>
    </w:p>
    <w:p>
      <w:pPr>
        <w:pStyle w:val="BookText"/>
        <w:rPr/>
      </w:pPr>
      <w:r>
        <w:rPr>
          <w:rFonts w:ascii="Amiri" w:hAnsi="Amiri" w:eastAsia="Amiri" w:cs="Amiri"/>
          <w:color w:val="111111"/>
          <w:sz w:val="28"/>
          <w:sz w:val="28"/>
          <w:szCs w:val="28"/>
          <w:rtl w:val="true"/>
          <w:lang w:bidi="ar-SA"/>
        </w:rPr>
        <w:t>ولو أكرهه على بيع واحد غير معيّن فباعهما، فإن كان الإكراه على غير معيّن بعنوانه وبما هو غير معيّن، فلا شبهة في صحّة بيع المجموع؛ لعدم الإكراه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نحو الواجب التخييري، وكان على هذا أو على ذاك بشرط عدم الاجتماع، فكذلك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لا بشرط، فإن أوقعهما تدريجاً وقع الأوّل مكرهاً عليه،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غفل الفاعل فأوجد الأوّل لحوائجه النفسانية، وأراد إيقاع الثاني امتثالاً للمكره، وقعا صحيحين؛ لعدم الإكراه على شيء منهما وإن غفل عنه الفاعل، فإنّ توهّمه الإكراه لا يوجب وقوعه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أوقعهما دفعة، فإن كان إيقاع أحدهما عن إكراه وإلزام، وأحدهما عن اضطرار وإلجاء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مع فرض بيع أحدهما صار مضطرّاً إلى 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بطلانهما؛ لأنّ أحدهما مرفوع بدليل رفع الإكراه، والآخر بدليل رفع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البيع المضطرّ إليه وقع صحيحاً؛ لأنّ البطلان خلاف الامتنان</w:t>
      </w:r>
      <w:r>
        <w:rPr>
          <w:rStyle w:val="FootnoteAnchor"/>
          <w:rtl w:val="true"/>
        </w:rPr>
        <w:footnoteReference w:id="193"/>
      </w:r>
      <w:r>
        <w:rPr>
          <w:rFonts w:ascii="Amiri" w:hAnsi="Amiri" w:eastAsia="Amiri" w:cs="Amiri"/>
          <w:color w:val="111111"/>
          <w:sz w:val="28"/>
          <w:sz w:val="28"/>
          <w:szCs w:val="28"/>
          <w:rtl w:val="true"/>
          <w:lang w:bidi="ar-SA"/>
        </w:rPr>
        <w:t>، صحيح لو كان حصول الاضطرار بحسب حوائجه، لا في مثل المقام الذي كانت صحّة أحدهما وبطلان الآخر خلاف غرضه، وموجباً لضرره أو حرجه؛ فإنّ رفعه منّة عليه، ودليل الرفع مطلق شامل للوضعيات والتكليفيات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اليد عنه في بعض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طرحه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اضطراره إلى بيع الآخر، لكن صار الإكراه في بيع أحدهما موجباً لتعلّق غرضه ببيعهما من دون الاضطرار، فمقتضى القاعدة صحّة أحدهما لا بعينه، وبطلان أحدهما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 صحّة أحدهما بأنّ لازمه مملوكية الشيء المردّد واقعاً، </w:t>
      </w:r>
    </w:p>
    <w:p>
      <w:pPr>
        <w:pStyle w:val="BookText"/>
        <w:rPr/>
      </w:pPr>
      <w:r>
        <w:rPr>
          <w:rFonts w:ascii="Amiri" w:hAnsi="Amiri" w:eastAsia="Amiri" w:cs="Amiri"/>
          <w:color w:val="111111"/>
          <w:sz w:val="28"/>
          <w:sz w:val="28"/>
          <w:szCs w:val="28"/>
          <w:rtl w:val="true"/>
          <w:lang w:bidi="ar-SA"/>
        </w:rPr>
        <w:t>وهو غير معقول، كما أنّ مالكية شخص مردّد واقعاً غير معقول، فلا بدّ من الحكم بالبطلان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دفعه بوجهين أشرنا إليهما سابقاً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هذا النحو من التملّك أمراً عقلائياً،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صحّ عند العقلاء، وكذا إذا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 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فقبلا صحّ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التمليك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للانطباق على كلّ منهما بدلاً، وهذا العنوان غير مردّد ولا مبهم، وملكيته غير ممتنعة، ويتعيّن بالقرعة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مورد القرعة ما هو معلوم واقعاً مجهول عندنا </w:t>
      </w:r>
      <w:r>
        <w:rPr>
          <w:rStyle w:val="FootnoteAnchor"/>
          <w:rtl w:val="true"/>
        </w:rPr>
        <w:footnoteReference w:id="196"/>
      </w:r>
      <w:r>
        <w:rPr>
          <w:rFonts w:ascii="Amiri" w:hAnsi="Amiri" w:eastAsia="Amiri" w:cs="Amiri"/>
          <w:color w:val="111111"/>
          <w:sz w:val="28"/>
          <w:sz w:val="28"/>
          <w:szCs w:val="28"/>
          <w:rtl w:val="true"/>
          <w:lang w:bidi="ar-SA"/>
        </w:rPr>
        <w:t xml:space="preserve">، غير صحيح، بل موردها أعمّ، كما يظهر من الأخبار الواردة فيها </w:t>
      </w:r>
      <w:r>
        <w:rPr>
          <w:rStyle w:val="FootnoteAnchor"/>
          <w:rtl w:val="true"/>
        </w:rPr>
        <w:footnoteReference w:id="19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للإنشاء المذكور سببية ناقصة عقلاً، وتتمّ بالقرعة، كما أنّ بيع الفضولي سبب ناقص يتمّ بالإجازة، فصحّته اقتضائية، فإذا ضمّ إليه المتمّم صار صحيحاً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أوجه من الوجه الأوّل؛ لأنّه لا يخلو من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الوجه يمكن رفع الإشكال العقلي عن بعض موارد وردت الروايات فيه كما لو أسلم كتابي عن أكثر من أربع</w:t>
      </w:r>
      <w:r>
        <w:rPr>
          <w:rStyle w:val="FootnoteAnchor"/>
          <w:rtl w:val="true"/>
        </w:rPr>
        <w:footnoteReference w:id="198"/>
      </w:r>
      <w:r>
        <w:rPr>
          <w:rFonts w:ascii="IRNazanin" w:hAnsi="IRNazanin" w:eastAsia="IRNazanin"/>
          <w:color w:val="111111"/>
          <w:sz w:val="28"/>
          <w:sz w:val="28"/>
          <w:szCs w:val="28"/>
          <w:rtl w:val="true"/>
          <w:lang w:bidi="fa-IR"/>
        </w:rPr>
        <w:t>، أو عقد مسلم على خمس</w:t>
      </w:r>
      <w:r>
        <w:rPr>
          <w:rStyle w:val="FootnoteAnchor"/>
          <w:rtl w:val="true"/>
        </w:rPr>
        <w:footnoteReference w:id="199"/>
      </w:r>
      <w:r>
        <w:rPr>
          <w:rFonts w:ascii="Amiri" w:hAnsi="Amiri" w:eastAsia="Amiri" w:cs="Amiri"/>
          <w:color w:val="111111"/>
          <w:sz w:val="28"/>
          <w:sz w:val="28"/>
          <w:szCs w:val="28"/>
          <w:rtl w:val="true"/>
          <w:lang w:bidi="ar-SA"/>
        </w:rPr>
        <w:t>، أو على اُختين</w:t>
      </w:r>
      <w:r>
        <w:rPr>
          <w:rStyle w:val="FootnoteAnchor"/>
          <w:rtl w:val="true"/>
        </w:rPr>
        <w:footnoteReference w:id="200"/>
      </w:r>
      <w:r>
        <w:rPr>
          <w:rFonts w:ascii="Amiri" w:hAnsi="Amiri" w:eastAsia="Amiri" w:cs="Amiri"/>
          <w:color w:val="111111"/>
          <w:sz w:val="28"/>
          <w:sz w:val="28"/>
          <w:szCs w:val="28"/>
          <w:rtl w:val="true"/>
          <w:lang w:bidi="ar-SA"/>
        </w:rPr>
        <w:t>، ففي الموارد المذكورة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يُمسك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الإشكال العقلي بأنّ الزوجة المبهمة غير ممكنة التحقّق، وصحّة الجميع لا تمكن شرعاً، ولازم بطلان الجميع إيقاع العقد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وقع عليهنّ، وفي تأثيره في الجميع مانع، والاختيار رافع للمنع شرعاً، وفي المقام القرعة متمّمة، وفي جمع الاُختين أو جمع خمس الاختيار متمّم، فلا يحتاج إلى العقد ولا الطلاق، وفي الذمّي إذا أسلم خرج الجميع بواسطة المانع عن حبالته، وبرفع المانع دخل ما لا مانع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واجب الوفاء ولو لم يؤثّر فعلاً، كالأصيل في الفضولي، وهو مقتض للتأثير، ومع رفع المانع يؤثّر أثره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أكرهه على أحدهما، فأتى بهما ثمّ أجاز، لا ينبغي الإشكال في صحّتهما، لا لأنّ أحدهما لا بعينه صحيح، والآخر محتاج إلى الإجازة؛ لأنّ ذلك باطل عرفاً وعقلاً، بل لأنّ المانع العقلي منع عن تأثير المقتضي فيهما، وبرفعه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عقد على خمس فماتت واحدة، فالظاهر صحّته في الأربع من غير احتياج إلى الاختيار؛ لأنّ الاختيار للترجيح ورفع المانع، ومع ارتفاعه عقلاً لا يحتاج إليه، وطريق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الكلام في الإكراه على الطبيعة والإتيان بأكثر من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وجه صحّتهما من أنّ بيعهما دفعة مع كون الإكراه على أحدهما، يكشف عن رضاه ببيع أحدهما، فلا يؤثّر الإكراه شيئاً؛ لأنّ المفروض أنّ ما ألزمه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أحدهما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هو راضٍ به، فلا يكون إكراهاً على ما لا يرضاه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مرضيّ؛ ضرورة أنّ أحدهما وقع مكرهاً عليه، وهو غير ما رضي به، فلولا الإكراه ما 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فالإكراه على بيع أحدهما وبعض أغراضه المترتّبة عليه، صارا سببين لإيقاعهما، فلا يعقل أن ينطبق المرضيّ به على ما اُكره عليه؛ لاختلاف سببهما وتضادّ عنوانهما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أفاده الشيخ الأعظم قدّس سرّه في وجه صحّتهما من كونه خلاف المكره عليه، وأنّ ما وقع غير مكره عليه، وما اُكره عليه لم يقع</w:t>
      </w:r>
      <w:r>
        <w:rPr>
          <w:rStyle w:val="FootnoteAnchor"/>
          <w:rtl w:val="true"/>
        </w:rPr>
        <w:footnoteReference w:id="202"/>
      </w:r>
      <w:r>
        <w:rPr>
          <w:rFonts w:ascii="Amiri" w:hAnsi="Amiri" w:eastAsia="Amiri" w:cs="Amiri"/>
          <w:color w:val="111111"/>
          <w:sz w:val="28"/>
          <w:sz w:val="28"/>
          <w:szCs w:val="28"/>
          <w:rtl w:val="true"/>
          <w:lang w:bidi="ar-SA"/>
        </w:rPr>
        <w:t>، غير مرضيّ أيضاً؛ لأنّ الإكراه على بيع أحدهما إن كان بشرط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خلاف المكره عليه؛ لكنّه غير محلّ البحث؛ فإنّ موضوعه ما إذا اُكره على أحدهما، وأوقع المكره البيع على طبق إكراهه، وهو لا يصحّ إلاّ إذا كان المكره عليه </w:t>
      </w:r>
      <w:bookmarkStart w:id="102" w:name="pg15204_140279"/>
    </w:p>
    <w:p>
      <w:pPr>
        <w:pStyle w:val="BookText"/>
        <w:rPr/>
      </w:pPr>
      <w:bookmarkEnd w:id="102"/>
      <w:r>
        <w:rPr>
          <w:rFonts w:ascii="Amiri" w:hAnsi="Amiri" w:eastAsia="Amiri" w:cs="Amiri"/>
          <w:color w:val="111111"/>
          <w:sz w:val="28"/>
          <w:sz w:val="28"/>
          <w:szCs w:val="28"/>
          <w:rtl w:val="true"/>
          <w:lang w:bidi="ar-SA"/>
        </w:rPr>
        <w:t>أحدهما لا بشرط، ومعه لا يكون إيقاعهما خلاف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ممّا تقدّم بطلان ما افيد في وجه بطلانهما جميعاً من أنّه إذا باعهما جميعاً فنسبة الإكراه والاضطرار إلى كلّ منهما على السواء، فلا يمكن الحكم بصحّة أحدهما معيّناً؛ لأنّه تخصيص بلا مخصّص، ولا أحدهما المردّد؛ لأنّه غير معقول، ولا الجميع؛ لفرض وجود الإكراه المانع عن صحّة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للتعيين بالقرعة؛ لأنّها فيما كان له تعيّن واقعي مجهول، ولا نعني بالفساد إلاّ عدم إمكان الحكم بصحّته بوجه</w:t>
      </w:r>
      <w:r>
        <w:rPr>
          <w:rStyle w:val="FootnoteAnchor"/>
          <w:rtl w:val="true"/>
        </w:rPr>
        <w:footnoteReference w:id="2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 من أنّ مورد الاضطرار كمورد الإكراه يقع في المقام باطلاً، ولا يكون أحدهما صحيحاً حتّى نحتاج إلى ما ذكر</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دفع شبهة عدم المعقولية، وقد عرفت أنّ دليل القرعة أعمّ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2758720_2142443653"/>
      <w:bookmarkStart w:id="104" w:name="_Toc36"/>
      <w:bookmarkEnd w:id="103"/>
      <w:r>
        <w:rPr>
          <w:rtl w:val="true"/>
        </w:rPr>
        <w:t>حول كلام العلاّمة في الإكراه على الطلاق</w:t>
      </w:r>
      <w:bookmarkEnd w:id="104"/>
    </w:p>
    <w:p>
      <w:pPr>
        <w:pStyle w:val="BookText"/>
        <w:rPr/>
      </w:pPr>
      <w:r>
        <w:rPr>
          <w:rFonts w:ascii="Amiri" w:hAnsi="Amiri" w:eastAsia="Amiri" w:cs="Amiri"/>
          <w:color w:val="111111"/>
          <w:sz w:val="28"/>
          <w:sz w:val="28"/>
          <w:szCs w:val="28"/>
          <w:rtl w:val="true"/>
          <w:lang w:bidi="ar-SA"/>
        </w:rPr>
        <w:t xml:space="preserve">ثمّ إنّه قد حكي عن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اُكره على الطلاق فطلّق ناوياً، فالأقرب أنّه غير مكره؛ إذ لا إكراه على القصد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في أنّه مع إمكان التورية لا يتحقّق الإكراه، وقد مرّ</w:t>
      </w:r>
      <w:r>
        <w:rPr>
          <w:rStyle w:val="FootnoteAnchor"/>
          <w:rtl w:val="true"/>
        </w:rPr>
        <w:footnoteReference w:id="207"/>
      </w:r>
      <w:r>
        <w:rPr>
          <w:rFonts w:ascii="Amiri" w:hAnsi="Amiri" w:eastAsia="Amiri" w:cs="Amiri"/>
          <w:color w:val="111111"/>
          <w:sz w:val="28"/>
          <w:sz w:val="28"/>
          <w:szCs w:val="28"/>
          <w:rtl w:val="true"/>
          <w:lang w:bidi="ar-SA"/>
        </w:rPr>
        <w:t xml:space="preserve">التفصيل بين </w:t>
      </w:r>
    </w:p>
    <w:p>
      <w:pPr>
        <w:pStyle w:val="BookText"/>
        <w:rPr/>
      </w:pPr>
      <w:r>
        <w:rPr>
          <w:rFonts w:ascii="Amiri" w:hAnsi="Amiri" w:eastAsia="Amiri" w:cs="Amiri"/>
          <w:color w:val="111111"/>
          <w:sz w:val="28"/>
          <w:sz w:val="28"/>
          <w:szCs w:val="28"/>
          <w:rtl w:val="true"/>
          <w:lang w:bidi="ar-SA"/>
        </w:rPr>
        <w:t>القادر عليها بسهولة مع عدم خوف الوقوع في الضرر، وغيره، وأنّ في الثاني لا يعتبر إمكان التخلّص بها، بل ينبغي أن يراد بإمكان التخلّص القسم الأوّل؛ إذ ليس المراد بإمكانه إمكانه الذاتي أو الوقوعي كائناً ما كان، بل ربّما صار من أخذته الدهشة والوحشة مكرهاً في قصده، ولا يمكنه عدم القصد، والظاهر أنّ ما احتملناه هو مراد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محتملات كلامه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الإكراه والرضا مستقلاًّ، فإذا اجتمعا لا يمكن تواردهما على محلّ واحد، فيستند إليهما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الصورتين يحتمل وجهان، فاختلفوا في الصحّة والفساد،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لأنّ دليل الإكراه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من قبيل المقتضي واللا مقتضي،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بالفساد؛ لأنّ الظاهر من دليل الصحّة أن يكون مستقلاًّ، لا جزء السبب،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الإكراه داعياً للداعي، فالفعل مستند إليهما طولاً، فاحتمل فيه وجهان أيضاً، وحمل كلامه عليه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مسلك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الرضا هو طيب النفس، والإكراه هو الحمل على ما يكرهه، أو بلا طيب نفس</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الثلاثة باطلة؛ لعدم إمكان </w:t>
      </w:r>
    </w:p>
    <w:p>
      <w:pPr>
        <w:pStyle w:val="BookText"/>
        <w:rPr/>
      </w:pPr>
      <w:r>
        <w:rPr>
          <w:rFonts w:ascii="Amiri" w:hAnsi="Amiri" w:eastAsia="Amiri" w:cs="Amiri"/>
          <w:color w:val="111111"/>
          <w:sz w:val="28"/>
          <w:sz w:val="28"/>
          <w:szCs w:val="28"/>
          <w:rtl w:val="true"/>
          <w:lang w:bidi="ar-SA"/>
        </w:rPr>
        <w:t>اجتماع الطيب واللاطيب استقلالاً، ولا بنحو جزء السبب، ومعه لا معنى لتأثيرهما ولا لتعارضهما، وعدم إمكان الداعي إلى الداعي؛ لأنّ الداعي الثاني يطرد الأوّل، فكيف يمكن كونه معلولاً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اجتماعهما في الصورة الاُولى، فكيف يقدّم دليل الصحّة مع حكومة دليل الرفع عليه، فمع اجتماع موضوع الدليلين في مورد يقدّم الحاكم،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حرمة الكذب أو الخمر في مورد الإكراه مقدّم؛ لأنّ التعارض من قبيل المقتضي واللا 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المقامين إلاّ بعدم الاجتماع في المقام، وهم يلتزمون باجتماعهما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الرضا هو الرضا المعاملي الحاصل حتّى بعد الإكراه، والإكراه هو الإلزام بالشيء قهراً وإن طابت نفسه فرضاً كما تقدّم</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يجتمعان في الصورة الاُولى والثالثة؛ لأنّ الرضا بحسب الحوائج إذا كان تامّاً</w:t>
      </w:r>
    </w:p>
    <w:p>
      <w:pPr>
        <w:pStyle w:val="BookText"/>
        <w:rPr/>
      </w:pPr>
      <w:r>
        <w:rPr>
          <w:rFonts w:ascii="Amiri" w:hAnsi="Amiri" w:eastAsia="Amiri" w:cs="Amiri"/>
          <w:color w:val="111111"/>
          <w:sz w:val="28"/>
          <w:sz w:val="28"/>
          <w:szCs w:val="28"/>
          <w:rtl w:val="true"/>
          <w:lang w:bidi="ar-SA"/>
        </w:rPr>
        <w:t>مستقلاًّ، لا يعقل انبعاث المأمور من الأمر والإلزام، فأمره كلا أمر، لا يوجب الإكراه كما مرّ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يعقل أن يكون الإلزام قهراً داعياً إلى الرضا، إذا اُريد به الرضا الحاصل من حوائجه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الرضا الأعمّ من الحاصل بالإكراه، فلا منع من اجتماعهما، بل في المعاملات الإكراهية يصير الإكراه داعياً إلى الاختيار والرضا المعاملي والإرادة، </w:t>
      </w:r>
    </w:p>
    <w:p>
      <w:pPr>
        <w:pStyle w:val="BookText"/>
        <w:rPr/>
      </w:pPr>
      <w:r>
        <w:rPr>
          <w:rFonts w:ascii="Amiri" w:hAnsi="Amiri" w:eastAsia="Amiri" w:cs="Amiri"/>
          <w:color w:val="111111"/>
          <w:sz w:val="28"/>
          <w:sz w:val="28"/>
          <w:szCs w:val="28"/>
          <w:rtl w:val="true"/>
          <w:lang w:bidi="ar-SA"/>
        </w:rPr>
        <w:t>ومع اجتماعهما يكون دليل الإكراه حاكماً وموجباً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الاجتماع بنحو جزء السبب، فلا مانع من اجتماع أمر القاهر والداعي النفساني الناقص، فإذا كان كلّ منهما ناقصاً في التأثير، والمجموع تامّاً، فالظاهر صحّة المعاملة؛ لأنّ الرضا حاصل، ودليل الإكراه قاصر عن شمول المورد؛ لكونه ظاهراً في الاستقلال،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وإن كان كذلك، لكن الرضا الحاصل بالإكراه مشمول له، وإنّما يدفع بالحكومة المفقودة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إشكال على القوم وعلينا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التجارة عن طيب النفس، تخرج التجارة المكرهة عن أدلّة صحّة المعاملات تخصّصاً، ومعه لا معنى لحكومة دليل الإكراه، فلا حكم حتّى يرفع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بدليل الرفع لبطلان بيع المكره غير صحيح، إلاّ أن يكون مع الغضّ عن ذلك، كالاستدلال بالأصل والدليل الاجتهادي، وهو خلاف 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الرضا إن كان بمعنى ما هو حاصل بغير إلزام وإكراه، يرد عليه الإشكال المتقدّم، وإن كان المراد القصد إلى حصول المفاد، فمع عدمه لم يكن العنوان صادقاً، والظاهر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القيد احترازي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المعاملي غير الطيب وغير القصد؛ فإنّ القصد من </w:t>
      </w:r>
    </w:p>
    <w:p>
      <w:pPr>
        <w:pStyle w:val="BookText"/>
        <w:rPr/>
      </w:pPr>
      <w:r>
        <w:rPr>
          <w:rFonts w:ascii="Amiri" w:hAnsi="Amiri" w:eastAsia="Amiri" w:cs="Amiri"/>
          <w:color w:val="111111"/>
          <w:sz w:val="28"/>
          <w:sz w:val="28"/>
          <w:szCs w:val="28"/>
          <w:rtl w:val="true"/>
          <w:lang w:bidi="ar-SA"/>
        </w:rPr>
        <w:t>صفات النفس الفعلية، والرضا من صفاتها الانفعالية، وقد مرّت التفرقة بين الرضا والطيب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فالرضا مقابل التأبّي والامتناع، سواء حصل بمقاصده النفسانية، أو بإ لزام ملزم وإكراه مكره، ولا مفهوم للوصف، مع أنّه من القيود الغالبية، فلا يكون للاحتراز، وعليه يجتمع العنوانان وتصحّ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أشرنا في أوائل البحث إلى أنّ بطلان بيع المكره عقلائي</w:t>
      </w:r>
      <w:r>
        <w:rPr>
          <w:rStyle w:val="FootnoteAnchor"/>
          <w:rtl w:val="true"/>
        </w:rPr>
        <w:footnoteReference w:id="215"/>
      </w:r>
      <w:r>
        <w:rPr>
          <w:rFonts w:ascii="Amiri" w:hAnsi="Amiri" w:eastAsia="Amiri" w:cs="Amiri"/>
          <w:color w:val="111111"/>
          <w:sz w:val="28"/>
          <w:sz w:val="28"/>
          <w:szCs w:val="28"/>
          <w:rtl w:val="true"/>
          <w:lang w:bidi="ar-SA"/>
        </w:rPr>
        <w:t xml:space="preserve">، فهل ترى من نفسك أنّ العقلاء والمحاكم العرفية، يحكمون بلزوم الوفاء بالعقد إذا ضربه وحبسه حتّى باع داره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الأدلّة الشرعية منصرفة عن مثله، ويكون هذا من أكل المال بالباطل،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لحكومة دليل الرفع، إلاّ أن يكون الاستدلال به مع الغضّ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دليل الرفع أنّ المرتفع هو الأعمال الصادرة عن إكراه أو اضطرار؛ بحيث صار الإكراه أو الاضطرار منشأً لصدورها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إيقاع البيع بحسب مقاصده النفسانية، فاُمر به واُوعد على تركه، ولا يؤثّر أمره وإيعاده في إيقاعه، لا يرتفع ذلك بالحديث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 كان من عادته شرب الخمر، اضطرّ إليه أم لا، ثمّ اضطرّ إليه، لكن شربها بمقتضى عادته، لا يرتفع حكمه بالحديث؛ إذ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بمؤونة كونه حكماً امتنانياً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ما أوقعه </w:t>
      </w:r>
      <w:bookmarkStart w:id="105" w:name="pg15204_140284"/>
    </w:p>
    <w:p>
      <w:pPr>
        <w:pStyle w:val="BookText"/>
        <w:rPr/>
      </w:pPr>
      <w:bookmarkEnd w:id="105"/>
      <w:r>
        <w:rPr>
          <w:rFonts w:ascii="IRNazanin" w:hAnsi="IRNazanin" w:eastAsia="IRNazanin"/>
          <w:color w:val="111111"/>
          <w:sz w:val="28"/>
          <w:sz w:val="28"/>
          <w:szCs w:val="28"/>
          <w:rtl w:val="true"/>
          <w:lang w:bidi="fa-IR"/>
        </w:rPr>
        <w:t>لأجل اضطراره، لا لمقاصده الاُخر مقارناً للاضطرار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العمل بداعي الإكراه، وكان مستقلاًّ في إيقاعه، فإن كان لا من جهة التخلّص عن الضرر عن نفسه، بل من جهة دفعه عن المكره،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وإلاّ قتلت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من متعلّقيه كولده ووالده، وكان عدم إيجاده موجباً لضرر عليه، فهو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أجنبيّاً، ولو كان الإتيان لأجل شفقة دينية، فغير مكره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لأجل الضرر المتوعّد به، يكون باطلاً وإن اعتقد المكره بأنّ الحذر لا يتحقّق إلاّ بإيقاعه حقيقة، فوطّن نفسه على تحقّقه، أو كان جاهلاً فوطّنها كذلك؛ لحديث الرفع، بل الظاهر أنّ مصبّ دليله مثل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العلم بالحكم وبخصوصيات الواقعة فسيأتي الكلام فيها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758722_2142443653"/>
      <w:bookmarkStart w:id="107" w:name="_Toc37"/>
      <w:bookmarkEnd w:id="106"/>
      <w:r>
        <w:rPr>
          <w:rtl w:val="true"/>
        </w:rPr>
        <w:t>عقد المكره لو تعقّبه الرضا</w:t>
      </w:r>
      <w:bookmarkEnd w:id="107"/>
    </w:p>
    <w:p>
      <w:pPr>
        <w:pStyle w:val="BookText"/>
        <w:rPr/>
      </w:pPr>
      <w:r>
        <w:rPr>
          <w:rFonts w:ascii="Amiri" w:hAnsi="Amiri" w:eastAsia="Amiri" w:cs="Amiri"/>
          <w:color w:val="111111"/>
          <w:sz w:val="28"/>
          <w:sz w:val="28"/>
          <w:szCs w:val="28"/>
          <w:rtl w:val="true"/>
          <w:lang w:bidi="ar-SA"/>
        </w:rPr>
        <w:t>ثمّ لو رضي المكره بما فعله، فهل يصحّ مطلقاً، أو لا كذلك، أو يفصّل بين الصور؟</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المكره تارة يعتقد بأنّ بيع المكره صحيح، وكان غافلاً عن التورية، فيوقعه معتقداً بصحّته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بطلانه، لكن يحتمل لحوق رضاه به بعد ذلك، ويعتقد بأنّ </w:t>
      </w:r>
    </w:p>
    <w:p>
      <w:pPr>
        <w:pStyle w:val="BookText"/>
        <w:rPr/>
      </w:pPr>
      <w:r>
        <w:rPr>
          <w:rFonts w:ascii="IRNazanin" w:hAnsi="IRNazanin" w:eastAsia="IRNazanin"/>
          <w:color w:val="111111"/>
          <w:sz w:val="28"/>
          <w:sz w:val="28"/>
          <w:szCs w:val="28"/>
          <w:rtl w:val="true"/>
          <w:lang w:bidi="fa-IR"/>
        </w:rPr>
        <w:t>لحوقه به موجب لصحّته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بطلانه، وأنّ الرضا المتأخّر لا يوجب الصحّة، أو يعلم بعدم لحوق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 لتحقّق الإنشاء جدّاً بغرض حصول مضمونه، ولا دخالة لشيء آخر في الصدق، ومجرّد كون بعض المبادئ البعيدة فيه مغايراً لما في بيع غير المكره، لا يضرّ بالصدق؛ لعدم معقولية دخالة تلك المبادئ في صدق العنوان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فبيع المكره وغيره لا يفترقان إلاّ في أنّ مبدأ اختيار الأوّل هو ترجيح البيع على الضرر المتوعّد به، ومبدأ اختيار الثاني ترجيحه بحسب مقاصده النفسانية، وذلك المبدأ البعيد لا تعقل دخالته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ترتّب الأثر الشرعي وعدمه دخيل فيه؛ لأنّ الأثر متأخّر عن عنوانه ومترتّب عليه، فلا تعقل دخالته في صدقه، ولهذا يصدق على البيع الربوي وبيع الخمر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دخالة ما هو من مبادئ الوجود أو الآثار اللاحقة به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صدقه في الصورة الثانية أيضاً؛ إذ لا يعتبر في صدقه الجزم بحصول المضمون، بل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لحوق 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تحقّق الجدّ به؛ ضرورة امتناع الجدّ بداعي سببية العقد مع العلم بعدمها، ومع فقده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النقض ببيع الفضولي وبيع المكره ولو مع العلم بلحوق الإجازة، بل بالإيجاب، بدعوى أنّ الأثر المطلوب لا يترتّب فعلاً على شيء منها؛ فإنّ </w:t>
      </w:r>
    </w:p>
    <w:p>
      <w:pPr>
        <w:pStyle w:val="BookText"/>
        <w:rPr/>
      </w:pPr>
      <w:r>
        <w:rPr>
          <w:rFonts w:ascii="Amiri" w:hAnsi="Amiri" w:eastAsia="Amiri" w:cs="Amiri"/>
          <w:color w:val="111111"/>
          <w:sz w:val="28"/>
          <w:sz w:val="28"/>
          <w:szCs w:val="28"/>
          <w:rtl w:val="true"/>
          <w:lang w:bidi="ar-SA"/>
        </w:rPr>
        <w:t>الإيجاب لا يترتّب عليه الأثر ولا يكون سبباً فعلياً إلاّ مع تعقّبه بالقبول، وكذا بيع المكره والفضولي قبل الإجازة، فيأتي الإشكال العقلي المذكور فيها، فإيقاعها لغرض ترتّب الأثر عليها غير معقول، فلا بدّ من الالتزام بعدم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العلم بترتّب الأثر عليه بعد الإجازة أو لحوق القبول، موجب لتحقّق الجدّ، فإذا علم الفضولي بأنّ إيقاع المعاملة جدّاً يترتّب عليه الأثر بعد الإجازة، وعلم بلحوقها بها، تحقّق منه الجدّ جزماً، بخلاف ما لو علم بعدم اللحوق؛ فإنّ الجدّ لا يعقل فيه، بل يكون في إنشائه كالهازل واللاغي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بالجدّ هو الجدّ في المبادلة الإنشائية، لا حصولها حقيقة؛ فإنّ الجدّ به غير معقول حتّى من الموجب في البيع الصادر من الأصيلين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الصدق العرفي في الصورتين الاُوليين في غير محلّه، سواء ادّعي أنّ المعتبر في صدقه مقارنة طيب نفس المالك به، أم ادّعي أنّ المعتبر مقارنة طيب نفس العاقد به، أو ادّعي أنّ العقد غير المؤثّر فعلاً ليس بعقد؛ فإنّ الرضا المعاملي حاصل، ولا يعتبر طيب النفس كما مرّ</w:t>
      </w:r>
      <w:r>
        <w:rPr>
          <w:rStyle w:val="FootnoteAnchor"/>
          <w:rtl w:val="true"/>
        </w:rPr>
        <w:footnoteReference w:id="217"/>
      </w:r>
      <w:r>
        <w:rPr>
          <w:rFonts w:ascii="Amiri" w:hAnsi="Amiri" w:eastAsia="Amiri" w:cs="Amiri"/>
          <w:color w:val="111111"/>
          <w:sz w:val="28"/>
          <w:sz w:val="28"/>
          <w:szCs w:val="28"/>
          <w:rtl w:val="true"/>
          <w:lang w:bidi="ar-SA"/>
        </w:rPr>
        <w:t>، ولما عرفت من عدم تعقّل دخالة ما هو من مبادئ وجود الشيء أو من آثاره في قوام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الصدق العرفي في بيع المكره والفضولي والبيع الربوي، لا ينبغي الإشكال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يدفع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المعاملة عند العرف لا يدور بين الصحّة والفساد، بل بين الصدق وعدمه؛ فإنّ البيع الواقع عن إكراه وجبر لا يكون في محيط العرف </w:t>
      </w:r>
      <w:bookmarkStart w:id="108" w:name="pg15204_140287"/>
    </w:p>
    <w:p>
      <w:pPr>
        <w:pStyle w:val="BookText"/>
        <w:rPr/>
      </w:pPr>
      <w:bookmarkEnd w:id="108"/>
      <w:r>
        <w:rPr>
          <w:rFonts w:ascii="Amiri" w:hAnsi="Amiri" w:eastAsia="Amiri" w:cs="Amiri"/>
          <w:color w:val="111111"/>
          <w:sz w:val="28"/>
          <w:sz w:val="28"/>
          <w:szCs w:val="28"/>
          <w:rtl w:val="true"/>
          <w:lang w:bidi="ar-SA"/>
        </w:rPr>
        <w:t>وفي المحاكم العرفية لازم الوفاء، ولا يرى العقلاء البائع المكره ملزماً بالوفاء</w:t>
      </w:r>
    </w:p>
    <w:p>
      <w:pPr>
        <w:pStyle w:val="BookText"/>
        <w:rPr/>
      </w:pPr>
      <w:r>
        <w:rPr>
          <w:rFonts w:ascii="IRNazanin" w:hAnsi="IRNazanin" w:eastAsia="IRNazanin"/>
          <w:color w:val="111111"/>
          <w:sz w:val="28"/>
          <w:sz w:val="28"/>
          <w:szCs w:val="28"/>
          <w:rtl w:val="true"/>
          <w:lang w:bidi="fa-IR"/>
        </w:rPr>
        <w:t>بقراره وعقده وشرطه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هذا الارتكاز، تكون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بيع المكره، بل لعلّ تلك الأدلّة إمضائية تنفيذية، لا تأسيسية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الانصراف عنه إنّما هو مع عدم لحوق الإجازة والرضا به، وإلاّ فلا شبهة في عدمه، كما أنّه مع لحوقها يكون لازماً في محيط العرف أيضاً، وهذا عين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ذلك عدم دخول البيع أوّلاً في الأدلّة، ودخوله فيها بعد لحوقها </w:t>
      </w:r>
      <w:r>
        <w:rPr>
          <w:rStyle w:val="FootnoteAnchor"/>
          <w:rtl w:val="true"/>
        </w:rPr>
        <w:footnoteReference w:id="220"/>
      </w:r>
      <w:r>
        <w:rPr>
          <w:rFonts w:ascii="Amiri" w:hAnsi="Amiri" w:eastAsia="Amiri" w:cs="Amiri"/>
          <w:color w:val="111111"/>
          <w:sz w:val="28"/>
          <w:sz w:val="28"/>
          <w:szCs w:val="28"/>
          <w:rtl w:val="true"/>
          <w:lang w:bidi="ar-SA"/>
        </w:rPr>
        <w:t>، ليس بتال فاسد، كما أنّ الفضولي كذلك؛ إذ ليس واجب الوفاء إلاّ بعد لحوقها، فيكون البيع المكره عليه بعد الإجازة داخلاً في الأدلّة العامّة، ولا بدّ من دليل مخرج</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758724_2142443653"/>
      <w:bookmarkStart w:id="110" w:name="_Toc38"/>
      <w:bookmarkEnd w:id="109"/>
      <w:r>
        <w:rPr>
          <w:rtl w:val="true"/>
        </w:rPr>
        <w:t>الاستدلال بآية التجارة على بطلان عقد المكره المتعقّب بالرضا</w:t>
      </w:r>
      <w:bookmarkEnd w:id="1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المخرج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بدعوى أنّ استثناء خصوص التجارة الناشئة عن تراضٍ من المتعاقدين، دليل </w:t>
      </w:r>
    </w:p>
    <w:p>
      <w:pPr>
        <w:pStyle w:val="BookText"/>
        <w:rPr/>
      </w:pPr>
      <w:r>
        <w:rPr>
          <w:rFonts w:ascii="Amiri" w:hAnsi="Amiri" w:eastAsia="Amiri" w:cs="Amiri"/>
          <w:color w:val="111111"/>
          <w:sz w:val="28"/>
          <w:sz w:val="28"/>
          <w:szCs w:val="28"/>
          <w:rtl w:val="true"/>
          <w:lang w:bidi="ar-SA"/>
        </w:rPr>
        <w:t>على حصر التجارة الصحيحة بها، فغيرها داخل في المستثنى منه ولو لحقته الإجازة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الحصر، وتسليم دلالتها على لزوم مقارنة الرضا للعقد ونشوئه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المقارنة بين العقد والرضا ملغاة في نظر العرف والعقلاء، فما هو موضوع في نظرهم لخروج الأكل عن كونه باطلاً، هو العقد برضاهما، سواء كان مقارناً أو متأخّراً؛ ضرورة عدم كون الأكل بالعقد الفضولي من أكل المال بالباطل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الالتزام بكونه باطلاً استثني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إلى آخره؛ ضرورة إبائه عن التخصيص إذ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الأكل بالباطل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فهم العرف من الآية الكريمة إلاّ لزوم كون التجارة برضاهما، من غير فرق بين الرضا المقارن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الإتيان بما يظهر منه المقارنة؛ لكون الغالب كذلك، لا لعناية في نشوئه منه، فالقيد غالبي لا يستفاد منه الاحتراز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المتفاهم العرفي من المستثنى منه، أنّ الباطل علّة لتعلّق الحرمة بأكل المال،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إذا كان باطلاً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ولأجل المقابلة بين المستثنى والمستثنى منه، وعدم صحّة استثناء مصداق من الباطل وإجازة أكله؛ لاستهجانه، وأنّ التجارة عن تراضٍ حقّ عرفاً لا باطل، والمناسبات المغروسة في ذهن العقلاء، يستفاد من المستثنى أنّ استثناء التجارة عن تراضٍ إنّما هو لكونها حقّاً، لا لخصوصية التجارة، ولا لخصوصية عنوان الرضا، فكما أنّ العلّة لحرمة أكل قسم من المال كونه باطلاً، كذلك العلّة في الجواز عدم بطلانه، وهو مساوق عرفاً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فالخارج هو مطلق الأكل بالحقّ، والداخل هو مطلق الأكل بالباطل، وإنّما ذكرت التجارة عن تراضٍ؛ لكونها المصداق المتداول الكثير الدور، لا لخصوصية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التجارة اللاحق بها الرضا، تكون حقّاً عرفاً لا باطلاً، فبيع الفضولي مع لحوق الإجازة به وبيع المكره كذلك، حقّ داخل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ويكون المراد من المستثنى منه حرمة أكل المال الحاصل بسبب باطل، يفهم منه ما ذكرناه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علّية الأسباب الباطلة لحرمة الأكل، فكلّ سبب باطل علّة لحرمة المال المكتسب به، وفي مقابله كلّ سبب حقّ موجب لرفع الحرمة أو لجواز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إفادة الاستثناء الحصر، كما لا يبعد بمقتضى المناسبات المذكورة، وعدم خلوّ واقعة إلاّ وأنّها إمّا داخلة في الباطل أو الحقّ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أنّ الاستثناء المنقطع في المحاورات وكلمات البلغاء، لا يكون جزافاً وبلا نكتة أدبية، وهي مختلفة، فربّما تكون النكتة ادّعاء دخول المستثنى في المستثنى منه ومن قبيل الحقائق الادّعائية،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أسداً </w:t>
      </w:r>
    </w:p>
    <w:p>
      <w:pPr>
        <w:pStyle w:val="BookText"/>
        <w:rPr/>
      </w:pP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حمار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زيداً داخل في المستثنى منه، والاستثناء لإخراجه، فهو منقطع حقيقة، ومتّصل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الانقطاع لغاية المبالغة، ويكون الممدوح مثلاً فوق تلك المدائح، وتكون هي ذمّاً بالنسبة إليه،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حيث نفي عنه ذلك لغاية المبالغة،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عيب فيه إلاّ أنّه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الاستثناء لغاية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إيراد الاستثناء لمجرّد تأكيد الحكم في المستثنى منه بوجه بليغ، لا لداعي الاستثناء جدّاً،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فأراد المتكلّم تأكيد مضمون الجملة السابقة، وعدم خروج فرد من المستثنى منه، فالاستثناء صوري لداعي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استثناءه تعالى إبليس من الملائكة من هذا القبيل، فأراد تأكيد مضمون الجملة السابقة، وإن كان بينه وبين المثال السابق فرق؛ فإنّ الحكم في المستثنى في قوله تعالى مقصود، بخلاف المثال السابق؛ لجواز أن لا يكون مراداً، ولعلّ القوم لم يكن لهم حمار نظير باب الكنايات،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الاستثناء لاحتمال دخول المستثنى في المستثنى منه، ولعلّ استثناء إبليس من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تَكُونَ تِجَارَةً عَنْ تَرَاضٍ </w:t>
      </w:r>
      <w:bookmarkStart w:id="111" w:name="pg15204_140291"/>
    </w:p>
    <w:p>
      <w:pPr>
        <w:pStyle w:val="BookText"/>
        <w:rPr/>
      </w:pPr>
      <w:bookmarkEnd w:id="111"/>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الحقائق الادّعائية، ولا لتوهّم الدخول، ولا يبعد أن يكون لتأكيد مضمون المستثنى منه، وإن كان المستثنى أيضاً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الاستثناء دليلاً على الحصر؛ أي حصر جواز الأكل في التجارة عن تراضٍ، لعدم إرادة الإخراج جدّاً، بل لإفادة عدم خروج شيء من الباطل من المستثنى منه، فكأنّه أراد استثناء غير الداخل؛ لإفادة أنّ الداخل لم يستثن منه شيء، لا أنّ المستثنى منحصر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العلّية في المستثنى، والمستثنى منه، ومقتضى المقابلة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إفادة الحصر لأجل عدم خروج شيء من الحقّ والباطل، فكلّ باطل داخل في المستثنى منه، وكلّ حقّ داخل في المستثنى، ولا ثالث لهما، فليس جواز الأكل منحصراً في التجارة عن تراضٍ، بل هو منحصر في الحقّ المقابل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لا تدلّ على بطلان عقد المكره إذا لحقته الإجازة، وأنّ الاستثناء فيها منقطع، والحصر مستفاد من الآية، لا للاستثناء، وخصوصية مقارنة الرضا ملغاة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758726_2142443653"/>
      <w:bookmarkStart w:id="113" w:name="_Toc39"/>
      <w:bookmarkEnd w:id="112"/>
      <w:r>
        <w:rPr>
          <w:rtl w:val="true"/>
        </w:rPr>
        <w:t>حول إرجاع الاستثناء المنقطع إلى المتّصل</w:t>
      </w:r>
      <w:bookmarkEnd w:id="1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الاستثناء المنقطع يرجع إلى المتّصل، ففي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القوم أعمّ منهم ومتعلّقاتهم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يرجع إلى محصّل، فهب أنّ في المثال صحّ ما ذكر على إشكال، لكن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لا يصحّ، بل الإرجاع إلى الاتّصال مستهجن وكذب وخلاف المقصود، وكذا في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عيب فيهم غير أنّ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فإنّ التقدير بما ذكره يوجب الذمّ لا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وإرجاع الآية الكريمة إلى المتّصل،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الأموال بوجه من الوجوه إلاّ التجارة عن تراضٍ؛ لأنّ غيرها باطل تعبّداً وشرعاً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كما ترى؛ ضرورة أنّ رفع اليد عنها أهون من ارتكاب هذا الأمر الركيك، الذي لا يصدر من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الاعتبارية التي يمكن أن يكون اعتبارها في محيط الشرع غير ما هي عليه في محيط العرف، إذا وقعت في لسان الشرع، تحمل على الشرعي، ضعيفة جدّاً؛ ضرورة سريان هذه الدعوى بالنسبة إلى العمومات والإطلاقات، ولازمه عدم صحّة التمسّك بها، بل اللازم صدورها بلا فائدة ولا لإفادة أمر، وهو كما ترى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أنّها غير مفيدة؛ فإنّ الحمل على الشرعي لا يوجب الاتّصال إلاّ بوجه مستهجن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الحقيقي، أقوى من ظهور الباطل في العرفي</w:t>
      </w:r>
      <w:r>
        <w:rPr>
          <w:rStyle w:val="FootnoteAnchor"/>
          <w:rtl w:val="true"/>
        </w:rPr>
        <w:footnoteReference w:id="230"/>
      </w:r>
      <w:r>
        <w:rPr>
          <w:rFonts w:ascii="Amiri" w:hAnsi="Amiri" w:eastAsia="Amiri" w:cs="Amiri"/>
          <w:color w:val="111111"/>
          <w:sz w:val="28"/>
          <w:sz w:val="28"/>
          <w:szCs w:val="28"/>
          <w:rtl w:val="true"/>
          <w:lang w:bidi="ar-SA"/>
        </w:rPr>
        <w:t>، غير صحيحة في المقام الذي ظاهره الانقطاع، عرفياً كان الباطل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الرضا المقارن لصدور التجارة، ولا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بالباطل الأسباب الباطلة، وكان المستثنى حينئذٍ سبباً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هو الرضا بنتيجة المصدر، والتجارة هي الاكتساب، وهو لا يحصل شرعاً إلاّ بعد تحقّق الرضا بناءً على النقل أو الكشف الحكمي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سديد؛ لأنّ المراد من الاكتساب إن كان حصول النفع ونقل السلعة، فلا يكون ذلك تجارة لا عرفاً، ولا شرعاً،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المجعول بسبب ألفاظ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حاصلة بإيقاع العقد لفظاً، بل لا فرق بينها وبين المصدر إلاّ اعتباراً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الآية أنّ حدوث هذا الأمر لا بدّ وأن يكون مقترناً بالرضا، مع أنّ الظاهر الذي لا ينبغي إنكاره أنّ المراد بالتجارة عن تراضٍ هو المصدر، لا اسمه حال الحدوث، فضلاً عن حال البقاء، هذا حال الآية الكريمة</w:t>
      </w:r>
      <w:r>
        <w:rPr>
          <w:rFonts w:eastAsia="Amiri" w:cs="Amiri" w:ascii="Amiri" w:hAnsi="Amiri"/>
          <w:color w:val="111111"/>
          <w:sz w:val="28"/>
          <w:szCs w:val="28"/>
          <w:rtl w:val="true"/>
          <w:lang w:bidi="ar-SA"/>
        </w:rPr>
        <w:t xml:space="preserve">. </w:t>
      </w:r>
      <w:bookmarkStart w:id="114" w:name="pg15204_140294"/>
    </w:p>
    <w:p>
      <w:pPr>
        <w:pStyle w:val="Heading5"/>
        <w:numPr>
          <w:ilvl w:val="4"/>
          <w:numId w:val="1"/>
        </w:numPr>
        <w:rPr/>
      </w:pPr>
      <w:bookmarkStart w:id="115" w:name="__RefHeading___Toc2758728_2142443653"/>
      <w:bookmarkStart w:id="116" w:name="_Toc40"/>
      <w:bookmarkEnd w:id="114"/>
      <w:bookmarkEnd w:id="115"/>
      <w:r>
        <w:rPr>
          <w:rtl w:val="true"/>
        </w:rPr>
        <w:t>الاستدلال بحديث الرفع على البطلان وإشكالي الشيخ عليه</w:t>
      </w:r>
      <w:bookmarkEnd w:id="116"/>
    </w:p>
    <w:p>
      <w:pPr>
        <w:pStyle w:val="BookText"/>
        <w:rPr/>
      </w:pPr>
      <w:r>
        <w:rPr>
          <w:rFonts w:ascii="Amiri" w:hAnsi="Amiri" w:eastAsia="Amiri" w:cs="Amiri"/>
          <w:color w:val="111111"/>
          <w:sz w:val="28"/>
          <w:sz w:val="28"/>
          <w:szCs w:val="28"/>
          <w:rtl w:val="true"/>
          <w:lang w:bidi="ar-SA"/>
        </w:rPr>
        <w:t>وأمّا حديث الرفع، فقد استشكل عليه الشيخ الأعظم قدّس سرّه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فيه المؤاخذة والأحكام المتضمّنة لمؤاخذة المكره وإلزامه بشيء، والحكم بوقوف عقده على رضاه راجع إلى أنّ له أن يرضى بذلك، وهذا حقّ له لا عليه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مع الغضّ عن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المترتّبة عليها الأحكام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آثارها على المكره، وكانت ثقيلة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رفعها عنه في الأوّل، كما أنّ الظاهر عدم رفعها في الثاني؛ لما مرّ</w:t>
      </w:r>
      <w:r>
        <w:rPr>
          <w:rStyle w:val="FootnoteAnchor"/>
          <w:rtl w:val="true"/>
        </w:rPr>
        <w:footnoteReference w:id="233"/>
      </w:r>
      <w:r>
        <w:rPr>
          <w:rFonts w:ascii="Amiri" w:hAnsi="Amiri" w:eastAsia="Amiri" w:cs="Amiri"/>
          <w:color w:val="111111"/>
          <w:sz w:val="28"/>
          <w:sz w:val="28"/>
          <w:szCs w:val="28"/>
          <w:rtl w:val="true"/>
          <w:lang w:bidi="ar-SA"/>
        </w:rPr>
        <w:t>من أنّ الظاهر من حديث الرفع، رفع ما وضع عليه لولا الإكراه بحسب الجعل الشرعي، وما كان له لا يصدق الوضع عليه والرفع عنه، ولا سيّما مع كون الحديث في مقام الامتنان على الاُمّة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ضعف احتمال التقدير في الحديث، سواء قدّرت الآثار أو المؤاخذة</w:t>
      </w:r>
      <w:r>
        <w:rPr>
          <w:rStyle w:val="FootnoteAnchor"/>
          <w:rtl w:val="true"/>
        </w:rPr>
        <w:footnoteReference w:id="234"/>
      </w:r>
      <w:r>
        <w:rPr>
          <w:rFonts w:ascii="Amiri" w:hAnsi="Amiri" w:eastAsia="Amiri" w:cs="Amiri"/>
          <w:color w:val="111111"/>
          <w:sz w:val="28"/>
          <w:sz w:val="28"/>
          <w:szCs w:val="28"/>
          <w:rtl w:val="true"/>
          <w:lang w:bidi="ar-SA"/>
        </w:rPr>
        <w:t xml:space="preserve">، وأنّ التحقيق في مثله أنّه من الحقائق </w:t>
      </w:r>
    </w:p>
    <w:p>
      <w:pPr>
        <w:pStyle w:val="BookText"/>
        <w:rPr/>
      </w:pPr>
      <w:r>
        <w:rPr>
          <w:rFonts w:ascii="Amiri" w:hAnsi="Amiri" w:eastAsia="Amiri" w:cs="Amiri"/>
          <w:color w:val="111111"/>
          <w:sz w:val="28"/>
          <w:sz w:val="28"/>
          <w:szCs w:val="28"/>
          <w:rtl w:val="true"/>
          <w:lang w:bidi="ar-SA"/>
        </w:rPr>
        <w:t>الادّعائية</w:t>
      </w:r>
      <w:r>
        <w:rPr>
          <w:rStyle w:val="FootnoteAnchor"/>
          <w:rtl w:val="true"/>
        </w:rPr>
        <w:footnoteReference w:id="235"/>
      </w:r>
      <w:r>
        <w:rPr>
          <w:rFonts w:ascii="Amiri" w:hAnsi="Amiri" w:eastAsia="Amiri" w:cs="Amiri"/>
          <w:color w:val="111111"/>
          <w:sz w:val="28"/>
          <w:sz w:val="28"/>
          <w:szCs w:val="28"/>
          <w:rtl w:val="true"/>
          <w:lang w:bidi="ar-SA"/>
        </w:rPr>
        <w:t>، يقع الكلام في أنّه هل يكون الاعتبار فيه هو ادّعاء رفع الموضوع برفع أثره عنه، ويكون الملحوظ أنّ الأثر ثقل ووزر عليه، فالموضوع مرفوع باعتبار هذا الأثر؟</w:t>
      </w:r>
    </w:p>
    <w:p>
      <w:pPr>
        <w:pStyle w:val="BookText"/>
        <w:rPr/>
      </w:pPr>
      <w:r>
        <w:rPr>
          <w:rFonts w:ascii="Amiri" w:hAnsi="Amiri" w:eastAsia="Amiri" w:cs="Amiri"/>
          <w:color w:val="111111"/>
          <w:sz w:val="28"/>
          <w:sz w:val="28"/>
          <w:szCs w:val="28"/>
          <w:rtl w:val="true"/>
          <w:lang w:bidi="ar-SA"/>
        </w:rPr>
        <w:t>أو يكون الاعتبار فيه برفع نفس الموضوع ادّعاءً، ويكون لازم هذه الدعوى ثبوت الموضوع على المكلّف؛ بمعنى أنّ المتكلّم ادّعى أنّ الموضوع ثقيل وثابت على المكلّف؟</w:t>
      </w:r>
    </w:p>
    <w:p>
      <w:pPr>
        <w:pStyle w:val="BookText"/>
        <w:rPr/>
      </w:pPr>
      <w:r>
        <w:rPr>
          <w:rFonts w:ascii="Amiri" w:hAnsi="Amiri" w:eastAsia="Amiri" w:cs="Amiri"/>
          <w:color w:val="111111"/>
          <w:sz w:val="28"/>
          <w:sz w:val="28"/>
          <w:szCs w:val="28"/>
          <w:rtl w:val="true"/>
          <w:lang w:bidi="ar-SA"/>
        </w:rPr>
        <w:t>ومصحّح هذه الدعوى أنّ أثره ثابت وثقيل عليه، فيكون الكلام مشتملاً على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ثبوت الموضوع الثقيل عليه، ومصحّحها كون أثره عليه، وهو وزر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بنفسه مرفوع، ومصحّحها رفع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الموضوع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 أي يلاحظ رفعه من حيث الأحكام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الإطلاق، ويدّعى أنّ الموضوع ثقيل مطلقاً، ولو كان ثقله بلحاظ الآثار، لكن كان ذلك جهة تعليلية لثقله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الرفع متعلّقاً بالموضوع على نحو الإطلاق، ولازمه رفع جميع آثاره؛ كانت له أو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صحّة دعوى كون الموضوع ثقيلاً بقول مطلق، لا بدّ من كون آثاره ثقيلة مطلقاً، أو غير الثقيل طفيفاً ملحقاً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مقتضى انتساب الرفع إلى الموضوع وإطلاق الدليل، هو رفعه بقول مطلق، وبرفعه ترفع الآثار مطلقاً، وهذا لا ينافي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رفع الموضوع الذي ليس أثره عليه</w:t>
      </w:r>
      <w:r>
        <w:rPr>
          <w:rStyle w:val="FootnoteAnchor"/>
          <w:rtl w:val="true"/>
        </w:rPr>
        <w:footnoteReference w:id="236"/>
      </w:r>
      <w:r>
        <w:rPr>
          <w:rFonts w:ascii="IRNazanin" w:hAnsi="IRNazanin" w:eastAsia="IRNazanin"/>
          <w:color w:val="111111"/>
          <w:sz w:val="28"/>
          <w:sz w:val="28"/>
          <w:szCs w:val="28"/>
          <w:rtl w:val="true"/>
          <w:lang w:bidi="fa-IR"/>
        </w:rPr>
        <w:t>،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ذكرناه يظهر النظر في إشكاله الثاني، حيث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الحكم الثابت للفعل المكره عليه لولا الإكراه، يرتفع عنه إذا وقع مكرهاً عليه، كالسببية المستقلّة لنقل المال، واللزوم الثابت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الناقص المترتّب عليه وبدليله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كالعلّية الناقصة المحتاجة إلى لحوق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ثابتاً له مع قطع النظر عن الإكراه، فلا يرتفع به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الرفع لم يتعلّق بالآثار، ولا باستقلال السبب والعقد، بل تعلّق بذات ما اُكره عليه، وهو العقد، ولمّا كان الرفع التكويني غير معقول، فلا محالة يحمل على الرفع الادّعائي؛ أي تنزيل الموجود منزلة المعدوم، كما أنّ الأمر كذلك في مثله في المحاورات نظماً ونثراً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الكلام من الشارع وفي محيط الشرع، لا يوجب حمله على نفي الآثار أو المؤاخذة بنحو التقدير، ولا سيّما مع اختلاف الحكم في الأخذ بما هو الشائع المتعارف؛ أي الحقيقة الادّعائية، مع الحكم في حذف الآثار أو المؤاخذة وتقديرهما، كما هو في المقام؛ فإنّ الحمل على رفع الأثر أو المؤاخذة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w:t>
      </w:r>
      <w:r>
        <w:rPr>
          <w:rFonts w:ascii="Amiri" w:hAnsi="Amiri" w:eastAsia="Amiri" w:cs="Amiri"/>
          <w:color w:val="111111"/>
          <w:sz w:val="28"/>
          <w:sz w:val="28"/>
          <w:szCs w:val="28"/>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لما أفاده من سلب الأثر الفعلي، </w:t>
      </w:r>
    </w:p>
    <w:p>
      <w:pPr>
        <w:pStyle w:val="BookText"/>
        <w:rPr/>
      </w:pPr>
      <w:r>
        <w:rPr>
          <w:rFonts w:ascii="Amiri" w:hAnsi="Amiri" w:eastAsia="Amiri" w:cs="Amiri"/>
          <w:color w:val="111111"/>
          <w:sz w:val="28"/>
          <w:sz w:val="28"/>
          <w:szCs w:val="28"/>
          <w:rtl w:val="true"/>
          <w:lang w:bidi="ar-SA"/>
        </w:rPr>
        <w:t>وهو الاستقلال في التأثير وبقاء العقد جزء العلّة، اللازم منه صيرورته مؤثّراً</w:t>
      </w:r>
    </w:p>
    <w:p>
      <w:pPr>
        <w:pStyle w:val="BookText"/>
        <w:rPr/>
      </w:pPr>
      <w:r>
        <w:rPr>
          <w:rFonts w:ascii="IRNazanin" w:hAnsi="IRNazanin" w:eastAsia="IRNazanin"/>
          <w:color w:val="111111"/>
          <w:sz w:val="28"/>
          <w:sz w:val="28"/>
          <w:szCs w:val="28"/>
          <w:rtl w:val="true"/>
          <w:lang w:bidi="fa-IR"/>
        </w:rPr>
        <w:t>بلحوق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ما ذكرناه، فالعقد بنفسه مرفوع تنزيلاً، ومع رفعه وإعدامه شرعاً وفي محيط التشريع، لا يبقى منه شيء يكون علّة ناقصة صالحة للحوق الرضا بها؛ فإنّ اعتبار بقاء العقد مع دعوى رفع ما اُكرهوا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رفع عنوان ما اُكره بما هو، والعقد المرضيّ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هذا العنوان، فالعقد إلى زمان لحوق الرضا داخل في المكره عليه، ومن زمان لحوقه داخل في المرضيّ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الخارج عن أدلّة وجوب الوفاء وصحّة العقد، هو العنوان المذكور، والعنوان المقابل له لم يكن خارجاً عنها من أوّل الأمر، فيتمسّك بإطلاقها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الحديث رفع ما اُكره عليه، وتنزيل الموجود منزلة المعدوم؛ فإنّ الكلام هاهنا في أنّ ما نزّل منزلة العدم ليس ذات العقد، بل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بحيث يكون الإكراه جهة تقييدية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نزّل منزلة العدم هذا العنوان،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 موضوع المكره عليه والمرضيّ به عرفي، والموضوع في الرتبة السابقة على تعلّق الحكم، والعقد العرفي المكره عليه باقٍ بنظر العرف إلى زمان لحوق الرضا، ويخرج بلحوقه به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العنوان لم يكن داخلاً فيه من أوّل الأمر، فما جعل منزلة العدم هو هذا العنوان، لا العنوان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العنوان جهة تعليلية لتمّ ما ذكرناه أيضاً؛ لأنّه على هذا الفرض تكون العلّة علّة واقعية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كذلك في سائر فقرات الحديث،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يعلمون وما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فرض كون العنوان تعليلاً، لا يمكن أن يجعل حدوثه علّة لرفع الحكم مطلقاً ولو مع سلب الاضطرار والجهل، كما هو ظاهر، وهكذا الأمر فيما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كناية عن ذوات العناوين كالبيع ونحوه، أو مأخوذ بعنوانه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العنوان مع قيده إلاّ على البيع حال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الأوّل لو كان الإكراه علّة للرفع؛ ضرورة عدم تجاوز المعلول عن حدود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الإكراه نكتة للجعل، يكون المرفوع ذات البيع بلا قيد، ففي هذه الصورة لا يمكن إلحاق الرضا به بعد فرضه معدوماً في لحاظ الشارع، بخلاف الفرضين الأوّلين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الفرضين لا يتمّ المطلوب إلاّ مع إطلاق أدلّة التنفيذ،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بعد دعوى إلغاء الخصوصية، </w:t>
      </w:r>
    </w:p>
    <w:p>
      <w:pPr>
        <w:pStyle w:val="BookText"/>
        <w:rPr/>
      </w:pPr>
      <w:r>
        <w:rPr>
          <w:rFonts w:ascii="Amiri" w:hAnsi="Amiri" w:eastAsia="Amiri" w:cs="Amiri"/>
          <w:color w:val="111111"/>
          <w:sz w:val="28"/>
          <w:sz w:val="28"/>
          <w:szCs w:val="28"/>
          <w:rtl w:val="true"/>
          <w:lang w:bidi="ar-SA"/>
        </w:rPr>
        <w:t>وكون الموضوع نفس التجارة، خرج منها التجارة عن إكراه، وبقي الباقي بأصالة الإطلاق، هذا إذا كان الدليل هو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المشتمل على عموم لفظي دالّ على وجوب الوفاء بكلّ فرد، وإطلاق بالنسبة إلى حالات الأفراد بعد كونه في مقام البيان، فلو شكّ في فرد أنّه بنفسه موضوع الحكم أو مع قيد، يرفع الشكّ بالإطلاق 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اُحرز أنّ دليل الرفع مخصّص للعموم؛ بدعوى أنّ الموصول كناية عن الذات، وقيد الإكراه نكتة الجعل، فالمرفوع هو ذات البيع، ولا يصحّ التمسّك بالعموم؛ لأنّ الحالات غير مشمولة له، والتخصيص ثابت فرضاً، ولا بالإطلاق؛ لرفع موضوعه، بل لعدم الشكّ بعد إحراز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اُحرز أنّه مقيّد لإطلاق الفرد، يؤخذ بالإطلاق في غير مورد الإحراز لو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يحرز واحد منهما، فقد يتوهّم أنّ العلم الإجمالي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التخصيص 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سقوط العامّ والمطلق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الإطلاق في المورد غير أصيلة؛ لأنّ مصبّها فيما إذا شكّ في المراد، لا فيما إذا علم المراد، وشكّ في كون الخروج من قبيل التقييد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جريان أصالة الإطلاق لدخول حال الإكراه باطل؛ للعلم بخروجه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لأجل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ورود التخصيص في العامّ، لا التقييد في </w:t>
      </w:r>
    </w:p>
    <w:p>
      <w:pPr>
        <w:pStyle w:val="BookText"/>
        <w:rPr/>
      </w:pP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أفحش؛ إذ يلزم من الإجراء عدم الإجراء، فإنّ العموم موضوع للإطلاق، وبالتخصيص يرفع الموضوع، فيلزم من إجراء أصالة الإطلاق ورود التخصيص على العامّ فرضاً، وهو رافع لموضوع الإطلاق، ومستلزم لعدم جريان أصالة الإطلاق، فيلزم من وجودها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التحقيق كما أشرنا إليه سابقاً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المكره عليه ولو كان عقداً عرفاً، لكن لا يكون المكره ملزماً بالوفاء به عند العقلاء، ولو لحق الرضا صار تامّاً لازم العمل عرفاً من غير لزوم تجديد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العامّة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عقد المكره، وغير منصرفة عمّا لحقه الرضا، ودليل الرفع لا يفيد في العقود إلاّ ما لدى العقلاء، كما أنّ الأدلّة العامّة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لحوق الرضا موجب لصحّة العقد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 يترتّب عليه الأثر الناقص إلاّ بدليل الإكراه، ومثله ما لا يرتفع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الأثر عقلي قهري يحصل 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وجيه؛ لأنّ العقد مع الغضّ عن الحديث جزء الموضوع، وجزؤه الآخر الرضا المعاملي، وأنّ أثر الناقص عقلائي ممضى من الشارع الأقدس، ولا يختصّ الرفع بالآثار التأسيسية، فتدبّر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عن الكشف والنقل يأتي في الفضولي إن شاء اللّه تعالى</w:t>
      </w:r>
      <w:r>
        <w:rPr>
          <w:rFonts w:eastAsia="Amiri" w:cs="Amiri" w:ascii="Amiri" w:hAnsi="Amiri"/>
          <w:color w:val="111111"/>
          <w:sz w:val="28"/>
          <w:szCs w:val="28"/>
          <w:rtl w:val="true"/>
          <w:lang w:bidi="ar-SA"/>
        </w:rPr>
        <w:t xml:space="preserve">. </w:t>
      </w:r>
      <w:bookmarkStart w:id="117" w:name="pg15204_140301"/>
    </w:p>
    <w:p>
      <w:pPr>
        <w:pStyle w:val="Heading3"/>
        <w:numPr>
          <w:ilvl w:val="2"/>
          <w:numId w:val="1"/>
        </w:numPr>
        <w:rPr/>
      </w:pPr>
      <w:bookmarkStart w:id="118" w:name="__RefHeading___Toc2758730_2142443653"/>
      <w:bookmarkStart w:id="119" w:name="_Toc41"/>
      <w:bookmarkEnd w:id="117"/>
      <w:bookmarkEnd w:id="118"/>
      <w:r>
        <w:rPr>
          <w:rtl w:val="true"/>
        </w:rPr>
        <w:t>الشرط الرابع</w:t>
      </w:r>
      <w:r>
        <w:rPr>
          <w:rtl w:val="true"/>
        </w:rPr>
        <w:t xml:space="preserve">: </w:t>
      </w:r>
      <w:r>
        <w:rPr>
          <w:rtl w:val="true"/>
        </w:rPr>
        <w:t>كون المتعاقدين نافذي التصرّف</w:t>
      </w:r>
      <w:bookmarkEnd w:id="119"/>
    </w:p>
    <w:p>
      <w:pPr>
        <w:pStyle w:val="Heading4"/>
        <w:numPr>
          <w:ilvl w:val="3"/>
          <w:numId w:val="1"/>
        </w:numPr>
        <w:rPr/>
      </w:pPr>
      <w:bookmarkStart w:id="120" w:name="__RefHeading___Toc2758732_2142443653"/>
      <w:bookmarkStart w:id="121" w:name="_Toc42"/>
      <w:bookmarkEnd w:id="120"/>
      <w:r>
        <w:rPr>
          <w:rtl w:val="true"/>
        </w:rPr>
        <w:t>مسألة اعتبار كون المتعاقدين نافذي التصرّف</w:t>
      </w:r>
      <w:bookmarkEnd w:id="1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2758734_2142443653"/>
      <w:bookmarkStart w:id="123" w:name="_Toc43"/>
      <w:bookmarkEnd w:id="122"/>
      <w:r>
        <w:rPr>
          <w:rtl w:val="true"/>
        </w:rPr>
        <w:t>إشارة</w:t>
      </w:r>
      <w:bookmarkEnd w:id="12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204_140303"/>
      <w:bookmarkStart w:id="125" w:name="pg15204_140303"/>
      <w:bookmarkEnd w:id="125"/>
    </w:p>
    <w:p>
      <w:pPr>
        <w:pStyle w:val="BookText"/>
        <w:rPr/>
      </w:pPr>
      <w:bookmarkStart w:id="126" w:name="pg15204_140303"/>
      <w:bookmarkEnd w:id="126"/>
      <w:r>
        <w:rPr>
          <w:rFonts w:ascii="Amiri" w:hAnsi="Amiri" w:eastAsia="Amiri" w:cs="Amiri"/>
          <w:color w:val="111111"/>
          <w:sz w:val="28"/>
          <w:sz w:val="28"/>
          <w:szCs w:val="28"/>
          <w:rtl w:val="true"/>
          <w:lang w:bidi="ar-SA"/>
        </w:rPr>
        <w:t>ومن شروط المتعاقدين أن يكونا نافذي التصرّف، كالمالك غير الممنوع بحجر، والوليّ الشرعي، فعقد الفضولي لا يصحّ فعلاً، ولا يترتّب عليه أثر قبل لحوق الإجازة به، سواء كان الفضولي مالكاً غير نافذ التصرّف كالمحجور عليه، أو غير مالك كذلك</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758736_2142443653"/>
      <w:bookmarkStart w:id="128" w:name="_Toc44"/>
      <w:bookmarkEnd w:id="127"/>
      <w:r>
        <w:rPr>
          <w:rtl w:val="true"/>
        </w:rPr>
        <w:t>في جريان الفضولي في الإيقاعات</w:t>
      </w:r>
      <w:bookmarkEnd w:id="128"/>
    </w:p>
    <w:p>
      <w:pPr>
        <w:pStyle w:val="BookText"/>
        <w:rPr/>
      </w:pPr>
      <w:r>
        <w:rPr>
          <w:rFonts w:ascii="Amiri" w:hAnsi="Amiri" w:eastAsia="Amiri" w:cs="Amiri"/>
          <w:color w:val="111111"/>
          <w:sz w:val="28"/>
          <w:sz w:val="28"/>
          <w:szCs w:val="28"/>
          <w:rtl w:val="true"/>
          <w:lang w:bidi="ar-SA"/>
        </w:rPr>
        <w:t>ثمّ إنّ المعروف بينهم عدم جريان الفضولي في الإيقاعات</w:t>
      </w:r>
      <w:r>
        <w:rPr>
          <w:rStyle w:val="FootnoteAnchor"/>
          <w:rtl w:val="true"/>
        </w:rPr>
        <w:footnoteReference w:id="244"/>
      </w:r>
      <w:r>
        <w:rPr>
          <w:rFonts w:ascii="Amiri" w:hAnsi="Amiri" w:eastAsia="Amiri" w:cs="Amiri"/>
          <w:color w:val="111111"/>
          <w:sz w:val="28"/>
          <w:sz w:val="28"/>
          <w:szCs w:val="28"/>
          <w:rtl w:val="true"/>
          <w:lang w:bidi="ar-SA"/>
        </w:rPr>
        <w:t>، فهل هو بمقتضى القواعد، بعد تسليم كونه في العقود على القواعد؟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كون جريانه في العقود مقتضى القاعدة، إمّا للبناء على أنّ لحوق الإجازة بالإنشاء الذي كان موجوداً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لم يكن موجوداً في حال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سبباً لصيرورة العقد عقد المجيز،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المراد به وبنحوه وجوب الوفاء بعقودكم</w:t>
      </w:r>
      <w:r>
        <w:rPr>
          <w:rStyle w:val="FootnoteAnchor"/>
          <w:rtl w:val="true"/>
        </w:rPr>
        <w:footnoteReference w:id="245"/>
      </w:r>
      <w:r>
        <w:rPr>
          <w:rFonts w:ascii="Amiri" w:hAnsi="Amiri" w:eastAsia="Amiri" w:cs="Amiri"/>
          <w:color w:val="111111"/>
          <w:sz w:val="28"/>
          <w:sz w:val="28"/>
          <w:szCs w:val="28"/>
          <w:rtl w:val="true"/>
          <w:lang w:bidi="ar-SA"/>
        </w:rPr>
        <w:t>، وسيأتي الكلام فيه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للبناء على أنّ العقد جزء السبب للنقل العقلائي، وجزؤه الآخر الإجازة، كما أنّ الإيجاب جزؤه، والقبول متمّمه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للبناء على أنّ لحوقها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القرار الذي بين الفضوليين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لذلك، وهذا؛ أي المعاقدة والقرار بينهما، موجود اعتباراً إلى زمان لحوق الإجازة، فتلحق بذلك الأمر الموجود اعتباراً، فيصير العقد بلحوقها عقداً للأصيل، فتشمله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للبناء على أنّ دائرة العمومات أوسع ممّا ذكروه، فلا يلزم أن يكون العقد عقداً للأصيل ومنسوباً إليه حتّى يجب الوفاء به، ولا التجارة تجارة له برضاه حتّى تكون خارجة عن المستثنى منه، وإن كان ذلك مقتضى الجمود على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استفادة لزوم الوفاء والدخول في المستثنى بالنسبة إلى العقد والقرار الذي هو بين الفضوليين بلحوق الإجازة، وإن لم يصر منسوباً إلى الأصيل ولا عقداً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والإنفاذ والإمضاء إنفاذ وإمضاء لما فعل الفضوليان؛ أي قرار تبادل مال الأصيل مع مال أصيل آخر، وإنفاذ ذلك موجب لوجوب الوفاء </w:t>
      </w:r>
    </w:p>
    <w:p>
      <w:pPr>
        <w:pStyle w:val="BookText"/>
        <w:rPr/>
      </w:pPr>
      <w:r>
        <w:rPr>
          <w:rFonts w:ascii="Amiri" w:hAnsi="Amiri" w:eastAsia="Amiri" w:cs="Amiri"/>
          <w:color w:val="111111"/>
          <w:sz w:val="28"/>
          <w:sz w:val="28"/>
          <w:szCs w:val="28"/>
          <w:rtl w:val="true"/>
          <w:lang w:bidi="ar-SA"/>
        </w:rPr>
        <w:t>بالعقد ولو كان القرار من غيره، فقرار غيره وعقده بالنسبة إلى ماله المتعقّب بإجازته، موضوع وجوب وفائه، فيجب عليه الوفاء بالعقد الواقع من الفضولي على ماله بعد إنفاذه وإمضائه، فتشمله العمومات ولو بمناسبات مغروسة في أذهان العرف، وسيأتي الكلام فيه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الأوّل، لكان جريان الفضولي في الإيقاعات أيضاً موافقاً للقواعد؛ لأنّ المفروض أنّ لحوق الإجازة بالإنشاء الموجود في ظرفه، مبنى صيرورة العقد عقداً له؛ ومبنى جريانه فيه، وهو بعينه موجود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الثاني، يجري في الإيقاعات أيضاً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فيها على القواعد؛ لأنّ المعاقدة والمعاهدة والقرار المتحقّقة في العقود الباقية إلى زمان الإجازة اعتباراً، غير موجودة في الإيقاعات، وليس فيها سوى ألفاظ الإنشاء والمعنى المنشأ، اللذين لا بقاء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الإجازة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فإنشاء الطلاق والتحرير من غير الأصيل لا يبقى منه شيء ولو اعتباراً إلى زمان الإجازة؛ لأنّ الألفاظ متصرّمة غير باقية لا واقعاً، ولا اعتباراً لدى العرف، والمنشأ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 الزوجية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وليس له إلاّ وجود اعتباري لم يعتبره الشارع ولا العقلاء إذا أنشأه الفضولي، ولا شيء آخر وراءهما يعتبر باقياً، بخلاف العقود، فإنّ فيها وراءهما شيء آخر، هو ماهية العقد حقيقة، </w:t>
      </w:r>
    </w:p>
    <w:p>
      <w:pPr>
        <w:pStyle w:val="BookText"/>
        <w:rPr/>
      </w:pPr>
      <w:r>
        <w:rPr>
          <w:rFonts w:ascii="Amiri" w:hAnsi="Amiri" w:eastAsia="Amiri" w:cs="Amiri"/>
          <w:color w:val="111111"/>
          <w:sz w:val="28"/>
          <w:sz w:val="28"/>
          <w:szCs w:val="28"/>
          <w:rtl w:val="true"/>
          <w:lang w:bidi="ar-SA"/>
        </w:rPr>
        <w:t>وهو القرار والعهد بين المتعاقدين الذي له نحو بقاء اعتباراً لدى العقلاء، وهو صالح للحوق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البقاء اعتباراً في العقود هو الوجود الإنشائي المنشأ بالألفاظ، ويكون موضوعاً لبناء العقلاء على ترتيب الآثار؛ أي اعتبار النقل عقيبه إذا صدر من الأصيل، وهذا هو الباقي، وتلحقه الإجازة، لا القرار والعهد الذي له وجود حقيقي ينعدم بتمامية العقد أو بالذهول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العقد هو القرار والعهد، بل هو عبارة عن العقدة الحاصلة بين العينين؛ باعتبار التبادل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أو الوجود الإنشائي الذي هو موضوع اعتبار الأثر لدى الشارع الأقدس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الإيقاعات أيضاً؛ فإنّ الفكّ الإنشائي من الاعتبارات العقلائية الحاصل بإنشاء الفكّ، وهو موضوع للفكّ الحقيقي الذي هو أثره وإن كان اعتبارياً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فالتبادل الإنشائي موضوع لاعتبار التبادل الحقيقي ولو كان وجوده الحقيقي اعتبارياً، لكنّه غير الوجود الإنشائي المتحقّق في عقد الأصيل والفضولي، وهذا المعنى الإنشائي الموضوع للأثر موجود في الإيقاعات، وباقٍ اعتباراً إلى زمان لحوق الإجازة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أنّ العقد عبارة عن هذا التبادل الإنشائي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صدق التعاريف التي في البيع ونحوه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التبادل الحقيقي لا واقعية له إلاّ باعتبار العقلاء، ولا يعقل إيجاد اعتبارهم؛ فإنّ له مبادئ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ولا واقعية للتبادل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يكون ذلك أثر إنشائهما، وليس إنشاؤهما مجرّد </w:t>
      </w:r>
    </w:p>
    <w:p>
      <w:pPr>
        <w:pStyle w:val="BookText"/>
        <w:rPr/>
      </w:pPr>
      <w:r>
        <w:rPr>
          <w:rFonts w:ascii="Amiri" w:hAnsi="Amiri" w:eastAsia="Amiri" w:cs="Amiri"/>
          <w:color w:val="111111"/>
          <w:sz w:val="28"/>
          <w:sz w:val="28"/>
          <w:szCs w:val="28"/>
          <w:rtl w:val="true"/>
          <w:lang w:bidi="ar-SA"/>
        </w:rPr>
        <w:t>لفظ خال عن المعنى، فلا يبقى إلاّ المعنى الإنشائي المستتبع للإيقاع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فالمنشأ هو التبادل الإنشائي الإيقاعي، وهو موضوع لاعتبار التبادل الواقعي، وهو حاصل في العقود والإيقاعات، فجريان الفضولي فيها على القاعدة،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العقود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جريان الفضولية فيها مع الغضّ عنه أيضاً؛ فإنّ القرار بين المتعاقدين، ليس إلاّ بناء كلّ منهما على كون ماله عوضاً عن مال صاحبه، فإذا اُنشئت المعاملة مع هذا البناء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القرار بينهما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البناء بعينه موجود في الإيقاع؛ فإنّ منشئ الطلاق بناؤه على إيقاعه بلفظ كذا، فلو كان منشأ صحّة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والبناء من الطرفين، يكون منشأها في الإيقاع هو البناء من الشخص الواحد، لكنّ المبنى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والإيقاع مشتركان في المبادئ الوجودية من التصوّر إلى إرادة الإيجاد، وفي الإنشاء، وأسباب الإنشاء، وفي حصول النتيجة بالإنشاء، فلو كان العقد لسببه مع ضمّ المتمّم، أو لوجوده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موافقاً للقواعد، كان الإيقاع كذلك، وظاهر أنّ المبادئ والنتائج خارجتان عن ماهية المعاملة، وستأتي تتمّة البحث إن شاء اللّه‌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الكلام ممّا ذكر على المبنى الرابع أيضاً</w:t>
      </w:r>
      <w:r>
        <w:rPr>
          <w:rFonts w:eastAsia="Amiri" w:cs="Amiri" w:ascii="Amiri" w:hAnsi="Amiri"/>
          <w:color w:val="111111"/>
          <w:sz w:val="28"/>
          <w:szCs w:val="28"/>
          <w:rtl w:val="true"/>
          <w:lang w:bidi="ar-SA"/>
        </w:rPr>
        <w:t xml:space="preserve">. </w:t>
      </w:r>
      <w:bookmarkStart w:id="129" w:name="pg15204_140308"/>
    </w:p>
    <w:p>
      <w:pPr>
        <w:pStyle w:val="BookText"/>
        <w:rPr/>
      </w:pPr>
      <w:bookmarkEnd w:id="129"/>
      <w:r>
        <w:rPr>
          <w:rFonts w:ascii="Amiri" w:hAnsi="Amiri" w:eastAsia="Amiri" w:cs="Amiri"/>
          <w:color w:val="111111"/>
          <w:sz w:val="28"/>
          <w:sz w:val="28"/>
          <w:szCs w:val="28"/>
          <w:rtl w:val="true"/>
          <w:lang w:bidi="ar-SA"/>
        </w:rPr>
        <w:t>والظاهر عدم قيام دليل معتمد عليه على بطلان الفضولي فيها، والإجماع</w:t>
      </w:r>
      <w:r>
        <w:rPr>
          <w:rStyle w:val="FootnoteAnchor"/>
          <w:rtl w:val="true"/>
        </w:rPr>
        <w:footnoteReference w:id="249"/>
      </w:r>
      <w:r>
        <w:rPr>
          <w:rFonts w:ascii="Amiri" w:hAnsi="Amiri" w:eastAsia="Amiri" w:cs="Amiri"/>
          <w:color w:val="111111"/>
          <w:sz w:val="28"/>
          <w:sz w:val="28"/>
          <w:szCs w:val="28"/>
          <w:rtl w:val="true"/>
          <w:lang w:bidi="ar-SA"/>
        </w:rPr>
        <w:t>غير ثابت حتّى في الطلاق والعتاق، بل ظاهر بعض النصوص جريانه في الطلاق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758738_2142443653"/>
      <w:bookmarkStart w:id="131" w:name="_Toc45"/>
      <w:bookmarkEnd w:id="130"/>
      <w:r>
        <w:rPr>
          <w:rtl w:val="true"/>
        </w:rPr>
        <w:t>هل العقد المقرون برضا المالك باطناً من دون إذن منه فضولي؟</w:t>
      </w:r>
      <w:bookmarkEnd w:id="131"/>
    </w:p>
    <w:p>
      <w:pPr>
        <w:pStyle w:val="BookText"/>
        <w:rPr/>
      </w:pPr>
      <w:r>
        <w:rPr>
          <w:rFonts w:ascii="Amiri" w:hAnsi="Amiri" w:eastAsia="Amiri" w:cs="Amiri"/>
          <w:color w:val="111111"/>
          <w:sz w:val="28"/>
          <w:sz w:val="28"/>
          <w:szCs w:val="28"/>
          <w:rtl w:val="true"/>
          <w:lang w:bidi="ar-SA"/>
        </w:rPr>
        <w:t xml:space="preserve">وهل البيع المقارن لرضا المالك وطيب نفسه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حصول إذن منه صريحاً، أو بالفحوى، أو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الفضولي أو لا؟</w:t>
      </w:r>
    </w:p>
    <w:p>
      <w:pPr>
        <w:pStyle w:val="BookText"/>
        <w:rPr/>
      </w:pPr>
      <w:r>
        <w:rPr>
          <w:rFonts w:ascii="Amiri" w:hAnsi="Amiri" w:eastAsia="Amiri" w:cs="Amiri"/>
          <w:color w:val="111111"/>
          <w:sz w:val="28"/>
          <w:sz w:val="28"/>
          <w:szCs w:val="28"/>
          <w:rtl w:val="true"/>
          <w:lang w:bidi="ar-SA"/>
        </w:rPr>
        <w:t>اختار الشيخ الأعظم قدّس سرّه ثانيهما، متمسّكاً بالأدلّة العامّة والخاصّة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بعضهم التفصيل بين ما يكون العقد صادراً من غير المالك، وما يكون صادراً منه، وإن احتاج إلى الإجازة كبيع الراهن والعبد؛ بدعوى أنّ الرضا في الأوّل لا يجعل عقد الغير عقده، فلا تشمله العمومات،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الظاهر في وجوب الوفاء بالعقد الصادر منه، لا مطلق العقد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بالمعنى المصدري وإن لم ينسب إلى الراضي ولا المجيز </w:t>
      </w:r>
      <w:bookmarkStart w:id="132" w:name="pg15204_140309"/>
    </w:p>
    <w:p>
      <w:pPr>
        <w:pStyle w:val="BookText"/>
        <w:rPr/>
      </w:pPr>
      <w:bookmarkEnd w:id="132"/>
      <w:r>
        <w:rPr>
          <w:rFonts w:ascii="Amiri" w:hAnsi="Amiri" w:eastAsia="Amiri" w:cs="Amiri"/>
          <w:color w:val="111111"/>
          <w:sz w:val="28"/>
          <w:sz w:val="28"/>
          <w:szCs w:val="28"/>
          <w:rtl w:val="true"/>
          <w:lang w:bidi="ar-SA"/>
        </w:rPr>
        <w:t xml:space="preserve">في الفضولي بالرضا والإجازة؛ لأنّ انتساب الفعل إليهما لا بدّ فيه من التسبيب المفقود في المقام، لكن نفس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حاصل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بالإجازة والرضا والإمضاء منسوباً إليه،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بعقودكم، لا بما عقدتم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الإجازة والإمضاء والإنفاذ في الفضولي عبارة عن تثبيت ما صدر عن الغير، فاعتبارها ملازم للحاظ صدور الفعل من الغير واعتبار كونه فعله، غاية الأمر أنّ المجيز ينفذ ما صدر من غيره في ماله، ومع مفروضية صدور البيع من الغير ولحاظ ذلك، لا يعقل صيرورة المجاز فعلاً له، سواء اُريد به الفعل بالمعنى المصدري، أو بمعنى حاصل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التفكيك بينهما غير وجيه، فكيف يمكن أن يكون العقد الصادر من الغير غير منسوب إلى الأصيل، وحاصله منسوباً إليه وعقداً له؟</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بنفسها تدفع انتساب الفعل إلى المجيز، فتصحيح الفضولي بما ذكر وجعله موافقاً للقواعد، غير وجيه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758740_2142443653"/>
      <w:bookmarkStart w:id="134" w:name="_Toc46"/>
      <w:bookmarkEnd w:id="133"/>
      <w:r>
        <w:rPr>
          <w:rtl w:val="true"/>
        </w:rPr>
        <w:t>في تصحيح عقد الفضولي وجعله موافقاً للقاعدة</w:t>
      </w:r>
      <w:bookmarkEnd w:id="1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الفضولي موافق للقواعد وإن لم تشمله العمومات؛ وذلك لأنّه عقد عقلائي، ومع لحوق الإجازة به صحيح لازم عند العقلاء، ومتعارف في سوق المسلمين؛ لأنّ عمل الدلاّلين كثيراً ما يكون من قبيله، لا من قبيل الوكالة، وبعد كونه عقلائياً متداولاً لدى العقلاء، لا بدّ في </w:t>
      </w:r>
    </w:p>
    <w:p>
      <w:pPr>
        <w:pStyle w:val="BookText"/>
        <w:rPr/>
      </w:pPr>
      <w:r>
        <w:rPr>
          <w:rFonts w:ascii="Amiri" w:hAnsi="Amiri" w:eastAsia="Amiri" w:cs="Amiri"/>
          <w:color w:val="111111"/>
          <w:sz w:val="28"/>
          <w:sz w:val="28"/>
          <w:szCs w:val="28"/>
          <w:rtl w:val="true"/>
          <w:lang w:bidi="ar-SA"/>
        </w:rPr>
        <w:t>الحكم بفساده من ورود ردع عنه، ومع عدمه يحكم بصحّته ولزومه شرعاً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تعارفه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اتّصاله بعصر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ومجرّد ارتكاز العقلاء على عدم الفرق بينه مع لحوق الإجازة، وبين بيع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التعارف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الفضولي مع مقارنته لرضا المالك مشمول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 مِنْكُمْ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لأنّ التقييد بعقودكم أو تجارتكم أو بيعكم ليس في الأدلّة، وإنّما هو من باب الانصراف، ولا تنصرف الأدلّة إلاّ عن أجنبيّ لا تنسب إليه المذكورات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المأذون فيها والمجازة والمرضيّ بها، فلا وجه لانصرافها عنها، بعد كونها صحيحة لازمة عرفاً وفي محيط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أذن المالك لغيره في عقد، فلا شبهة في صحّته وخروجه عن الفضولي، مع أنّ الإذن والرخصة لا يوجب أن يصير العقد عقده، لا بالتسبيب، ولا بالمباشرة، والإذن غير الوكالة، وغير الأمر المولوي من القاهر الغالب الموجب للسببية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الوكالة أيضاً لا يصدق كون الصادر من الوكيل عقداً للموكّل إلاّ مسامحة؛ فإنّ اعتبارها هو إيكال الأمر إلى غيره، ولهذا لو استفسر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 بنفسك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باع وكيلي بإذني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فالانتساب إلى الموكّل بنحو من المسامحة، وهو حاصل في الفضولي مع </w:t>
      </w:r>
    </w:p>
    <w:p>
      <w:pPr>
        <w:pStyle w:val="BookText"/>
        <w:rPr/>
      </w:pPr>
      <w:r>
        <w:rPr>
          <w:rFonts w:ascii="Amiri" w:hAnsi="Amiri" w:eastAsia="Amiri" w:cs="Amiri"/>
          <w:color w:val="111111"/>
          <w:sz w:val="28"/>
          <w:sz w:val="28"/>
          <w:szCs w:val="28"/>
          <w:rtl w:val="true"/>
          <w:lang w:bidi="ar-SA"/>
        </w:rPr>
        <w:t>الإجازة، وسيأتي توضيح ذلك فانتظر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العقد مع رضا المالك، لا يكون عقده وإن انتسب إليه نحو انتساب، وهو كافٍ في الصحّة واللزوم عند العقلاء، فيحتجّون على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نّك كنت راضياً به، وليس لك التخلّف والنقض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لإخراج تلك العقود عن عموم الأدلّة وإطلاقها، وإنّما الخارج انصرافاً هو الأجنبيّ غير المربوط به العقد، فالعقود المجازة والمأذون فيها داخلة فيها كالعقود المرضيّ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كانت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بعقودكم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إسراء الحكم إلى المذكورات جائزاً بإ لغاء الخصوصية عرفاً؛ فإنّ ما هو تمام الموضوع لوجوب الوفاء ونفوذ المعاملة لدى العرف، هو كون المعاملة برضا المالك وإذنه وإجازته، وصدور ألفاظ المعاملات وإنشائها منه أو من غيره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قدّمناه في آية التجارة عن تراضٍ</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علّية الباطل لحرمة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المتفاهم من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ومقابلة التجارة عن تراضٍ مع الأكل بالباطل هو كون التجارة عن تراضٍ حقّاً مقابلاً للباطل، وهو السبب لجواز الأكل، كما هو المتفاهم عرفاً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التجارة عن تراضٍ ليس لخصوصية فيها، بل لكونها فرداً شائعاً، فالخارج هو الأكل بالحقّ مقابل الباطل، وتشخيصهما موكول إلى العرف، ولا شبهة في أنّ البيع المرضيّ به والمجاز داخل في الحقّ لا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موارد تيقّن شمول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كالإيجاب والقبول من الأصيلين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الإيجاب إنشاء تمام ماهية المعاملة؛ ضرورة أنّ البيع ليس إلاّ تمليك العين بالعوض، أو مبادلة مال بمال، والموجب بإيجابه ينشئ تمليك العين بالعوض، وهو أصيل بالنسبة إلى ماله، وفضولي بالنسبة إلى مال المشتري، والقبول ليس ركناً في تحقّق مفهوم العقد، بل هو بمنزلة إجازة بيع الفضولي، بل هو هي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ترتّب الأثر على الإيجاب قبل القبول، كعدم ترتّب الأثر على بيع الفضولي قبل الإجازة مع تحقّق مفهوم البيع بفعل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فالقبول إمضاء لبيع الفضولي، كما أنّ الإجازة في البيع الفضولي بمنزلة القبول؛ فإنّها إمضاء للبيع، وهو يحصل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القبول في بيع الفضولي من الفضولي فهو لغو؛ لأنّه إمّا لتتميم مفهوم العقد، أو لترتيب الأثر عليه، وكلاهما منفيّان؛ فإنّ مفهومه حصل بالإيجاب فقط، والأثر موقوف على إجازة الأصيل، فالموجب في الفضولي يكون فضولياً من الطرفين، والقابل لا شأن 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في بيع الأصيلين إجازة متّصلة بالبيع الفضولي، والإجازة في الفضولي قبول متأخّر عن البيع، والقاعدة تقتضي الصحّة، ولا دليل على لزوم اتّصال الإجازة أو القبول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التوالي بين الإيجاب والقبول</w:t>
      </w:r>
      <w:r>
        <w:rPr>
          <w:rStyle w:val="FootnoteAnchor"/>
          <w:rtl w:val="true"/>
        </w:rPr>
        <w:footnoteReference w:id="259"/>
      </w:r>
      <w:r>
        <w:rPr>
          <w:rFonts w:ascii="Amiri" w:hAnsi="Amiri" w:eastAsia="Amiri" w:cs="Amiri"/>
          <w:color w:val="111111"/>
          <w:sz w:val="28"/>
          <w:sz w:val="28"/>
          <w:szCs w:val="28"/>
          <w:rtl w:val="true"/>
          <w:lang w:bidi="ar-SA"/>
        </w:rPr>
        <w:t xml:space="preserve">، إنّما هو لتوهّم أنّ القبول </w:t>
      </w:r>
    </w:p>
    <w:p>
      <w:pPr>
        <w:pStyle w:val="BookText"/>
        <w:rPr/>
      </w:pPr>
      <w:r>
        <w:rPr>
          <w:rFonts w:ascii="Amiri" w:hAnsi="Amiri" w:eastAsia="Amiri" w:cs="Amiri"/>
          <w:color w:val="111111"/>
          <w:sz w:val="28"/>
          <w:sz w:val="28"/>
          <w:szCs w:val="28"/>
          <w:rtl w:val="true"/>
          <w:lang w:bidi="ar-SA"/>
        </w:rPr>
        <w:t>دخيل في العقد وركن فيه، ومع ظهور خلافه لا وجه للزومه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الفضولي لا يشذّ بشيء إلاّ بتأخير القبول غالباً عن الإيجاب الذي هو تمام البيع، وعدم التوالي بينهما، والبيع غير الفضولي لا يزيد عن الفضولي إلاّ باتّصال الإجازة غالباً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يكون البيع فضولياً، كما إذا وكّل الطرفان شخصاً لإيقاعه، فحينئذٍ يكون الإيجاب كافياً، والقبول لغواً محضاً، فالبيع المحتاج إلى القبول فضولي ليس إلاّ، وما لا يحتاج إلى القبول غير 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بادر المشتري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مالك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منشئاً لتمام ماهية المعاملة، ولو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لصحّت وتمّت، وليس قول المشتري القبول المتقدّم، بل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فالإيجاب قد يكون من البائع، وقد يكون من المشتري، فإذا أوجب المشتري يكون أصيلاً بالنسبة إلى نفسه، فضولياً بالنسبة إلى البائع، وقبول البائع وإنفاذه كإنفاذ الفضولي،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هذين الموردين ممّا هو مشمول للأدلّة بلا إشكال، لم يكن العقد عقداً للمشتري في الفرض الأوّل، وللبائع في الفرض الثاني، بل كلّ منهما أنفذ ما أوجد صاحبه؛ أي تمام ماهية العقد، فيظهر من ذلك عدم لزوم كون العقد عقده في لزوم الوفاء، بل يكفي الانتساب الحاصل بالإنفاذ والإجازة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على 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مركّب من الإيجاب والقبول، وكلاًّ </w:t>
      </w:r>
    </w:p>
    <w:p>
      <w:pPr>
        <w:pStyle w:val="BookText"/>
        <w:rPr/>
      </w:pPr>
      <w:r>
        <w:rPr>
          <w:rFonts w:ascii="Amiri" w:hAnsi="Amiri" w:eastAsia="Amiri" w:cs="Amiri"/>
          <w:color w:val="111111"/>
          <w:sz w:val="28"/>
          <w:sz w:val="28"/>
          <w:szCs w:val="28"/>
          <w:rtl w:val="true"/>
          <w:lang w:bidi="ar-SA"/>
        </w:rPr>
        <w:t>منهما ركن في حصوله</w:t>
      </w:r>
      <w:r>
        <w:rPr>
          <w:rStyle w:val="FootnoteAnchor"/>
          <w:rtl w:val="true"/>
        </w:rPr>
        <w:footnoteReference w:id="260"/>
      </w:r>
      <w:r>
        <w:rPr>
          <w:rFonts w:ascii="Amiri" w:hAnsi="Amiri" w:eastAsia="Amiri" w:cs="Amiri"/>
          <w:color w:val="111111"/>
          <w:sz w:val="28"/>
          <w:sz w:val="28"/>
          <w:szCs w:val="28"/>
          <w:rtl w:val="true"/>
          <w:lang w:bidi="ar-SA"/>
        </w:rPr>
        <w:t>، لا يكون العقد والبيع عقداً وبيعاً للبائع ولا للمشتري؛ فإنّ الإيجاب إيجاب الموجب لا القابل، والقبول قبول القابل لا الموجب، والعقد المركّب منهما لا يعقل انتسابه تماماً إليهما، بل ينتسب إليهما؛ بمعنى إيجاد كلّ ركناً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فالانتساب انتساب مجموع لمجموع، وهو حاصل في الفضولي، ولا سيّما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قبول الفضولي لا أثر 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الإذن في عقد أو إيقاع أيضاً، لا يوجب صيرورة فعل الغير فعلاً للآذن</w:t>
      </w:r>
      <w:r>
        <w:rPr>
          <w:rStyle w:val="FootnoteAnchor"/>
          <w:rtl w:val="true"/>
        </w:rPr>
        <w:footnoteReference w:id="261"/>
      </w:r>
      <w:r>
        <w:rPr>
          <w:rFonts w:ascii="Amiri" w:hAnsi="Amiri" w:eastAsia="Amiri" w:cs="Amiri"/>
          <w:color w:val="111111"/>
          <w:sz w:val="28"/>
          <w:sz w:val="28"/>
          <w:szCs w:val="28"/>
          <w:rtl w:val="true"/>
          <w:lang w:bidi="ar-SA"/>
        </w:rPr>
        <w:t>، مع أنّه مشمول للأدلّة بلا شبهة، بل الوكالة أيضاً كذلك، فشمول الأدلّة لمثل ما ذكرنا دليل على عدم توقّف الشمول على كون العقد أو الإيقاع عقداً أو إيقاعاً للمكلّف، بل يكفي حصولهما بإذنه، والإجازة والإذن يشتركان فيما عدا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الفضولي موافق للقاعدة وكذا إيقاعه، ولا يتوقّف لزوم ترتّب الأثر إلاّ على الإجازة، ولا يلزم أن يكون العقد عقده أو الإيقاع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 بلزوم ذلك، فإمّا أن يدّعي أنّ العقد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 إلى المجيز بعد الإجازة</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يدّعي أنّ العقد بالمعنى المصدري لا ينتسب، بل حاصل المصدر ينتسب إليه بها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يدّعي أنّ النتيجة المرغوب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بالإجازة إليه، وسمّاها حاصل المصدر المنفكّ عن المصدر في الاُمور الاعتبارية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مشترك في الضعف؛ فإنّ الانتساب المدّعى إن كان حقيقياً فالضرورة تدفعه، فإنّ الفعل الصادر من الغير وحاصله ونتيجته، لا يعقل أن يكون فعل الآخر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نحو المسامحة والدعوى، فشمول الأدلّة للفرد الادّعائي ممنوع؛ ضرورة ظهورها في الحقيقي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من أنّ سنخ الإجازة والإمضاء ينافي الانتساب والادّعاء</w:t>
      </w:r>
      <w:r>
        <w:rPr>
          <w:rStyle w:val="FootnoteAnchor"/>
          <w:rtl w:val="true"/>
        </w:rPr>
        <w:footnoteReference w:id="265"/>
      </w:r>
      <w:r>
        <w:rPr>
          <w:rFonts w:ascii="Amiri" w:hAnsi="Amiri" w:eastAsia="Amiri" w:cs="Amiri"/>
          <w:color w:val="111111"/>
          <w:sz w:val="28"/>
          <w:sz w:val="28"/>
          <w:szCs w:val="28"/>
          <w:rtl w:val="true"/>
          <w:lang w:bidi="ar-SA"/>
        </w:rPr>
        <w:t>،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الوسط بما تقدّم من عدم معقولية انفكاك المصدر من حاصله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والأخير بما ذكر، وبأنّ ما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بل المصدر وحاصله واحد حتّى في الاُمور الاعتبارية، وفي المقام المنشأ بالإنشاء حاصل المصدر، وهو موجود إنشائي متّحد مع المصدر، ويختلف معه اعتباراً، وأمّا الأثر الحاصل بعد الإجازة فليس مصدراً ولا حاصله،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لو كانت موجبة لحصول الأثر عرفاً أو شرعاً، فلا معنى لدخالة استناد الأثر الحاصل إلى المتعامل في صحّة المعاملة، وتوقّف صيرورتها موافقة للقاعدة على الاستناد؛ لأنّ اعتبار الاستناد بعد حصول الأثر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بحصول الاستناد قهراً، فلا مجال لكونه دخيلاً في كونها موافقة للقاعدة، بل الالتزام بحصول الأثر بالإجازة التزام بعدم لزوم الاستناد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موجبة لاستناد العقد السببي أو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بالأسباب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إلى المالك، وفي الرتبة المتأخّرة عنه يحصل الأثر عرفاً أو شرعاً، لكن القائل نفى ذلك الاستناد، والتزم بأنّ الأثر الحاصل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حصول الأثر متوقّفاً على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تصير المعاملة موافقة للقاعدة وتشملها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متوقّفاً على حصول الأثر كما هو ظاهر كلامه، للزم الدور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الاستناد بما ذكروه في شيء من المعاملات كما تقدّم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35" w:name="pg15204_140317"/>
    </w:p>
    <w:p>
      <w:pPr>
        <w:pStyle w:val="Heading5"/>
        <w:numPr>
          <w:ilvl w:val="4"/>
          <w:numId w:val="1"/>
        </w:numPr>
        <w:rPr/>
      </w:pPr>
      <w:bookmarkStart w:id="136" w:name="__RefHeading___Toc2758742_2142443653"/>
      <w:bookmarkStart w:id="137" w:name="_Toc47"/>
      <w:bookmarkEnd w:id="135"/>
      <w:bookmarkEnd w:id="136"/>
      <w:r>
        <w:rPr>
          <w:rtl w:val="true"/>
        </w:rPr>
        <w:t>الصّور المتصوّرة في بيع الفصولي</w:t>
      </w:r>
      <w:bookmarkEnd w:id="137"/>
    </w:p>
    <w:p>
      <w:pPr>
        <w:pStyle w:val="Heading6"/>
        <w:numPr>
          <w:ilvl w:val="5"/>
          <w:numId w:val="1"/>
        </w:numPr>
        <w:rPr/>
      </w:pPr>
      <w:bookmarkStart w:id="138" w:name="__RefHeading___Toc2758744_2142443653"/>
      <w:bookmarkStart w:id="139" w:name="_Toc48"/>
      <w:bookmarkEnd w:id="138"/>
      <w:r>
        <w:rPr>
          <w:rtl w:val="true"/>
        </w:rPr>
        <w:t>الصورة الاُولى في بيع الفضولي للمالك مع عدم سبق المنع</w:t>
      </w:r>
      <w:bookmarkEnd w:id="139"/>
    </w:p>
    <w:p>
      <w:pPr>
        <w:pStyle w:val="Heading6"/>
        <w:numPr>
          <w:ilvl w:val="5"/>
          <w:numId w:val="1"/>
        </w:numPr>
        <w:rPr/>
      </w:pPr>
      <w:bookmarkStart w:id="140" w:name="__RefHeading___Toc2758746_2142443653"/>
      <w:bookmarkStart w:id="141" w:name="_Toc49"/>
      <w:bookmarkEnd w:id="140"/>
      <w:r>
        <w:rPr>
          <w:rtl w:val="true"/>
        </w:rPr>
        <w:t>فيما يستدلّ به على صحّة هذا القسم من الفضولي</w:t>
      </w:r>
      <w:bookmarkEnd w:id="141"/>
    </w:p>
    <w:p>
      <w:pPr>
        <w:pStyle w:val="Heading6"/>
        <w:numPr>
          <w:ilvl w:val="5"/>
          <w:numId w:val="1"/>
        </w:numPr>
        <w:rPr/>
      </w:pPr>
      <w:bookmarkStart w:id="142" w:name="__RefHeading___Toc2758748_2142443653"/>
      <w:bookmarkStart w:id="143" w:name="_Toc50"/>
      <w:bookmarkEnd w:id="142"/>
      <w:r>
        <w:rPr>
          <w:rtl w:val="true"/>
        </w:rPr>
        <w:t>إشارة</w:t>
      </w:r>
      <w:bookmarkEnd w:id="143"/>
    </w:p>
    <w:p>
      <w:pPr>
        <w:pStyle w:val="BookText"/>
        <w:rPr/>
      </w:pPr>
      <w:r>
        <w:rPr>
          <w:rFonts w:ascii="Amiri" w:hAnsi="Amiri" w:eastAsia="Amiri" w:cs="Amiri"/>
          <w:color w:val="111111"/>
          <w:sz w:val="28"/>
          <w:sz w:val="28"/>
          <w:szCs w:val="28"/>
          <w:rtl w:val="true"/>
          <w:lang w:bidi="ar-SA"/>
        </w:rPr>
        <w:t>وممّا ذكرنا في تقرير الأدلّة العامّة يظهر حال الفضولي إذا باع أو اشترى للمالك من دون سبق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الاُمور الاعتبارية كالبيع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الاُمور الواقعية كالضرب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تحقّقها بالاعتبار، تصلح للاستناد إلى غير من صدرت منه، كالتزويج يصدر من الوكيل ويستند إلى الزوجين، فيمكن استناد البيع الفضولي إلى المالك بلحوق الإجازة، كما يستند إليه بالإذن والوكالة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وجيه؛ لأنّ العقد الإنشائي الاعتباري من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موجود باقٍ إلى زمانها، وهو منشأ بإنشاء الفضولي وفعله التسبيبي، والإجازة إمضاء وإنفاذ لفعله على مال المجيز، وهي لا تؤثّر إلاّ في صيرورة العقد الصادر من الغير مجازاً ومرضيّاً، لا صيرورته عقده كما تقدّم</w:t>
      </w:r>
      <w:r>
        <w:rPr>
          <w:rStyle w:val="FootnoteAnchor"/>
          <w:rtl w:val="true"/>
        </w:rPr>
        <w:footnoteReference w:id="269"/>
      </w:r>
      <w:r>
        <w:rPr>
          <w:rFonts w:ascii="Amiri" w:hAnsi="Amiri" w:eastAsia="Amiri" w:cs="Amiri"/>
          <w:color w:val="111111"/>
          <w:sz w:val="28"/>
          <w:sz w:val="28"/>
          <w:szCs w:val="28"/>
          <w:rtl w:val="true"/>
          <w:lang w:bidi="ar-SA"/>
        </w:rPr>
        <w:t>، ومجرّد كونه اعتبارياً لا يوجب صيرورته بالإجازة عقده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الزواج الصادر من الفضولي فعله وعقده، لا فعل الزوجين، لكنّ فعله </w:t>
      </w:r>
      <w:bookmarkStart w:id="144" w:name="pg15204_140318"/>
    </w:p>
    <w:p>
      <w:pPr>
        <w:pStyle w:val="BookText"/>
        <w:rPr/>
      </w:pPr>
      <w:bookmarkEnd w:id="144"/>
      <w:r>
        <w:rPr>
          <w:rFonts w:ascii="Amiri" w:hAnsi="Amiri" w:eastAsia="Amiri" w:cs="Amiri"/>
          <w:color w:val="111111"/>
          <w:sz w:val="28"/>
          <w:sz w:val="28"/>
          <w:szCs w:val="28"/>
          <w:rtl w:val="true"/>
          <w:lang w:bidi="ar-SA"/>
        </w:rPr>
        <w:t>هو التزويج بين الزوجين، فالزوجية الحاصلة بينهما فعل الفضولي، كما أنّ المبادلة بين مال الأصيلين فعل الفضولي، لا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لصحّة هذا القسم بروايات</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758750_2142443653"/>
      <w:bookmarkStart w:id="146" w:name="_Toc51"/>
      <w:bookmarkEnd w:id="145"/>
      <w:r>
        <w:rPr>
          <w:rtl w:val="true"/>
        </w:rPr>
        <w:t>الاستدلال للصحّة برواية البارقي</w:t>
      </w:r>
      <w:bookmarkEnd w:id="14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عروة بن أبي الجعد البارقي، وهي رواية مسندة عند العامّة، 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مشهورة عندهم وعند المتأخّرين من أصحابنا،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اشتهارها بين الفريقين يغني عن النظر في سندها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بها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وحكي عن شيخ الطائفة قدّس سرّه الاستدلال بها على صحّة الشراء</w:t>
      </w:r>
      <w:r>
        <w:rPr>
          <w:rStyle w:val="FootnoteAnchor"/>
          <w:rtl w:val="true"/>
        </w:rPr>
        <w:footnoteReference w:id="275"/>
      </w:r>
      <w:r>
        <w:rPr>
          <w:rFonts w:ascii="Amiri" w:hAnsi="Amiri" w:eastAsia="Amiri" w:cs="Amiri"/>
          <w:color w:val="111111"/>
          <w:sz w:val="28"/>
          <w:sz w:val="28"/>
          <w:szCs w:val="28"/>
          <w:rtl w:val="true"/>
          <w:lang w:bidi="ar-SA"/>
        </w:rPr>
        <w:t>، ومع ذلك لا تطمئنّ النفس بجبرها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بن أبي الجعد البارقي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فأعطاني ديناراً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عروة، ائت </w:t>
      </w:r>
    </w:p>
    <w:p>
      <w:pPr>
        <w:pStyle w:val="BookText"/>
        <w:rPr/>
      </w:pPr>
      <w:r>
        <w:rPr>
          <w:rFonts w:ascii="IRNazanin" w:hAnsi="IRNazanin" w:eastAsia="IRNazanin"/>
          <w:color w:val="111111"/>
          <w:sz w:val="28"/>
          <w:sz w:val="28"/>
          <w:szCs w:val="28"/>
          <w:rtl w:val="true"/>
          <w:lang w:bidi="fa-IR"/>
        </w:rPr>
        <w:t>الجلب</w:t>
      </w:r>
      <w:r>
        <w:rPr>
          <w:rStyle w:val="FootnoteAnchor"/>
          <w:rtl w:val="true"/>
        </w:rPr>
        <w:footnoteReference w:id="276"/>
      </w:r>
      <w:r>
        <w:rPr>
          <w:rFonts w:ascii="Amiri" w:hAnsi="Amiri" w:eastAsia="Amiri" w:cs="Amiri"/>
          <w:color w:val="111111"/>
          <w:sz w:val="28"/>
          <w:sz w:val="28"/>
          <w:szCs w:val="28"/>
          <w:rtl w:val="true"/>
          <w:lang w:bidi="ar-SA"/>
        </w:rPr>
        <w:t>فاشتر لنا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الجلب فساومت صاحبه، فاشتريت منه شاتين بدينار، فجئت أسوقهما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رجل فساومني، فأبيعه شاة بدينار، فجئت بالدينار وجئت بالشاة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ديناركم، وهذه شاتكم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وصنعت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 في صفقة يمينه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إليه ديناراً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لنا به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فاشترى به شاة، ثمّ باعها بدينارين، ثمّ اشترى اُخرى بدينار،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بشاة ودينار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في صفقة يمينك</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إلى عروة</w:t>
      </w:r>
      <w:r>
        <w:rPr>
          <w:rStyle w:val="FootnoteAnchor"/>
          <w:rtl w:val="true"/>
        </w:rPr>
        <w:footnoteReference w:id="279"/>
      </w:r>
      <w:r>
        <w:rPr>
          <w:rFonts w:ascii="Amiri" w:hAnsi="Amiri" w:eastAsia="Amiri" w:cs="Amiri"/>
          <w:color w:val="111111"/>
          <w:sz w:val="28"/>
          <w:sz w:val="28"/>
          <w:szCs w:val="28"/>
          <w:rtl w:val="true"/>
          <w:lang w:bidi="ar-SA"/>
        </w:rPr>
        <w:t>فهي قضيّتان من عروة، أو منه ومن حكيم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فالمحتمل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 لنا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المراد اشتراء جنس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اشتراء شاة تساوي قيمتها ديناراً؛ أي تكون صحيحة سمينة مساوية للدينار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اشتراء شاة بتمام الدينار، لا من باب تعلّق غرضه بوحدتها كما في الاحتمال المتقدّم، بل لاحتمال أنّ قيمتها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اشتراء شاة واحدة ببعض الدينار أو كلّه، وكان غرضه اشتراء شاة واحدة، لا مساواة قيمتها للدينار، وإعطاء دينار واحد؛ لعدم احتمال زيادة قيمة الشاة عليه، وما عدا الاحتمال الأخير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الشراء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الفضولية؛ لدلالة الكلام بالفحوى على الإذن في شرائهما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الذي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اشتراهما تدريجاً وقع الأوّل غير فضولي، والثاني فضولياً، لكنّه خلاف الظاهر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اشتراهما صفقة واحدة كما هو الظاهر، تحتمل الفضولية بالنسبة إلى واحدة غير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وعدمها في واحدة كذلك، بناءً على صحّة مملوكية الشيء المردّد واقعاً، كما التزم الفقهاء بأمثاله</w:t>
      </w:r>
      <w:r>
        <w:rPr>
          <w:rStyle w:val="FootnoteAnchor"/>
          <w:rtl w:val="true"/>
        </w:rPr>
        <w:footnoteReference w:id="280"/>
      </w:r>
      <w:r>
        <w:rPr>
          <w:rFonts w:ascii="Amiri" w:hAnsi="Amiri" w:eastAsia="Amiri" w:cs="Amiri"/>
          <w:color w:val="111111"/>
          <w:sz w:val="28"/>
          <w:sz w:val="28"/>
          <w:szCs w:val="28"/>
          <w:rtl w:val="true"/>
          <w:lang w:bidi="ar-SA"/>
        </w:rPr>
        <w:t xml:space="preserve">، أو بناءً على حصول الملكية بعد الإجازة حتّى في غير الفضولي؛ أخذاً بأدلّة إنفاذ العقود بقدر الممكن، والالتزام </w:t>
      </w:r>
    </w:p>
    <w:p>
      <w:pPr>
        <w:pStyle w:val="BookText"/>
        <w:rPr/>
      </w:pPr>
      <w:r>
        <w:rPr>
          <w:rFonts w:ascii="Amiri" w:hAnsi="Amiri" w:eastAsia="Amiri" w:cs="Amiri"/>
          <w:color w:val="111111"/>
          <w:sz w:val="28"/>
          <w:sz w:val="28"/>
          <w:szCs w:val="28"/>
          <w:rtl w:val="true"/>
          <w:lang w:bidi="ar-SA"/>
        </w:rPr>
        <w:t>بتوقّف تأثيرها في حصول الملكية على ما يرفع به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عدم الإجازة، يرجع إلى القرعة بين المالك الأوّل والثاني، فتكون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للسبب، وهذا أقوى الاحتمالات لو صحّ ما ذكرناه من عدم الإشكال أو رفعه على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الصحّة الفعلية بالنسبة إليهما، أو الصحّة بنحو الإشاعة، أو صحّة أحدهما المعيّن فعلاً، وفضولية الآخر كذلك، فلا سبيل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بطل الاحتمال المتقدّم لا مجال إلاّ لاحتمال آخر، وهو فضوليتهما معاً؛ لعدم الطريق إلى التصحيح، وعدم وجه للبطلان مطلقاً؛ أي عدم صلوح لحوق الإجازة به، فلا محيص من القول بالصحّة مع لحوق الإجازة، وبالفساد فيهما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فرض كون شرائهما أو شراء إحداهما فضولياً، وبيع إحداهما كذلك، لا يمكن تصحيحهما بإجازة واحدة عرضاً؛ لأنّ إجازة المعاملة الثانية إنّما تصحّ وتوجب خروج الشاة عن ملك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صارت الشاة بإجازة الشراء ملكاً له، فالإجازة الواحدة لا تصلح لدخول الشاة في ملكه، ثمّ خروجها عن 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نظير ما يقال في تكرار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التكبيرة الثانية لا يمكن أن تكون مخرجة من الصلاة التي بيده، ومدخلةً في صلاة اُخرى؛ لأنّ الدخول في الثانية مترتّب على الخروج من الاُولى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الإجازة المستفادة من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 </w:t>
      </w:r>
      <w:bookmarkStart w:id="147" w:name="pg15204_140322"/>
    </w:p>
    <w:p>
      <w:pPr>
        <w:pStyle w:val="BookText"/>
        <w:rPr/>
      </w:pPr>
      <w:bookmarkEnd w:id="147"/>
      <w:r>
        <w:rPr>
          <w:rFonts w:ascii="Amiri" w:hAnsi="Amiri" w:eastAsia="Amiri" w:cs="Amiri"/>
          <w:color w:val="111111"/>
          <w:sz w:val="28"/>
          <w:sz w:val="28"/>
          <w:szCs w:val="28"/>
          <w:rtl w:val="true"/>
          <w:lang w:bidi="ar-SA"/>
        </w:rPr>
        <w:t xml:space="preserve">بالمعاملة الاُولى؛ أي الشراء، والرضا المتحقّق في الآن الثاني بالمعاملة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المستكشف من دعائه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لصحّة الثانية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758752_2142443653"/>
      <w:bookmarkStart w:id="149" w:name="_Toc52"/>
      <w:bookmarkEnd w:id="148"/>
      <w:r>
        <w:rPr>
          <w:rtl w:val="true"/>
        </w:rPr>
        <w:t>ما استشكل على رواية البارقي</w:t>
      </w:r>
      <w:bookmarkEnd w:id="149"/>
    </w:p>
    <w:p>
      <w:pPr>
        <w:pStyle w:val="BookText"/>
        <w:rPr/>
      </w:pPr>
      <w:r>
        <w:rPr>
          <w:rFonts w:ascii="IRNazanin" w:hAnsi="IRNazanin" w:eastAsia="IRNazanin"/>
          <w:color w:val="111111"/>
          <w:sz w:val="28"/>
          <w:sz w:val="28"/>
          <w:szCs w:val="28"/>
          <w:rtl w:val="true"/>
          <w:lang w:bidi="fa-IR"/>
        </w:rPr>
        <w:t>ثمّ إنّه قد يرد الإشكال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مشتملة على أخذ الشاتين وإقباض الدينار في المعاملة الاُولى، وإقباض الشاة وأخذ ثمنها في الثانية، فعلى فضوليتهما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هي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ذلك، وعلى فضولية الثانية ليس له الأخذ والإعطاء فيها، مع أنّ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يدلّ على عدم ارتكابه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الشيخ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البيع لمّا كان مقروناً برضا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الفضولي، كما مرّ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الخروج عن الفضولي هو الرضا الفعلي، ولو بوجوده في النفس مع عدم الالتفات إليه تفصيلاً، إمّا لأجل أنّه يجعل البيع بيعه كما قيل</w:t>
      </w:r>
      <w:r>
        <w:rPr>
          <w:rStyle w:val="FootnoteAnchor"/>
          <w:rtl w:val="true"/>
        </w:rPr>
        <w:footnoteReference w:id="283"/>
      </w:r>
      <w:r>
        <w:rPr>
          <w:rFonts w:ascii="Amiri" w:hAnsi="Amiri" w:eastAsia="Amiri" w:cs="Amiri"/>
          <w:color w:val="111111"/>
          <w:sz w:val="28"/>
          <w:sz w:val="28"/>
          <w:szCs w:val="28"/>
          <w:rtl w:val="true"/>
          <w:lang w:bidi="ar-SA"/>
        </w:rPr>
        <w:t xml:space="preserve">، أو لأجل دخوله في العمومات كما قلنا </w:t>
      </w:r>
      <w:r>
        <w:rPr>
          <w:rStyle w:val="FootnoteAnchor"/>
          <w:rtl w:val="true"/>
        </w:rPr>
        <w:footnoteReference w:id="284"/>
      </w:r>
      <w:r>
        <w:rPr>
          <w:rFonts w:ascii="Amiri" w:hAnsi="Amiri" w:eastAsia="Amiri" w:cs="Amiri"/>
          <w:color w:val="111111"/>
          <w:sz w:val="28"/>
          <w:sz w:val="28"/>
          <w:szCs w:val="28"/>
          <w:rtl w:val="true"/>
          <w:lang w:bidi="ar-SA"/>
        </w:rPr>
        <w:t>، وأمّا الرضا التقديري</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على فرض التفاته إلى المعاملة وتشخيص الصلاح فيها يرضى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يوجب الخروج عنه بلا إشكال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من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عالماً بكيفية شرائه وبيعه،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وصنعت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الحديث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تدلّ على إعطائه الدينار لصاحب الشاتين، ولا إعطاء الشاة لمشتريها، بل تدلّ على أخذ الشاتين من البائع، وأخذ الدينار من المشتري، وهو برضاهما، وإن كان لأجل جهلهما بالفضولية فلا يكون حراماً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من ذيل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ديناركم، وهذه شاتكم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أنّ عنده ديناراً واحداً وشاة واحدة، ومضافاً إلى الجزم بوقوع الأخذ والإعطاء في المعاملتين، وإلاّ كان عليه البيان، وأن لا يسكت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الشاتين في الاُولى، وأخذ الدينار في الثانية، كان أخذاً بعنوان العمل بالمعاملة، كالمقبوض بالبيع الفاسد، وهو غير الرضا بالتصرّف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 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بالمعاملة غير الرضا بالتصرّف في ماله، بل لا معنى لهذا الرضا في المعاملات؛ لأنّ البيع مثلاً موجب لخروج المبيع عن ملك البائع، فلا يعقل في هذا الفرض إجازة التصرّف في المبيع؛ فإنّه إجازة تصرّف الغير في مال نفسه، والبائع أجنبيّ عن هذه الإجازة، فلا يعقل منه الجدّ في الإجازة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الرضا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على فرض علمه بالبطلان أو علمه بفضولية </w:t>
      </w:r>
    </w:p>
    <w:p>
      <w:pPr>
        <w:pStyle w:val="BookText"/>
        <w:rPr/>
      </w:pPr>
      <w:r>
        <w:rPr>
          <w:rFonts w:ascii="IRNazanin" w:hAnsi="IRNazanin" w:eastAsia="IRNazanin"/>
          <w:color w:val="111111"/>
          <w:sz w:val="28"/>
          <w:sz w:val="28"/>
          <w:szCs w:val="28"/>
          <w:rtl w:val="true"/>
          <w:lang w:bidi="fa-IR"/>
        </w:rPr>
        <w:t xml:space="preserve">الشراء والبيع يكون راضياً بأخذه وتصرّفه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مبنيّ على جواز التصرّف في مال الغير بلا رضا فعلي منه، وبلا طيب نفسه كذلك، وكفاية الطيب والرضا التقديري، وهو خلاف ظواهر الأدلّة،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 منه</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أبواب الأنفال،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فعلية الرضا والطيب أو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والمتشرّعة على التصرّف في أموال الغير مع إحراز الرضا التقديري، وهو غير ثابت، نعم، الرضا الارتكازي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الظاهر منها ومن رواية حكيم بن حزام صحّة الفضولي، وهذا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إشكال حرمة التصرّف في مال الغير بلا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الكشف الحقيقي أو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الكشف عن الحكم الشرعي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وكذا على القول بجوازه مع الرضا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النقل الحقيقي أو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النقل في الحين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الإشكال، ويمكن دفعه بالحمل على اعتقاده بالرضا الفعلي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طرح الرواية بهذا الإشكال القابل للدفع بوجه</w:t>
      </w:r>
      <w:r>
        <w:rPr>
          <w:rFonts w:eastAsia="Amiri" w:cs="Amiri" w:ascii="Amiri" w:hAnsi="Amiri"/>
          <w:color w:val="111111"/>
          <w:sz w:val="28"/>
          <w:szCs w:val="28"/>
          <w:rtl w:val="true"/>
          <w:lang w:bidi="ar-SA"/>
        </w:rPr>
        <w:t xml:space="preserve">. </w:t>
      </w:r>
      <w:bookmarkStart w:id="150" w:name="pg15204_140325"/>
    </w:p>
    <w:p>
      <w:pPr>
        <w:pStyle w:val="Heading6"/>
        <w:numPr>
          <w:ilvl w:val="5"/>
          <w:numId w:val="1"/>
        </w:numPr>
        <w:rPr/>
      </w:pPr>
      <w:bookmarkStart w:id="151" w:name="__RefHeading___Toc2758754_2142443653"/>
      <w:bookmarkStart w:id="152" w:name="_Toc53"/>
      <w:bookmarkEnd w:id="150"/>
      <w:bookmarkEnd w:id="151"/>
      <w:r>
        <w:rPr>
          <w:rtl w:val="true"/>
        </w:rPr>
        <w:t>الاستدلال للصحّة بصحيحة محمّد بن قيس</w:t>
      </w:r>
      <w:bookmarkEnd w:id="15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وأبوه غائب، فاشتراها رجل، فولدت منه غلاماً، ثمّ قدم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وابنها، فناشده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باع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لك ما 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البيّع 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اُرسل ابنك حتّى ترسل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سيّد الوليدة الأوّل أجاز بيع ابنه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كالصريحة في الدلالة على صحّة الفضولي بلحوق الإجازة، ولا إشكال فيها من هذه الجهة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والإشكالات التي أوردوها عليها </w:t>
      </w:r>
      <w:r>
        <w:rPr>
          <w:rStyle w:val="FootnoteAnchor"/>
          <w:rtl w:val="true"/>
        </w:rPr>
        <w:footnoteReference w:id="292"/>
      </w:r>
      <w:r>
        <w:rPr>
          <w:rFonts w:ascii="Amiri" w:hAnsi="Amiri" w:eastAsia="Amiri" w:cs="Amiri"/>
          <w:color w:val="111111"/>
          <w:sz w:val="28"/>
          <w:sz w:val="28"/>
          <w:szCs w:val="28"/>
          <w:rtl w:val="true"/>
          <w:lang w:bidi="ar-SA"/>
        </w:rPr>
        <w:t>غير معتنى بها، إلاّ الإشكال بأنّ الظاهر من فقراتها ردّ السيّد هذا البيع</w:t>
      </w:r>
      <w:r>
        <w:rPr>
          <w:rStyle w:val="FootnoteAnchor"/>
          <w:rtl w:val="true"/>
        </w:rPr>
        <w:footnoteReference w:id="293"/>
      </w:r>
      <w:r>
        <w:rPr>
          <w:rFonts w:ascii="IRNazanin" w:hAnsi="IRNazanin" w:eastAsia="IRNazanin"/>
          <w:color w:val="111111"/>
          <w:sz w:val="28"/>
          <w:sz w:val="28"/>
          <w:szCs w:val="28"/>
          <w:rtl w:val="true"/>
          <w:lang w:bidi="fa-IR"/>
        </w:rPr>
        <w:t xml:space="preserve">، مع أنّ الإجماع قام على عدم </w:t>
      </w:r>
    </w:p>
    <w:p>
      <w:pPr>
        <w:pStyle w:val="BookText"/>
        <w:rPr/>
      </w:pPr>
      <w:r>
        <w:rPr>
          <w:rFonts w:ascii="Amiri" w:hAnsi="Amiri" w:eastAsia="Amiri" w:cs="Amiri"/>
          <w:color w:val="111111"/>
          <w:sz w:val="28"/>
          <w:sz w:val="28"/>
          <w:szCs w:val="28"/>
          <w:rtl w:val="true"/>
          <w:lang w:bidi="ar-SA"/>
        </w:rPr>
        <w:t>صحّة لحوق الإجازة بعد الردّ</w:t>
      </w:r>
      <w:r>
        <w:rPr>
          <w:rStyle w:val="FootnoteAnchor"/>
          <w:rtl w:val="true"/>
        </w:rPr>
        <w:footnoteReference w:id="294"/>
      </w:r>
      <w:r>
        <w:rPr>
          <w:rFonts w:ascii="Amiri" w:hAnsi="Amiri" w:eastAsia="Amiri" w:cs="Amiri"/>
          <w:color w:val="111111"/>
          <w:sz w:val="28"/>
          <w:sz w:val="28"/>
          <w:szCs w:val="28"/>
          <w:rtl w:val="true"/>
          <w:lang w:bidi="ar-SA"/>
        </w:rPr>
        <w:t>، بل هو مقتضى القواعد أيضاً، فأجابوا عنه بوجوه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إن كانت 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وفصله الخصومة بموازين القضاء كما هو الظاهر، لا من قبيل بيان الأحكام كما هو المحتمل أيضاً، فلا شبهة في عدم ذكر كيفية الخصومة وطرح الدعوى وكيفية فصلها، بل ليس فيها إلاّ وقوع خصومة بين السيّدين في الوليدة، وقول السيّد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وليدتي باعها ابني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فيها على أنّ النزاع في أنّ الوليدة منه أو من ابنه، أو في أنّ البيع وقع بإذنه أو لا، أو في أنّ الثمن لا بدّ من ردّه إليه لا إلى الولد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في القضاء مع السيّد الأوّل بوجه من وجوه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بأخذ الوليدة وابنها يمكن أن يكون لأجل ردّ المعاملة، أو لأجل عدم الإذن مع الكراهة، أو عدمه بلا كراهة؛ إذ مع كلّ منها يجوز 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الوليدة فلكونها قبل الإجازة ملكاً 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ابنها فلجواز أخذه حتّى يردّ قيمته، سواء أجاز المعاملة أو ردّها، كما هو مقتضى غيرها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كموثّقة سماعة</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مملوكة أتت قوماً وزعمت أنّها حرّة، فتزوّجها رجل منهم وأولدها، ثمّ إنّ مولاها أتاهم، فأقام عندهم البيّنة أنّها مملوكة، وأقرّت الجارية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إلى مولاها هي وولدها، وعلى مولاها أن يدفع ولدها إلى أبيه بقيمته يوم يصير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لأبيه ما يأخذ ابنه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أبوه في ثمنه حتّى يؤدّيه ويأخذ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الأب أن يسعى في ثمن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الإمام أن يفتديه، ولا يملك ولد حرّ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أخذ البائع فضولاً جائز لأخذ قيمة الوليدة وابنها؛ لأنّه غارّ يرجع إليه المغرور فيما ورد عليه بغروره، ويجوز له حبسه لأخذها مع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الدلالة في صحّة بيع الفضولي وصحّة لحوق الإجازة به، ولا دلالة فيها على الردّ بوجه؛ لعدم معلومية كيفية المخاصمة ومحطّ النزاع</w:t>
      </w:r>
      <w:r>
        <w:rPr>
          <w:rFonts w:eastAsia="Amiri" w:cs="Amiri" w:ascii="Amiri" w:hAnsi="Amiri"/>
          <w:color w:val="111111"/>
          <w:sz w:val="28"/>
          <w:szCs w:val="28"/>
          <w:rtl w:val="true"/>
          <w:lang w:bidi="ar-SA"/>
        </w:rPr>
        <w:t xml:space="preserve">. </w:t>
      </w:r>
      <w:bookmarkStart w:id="153" w:name="pg15204_140328"/>
    </w:p>
    <w:p>
      <w:pPr>
        <w:pStyle w:val="BookText"/>
        <w:rPr/>
      </w:pPr>
      <w:bookmarkEnd w:id="153"/>
      <w:r>
        <w:rPr>
          <w:rFonts w:ascii="Amiri" w:hAnsi="Amiri" w:eastAsia="Amiri" w:cs="Amiri"/>
          <w:color w:val="111111"/>
          <w:sz w:val="28"/>
          <w:sz w:val="28"/>
          <w:szCs w:val="28"/>
          <w:rtl w:val="true"/>
          <w:lang w:bidi="ar-SA"/>
        </w:rPr>
        <w:t>بل لا دلالة فيها على كراهته لتلك المعاملة؛ لاحتمال كون رضاه معلّقاً على وصول قيمة الوليدة إليه، فإنّ الظاهر أنّ الولد باعها وأخذ قيمتها وتلفت عنده في تلك المدّة الكثيرة، بل الظاهر أنّ حاجته إلى ثمنها ألجأته إلى بيعها، فلا ظهور لواحد من فقراتها في ردّه البيع، ولا في كراهته له، فلا يصحّ طرح الصحيحة الظاهرة أو الصريحة بمجرّد الاحتمالات والتخريصات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صحّة الإجازة في تلك القضيّة الشخصية كانت مفروغاً عنها من غير تعبّد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لكونها أمراً عقلائياً وطريقاً لتخلّص المشتري عرفاً،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أمراً تعبّدياً ثابتاً قبل القضيّة معهوداً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أنّ الإجازة بعد الردّ مفيدة أو لا؟ وأنّ مقتضى القواعد ما هو؟ وأنّ الإجماع المدّعى ثابت أو لا؟ موكول إلى محلّه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2758756_2142443653"/>
      <w:bookmarkStart w:id="155" w:name="_Toc54"/>
      <w:bookmarkEnd w:id="154"/>
      <w:r>
        <w:rPr>
          <w:rtl w:val="true"/>
        </w:rPr>
        <w:t>الاستدلال للصحّة بروايات نكاح العبيد</w:t>
      </w:r>
      <w:bookmarkEnd w:id="15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الواردة في باب النكاح،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تحلّ إجازة السيّد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اُخرى منه،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عبده امرأة بغير إذنه فدخل بها، ثمّ اطّلع على 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لمولاه، إن شاء فرّق بينهما، وإن شاء أجاز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أصل النكاح كان عاصياً؟</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 وليس بعاصٍ للّه، إنّما عصى سيّده ولم يعصِ اللّه، إنّ ذلك ليس كإتيان ما حرّم اللّه عليه من نكاح في عدّة وأشباهه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بها على وجه لا يرد عليه ما أوردوا عليها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قوله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تزوّج بغير إذن سيّده، ظاهر في أنّ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له التصرّف إلاّ بإذن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بلا إذنه، فالشبهة في أنّ التصرّف بلا إذن المالك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نافذ من غير نظر إلى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الجواب أنّ تصرّفه فضولي، والإجازة محوّلة إلى سيّده، فالشبهة في أنّ المملوك ليس له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وغيره،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لكن ذلك لا يوجب إلغاء كلامه وإنشائه، بل هو فضولي يصحّ بإجازة المالك، فيظهر منه أنّ تصرّفات الأجنبيّ لا تكون ملغاة، بل تصلح للحوق الإجازة بها من غير نظر إلى النكاح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ذلك إمّا من جهة أنّ المملوك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شَىْ‌ءٍ</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وإنشاء النكاح شيء، فإذا كان ملغىً تشريعاً لا يمكن لحوق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أنّه غير مستقلّ في التصرّف، وتصرّفه محتاج إلى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أنّه مملوك للغير، والنكاح تصرّف في مال الغير بغير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العقد غير ملغىً، ولا تضرّه محجورية العبد، ولا عدم استقلاله، ولا من حيث التصرّف في مال الغير من غير ربط بالتزويج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جهة إلغاء الخصوصية، بل من جهة أنّ وجه السؤال معلوم من الرواية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بها بوجه آخر، وهو أنّ زرارة حكى فتوى الحكم، والنخعي، بأنّ أصل النكاح فاسد، ولا تحلّ إجازة السيّد له، ولم يذكر وجه فتواهما، فأجاب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يعصِ اللّه، إنّما عصى سيّده، فإذا أجازه فهو له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فيظهر منه أنّ الوجه في عدم الجواز منحصر بعصيان اللّه تعالى، وهو غير محقّق، وأمّا عصيان السيّد فهو لا يوجب إلغاء الإنشاء، بل لحوق إجازته موجب لصحّته، فيظهر منه أنّ مخالفة العبد لسيّده موجبة لعدم النفوذ الفعلي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السؤال والجواب أنّ الوجه في البطلان منحصر بمخالفة اللّه، التي لا يمكن أن تجبر بالإجازة، وأمّا مخالفة السيّد فقابلة للجبران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جهة الفضولية لم تكن وجهاً للشبهة والبطلان حتّى لدى العامّة، وإلاّ فمجرّد عدم عصيان اللّه لا يدفع إشكالهم إن كانت الفضولية أيضاً موجبة للبطلان، فكأنّ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إجازة السيّد، مبنيّ على أنّ مخالفة اللّه لا ترفع بإجازة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العصيان ليس في أصل النكاح، بل في مخالفة السيّد، وهي لا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الحرمة، فلأنّها لا تتعلّق بعنوان النكاح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النكاح دليل على بطلانه، أو حرمته تنافي تنفيذه، بل تعلّقت بعنوان مخالفة المولى، ولا يمكن سراية الحكم من عنوان إلى عنوان آخر، كما فصّلناه في محلّه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الفضولية، فإنّها لا توجب البطلان المطلق، بل توجب الوقوف على الإجازة، فكأنّ صحّة الفضولي كانت مفروغاً عنها لدى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لم تكن مربوطة بالنكاح حتّى يتمسّك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بالأولوية،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العبد في هذا التزويج محجور عليه، وفعله فضولي، فإذا صحّ ذلك صحّ ما كان فضولياً فقط</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موجب لصحّة نكاح الفضولي من غير العبد، لا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الأعظم قدّس سرّه حاكياً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تمليك بضع الغير إذا لزم بالإجازة، كان تمليك ماله أولى، مضافاً إلى ما علم من شدّة الاهتمام في عقد النكاح؛ لأنّه يكون منه الولد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التعبير بتمليك البضع غير وجيه حتّى في تزويج الإماء، فضلاً عن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بأمر الفروج لا يوجب التضييق في أسبابه، بل لعلّه موجب لتوسعتها؛ لئلاّ يقع الناس في السفاح، وهذا الاحتمال المعتدّ به موجب لعدم صحّة دعوى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شدّة الاهتمام في عقد النكاح فلا دليل عليها، بل الدليل على خلافها،كما في رواية تزويج آدم حوّاء،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زوّجتكها فضمّها إليك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تزويج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الامرأة التي جاءت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زوّجتكها على ما تحسن من القرآن، فعلّمها </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منها عدم شدّة الاهتمام في عقد النكاح</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فرض تمامية دعوى الأولوية،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بوهنها بالنصّ الوارد في الوكالة ردّاً على العامّة</w:t>
      </w:r>
      <w:r>
        <w:rPr>
          <w:rStyle w:val="FootnoteAnchor"/>
          <w:rtl w:val="true"/>
        </w:rPr>
        <w:footnoteReference w:id="309"/>
      </w:r>
      <w:r>
        <w:rPr>
          <w:rFonts w:ascii="Amiri" w:hAnsi="Amiri" w:eastAsia="Amiri" w:cs="Amiri"/>
          <w:color w:val="111111"/>
          <w:sz w:val="28"/>
          <w:sz w:val="28"/>
          <w:szCs w:val="28"/>
          <w:rtl w:val="true"/>
          <w:lang w:bidi="ar-SA"/>
        </w:rPr>
        <w:t>، وهو رواية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وكّلت رجلاً بأن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وأشهدت في الملأ، وقالت في الخلأ</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 نّي قد عزلته وأبطلت وكالته بلا أن تعلم بالعزل، وينقضون جميع ما فعل الوكيل في النكاح خاصّة، وفي غيره لا يبطلون الوكالة إلاّ أن يعلم الوكيل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منه عوض لصاحبه، والفرج ليس منه عوض إذا وقع منه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 أجور هذا الحُكم وأفسده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أحرى أن يحتاط فيه، وهو فرج، ومنه يكون الولد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القضيّة، وعدم إبطاله الوكالة قبل وصول العزل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الأعظم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الاحتياط كون النكاح الواقع أولى بالصحّة من البيع من حيث الاحتياط المتأكّد في النكاح دون غيره، فدلّ على أنّ صحّة البيع تستلزم صحّة النكاح بطريق أولى، خلافاً للعامّة، حيث عكسوا وحكموا بصحّة البيع دون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وجه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النكاح بإبقائه؛ بأنّ مع الحكم بالصحّة يلزم الزنا بامرأة غير ذات البعل على فرض فساده، بخلاف الحكم بالفساد؛ فإنّه على فرض صحّته يلزم الزنا بذات البعل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العامّة بفساد الوكالة في النكاح قبل وصول العزل، وعدم فسادها في غيره، لم يكن لأجل الاحتياط على ما يستفاد من الرواية، بل لأجل استحسان أنّ الفرج ليس له عوض، والمال له عوض، فلا وجه لجعل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النكاح أحرى أن يحتاط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مراده أنّه إذا لم يكن في مثل الوكالة المذكورة نصّ، لا يصحّ الحكم بالاستحسان والاجتهاد، بل لا بدّ من الاحتياط، لا الحكم بالصحّة ولا الفساد، ولم يذكر طريق الاحتياط، فإنّه إمّا بتجديد النكاح، أو بالطلاق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أنّ النكاح حريّ بالاحتياط، أو أحرى من كلّ شيء بالاحتياط، ولهذا ذكر 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ردّاً عليهم بأنّ اجتهادهم باطل، بل لا بدّ من الحكم بالصحّة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يوجب النصّ المذكور وهناً في روايات النكاح، على فرض استفادة الحكم منها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روايات نكاح العبيد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ما مرّ الكلام فيها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نكاح أحد الشريكين مملوكه بلا إذن صاحبه، كرواية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بين رجلين، زوّجه أحدهما والآخر لا يعلم، ثمّ إنّه علم بعد ذلك، أ له أن يفرّق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لم يعلم ولم يأذن أن يفرّق بينهما، وإن شاء تركه على نكاحه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مملوكة بين رجلين، زوّجها أحدهما والآخر غائب، هل يجوز النكاح؟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كره الغائب لم يجز النكاح</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على هذه الطائفة ما توهّم وروده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نظير بيع الراهن، فلا يستفاد منها بيع غير المالك</w:t>
      </w:r>
      <w:r>
        <w:rPr>
          <w:rStyle w:val="FootnoteAnchor"/>
          <w:rtl w:val="true"/>
        </w:rPr>
        <w:footnoteReference w:id="317"/>
      </w:r>
      <w:r>
        <w:rPr>
          <w:rFonts w:ascii="Amiri" w:hAnsi="Amiri" w:eastAsia="Amiri" w:cs="Amiri"/>
          <w:color w:val="111111"/>
          <w:sz w:val="28"/>
          <w:sz w:val="28"/>
          <w:szCs w:val="28"/>
          <w:rtl w:val="true"/>
          <w:lang w:bidi="ar-SA"/>
        </w:rPr>
        <w:t>فإنّ المتزوّج فيهما المولى لا المملوك</w:t>
      </w:r>
      <w:r>
        <w:rPr>
          <w:rFonts w:eastAsia="Amiri" w:cs="Amiri" w:ascii="Amiri" w:hAnsi="Amiri"/>
          <w:color w:val="111111"/>
          <w:sz w:val="28"/>
          <w:szCs w:val="28"/>
          <w:rtl w:val="true"/>
          <w:lang w:bidi="ar-SA"/>
        </w:rPr>
        <w:t xml:space="preserve">. </w:t>
      </w:r>
      <w:bookmarkStart w:id="156" w:name="pg15204_140336"/>
    </w:p>
    <w:p>
      <w:pPr>
        <w:pStyle w:val="BookText"/>
        <w:rPr/>
      </w:pPr>
      <w:bookmarkEnd w:id="156"/>
      <w:r>
        <w:rPr>
          <w:rFonts w:ascii="Amiri" w:hAnsi="Amiri" w:eastAsia="Amiri" w:cs="Amiri"/>
          <w:color w:val="111111"/>
          <w:sz w:val="28"/>
          <w:sz w:val="28"/>
          <w:szCs w:val="28"/>
          <w:rtl w:val="true"/>
          <w:lang w:bidi="ar-SA"/>
        </w:rPr>
        <w:t>واحتمال كونه بإذن المملوك والمملوكة ضعيف؛ ضرورة أنّ إذنهما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ترك الاستفصال دليل على عدم الفرق بين ما إذا كان بإذنهما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كره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الكراهة حين جريان العقد حتّى يدلّ على بطلان الفضولي لا صحّته، ضعيف؛ ضرورة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غائب، كناية عرفاً عن عدم إذنه ورضاه حال العقد؛ لعدم احتمال كون الغيبة بنفسها دخيلة في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غائب، يراد به عدم الإذن والرضا، وهو قرينة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كره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الكراهة حين الاطّلاع على التزويج، فدلالتهما على صحّة الفضولي في النكاح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فهم العرف منهما صحّة مطلق الفضولي أيضاً، لا تنبغي الشبهة فيه؛ ضرورة أنّ مساق السؤال والجواب هو جهة التصرّف في مال الغير بلا إذنه، من غير نظر إلى النكاح</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758758_2142443653"/>
      <w:bookmarkStart w:id="158" w:name="_Toc55"/>
      <w:bookmarkEnd w:id="157"/>
      <w:r>
        <w:rPr>
          <w:rtl w:val="true"/>
        </w:rPr>
        <w:t>الاستدلال للصحّة بروايات تزويج الأولياء للصغير</w:t>
      </w:r>
      <w:bookmarkEnd w:id="15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تزويج الأولياء العرفيين للصغير أو الصغيرة، كصحيحة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وجارية زوّجهما وليّان لهما وهما غير مدركين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أ يّهما أدرك كان له الخيار، فإن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النكاح، ثمّ مات قبل أن تدرك الجاريه، أترثه؟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يعزل ميراثها منه حتّى تدرك، وتحلف باللّه بأنّه ما دعاها إلى أخذ الميراث إلاّ رضاها بالتزويج،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عبّاد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ابناً له مدركاً من يتيمة في حجره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إن مات، ولا يرثها؛ لأنّ لها الخيار، ولا خيار عليها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وغيرهما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الوليّان في الصحيحة هما الوليّان العرفيان؛ بقرينة الحكم، وبقرينة قوله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الظاهر منه أنّ السؤال في الأوّل عن غير الوليّ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المراد بالوليين جدّهما أو وصيّ أبيهما،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الجواز مقابل اللزوم كالبيع الخياري، وإن كان يوهمه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الجواز في البيع الفضولي؛ بقرينة الحكم بعدم التوارث بينهما إلاّ إذا أدركا ورضيا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 الحكم بعدم التوارث في زمان الخيار، نظير تلف المبيع قبل القبض الذي هو من مال بائعه، ويراد بالرضا ما يوجب إسقاط الخيار لا تنفيذ النكاح، ضعيف مخالف للنصّ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تحقّق النكاح من جانب الراضي، حتّى تلزم الزوجية من أحد الطرفين دون الآخر؛ فإنّ ذلك غير معقول، وترتّب الآثار تعبّداً من أحد الطرفين دون الآخر وإن أمكن، إلاّ أنّه مقطوع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 أنّ الراضي يجب عليه الوفاء بالعقد؛ بمعنى أنّه بعد رضاه لا يجوز له التخلّف، بل لا بدّ له من الالتزام بالعقد وانتظار إدراك الآخر، فإن أدرك ولم يرض جاز له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عزل الميراث إلى زمان الإدراك، ودفع الميراث والمهر إليها إذا حلفت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صحّة الفضولي في النكاح، وعلى صحّته في غيره </w:t>
      </w:r>
      <w:bookmarkStart w:id="159" w:name="pg15204_140339"/>
    </w:p>
    <w:p>
      <w:pPr>
        <w:pStyle w:val="BookText"/>
        <w:rPr/>
      </w:pPr>
      <w:bookmarkEnd w:id="159"/>
      <w:r>
        <w:rPr>
          <w:rFonts w:ascii="Amiri" w:hAnsi="Amiri" w:eastAsia="Amiri" w:cs="Amiri"/>
          <w:color w:val="111111"/>
          <w:sz w:val="28"/>
          <w:sz w:val="28"/>
          <w:szCs w:val="28"/>
          <w:rtl w:val="true"/>
          <w:lang w:bidi="ar-SA"/>
        </w:rPr>
        <w:t>بالتقريب المتقدّم، وإن لم تخل من إشكال ستأتي الإشارة إليه في باب الإجازة</w:t>
      </w:r>
      <w:r>
        <w:rPr>
          <w:rStyle w:val="FootnoteAnchor"/>
          <w:rtl w:val="true"/>
        </w:rPr>
        <w:footnoteReference w:id="321"/>
      </w:r>
      <w:r>
        <w:rPr>
          <w:rFonts w:ascii="IRNazanin" w:hAnsi="IRNazanin" w:eastAsia="IRNazanin"/>
          <w:color w:val="111111"/>
          <w:sz w:val="28"/>
          <w:sz w:val="28"/>
          <w:szCs w:val="28"/>
          <w:rtl w:val="true"/>
          <w:lang w:bidi="fa-IR"/>
        </w:rPr>
        <w:t>، فانتظر وراجع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عليه أيضاً روايات اُخرى في باب النكاح، كنكاح العمّ، ونكاح الاُمّ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2758760_2142443653"/>
      <w:bookmarkStart w:id="161" w:name="_Toc56"/>
      <w:bookmarkEnd w:id="160"/>
      <w:r>
        <w:rPr>
          <w:rtl w:val="true"/>
        </w:rPr>
        <w:t>الاستدلال للصحّة بروايات المضاربة</w:t>
      </w:r>
      <w:bookmarkEnd w:id="161"/>
    </w:p>
    <w:p>
      <w:pPr>
        <w:pStyle w:val="BookText"/>
        <w:rPr/>
      </w:pPr>
      <w:r>
        <w:rPr>
          <w:rFonts w:ascii="Amiri" w:hAnsi="Amiri" w:eastAsia="Amiri" w:cs="Amiri"/>
          <w:color w:val="111111"/>
          <w:sz w:val="28"/>
          <w:sz w:val="28"/>
          <w:szCs w:val="28"/>
          <w:rtl w:val="true"/>
          <w:lang w:bidi="ar-SA"/>
        </w:rPr>
        <w:t>واستدلّ عليه بروايات المضاربة</w:t>
      </w:r>
      <w:r>
        <w:rPr>
          <w:rStyle w:val="FootnoteAnchor"/>
          <w:rtl w:val="true"/>
        </w:rPr>
        <w:footnoteReference w:id="323"/>
      </w:r>
      <w:r>
        <w:rPr>
          <w:rFonts w:ascii="Amiri" w:hAnsi="Amiri" w:eastAsia="Amiri" w:cs="Amiri"/>
          <w:color w:val="111111"/>
          <w:sz w:val="28"/>
          <w:sz w:val="28"/>
          <w:szCs w:val="28"/>
          <w:rtl w:val="true"/>
          <w:lang w:bidi="ar-SA"/>
        </w:rPr>
        <w:t>،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 العامل لو تخلّف عمّا شرط عليه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عدم السفر، أو عدم ركوب البحر مع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ضامناً، والربح بينهما،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يعطي المال مضاربة، وينهى أن يخرج به،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إذا خالف أمر صاحب المال أو خالف شرطه كان ضامناً، وفي بعضها الربح بينهما، كصحيحة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الرجل مالاً مضاربة، فيخالف ما شرط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الذي يعمل به مُضاربة له من الربح، وليس عليه من الوضيعة شيء، إلاّ أن يُخالف أمر صاحب المال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هي مطلقة تشمل بإطلاقها ما إذا أمر بشراء متاع خاصّ فخالفه، كما في الطائفة الثالثة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بمناسبة الحكم بل وبالتعبير بالشرط في بعضها، محمولة على الشرط الخارجي، فتدلّ هاتان الطائفتان على أنّ مخالفة الشرط في ضمن عقد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شرط عدم الخروج بالمتاع، أو عدم النزول به إلى وادي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للضمان، ولا توجب بطلان المضاربة، فهو ضامن،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موافق للقواعد؛ لأنّ اليد الأمانية تنقلب إلى اليد العادية الضمانية، ولا موجب لبطلان أصل المضاربة، كما أنّه لا ربط لها بالفضولي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للحمل المذكور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المال الذي يعمل به مضاربة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الربح، وليس عليه من الوضيعة شيء، إلاّ أن يُخالف أمر صاحب المال، فإنّ العبّاس كان كثير المال، وكان يُعطي الرجال يعملون به مُضاربة، ويشترط عليهم أن لا ينزلوا بطن وادٍ، ولا يشتروا ذا كبد </w:t>
      </w:r>
    </w:p>
    <w:p>
      <w:pPr>
        <w:pStyle w:val="BookText"/>
        <w:rPr/>
      </w:pPr>
      <w:r>
        <w:rPr>
          <w:rFonts w:ascii="Amiri" w:hAnsi="Amiri" w:eastAsia="Amiri" w:cs="Amiri"/>
          <w:color w:val="111111"/>
          <w:sz w:val="28"/>
          <w:sz w:val="28"/>
          <w:szCs w:val="28"/>
          <w:rtl w:val="true"/>
          <w:lang w:bidi="ar-SA"/>
        </w:rPr>
        <w:t>رطبة، فإن خالفت شيئاً ممّا أمرتك به فأنت ضامن للمال</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حيث فسّر مخالفة أمر صاحب المال بما عن العبّاس من الشرط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بظاهرها على أنّه إذا خالف أصل المضاربة كان ضامناً، والربح بينهما، كصحيحة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إلى رجل مالاً يشتري به ضرباً من المتاع مضاربة، فذهب فاشترى به غير الذي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يعطي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أرض كذا وكذا ولا تجاوزها، واشتر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جاوزها وهلك المال فهو ضامن، وإن اشترى متاعاً فوضع فيه فهو عليه، وإن ربح فهو بينهما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هي التي كان الشيخ الأعظم قدّس سرّه يؤيّ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بها الفضولي أو يستأنس بها 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ظاهرها مخالف للقواعد العقلائية والشرعية؛ فإنّ الظاهر منها أنّ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التخلّف واشتراء شيء خارج عن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p>
    <w:p>
      <w:pPr>
        <w:pStyle w:val="BookText"/>
        <w:rPr/>
      </w:pPr>
      <w:r>
        <w:rPr>
          <w:rFonts w:ascii="Amiri" w:hAnsi="Amiri" w:eastAsia="Amiri" w:cs="Amiri"/>
          <w:color w:val="111111"/>
          <w:sz w:val="28"/>
          <w:sz w:val="28"/>
          <w:szCs w:val="28"/>
          <w:rtl w:val="true"/>
          <w:lang w:bidi="ar-SA"/>
        </w:rPr>
        <w:t>بلا إجازة، ويكون الربح بينهما، كما هو مقتضى الجمود على ظاهرها؛ لعدم وجه لصحّة معاملة الأجنبيّ رغماً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لكون الربح بينهما مع عدم قرار مضاربة في المعاملة الرابحة، بل لا يستحقّ شيئاً؛ لعدم احترام عمله، ولو استحقّ شيئاً لكان ذلك اُجرة عمله، ولا تكون مؤيّدة لصحّة الفضولي، ولا مربوطة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حملناها على لحوق الإجازة، فلا وجه أيضاً لكون الربح بينهما؛ لأنّ شراءه وإن كان بتخيّل العمل بالمضاربة، لا يوجب كون المعاملة مضاربة فضولية، بل يكون بيعاً فضولياً، وحينئذٍ أيضاً لا وجه لكون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إذا وكّله لبيع داره، فذهب وباع بستانه بعنوان الوكالة، فأجاز المالك، فإنّ إجازته لا تصحّح الوكالة، بل تصحّح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الثانية لا تأبى عن الحمل على الاشتراط الخارجي لو لم نقل بظهورها فيه؛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من غير ذكر المضاربة وكيفية قرارها، ظاهر في أنّ المراد إهمال التفصيل، ويكون المقصود أنّه يعطي مضاربة بكذا وكذا،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هذا شرط زائد على أصل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الأمر بإتيان أرض كذا، والنهي عن التجاوز، خارجان عن أصل المضاربة،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الاشتراء من أرض كذا غير اشتراء متاع كذا؛ فإنّ الأوّل أيضاً ظاهر في الاشتراط، فتكون الرواية كسائر الروايات موافقة للقاعدة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جميل، فلا تنبغي الشبهة في ظهورها في محدودية المضاربة </w:t>
      </w:r>
      <w:bookmarkStart w:id="162" w:name="pg15204_140343"/>
    </w:p>
    <w:p>
      <w:pPr>
        <w:pStyle w:val="BookText"/>
        <w:rPr/>
      </w:pPr>
      <w:bookmarkEnd w:id="162"/>
      <w:r>
        <w:rPr>
          <w:rFonts w:ascii="Amiri" w:hAnsi="Amiri" w:eastAsia="Amiri" w:cs="Amiri"/>
          <w:color w:val="111111"/>
          <w:sz w:val="28"/>
          <w:sz w:val="28"/>
          <w:szCs w:val="28"/>
          <w:rtl w:val="true"/>
          <w:lang w:bidi="ar-SA"/>
        </w:rPr>
        <w:t>بالمتاع الخاصّ، فهي مخالفة للقواعد بما عرفت، والعمل بها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الشرط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بقرينة تظافر الروايات في الاشتراط، وحمل تخلّف الأمر في الرواية المتقدّمة المذكورة فيها قضيّة العبّاس عليه، وبعد التعبّد بهذا الأمر المخالف للقواعد جدّاً، والاستئناس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أمره، فتكون كسائر الروايات الدالّة على أنّ مخالفة أمره بكون عمله مخالفاً لشرطه،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الرضا المقارن أو المتأخّر لا يصحّحها؛ لعدم وجه لكون الربح بينهما، واللّه العالم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2758762_2142443653"/>
      <w:bookmarkStart w:id="164" w:name="_Toc57"/>
      <w:bookmarkEnd w:id="163"/>
      <w:r>
        <w:rPr>
          <w:rtl w:val="true"/>
        </w:rPr>
        <w:t>الاستدلال للصحّة بروايات الاتّجار بمال اليتيم</w:t>
      </w:r>
      <w:bookmarkEnd w:id="164"/>
    </w:p>
    <w:p>
      <w:pPr>
        <w:pStyle w:val="BookText"/>
        <w:rPr/>
      </w:pPr>
      <w:r>
        <w:rPr>
          <w:rFonts w:ascii="Amiri" w:hAnsi="Amiri" w:eastAsia="Amiri" w:cs="Amiri"/>
          <w:color w:val="111111"/>
          <w:sz w:val="28"/>
          <w:sz w:val="28"/>
          <w:szCs w:val="28"/>
          <w:rtl w:val="true"/>
          <w:lang w:bidi="ar-SA"/>
        </w:rPr>
        <w:t>وممّا يستدلّ أو يستأنس به في المقام</w:t>
      </w:r>
      <w:r>
        <w:rPr>
          <w:rStyle w:val="FootnoteAnchor"/>
          <w:rtl w:val="true"/>
        </w:rPr>
        <w:footnoteReference w:id="333"/>
      </w:r>
      <w:r>
        <w:rPr>
          <w:rFonts w:ascii="Amiri" w:hAnsi="Amiri" w:eastAsia="Amiri" w:cs="Amiri"/>
          <w:color w:val="111111"/>
          <w:sz w:val="28"/>
          <w:sz w:val="28"/>
          <w:szCs w:val="28"/>
          <w:rtl w:val="true"/>
          <w:lang w:bidi="ar-SA"/>
        </w:rPr>
        <w:t>روايات الاتّجار بمال اليتيم</w:t>
      </w:r>
      <w:r>
        <w:rPr>
          <w:rStyle w:val="FootnoteAnchor"/>
          <w:rtl w:val="true"/>
        </w:rPr>
        <w:footnoteReference w:id="334"/>
      </w:r>
      <w:r>
        <w:rPr>
          <w:rFonts w:ascii="Amiri" w:hAnsi="Amiri" w:eastAsia="Amiri" w:cs="Amiri"/>
          <w:color w:val="111111"/>
          <w:sz w:val="28"/>
          <w:sz w:val="28"/>
          <w:szCs w:val="28"/>
          <w:rtl w:val="true"/>
          <w:lang w:bidi="ar-SA"/>
        </w:rPr>
        <w:t>وهي على كثرتها لا دلالة فيها على المطلوب، ولا يستأنس بها له، إلاّ أن تحمل على اتّجار الأجنبيّ من غير إذن الوليّ ثمّ أجاز، وهو أمر لا إشعار به في الأخبار، فضلاً عن دلالتها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الروايات إشكالات يشكل دفعها وجعلها مطابقة للقواعد إلاّ بتكلّف، بل لعلّه لا يمكن ارتكابه في بعضها، كرواية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إليه مال يتيم 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ربح فلليتيم، وإن كان وضيعة فالذي أعطى ضامن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ترك الاستفصال يقتضي أن يكون الحكم ثابتاً للوليّ، مليّاً كان أو لا، وللأجنبيّ، كانت المضاربة لليتيم أو للمعطي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الربح لليتيم على القواعد، بل على فرض صحّة المضاربة كان الربح بين اليتيم والعامل، وعلى بطلانها لا يكون الربح لواحد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الوضيعة على اليتيم لو أعطى الوليّ المال مضاربة لليتيم، سواء كان مليّاً أو لا؛ إذ تصرّفات الوليّ لصلاح حال اليتيم، والمعاملة له نافذة، وليس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إعطاء الوليّ المال مضاربة لنفسه؛ بأن استقرض من اليتيم وأعطاه مضاربة، فإن كان مليّاً فلا إشكال فيه، وكان الربح له، والخسران عليه، وإن كان غير مليّ بطل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المضاربة؛ لأنّ ولايته غير ساقطة، وإنّما لا يجوز له استقراض ماله، فالمضاربة الواقعة على مال الطفل بإذنه وقعت في محلّها، وصدرت من أهلها، فحينئذٍ يكون الربح لليتيم والعامل، والوضيعة على الوليّ غير المليّ؛ لتصرّفه العدواني في مال الطفل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وقعت في مال الطفل وللطفل، وبطلت المضاربة أيضاً، فحينئذٍ يكون الربح للطفل، والوضيعة على من أعطاه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تكون الوضيعة على العامل إن كان عالماً بالواقعة، كما يجوز الرجوع إلى الوليّ أيضاً، ويستقرّ الضمان على من تلف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عالماً يجوز الرجوع إليه، وهو يرجع إلى الوليّ؛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الروايات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السمّان</w:t>
      </w:r>
      <w:r>
        <w:rPr>
          <w:rStyle w:val="FootnoteAnchor"/>
          <w:rtl w:val="true"/>
        </w:rPr>
        <w:footnoteReference w:id="336"/>
      </w:r>
      <w:r>
        <w:rPr>
          <w:rFonts w:ascii="Amiri" w:hAnsi="Amiri" w:eastAsia="Amiri" w:cs="Amiri"/>
          <w:color w:val="111111"/>
          <w:sz w:val="28"/>
          <w:sz w:val="28"/>
          <w:szCs w:val="28"/>
          <w:rtl w:val="true"/>
          <w:lang w:bidi="ar-SA"/>
        </w:rPr>
        <w:t xml:space="preserve">وما هي بمضمونها </w:t>
      </w:r>
      <w:r>
        <w:rPr>
          <w:rStyle w:val="FootnoteAnchor"/>
          <w:rtl w:val="true"/>
        </w:rPr>
        <w:footnoteReference w:id="337"/>
      </w:r>
      <w:r>
        <w:rPr>
          <w:rFonts w:ascii="Amiri" w:hAnsi="Amiri" w:eastAsia="Amiri" w:cs="Amiri"/>
          <w:color w:val="111111"/>
          <w:sz w:val="28"/>
          <w:sz w:val="28"/>
          <w:szCs w:val="28"/>
          <w:rtl w:val="true"/>
          <w:lang w:bidi="ar-SA"/>
        </w:rPr>
        <w:t>ظاهرة في أنّ الاتّجار كان لليتيم، ومقتضى إطلاقها الصحّة بلا لحوق الإذن، فيعلم منه أنّ التاجر هو الوليّ، ومقتضى إطلاق ذيلها أنّ الوليّ ضامن، وهذا الحكم للاهتمام بأمر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رواية أبي الربيع الشامي أنّ المضاربة بمال اليتيم جائزة للوصيّ، وقوله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فهل عليه ضمان؟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يحتمل أن يكون المراد منه إذا كان وصيّاً، ويحتمل أن يكون المراد إذا كان ناظراً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يقتضي عدم ضمان الوليّ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عدم الضمان بما إذا أوصى الأب بالمضاربة، فتكون </w:t>
      </w:r>
    </w:p>
    <w:p>
      <w:pPr>
        <w:pStyle w:val="BookText"/>
        <w:rPr/>
      </w:pPr>
      <w:r>
        <w:rPr>
          <w:rFonts w:ascii="Amiri" w:hAnsi="Amiri" w:eastAsia="Amiri" w:cs="Amiri"/>
          <w:color w:val="111111"/>
          <w:sz w:val="28"/>
          <w:sz w:val="28"/>
          <w:szCs w:val="28"/>
          <w:rtl w:val="true"/>
          <w:lang w:bidi="ar-SA"/>
        </w:rPr>
        <w:t>موافقة لرواية خالد بن بكير الطويل</w:t>
      </w:r>
      <w:r>
        <w:rPr>
          <w:rStyle w:val="FootnoteAnchor"/>
          <w:rtl w:val="true"/>
        </w:rPr>
        <w:footnoteReference w:id="339"/>
      </w:r>
      <w:r>
        <w:rPr>
          <w:rFonts w:ascii="Amiri" w:hAnsi="Amiri" w:eastAsia="Amiri" w:cs="Amiri"/>
          <w:color w:val="111111"/>
          <w:sz w:val="28"/>
          <w:sz w:val="28"/>
          <w:szCs w:val="28"/>
          <w:rtl w:val="true"/>
          <w:lang w:bidi="ar-SA"/>
        </w:rPr>
        <w:t>ورواية محمّد بن مسلم</w:t>
      </w:r>
      <w:r>
        <w:rPr>
          <w:rStyle w:val="FootnoteAnchor"/>
          <w:rtl w:val="true"/>
        </w:rPr>
        <w:footnoteReference w:id="340"/>
      </w:r>
      <w:r>
        <w:rPr>
          <w:rFonts w:ascii="Amiri" w:hAnsi="Amiri" w:eastAsia="Amiri" w:cs="Amiri"/>
          <w:color w:val="111111"/>
          <w:sz w:val="28"/>
          <w:sz w:val="28"/>
          <w:szCs w:val="28"/>
          <w:rtl w:val="true"/>
          <w:lang w:bidi="ar-SA"/>
        </w:rPr>
        <w:t>في باب الوصيّة، فتقيّد بها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الوليّ إذا اتّجر بمال الطفل للطفل أو بنحو المضاربة، إلاّ إذا أذن الأب بخصوص الاتّجار به، ولا منافاة بين صحّة التجارة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بكر بن حبيب، فالظاهر منها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ربح فلليتيم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له على قرار المضاربة، لا أنّ الجميع له وتبطل المضاربة، فتكون موافقة لسائر الروايات، وعليه يحمل بعض روايات اُخر</w:t>
      </w:r>
      <w:r>
        <w:rPr>
          <w:rStyle w:val="FootnoteAnchor"/>
          <w:rtl w:val="true"/>
        </w:rPr>
        <w:footnoteReference w:id="341"/>
      </w:r>
      <w:r>
        <w:rPr>
          <w:rFonts w:ascii="IRNazanin" w:hAnsi="IRNazanin" w:eastAsia="IRNazanin"/>
          <w:color w:val="111111"/>
          <w:sz w:val="28"/>
          <w:sz w:val="28"/>
          <w:szCs w:val="28"/>
          <w:rtl w:val="true"/>
          <w:lang w:bidi="fa-IR"/>
        </w:rPr>
        <w:t>وردت بهذا المضمون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روايات بعضها ظاهر في الاقتراض من مال اليتيم، مثل رواية الصيقل</w:t>
      </w:r>
      <w:r>
        <w:rPr>
          <w:rStyle w:val="FootnoteAnchor"/>
          <w:rtl w:val="true"/>
        </w:rPr>
        <w:footnoteReference w:id="342"/>
      </w:r>
      <w:r>
        <w:rPr>
          <w:rFonts w:ascii="Amiri" w:hAnsi="Amiri" w:eastAsia="Amiri" w:cs="Amiri"/>
          <w:color w:val="111111"/>
          <w:sz w:val="28"/>
          <w:sz w:val="28"/>
          <w:szCs w:val="28"/>
          <w:rtl w:val="true"/>
          <w:lang w:bidi="ar-SA"/>
        </w:rPr>
        <w:t>ففصّل فيها بين المليّ وغيره، وأبطل اقتراض غيره، لكن حكم بصحّة أصل المعاملة، ولمّا كان الاتّجار بمال اليتيم كان الربح له، والاتّجار بنحو الكلّي في الثمن مع البناء على الإعطاء من مال اليتيم، والإعطاء منه يجعل الاتّجار بماله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رواية أسباط بن سالم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من فضل سلّمه لليتيم وضمن له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ظاهر في الاقتراض والاتّجار لنفسه، والبناء على إعطاء ربحه لليتيم، وعلى ذلك تحمل صحيحة حريز، عن محمّد بن مسلم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محتمل لذلك وللاتّجار لليتيم، كرواية علي بن أسباط، عن أسباط بن سالم</w:t>
      </w:r>
      <w:r>
        <w:rPr>
          <w:rStyle w:val="FootnoteAnchor"/>
          <w:rtl w:val="true"/>
        </w:rPr>
        <w:footnoteReference w:id="345"/>
      </w:r>
      <w:r>
        <w:rPr>
          <w:rFonts w:ascii="Amiri" w:hAnsi="Amiri" w:eastAsia="Amiri" w:cs="Amiri"/>
          <w:color w:val="111111"/>
          <w:sz w:val="28"/>
          <w:sz w:val="28"/>
          <w:szCs w:val="28"/>
          <w:rtl w:val="true"/>
          <w:lang w:bidi="ar-SA"/>
        </w:rPr>
        <w:t>وصحيحة ربعي بن عبداللّه‌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حملناها على الاقتراض، تصير نتيجة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المليّ يجوز له الاقتراض دون غيره، ولو اقترض غيره بطل القرض، وصحّت التجارة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حملناها على الاتّجار، 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الاتّجار بمال اليتيم لا يجوز تكليفاً لغير المليّ، لكن لو اتّجر صحّ؛ لكونه وليّاً، وهو ضامن، وعليه لا معارضة بين الروايات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الاتّجار بمال اليتيم موجب للضمان، سواء اتّجر له، أو عمل به مضاربة، إلاّ في صورة إذن الأب بخصوص الاتّجار مضاربة، بل ولليتيم، فإنّه أيضاً يفهم ممّا ورد في المضاربة</w:t>
      </w:r>
      <w:r>
        <w:rPr>
          <w:rFonts w:eastAsia="Amiri" w:cs="Amiri" w:ascii="Amiri" w:hAnsi="Amiri"/>
          <w:color w:val="111111"/>
          <w:sz w:val="28"/>
          <w:szCs w:val="28"/>
          <w:rtl w:val="true"/>
          <w:lang w:bidi="ar-SA"/>
        </w:rPr>
        <w:t xml:space="preserve">. </w:t>
      </w:r>
      <w:bookmarkStart w:id="165" w:name="pg15204_140348"/>
    </w:p>
    <w:p>
      <w:pPr>
        <w:pStyle w:val="BookText"/>
        <w:rPr/>
      </w:pPr>
      <w:bookmarkEnd w:id="165"/>
      <w:r>
        <w:rPr>
          <w:rFonts w:ascii="Amiri" w:hAnsi="Amiri" w:eastAsia="Amiri" w:cs="Amiri"/>
          <w:color w:val="111111"/>
          <w:sz w:val="28"/>
          <w:sz w:val="28"/>
          <w:szCs w:val="28"/>
          <w:rtl w:val="true"/>
          <w:lang w:bidi="ar-SA"/>
        </w:rPr>
        <w:t>ولا يجوز لغير المليّ الاتّجار بمال اليتيم مطلقاً، ولو اتّجر صحّ وضمن، وجاز للمليّ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اقتراض غير المليّ ويبطل، ولو اقترض واتّجر به صحّ لليتيم، والتاجر ضامن، بخلاف المليّ، فإنّ اقتراضه صحيح، والربح للتاجر، وعليه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أوصى الأب بخصوص التجارة، وكان الوصيّ غير مليّ، هل يجوز له الاتّجار أو لا؟</w:t>
      </w:r>
    </w:p>
    <w:p>
      <w:pPr>
        <w:pStyle w:val="BookText"/>
        <w:rPr/>
      </w:pPr>
      <w:r>
        <w:rPr>
          <w:rFonts w:ascii="Amiri" w:hAnsi="Amiri" w:eastAsia="Amiri" w:cs="Amiri"/>
          <w:color w:val="111111"/>
          <w:sz w:val="28"/>
          <w:sz w:val="28"/>
          <w:szCs w:val="28"/>
          <w:rtl w:val="true"/>
          <w:lang w:bidi="ar-SA"/>
        </w:rPr>
        <w:t>الظاهر جوازه؛ لعدم الضمان، فلا فرق بينه وبين المليّ في ذلك</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2758764_2142443653"/>
      <w:bookmarkStart w:id="167" w:name="_Toc58"/>
      <w:bookmarkEnd w:id="166"/>
      <w:r>
        <w:rPr>
          <w:rtl w:val="true"/>
        </w:rPr>
        <w:t>الاستدلال للصحّة برواية ابن أشيم</w:t>
      </w:r>
      <w:bookmarkEnd w:id="167"/>
    </w:p>
    <w:p>
      <w:pPr>
        <w:pStyle w:val="BookText"/>
        <w:rPr/>
      </w:pPr>
      <w:r>
        <w:rPr>
          <w:rFonts w:ascii="Amiri" w:hAnsi="Amiri" w:eastAsia="Amiri" w:cs="Amiri"/>
          <w:color w:val="111111"/>
          <w:sz w:val="28"/>
          <w:sz w:val="28"/>
          <w:szCs w:val="28"/>
          <w:rtl w:val="true"/>
          <w:lang w:bidi="ar-SA"/>
        </w:rPr>
        <w:t>وربّما يؤيّد</w:t>
      </w:r>
      <w:r>
        <w:rPr>
          <w:rStyle w:val="FootnoteAnchor"/>
          <w:rtl w:val="true"/>
        </w:rPr>
        <w:footnoteReference w:id="347"/>
      </w:r>
      <w:r>
        <w:rPr>
          <w:rFonts w:ascii="Amiri" w:hAnsi="Amiri" w:eastAsia="Amiri" w:cs="Amiri"/>
          <w:color w:val="111111"/>
          <w:sz w:val="28"/>
          <w:sz w:val="28"/>
          <w:szCs w:val="28"/>
          <w:rtl w:val="true"/>
          <w:lang w:bidi="ar-SA"/>
        </w:rPr>
        <w:t>الفضولي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أشيم،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لقوم مأذون له في التجارة، دفع إليه رجل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نسمة وأعتقها، وحجّ عنّي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صاحب الألف، فانطلق العبد فاشترى أباه، فأعتقه عن الميّت، ودفع إليه الباقي يحجّ عن الميّت، فحجّ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موالي أبيه ومواليه وورثة الميّت جميعاً، فاختصموا جميعاً في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موالي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الحجّة فقد مضت بما فيها لا تردّ، وأمّا المعتق فهو </w:t>
      </w:r>
    </w:p>
    <w:p>
      <w:pPr>
        <w:pStyle w:val="BookText"/>
        <w:rPr/>
      </w:pPr>
      <w:r>
        <w:rPr>
          <w:rFonts w:ascii="Amiri" w:hAnsi="Amiri" w:eastAsia="Amiri" w:cs="Amiri"/>
          <w:color w:val="111111"/>
          <w:sz w:val="28"/>
          <w:sz w:val="28"/>
          <w:szCs w:val="28"/>
          <w:rtl w:val="true"/>
          <w:lang w:bidi="ar-SA"/>
        </w:rPr>
        <w:t>ردّ في الرقّ لموالي أبيه، وأيّ الفريقين بعد أقاموا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على أنّه اشترى أباه من أموالهم كان له رقّاً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دلالتها على الفضولي، فمبنيّة على أنّ دعوى الورثة هي رجوع مال والدهم إليهم، وكان الرجل وكيلاً عنه، وإذا مات بطلت الوكالة، فاشترى أباه بمالهم من غير إذن، وكان اختصامهم ودعواهم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دليل على نفوذ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 الرواية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لمجموع الورثة مال عنده للتجارة</w:t>
      </w:r>
      <w:r>
        <w:rPr>
          <w:rStyle w:val="FootnoteAnchor"/>
          <w:rtl w:val="true"/>
        </w:rPr>
        <w:footnoteReference w:id="349"/>
      </w:r>
      <w:r>
        <w:rPr>
          <w:rFonts w:ascii="Amiri" w:hAnsi="Amiri" w:eastAsia="Amiri" w:cs="Amiri"/>
          <w:color w:val="111111"/>
          <w:sz w:val="28"/>
          <w:sz w:val="28"/>
          <w:szCs w:val="28"/>
          <w:rtl w:val="true"/>
          <w:lang w:bidi="ar-SA"/>
        </w:rPr>
        <w:t>، في غاية البعد، مع أنّ الظاهر أنّ الدعوى كانت ثلاثية الأطراف، لا رباعيتها، ولا خماسيتها، وسكوت الرجل دليل على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يكن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بل سكوت العبد المعتق وعدم دعوى كونه معتقاً، دليل على ذلك، فدلالتها على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الفضولي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ترد على الرواية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الحجّ من العبد بلا إذن مولاه خلاف القاعدة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التفكيك بين الحجّ والرقّ، والحكم ببطلان العتق ظاهراً، وصحّ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الحجّ، غير مرضيّ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قامت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على الرقّية كان الحجّ باطلاً بحكم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قد مضت بما فيها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بصدد بيان حكم الحجّ صحّة وفساداً، بل بصدد التقابل بينه وبين العبد؛ بأنّ العبد باقٍ قابل للردّ، دون الحجّ الذي مضى وتصرّم، ولم يكن النزاع في المال المصروف في الحجّ، بل النزاع في العبد،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تشخيص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غير قابل للردّ، دون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قول موالي العبد وإرجاعه رقّاً لهم، خلاف قواعد القضاء؛ فإنّ قول الوكيل حجّة وكذا فعله، وظاهر الرواية أنّه اشترى أباه بما دفع إليه الميّت حال حياته، وقوله حجّة، فيكون الورثة منكرين، والقول قولهم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سكوته أنّه كان وكيلاً للميّت وبطلت وكالته بموته، فلا يكون فعله أو قوله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أجنبيّ بالنسبة إلى مال الورثة، بل احتمال كونه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للأب أو وكيلاً له ثمّ بطلت وكالته، كافٍ في عدم اعتبار قوله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مقدّمة على الأصل العملي، والورثة كانوا يدّعون صحّة الاشتراء فضولياً، وموالي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الصحّة الفعلية، وموالي الأب كانوا يدّعون الفساد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ليس من مصبّ أصالة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لأنّها جارية فيما لو اُحرز 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معاملة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وشكّ في صحّتها،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إذا دار الأمر بين معاملتين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صحيحة، والاُخرى فاسدة، فلا تجري أصالة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ولا يحرز تحقّق الصحيحة بأصلها، فضلاً عن المقام المردّد بين المعاملة الصحيحة وما ليس بمعاملة؛ فإنّ اشتراء العبد بمال مالكه لا معنى له، ومخالف لمفهوم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الاشتراء بالثمن الخارجي بعيد، بل المتعارف الاشتراء بالكلّي، وإعطاء الثمن بعده أداء لما في الذمّة، فحينئذٍ كان قول المتعامل معتبراً؛ لأنّ قصده لا يعلم إلاّ من قبله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فرض الرواية الاشتراء بمالهم، الظاهر في الاشتراء بالعين، ومضافاً إلى أنّ المتعارف بين الدلاّلين أن يعرضوا النقد على الطرف للحثّ على المعاملة، ومضافاً إلى كون المعاملات نوعاً 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قول من لا يعلم الأمر إلاّ من قبله في مقام التخاصم غير ظاهرة بنحو الإطلاق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اُخر سهلة الدفع</w:t>
      </w:r>
      <w:r>
        <w:rPr>
          <w:rFonts w:eastAsia="Amiri" w:cs="Amiri" w:ascii="Amiri" w:hAnsi="Amiri"/>
          <w:color w:val="111111"/>
          <w:sz w:val="28"/>
          <w:szCs w:val="28"/>
          <w:rtl w:val="true"/>
          <w:lang w:bidi="ar-SA"/>
        </w:rPr>
        <w:t xml:space="preserve">. </w:t>
      </w:r>
      <w:bookmarkStart w:id="168" w:name="pg15204_140352"/>
    </w:p>
    <w:p>
      <w:pPr>
        <w:pStyle w:val="Heading6"/>
        <w:numPr>
          <w:ilvl w:val="5"/>
          <w:numId w:val="1"/>
        </w:numPr>
        <w:rPr/>
      </w:pPr>
      <w:bookmarkStart w:id="169" w:name="__RefHeading___Toc2758766_2142443653"/>
      <w:bookmarkStart w:id="170" w:name="_Toc59"/>
      <w:bookmarkEnd w:id="168"/>
      <w:bookmarkEnd w:id="169"/>
      <w:r>
        <w:rPr>
          <w:rtl w:val="true"/>
        </w:rPr>
        <w:t>فيما يستدلّ به على بطلان الفضولي</w:t>
      </w:r>
      <w:bookmarkEnd w:id="170"/>
    </w:p>
    <w:p>
      <w:pPr>
        <w:pStyle w:val="Heading6"/>
        <w:numPr>
          <w:ilvl w:val="5"/>
          <w:numId w:val="1"/>
        </w:numPr>
        <w:rPr/>
      </w:pPr>
      <w:bookmarkStart w:id="171" w:name="__RefHeading___Toc2758768_2142443653"/>
      <w:bookmarkStart w:id="172" w:name="_Toc60"/>
      <w:bookmarkEnd w:id="171"/>
      <w:r>
        <w:rPr>
          <w:rtl w:val="true"/>
        </w:rPr>
        <w:t>الإشارة</w:t>
      </w:r>
      <w:bookmarkEnd w:id="172"/>
    </w:p>
    <w:p>
      <w:pPr>
        <w:pStyle w:val="BookText"/>
        <w:rPr/>
      </w:pPr>
      <w:r>
        <w:rPr>
          <w:rFonts w:ascii="Amiri" w:hAnsi="Amiri" w:eastAsia="Amiri" w:cs="Amiri"/>
          <w:color w:val="111111"/>
          <w:sz w:val="28"/>
          <w:sz w:val="28"/>
          <w:szCs w:val="28"/>
          <w:rtl w:val="true"/>
          <w:lang w:bidi="ar-SA"/>
        </w:rPr>
        <w:t>وقد استدلّ على بطلان الفضولي باُمور</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758770_2142443653"/>
      <w:bookmarkStart w:id="174" w:name="_Toc61"/>
      <w:bookmarkEnd w:id="173"/>
      <w:r>
        <w:rPr>
          <w:rtl w:val="true"/>
        </w:rPr>
        <w:t>الاستدلال بآية التجارة على البطلان</w:t>
      </w:r>
      <w:bookmarkEnd w:id="17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 لزوم كون التجارة ناشئة عن الرضا، ولازم الحصر بطلان التجارة التي لم تنشأ منه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التجارة عبارة عن النقل والانتقال المسبّبي، وهو حاصل بالإجازة ومقارن للرضا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مرضيّ؛ فإنّ الإجازة ليست تجارة، بل ولا ناقلة، بل بالإجازة يصير إنشاء النقل سبباً حقيقةً بعد ما كان سبباً إنشاءً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فالإجازة عبارة اُخرى عن قوله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والظاهر من الآية الشريفة أنّ التجارة لا بدّ من نشوئها من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ليست بناقلة، بل موجبة لكون عمل الغير سبباً واقعياً، فالرضا إنّما هو بالعقد الحاصل من الغير، ولا يوجب ذلك أن يصير المجيز تاجراً، وعقد الغير عقده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الوكالة موجبة لكون العقد عقد الموكّل، وإن كان فيه أيضاً كلام وإشكال كما مرّ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النظر في كلام الشيخ الأعظم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في الفضولي إنّما تصير تجارة المالك بعد الإجازة، فتجارته عن تراضٍ</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الخطب سهل بعد ما عرفت سابقاً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المتفاهم من المستثنى منه أنّ الباطل علّة لحرمة أكل الأموال بالباطل، وفي مقابله التجارة عن تراضٍ؛ لكونها حقّاً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المال بالباطل منهيّ عنه لأجل كونه باطلاً، وبمقتضى المقابلة الأكل بالتجارة عن تراضٍ غير منهيّ عنه؛ لكونها حقّاً، والعلّة تعمّم وتخصّص، وتشخيص الحقّ والباطل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التجارة المرضيّ بها حقّ، سواء كان الرضا سابقاً، أو مقارناً، أو لاحقاً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تكون الآية الكريمة بصدد تخطئة العرف في تشخيص الحقّ، وأنّ التجارة المقارنة للرضا حقّ فقط، والباقي باطل بحكم الشارع وتخطئة للعرف، في كمال السقوط</w:t>
      </w:r>
      <w:r>
        <w:rPr>
          <w:rFonts w:eastAsia="Amiri" w:cs="Amiri" w:ascii="Amiri" w:hAnsi="Amiri"/>
          <w:color w:val="111111"/>
          <w:sz w:val="28"/>
          <w:szCs w:val="28"/>
          <w:rtl w:val="true"/>
          <w:lang w:bidi="ar-SA"/>
        </w:rPr>
        <w:t xml:space="preserve">. </w:t>
      </w:r>
      <w:bookmarkStart w:id="175" w:name="pg15204_140354"/>
    </w:p>
    <w:p>
      <w:pPr>
        <w:pStyle w:val="BookText"/>
        <w:rPr/>
      </w:pPr>
      <w:bookmarkEnd w:id="175"/>
      <w:r>
        <w:rPr>
          <w:rFonts w:ascii="Amiri" w:hAnsi="Amiri" w:eastAsia="Amiri" w:cs="Amiri"/>
          <w:color w:val="111111"/>
          <w:sz w:val="28"/>
          <w:sz w:val="28"/>
          <w:szCs w:val="28"/>
          <w:rtl w:val="true"/>
          <w:lang w:bidi="ar-SA"/>
        </w:rPr>
        <w:t>ولا فرق فيما ذكرناه من التقريب بين انقطاع الاستثناء واتّصاله، ولا بين إفادة الحصر وعدمها، ولا بين كون التجارة منصوبة أو مرفوعة، كما هو واضح</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2758772_2142443653"/>
      <w:bookmarkStart w:id="177" w:name="_Toc62"/>
      <w:bookmarkEnd w:id="176"/>
      <w:r>
        <w:rPr>
          <w:rtl w:val="true"/>
        </w:rPr>
        <w:t>الاستدلال بالروايات على البطلان</w:t>
      </w:r>
      <w:bookmarkEnd w:id="17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الأخبار، كالنبوي من طرقهم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طرقنا 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نهى عن بيع ما ليس عندك</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سليمان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عنده كناية عن الملكية، فيكون المراد النهي عن بيع ما لا يكون مملوكاً للبائع، وهو يدلّ على الفساد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يحتمل أن تكون كناية عن التسلّط على الشيء، فيكون المقصود النهي عمّا لا يكون تحت قدرتك، فلا يمكن لك التسليم؛ فإنّ القدرة عليه من شروط صحّة المعاملة، فعليه لا ربط له بالفضولي؛ فإنّ مدّعي </w:t>
      </w:r>
    </w:p>
    <w:p>
      <w:pPr>
        <w:pStyle w:val="BookText"/>
        <w:rPr/>
      </w:pPr>
      <w:r>
        <w:rPr>
          <w:rFonts w:ascii="Amiri" w:hAnsi="Amiri" w:eastAsia="Amiri" w:cs="Amiri"/>
          <w:color w:val="111111"/>
          <w:sz w:val="28"/>
          <w:sz w:val="28"/>
          <w:szCs w:val="28"/>
          <w:rtl w:val="true"/>
          <w:lang w:bidi="ar-SA"/>
        </w:rPr>
        <w:t xml:space="preserve">بطلان الفضولي يدّعي أنّ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غير نظر إلى قدرة التسليم وعدمها، فقدرة التسليم شرط في المعاملات غير الفضولية أيضاً، وقد تكون القدرة عليه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كناية عن المالكية؛ أي لا تبع غير مملوكك، والظاهر على هذا الفرض النهي عن بيع غير المملوك كبيع المملوك، كالنهي عن بيع السرقة والخيانة، وليس المراد عدم إنشاء البيع لغير المملوك متوقّعاً للإجازة من المالك كما 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أن يبيع عن نفسه، ثمّ يمضي ليشتريه من مالكه؛ لأ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جواباً لحكيم بن حزام، حيث سأله عن أن يبيع الشيء، ويمضي ويشتريه ويسلّمه، فإنّ هذا البيع غير جائز، ولا نعلم فيه خلافاً؛ للنهي المذكور، وللغرر؛ لأنّ صاحبه قد لا يبيعه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السؤال على بيع الشخصي خلاف الظاهر المتعارف من الدلاّلين، بل ما تعارف هو بيع الكلّي من الأجناس التي كانت تحت يد التجّار للبيع، فيأتي الدلاّل ويبيع طاقات أو أصواعاً، ثمّ يمضي ويشتري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تكون مخالفة لأخبارنا، كصحيحة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الطعام ليس عنده، فيشتري منه حالاًّ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وموافقةً للقول المحكيّ عن العامّة</w:t>
      </w:r>
      <w:r>
        <w:rPr>
          <w:rStyle w:val="FootnoteAnchor"/>
          <w:rtl w:val="true"/>
        </w:rPr>
        <w:footnoteReference w:id="367"/>
      </w:r>
      <w:r>
        <w:rPr>
          <w:rFonts w:ascii="IRNazanin" w:hAnsi="IRNazanin" w:eastAsia="IRNazanin"/>
          <w:color w:val="111111"/>
          <w:sz w:val="28"/>
          <w:sz w:val="28"/>
          <w:szCs w:val="28"/>
          <w:rtl w:val="true"/>
          <w:lang w:bidi="fa-IR"/>
        </w:rPr>
        <w:t xml:space="preserve">فتطرح، وأمّا ما ورد بهذا المضمون من طرقنا </w:t>
      </w:r>
      <w:r>
        <w:rPr>
          <w:rStyle w:val="FootnoteAnchor"/>
          <w:rtl w:val="true"/>
        </w:rPr>
        <w:footnoteReference w:id="368"/>
      </w:r>
      <w:r>
        <w:rPr>
          <w:rFonts w:ascii="Amiri" w:hAnsi="Amiri" w:eastAsia="Amiri" w:cs="Amiri"/>
          <w:color w:val="111111"/>
          <w:sz w:val="28"/>
          <w:sz w:val="28"/>
          <w:szCs w:val="28"/>
          <w:rtl w:val="true"/>
          <w:lang w:bidi="ar-SA"/>
        </w:rPr>
        <w:t>فيحمل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فرض أنّ السؤال عن العين الشخصية، لكن إلقاء الكبرى الكلّية بعده، والإعراض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قاعدة كلّية، تدلّ على أنّ الميزان عدم جواز بيع ما ليس عنده مطلقاً، سواء في الأعيان أو الكلّيات، فتنزيل السؤال على خصوص الشخصيات، والجواب على خصوص مورد السؤال، خلاف الظاهر في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عن مثله أن يقال بعد الغضّ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رواياتنا تكذيب هذا المضمون، فتكون حاكمة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نفي الصحّة فعلاً، فلا ينافي إلحاق الإجازة به كما أفادوه، وستأتي تتمّة لذلك في مسألة من باع ثمّ ملك، فراجعها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تملكه، ولا بيع إلاّ فيما تملكه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التوقيع المنسوب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 النهي عن بيع ما لا يملك كبيع مملوكه، وترتيب الآثار عليه كما تقدّم</w:t>
      </w:r>
      <w:r>
        <w:rPr>
          <w:rStyle w:val="FootnoteAnchor"/>
          <w:rtl w:val="true"/>
        </w:rPr>
        <w:footnoteReference w:id="373"/>
      </w:r>
      <w:r>
        <w:rPr>
          <w:rFonts w:ascii="Amiri" w:hAnsi="Amiri" w:eastAsia="Amiri" w:cs="Amiri"/>
          <w:color w:val="111111"/>
          <w:sz w:val="28"/>
          <w:sz w:val="28"/>
          <w:szCs w:val="28"/>
          <w:rtl w:val="true"/>
          <w:lang w:bidi="ar-SA"/>
        </w:rPr>
        <w:t>، مع احتمال أن يراد بما لا تملكه عدم 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الطلاق فيما تملكه ليس بمعنى الملكية في الأموال، ولعلّه قرينة على إرادة نحوه في البيع أيضاً، فيكون مفاده مثل ما مرّ، فلا دلالة لها على بطلان</w:t>
      </w:r>
    </w:p>
    <w:p>
      <w:pPr>
        <w:pStyle w:val="BookText"/>
        <w:rPr/>
      </w:pPr>
      <w:r>
        <w:rPr>
          <w:rFonts w:ascii="Amiri" w:hAnsi="Amiri" w:eastAsia="Amiri" w:cs="Amiri"/>
          <w:color w:val="111111"/>
          <w:sz w:val="28"/>
          <w:sz w:val="28"/>
          <w:szCs w:val="28"/>
          <w:rtl w:val="true"/>
          <w:lang w:bidi="ar-SA"/>
        </w:rPr>
        <w:t>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لا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الثاني سلب تحقّق ماهية البيع، ومع سلبها لا يمكن لحوق الإجازة بها؛ فإنّ الظاهر سلبها بلحاظ جميع الآثار، ومنها ترتّب الأثر بعد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بسلب البيع؛ أي سلب ماهيته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بسلبه بلحاظ الصحّة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السلب بلحاظ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بلحاظ الصحّة، ولمّا كانت الصحّة أثراً ظاهراً تصحّ الدعوى بلحاظها، لا يبعد الانصراف إليها، ولا سيّما مع ارتكاز العرف في مثل المقام على أنّ المقصود ذلك، لا نفي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نفي المفهوم لا يخلو من بعد، ولو سلّم فإطلاقه قابل للتقييد بالأدلّة الخاصّة في خصوص البيع، كرواية عروة</w:t>
      </w:r>
      <w:r>
        <w:rPr>
          <w:rStyle w:val="FootnoteAnchor"/>
          <w:rtl w:val="true"/>
        </w:rPr>
        <w:footnoteReference w:id="374"/>
      </w:r>
      <w:r>
        <w:rPr>
          <w:rFonts w:ascii="Amiri" w:hAnsi="Amiri" w:eastAsia="Amiri" w:cs="Amiri"/>
          <w:color w:val="111111"/>
          <w:sz w:val="28"/>
          <w:sz w:val="28"/>
          <w:szCs w:val="28"/>
          <w:rtl w:val="true"/>
          <w:lang w:bidi="ar-SA"/>
        </w:rPr>
        <w:t>وصحيحة محمّد بن قيس</w:t>
      </w:r>
      <w:r>
        <w:rPr>
          <w:rStyle w:val="FootnoteAnchor"/>
          <w:rtl w:val="true"/>
        </w:rPr>
        <w:footnoteReference w:id="375"/>
      </w:r>
      <w:r>
        <w:rPr>
          <w:rFonts w:ascii="Amiri" w:hAnsi="Amiri" w:eastAsia="Amiri" w:cs="Amiri"/>
          <w:color w:val="111111"/>
          <w:sz w:val="28"/>
          <w:sz w:val="28"/>
          <w:szCs w:val="28"/>
          <w:rtl w:val="true"/>
          <w:lang w:bidi="ar-SA"/>
        </w:rPr>
        <w:t xml:space="preserve">وغيرهما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الطائفتين بالتباين؛ فإنّ دليل المنع لا يشمل البيع لنفسه أو لمالكه مع عدم إجازته، بل يختصّ بما إذا باع لمالكه مع إجازته؛ فإنّ الصورتين الاُولتين واضحتان لا معنى للنهي عنهما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ورود النهي في مثله، كالنهي عن بيع السرقة والخيانة، ومعه لا وجه لرفع اليد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لنفسه لأن يمضي ويشتري داخل فيه، سواء كان في الكلّيات كما هو المتعارف، أو الأعيان الشخصية، </w:t>
      </w:r>
      <w:bookmarkStart w:id="178" w:name="pg15204_140359"/>
    </w:p>
    <w:p>
      <w:pPr>
        <w:pStyle w:val="BookText"/>
        <w:rPr/>
      </w:pPr>
      <w:bookmarkEnd w:id="178"/>
      <w:r>
        <w:rPr>
          <w:rFonts w:ascii="Amiri" w:hAnsi="Amiri" w:eastAsia="Amiri" w:cs="Amiri"/>
          <w:color w:val="111111"/>
          <w:sz w:val="28"/>
          <w:sz w:val="28"/>
          <w:szCs w:val="28"/>
          <w:rtl w:val="true"/>
          <w:lang w:bidi="ar-SA"/>
        </w:rPr>
        <w:t>فتكون النسبة بينهما بالإطلاق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كلام آخر، وهو أنّه لو لزم من جميع التقييدات بقاء الفرد النادر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التقييد بها مستهجناً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بالعرض بين المقيّدات نفسها، أو بين جميعها مع المطلق، ففي مثله وكيفية العلاج كلام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دلّت على النهي عن الاشتراء إلاّ برضا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w:t>
      </w:r>
      <w:r>
        <w:rPr>
          <w:rStyle w:val="FootnoteAnchor"/>
          <w:rtl w:val="true"/>
        </w:rPr>
        <w:footnoteReference w:id="378"/>
      </w:r>
      <w:r>
        <w:rPr>
          <w:rFonts w:ascii="Amiri" w:hAnsi="Amiri" w:eastAsia="Amiri" w:cs="Amiri"/>
          <w:color w:val="111111"/>
          <w:sz w:val="28"/>
          <w:sz w:val="28"/>
          <w:szCs w:val="28"/>
          <w:rtl w:val="true"/>
          <w:lang w:bidi="ar-SA"/>
        </w:rPr>
        <w:t>ومكاتبة الحميري</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لزوم مقارنة الرضا لإجراء العقد، بل يمكن دعوى أنّ مناسبة الحكم والموضوع تقتضي عدم الفرق بين المقارن والمتأخّر، ولعلّه مقتضى الإطلاق أيضاً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758774_2142443653"/>
      <w:bookmarkStart w:id="180" w:name="_Toc63"/>
      <w:bookmarkEnd w:id="179"/>
      <w:r>
        <w:rPr>
          <w:rtl w:val="true"/>
        </w:rPr>
        <w:t>الاستدلال بحكم العقل على البطلان</w:t>
      </w:r>
      <w:bookmarkEnd w:id="180"/>
    </w:p>
    <w:p>
      <w:pPr>
        <w:pStyle w:val="BookText"/>
        <w:rPr/>
      </w:pPr>
      <w:r>
        <w:rPr>
          <w:rFonts w:ascii="Amiri" w:hAnsi="Amiri" w:eastAsia="Amiri" w:cs="Amiri"/>
          <w:color w:val="111111"/>
          <w:sz w:val="28"/>
          <w:sz w:val="28"/>
          <w:szCs w:val="28"/>
          <w:rtl w:val="true"/>
          <w:lang w:bidi="ar-SA"/>
        </w:rPr>
        <w:t xml:space="preserve">وأمّا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مجرّد إجراء الصيغة على مال الغير ليس تصرّفاً فيه؛ لعدم تأثير واقعي أو اعتباري، ومن غير فرق بين الغاصب والفضولي؛ ضرورة أنّ بيع الغاصب الذي يريد العمل على طبقه ليس تصرّفاً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التسليم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فدعوى الفرق</w:t>
      </w:r>
      <w:r>
        <w:rPr>
          <w:rStyle w:val="FootnoteAnchor"/>
          <w:rtl w:val="true"/>
        </w:rPr>
        <w:footnoteReference w:id="38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 كون عقد الغاصب المستقلّ علّة تامّة عرفاً لحصول الأثر</w:t>
      </w:r>
      <w:r>
        <w:rPr>
          <w:rStyle w:val="FootnoteAnchor"/>
          <w:rtl w:val="true"/>
        </w:rPr>
        <w:footnoteReference w:id="381"/>
      </w:r>
      <w:r>
        <w:rPr>
          <w:rFonts w:ascii="Amiri" w:hAnsi="Amiri" w:eastAsia="Amiri" w:cs="Amiri"/>
          <w:color w:val="111111"/>
          <w:sz w:val="28"/>
          <w:sz w:val="28"/>
          <w:szCs w:val="28"/>
          <w:rtl w:val="true"/>
          <w:lang w:bidi="ar-SA"/>
        </w:rPr>
        <w:t>، فغريبة؛ لعدم العلّية جزماً، فضلاً عن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الأثر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ترتيب الأثر الخارجي، فالعقد لا علّية له أصلاً، بل ترتيب الآثار متوقّف على مبادئ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الحرمة الشرعية لا تدلّ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التحريم موجب لسلب قدرة الفضولي</w:t>
      </w:r>
      <w:r>
        <w:rPr>
          <w:rStyle w:val="FootnoteAnchor"/>
          <w:rtl w:val="true"/>
        </w:rPr>
        <w:footnoteReference w:id="382"/>
      </w:r>
      <w:r>
        <w:rPr>
          <w:rFonts w:ascii="Amiri" w:hAnsi="Amiri" w:eastAsia="Amiri" w:cs="Amiri"/>
          <w:color w:val="111111"/>
          <w:sz w:val="28"/>
          <w:sz w:val="28"/>
          <w:szCs w:val="28"/>
          <w:rtl w:val="true"/>
          <w:lang w:bidi="ar-SA"/>
        </w:rPr>
        <w:t>، غير مرضيّ؛ لأنّ القدرة تكويناً غير مرادة، وتشريعاً ترجع إلى الإلزام والتحريم، وهو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لا يجتمع مع إنفاذ المعاملة، لكان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الإنفاذ من قبيل القانون الكلّي الشامل للمورد، لا من قبيل الإنفاذ الشخصي، كما فصّلنا الفرق في الاُصول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التحريم متعلّق بالطبيعة قبل الوجود، وأدلّة الإنفاذ متعلّقة بها بعده، فلا تزاحم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المخاطب بالتحريم، الفضولي وفي أدلّة الإنفاذ صاحب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الحرمة تعلّقت بأمر خارج، هو التصرّف في مال الغير لا البيع، كما أنّ موضوع القبح العقلي هو التعدّي والظلم، 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عنوان التصرّف أمر انتزاعي من الموارد الخاصّة، والنهي تعلّق بالموارد</w:t>
      </w:r>
      <w:r>
        <w:rPr>
          <w:rStyle w:val="FootnoteAnchor"/>
          <w:rtl w:val="true"/>
        </w:rPr>
        <w:footnoteReference w:id="384"/>
      </w:r>
      <w:r>
        <w:rPr>
          <w:rFonts w:ascii="Amiri" w:hAnsi="Amiri" w:eastAsia="Amiri" w:cs="Amiri"/>
          <w:color w:val="111111"/>
          <w:sz w:val="28"/>
          <w:sz w:val="28"/>
          <w:szCs w:val="28"/>
          <w:rtl w:val="true"/>
          <w:lang w:bidi="ar-SA"/>
        </w:rPr>
        <w:t>، ليس بشيء؛ لعدم الدليل عليه، بل الظاهر من أخذ عنوان تلو حكم أنّه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يقل صاحب هذا القول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يجوّز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بعنوانها منهيّ عنها؛ لأنّها تصرّف في مال الغير، والتصرّفأمر انتزاعي،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مال الغير بغير إذنه أخصّ من التصرّف في مال الغير، فلا ربط له بباب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نفوذ البيع متعلّق بنفس طبيعته، لا ببيع زيد وعمرو والغاصب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العقل المؤيّد بالنقل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العقل المحض، وهو عدم إمكان تعلّق القصد بالنقل، فقد ذكرناه في أوائل الرسالة</w:t>
      </w:r>
      <w:r>
        <w:rPr>
          <w:rStyle w:val="FootnoteAnchor"/>
          <w:rtl w:val="true"/>
        </w:rPr>
        <w:footnoteReference w:id="385"/>
      </w:r>
      <w:r>
        <w:rPr>
          <w:rFonts w:ascii="Amiri" w:hAnsi="Amiri" w:eastAsia="Amiri" w:cs="Amiri"/>
          <w:color w:val="111111"/>
          <w:sz w:val="28"/>
          <w:sz w:val="28"/>
          <w:szCs w:val="28"/>
          <w:rtl w:val="true"/>
          <w:lang w:bidi="ar-SA"/>
        </w:rPr>
        <w:t>، وسيأتي بعض الكلام فيه وفي حلّه في الصورة الثالثة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81" w:name="pg15204_140362"/>
    </w:p>
    <w:p>
      <w:pPr>
        <w:pStyle w:val="Heading6"/>
        <w:numPr>
          <w:ilvl w:val="5"/>
          <w:numId w:val="1"/>
        </w:numPr>
        <w:rPr/>
      </w:pPr>
      <w:bookmarkStart w:id="182" w:name="__RefHeading___Toc2758776_2142443653"/>
      <w:bookmarkStart w:id="183" w:name="_Toc64"/>
      <w:bookmarkEnd w:id="181"/>
      <w:bookmarkEnd w:id="182"/>
      <w:r>
        <w:rPr>
          <w:rtl w:val="true"/>
        </w:rPr>
        <w:t>الاستدلال بالحكم العقلائي المحض على البطلان</w:t>
      </w:r>
      <w:bookmarkEnd w:id="183"/>
    </w:p>
    <w:p>
      <w:pPr>
        <w:pStyle w:val="BookText"/>
        <w:rPr/>
      </w:pPr>
      <w:r>
        <w:rPr>
          <w:rFonts w:ascii="Amiri" w:hAnsi="Amiri" w:eastAsia="Amiri" w:cs="Amiri"/>
          <w:color w:val="111111"/>
          <w:sz w:val="28"/>
          <w:sz w:val="28"/>
          <w:szCs w:val="28"/>
          <w:rtl w:val="true"/>
          <w:lang w:bidi="ar-SA"/>
        </w:rPr>
        <w:t>ويمكن الاستدلال بالحكم العقلائي المحض؛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عند العقلاء هو التبادل بين العوضين في المالية؛ أي التبادل الفعلي الواقعي، ولهذا ترى تسالم الفقهاء بل العرف على أنّ القبول مقوّم له</w:t>
      </w:r>
      <w:r>
        <w:rPr>
          <w:rStyle w:val="FootnoteAnchor"/>
          <w:rtl w:val="true"/>
        </w:rPr>
        <w:footnoteReference w:id="387"/>
      </w:r>
      <w:r>
        <w:rPr>
          <w:rFonts w:ascii="Amiri" w:hAnsi="Amiri" w:eastAsia="Amiri" w:cs="Amiri"/>
          <w:color w:val="111111"/>
          <w:sz w:val="28"/>
          <w:sz w:val="28"/>
          <w:szCs w:val="28"/>
          <w:rtl w:val="true"/>
          <w:lang w:bidi="ar-SA"/>
        </w:rPr>
        <w:t xml:space="preserve">، وأنّ البيع مركّب من الإيجاب والقبول، ولولا اعتبار النقل فعلاً فلا وجه له؛ لأنّ الإيجاب تمام ماهية المعاملةبحسب الإنشاء، وشأن القبول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يترتّب الأثر إلاّ بعده، فالبيع هو تبادل الإضافة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المسبّبي أمره دائر بين الوجود والعدم، ولهذا لا يكون محطّ البحث في الصحيح والأعمّ</w:t>
      </w:r>
      <w:r>
        <w:rPr>
          <w:rStyle w:val="FootnoteAnchor"/>
          <w:rtl w:val="true"/>
        </w:rPr>
        <w:footnoteReference w:id="388"/>
      </w:r>
      <w:r>
        <w:rPr>
          <w:rFonts w:ascii="Amiri" w:hAnsi="Amiri" w:eastAsia="Amiri" w:cs="Amiri"/>
          <w:color w:val="111111"/>
          <w:sz w:val="28"/>
          <w:sz w:val="28"/>
          <w:szCs w:val="28"/>
          <w:rtl w:val="true"/>
          <w:lang w:bidi="ar-SA"/>
        </w:rPr>
        <w:t>، واختار المحقّقون أنّ ألفاظ المعاملات وضعت للمسبّبي لا للأسباب</w:t>
      </w:r>
      <w:r>
        <w:rPr>
          <w:rStyle w:val="FootnoteAnchor"/>
          <w:rtl w:val="true"/>
        </w:rPr>
        <w:footnoteReference w:id="389"/>
      </w:r>
      <w:r>
        <w:rPr>
          <w:rFonts w:ascii="Amiri" w:hAnsi="Amiri" w:eastAsia="Amiri" w:cs="Amiri"/>
          <w:color w:val="111111"/>
          <w:sz w:val="28"/>
          <w:sz w:val="28"/>
          <w:szCs w:val="28"/>
          <w:rtl w:val="true"/>
          <w:lang w:bidi="ar-SA"/>
        </w:rPr>
        <w:t>، والمسبّب الذي دار أمره بين الوجود والعدم هو النقل الفعلي، وإلاّ فالنقل الإنشائي يتّصف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لا يكون 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عرف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ولا يمكن لحوق الإجازة بما لا يكون بيعاً، ولا يمكن أن تكون الإجازة مقوّمة لماهية البيع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مثل بيع الصرف والسلم، ففي محيط العقلاء لا يشترط بالتسليم والقبض، وفي محيط الشرع يشترط به، لا بمعنى وضع خاصّ للشارع، بل </w:t>
      </w:r>
    </w:p>
    <w:p>
      <w:pPr>
        <w:pStyle w:val="BookText"/>
        <w:rPr/>
      </w:pPr>
      <w:r>
        <w:rPr>
          <w:rFonts w:ascii="Amiri" w:hAnsi="Amiri" w:eastAsia="Amiri" w:cs="Amiri"/>
          <w:color w:val="111111"/>
          <w:sz w:val="28"/>
          <w:sz w:val="28"/>
          <w:szCs w:val="28"/>
          <w:rtl w:val="true"/>
          <w:lang w:bidi="ar-SA"/>
        </w:rPr>
        <w:t>بمعنى التعبّد بالآثار، كالتعبّد في 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البيع ما ذكر في محيط العقلاء، بل المراد بالتبادل هو التبادل الإنشائي الإيجادي وإن لم يترتّب عليه الأثر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كون بيع الغاصب والفضولي عندهم بيعاً، ووضوح ذلك يكشف عن مرادهم في تعريف البيع، وأنّ المراد بالتبادل الإنشائي منه، وكذا التمليك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العين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الفقهاء في تقوّم البيع بالقبول، فإن كان المراد عدم ترتّب الأثر إلاّ به، فلا كلام إلاّ في الوكيل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الماهية متقوّمة به، ففيه كلام وإشكال كما مرّ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قولهم في الصحيح والأعمّ، فإنّ المسبّب المنشأ يتّصف بالصحّة والفساد، وهو البيع المسبّبي، وما لا يتّصف بهما وأمره دائر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الأثر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ببيع، بل هو أثر البيع والمعاملة، فالبيع سبب للانتقال، ولا يتقوّم بالنقل الفعلي، فضلاً عن الانتقال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الماهية مع عدم ترتّب الأثر</w:t>
      </w:r>
      <w:r>
        <w:rPr>
          <w:rFonts w:eastAsia="Amiri" w:cs="Amiri" w:ascii="Amiri" w:hAnsi="Amiri"/>
          <w:color w:val="111111"/>
          <w:sz w:val="28"/>
          <w:szCs w:val="28"/>
          <w:rtl w:val="true"/>
          <w:lang w:bidi="ar-SA"/>
        </w:rPr>
        <w:t xml:space="preserve">. </w:t>
      </w:r>
      <w:bookmarkStart w:id="184" w:name="pg15204_140364"/>
    </w:p>
    <w:p>
      <w:pPr>
        <w:pStyle w:val="Heading6"/>
        <w:numPr>
          <w:ilvl w:val="5"/>
          <w:numId w:val="1"/>
        </w:numPr>
        <w:rPr/>
      </w:pPr>
      <w:bookmarkStart w:id="185" w:name="__RefHeading___Toc2758778_2142443653"/>
      <w:bookmarkStart w:id="186" w:name="_Toc65"/>
      <w:bookmarkEnd w:id="184"/>
      <w:bookmarkEnd w:id="185"/>
      <w:r>
        <w:rPr>
          <w:rtl w:val="true"/>
        </w:rPr>
        <w:t>الصورة الثانية في بيع الفضولي للمالك مع سبق المنع</w:t>
      </w:r>
      <w:bookmarkEnd w:id="186"/>
    </w:p>
    <w:p>
      <w:pPr>
        <w:pStyle w:val="BookText"/>
        <w:rPr/>
      </w:pPr>
      <w:r>
        <w:rPr>
          <w:rFonts w:ascii="Amiri" w:hAnsi="Amiri" w:eastAsia="Amiri" w:cs="Amiri"/>
          <w:color w:val="111111"/>
          <w:sz w:val="28"/>
          <w:sz w:val="28"/>
          <w:szCs w:val="28"/>
          <w:rtl w:val="true"/>
          <w:lang w:bidi="ar-SA"/>
        </w:rPr>
        <w:t>ولو باع الفضولي مع سبق نهي المالك؛ بحيث وقع بيعه منهيّاً عنه من قبله، فالظاهر صحّته وصلوحه لتعقّب الإجازة؛ لأنّ النهي لا يوجب انعدام ما فعله الفضولي، لا حقيقة، ولا في اعتبار العقلاء؛ لأنّ نهيه قابل للعصيان عند العقلاء، ضرورة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نهيته فعصاني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عنوان البيع غير صادق مع نهيه، لم يكن معنىً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لا يوجب عدم صدق البيع جزماً، فتشمله عمومات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بعقودكم، لا بدّ من إحراز انتساب العقد إلى المالك، وإلاّ صارت الشبهة مصداقية مع الشكّ، ومع القول بعدم الانتساب يخرج العقد عن الأدلّة موضوعاً، وإثبات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عقده المنهيّ عنه عقد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يسهّل الخطب عدم لزوم صدق كون العقد عقده، حتّى يجب الوفاء به، بل المسلّم من الخروج عن تحت الأدلّة هو عقد الأجنبيّ بلا لحوق الإجازة، وغيره داخل فيها من غير لزوم كونه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 محيط العقلاء، فإنّهم يلزمونه بالعمل بالعقد الصادر من الغير على ماله بعد إجازته، لا لصيرورة العقد عقده، بل لإجازة العقد الواقع على ماله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شبهة في عدم صيرورة عقد الفضولي عقد المالك عقلاً ولا عرفاً، </w:t>
      </w:r>
    </w:p>
    <w:p>
      <w:pPr>
        <w:pStyle w:val="BookText"/>
        <w:rPr/>
      </w:pPr>
      <w:r>
        <w:rPr>
          <w:rFonts w:ascii="Amiri" w:hAnsi="Amiri" w:eastAsia="Amiri" w:cs="Amiri"/>
          <w:color w:val="111111"/>
          <w:sz w:val="28"/>
          <w:sz w:val="28"/>
          <w:szCs w:val="28"/>
          <w:rtl w:val="true"/>
          <w:lang w:bidi="ar-SA"/>
        </w:rPr>
        <w:t xml:space="preserve">لا قبل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بعدها؛ لأنّ الإجازة والإمضاء اعتبارهما اعتبار إجازة العقد المتحقّق عن الغير في ماله، وهذا عين اعتبار الاثنينية وكون العقد عقد الغير، فكيف يمكن أن يكون ذلك موجباً للانتساب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شككت فاسأل العرف والعقلاء عن الفرق بين بيع الفضولي والأصيل، تراهم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الأصيل باع ماله بنفسه، بخلاف بيع الفضولي، فإنّه صادر من الغير، والأصيل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بيع الوكيل أيضاً كذلك، ولا يلزم في وجوب الوفاء صيرورة البيع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بالعقود متوجّه إلى سائر المكلّفين غير المتبايعين أيضاً، وإن كانت الآثار مختلفة؛ فإنّ وجوب الوفاء من غير المتبايعين هو لزوم ترتيب آثار ملكية البائع للثمن، والمشتري للمثمن، ومنهما لزوم تسليم العوضين ونحوه،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الصحّة التعليل الوارد في أدلّة نكاح العبد بدون إذن مولاه،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يعصِ اللّه، وإنّما عصى سيّده</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الظاهر منه أنّ عصيان السيّد مطلقاً لا يوجب الهدم، لا خصوص عدم الإذن، فإذا نهاه عن الزواج فتزوّج،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وإنّما عصى سيّده، فإذا أجاز صحّ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محمّد بن قيس</w:t>
      </w:r>
      <w:r>
        <w:rPr>
          <w:rStyle w:val="FootnoteAnchor"/>
          <w:rtl w:val="true"/>
        </w:rPr>
        <w:footnoteReference w:id="392"/>
      </w:r>
      <w:r>
        <w:rPr>
          <w:rFonts w:ascii="Amiri" w:hAnsi="Amiri" w:eastAsia="Amiri" w:cs="Amiri"/>
          <w:color w:val="111111"/>
          <w:sz w:val="28"/>
          <w:sz w:val="28"/>
          <w:szCs w:val="28"/>
          <w:rtl w:val="true"/>
          <w:lang w:bidi="ar-SA"/>
        </w:rPr>
        <w:t xml:space="preserve">، فالاستدلال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ترك </w:t>
      </w:r>
    </w:p>
    <w:p>
      <w:pPr>
        <w:pStyle w:val="BookText"/>
        <w:rPr/>
      </w:pPr>
      <w:r>
        <w:rPr>
          <w:rFonts w:ascii="IRNazanin" w:hAnsi="IRNazanin" w:eastAsia="IRNazanin"/>
          <w:color w:val="111111"/>
          <w:sz w:val="28"/>
          <w:sz w:val="28"/>
          <w:szCs w:val="28"/>
          <w:rtl w:val="true"/>
          <w:lang w:bidi="fa-IR"/>
        </w:rPr>
        <w:t>الاستفصال</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يستأذن منه، لا أنّ الأب نهاه عنه، فلا وجه للاستفصال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بعض فقراتها أنّ السيّد الأوّل ردّ البيع، وأظهر عدم رضاه به، فلو كان البيع مع ردّه صالحاً لتعقّب الإجازة، لكان صالحاً له مع نهيه بالأولوية وبدلالة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الهدم مع الردّ</w:t>
      </w:r>
      <w:r>
        <w:rPr>
          <w:rStyle w:val="FootnoteAnchor"/>
          <w:rtl w:val="true"/>
        </w:rPr>
        <w:footnoteReference w:id="394"/>
      </w:r>
      <w:r>
        <w:rPr>
          <w:rFonts w:ascii="Amiri" w:hAnsi="Amiri" w:eastAsia="Amiri" w:cs="Amiri"/>
          <w:color w:val="111111"/>
          <w:sz w:val="28"/>
          <w:sz w:val="28"/>
          <w:szCs w:val="28"/>
          <w:rtl w:val="true"/>
          <w:lang w:bidi="ar-SA"/>
        </w:rPr>
        <w:t>، فلا معنى للأخذ بدلالة الالتزام مع بطلان الحكم في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لم يهدم الدلالة، بل قام على أنّ الردّ يوجب الهدم، ودليل حجّية الخبر الواحد شامل للمعنى المطابقي والالتزامي في عرض واحد، وليست حجّيته في الالتزامي تابعة لحجّيته في المطابقي، فإذا سقطت الحجّية في المعنى المطابقي، بقيت في المعنى الالتزامي، نظير ما يقال في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نفي الثالث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هذا البيان بيان آخر للدلالة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أنّ الردّ بعد تحقّق العقد إذا كان هادماً، فالنهي أولى بالهدم؛ لأنّ الدفع أهون من الرفع، وهدم الموجود أصعب من المنع عن الوجود، فإذا قام الإجماع على أنّ الردّ هادم، يفهم منه أنّ النهي هادم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ما لا يخفى، ولا سيّما في دعوى الأولوية وحجّيتها، ودعوى القطع مجازفة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مرّ من عدم دلالة الصحيحة على أنّ السيّد قد ردّ البيع، فراجع</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الفرق بين مثل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الأخذ بلازمهما؛ لعدم الدليل على عدم الملزوم واحتمال صدق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مثل المقام ممّا قام الإجماع فرضاً على عدم الملزوم، اللازم منه عدم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 محلّه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الالتزام من دلالة المعنى على المعنى، والانتساب إلى اللفظ مسامحة، فمع عدم المعنى الملزوم، لا معنى لبقاء اللازم،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باقٍ آناً ما بعد البيع، وهو كافٍ في الردّ</w:t>
      </w:r>
      <w:r>
        <w:rPr>
          <w:rStyle w:val="FootnoteAnchor"/>
          <w:rtl w:val="true"/>
        </w:rPr>
        <w:footnoteReference w:id="397"/>
      </w:r>
      <w:r>
        <w:rPr>
          <w:rFonts w:ascii="Amiri" w:hAnsi="Amiri" w:eastAsia="Amiri" w:cs="Amiri"/>
          <w:color w:val="111111"/>
          <w:sz w:val="28"/>
          <w:sz w:val="28"/>
          <w:szCs w:val="28"/>
          <w:rtl w:val="true"/>
          <w:lang w:bidi="ar-SA"/>
        </w:rPr>
        <w:t>، فليست بشيء؛ ضرورة عدم بقائه بعد وجود المنهيّ عنه، ووجود الكراهة لا يوجب الهدم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الواردة في المضاربة والاتّجار بمال اليتيم، فقد مرّ الكلام فيها، وأنّها أجنبيّة عن المقام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87" w:name="pg15204_140368"/>
    </w:p>
    <w:p>
      <w:pPr>
        <w:pStyle w:val="Heading6"/>
        <w:numPr>
          <w:ilvl w:val="5"/>
          <w:numId w:val="1"/>
        </w:numPr>
        <w:rPr/>
      </w:pPr>
      <w:bookmarkStart w:id="188" w:name="__RefHeading___Toc2758780_2142443653"/>
      <w:bookmarkStart w:id="189" w:name="_Toc66"/>
      <w:bookmarkEnd w:id="187"/>
      <w:bookmarkEnd w:id="188"/>
      <w:r>
        <w:rPr>
          <w:rtl w:val="true"/>
        </w:rPr>
        <w:t>الصورة الثالثة في بيع الفضولي لنفسه</w:t>
      </w:r>
      <w:bookmarkEnd w:id="189"/>
    </w:p>
    <w:p>
      <w:pPr>
        <w:pStyle w:val="Heading6"/>
        <w:numPr>
          <w:ilvl w:val="5"/>
          <w:numId w:val="1"/>
        </w:numPr>
        <w:rPr/>
      </w:pPr>
      <w:bookmarkStart w:id="190" w:name="__RefHeading___Toc2758782_2142443653"/>
      <w:bookmarkStart w:id="191" w:name="_Toc67"/>
      <w:bookmarkEnd w:id="190"/>
      <w:r>
        <w:rPr>
          <w:rtl w:val="true"/>
        </w:rPr>
        <w:t>تمهید</w:t>
      </w:r>
      <w:bookmarkEnd w:id="191"/>
    </w:p>
    <w:p>
      <w:pPr>
        <w:pStyle w:val="BookText"/>
        <w:rPr/>
      </w:pPr>
      <w:r>
        <w:rPr>
          <w:rFonts w:ascii="Amiri" w:hAnsi="Amiri" w:eastAsia="Amiri" w:cs="Amiri"/>
          <w:color w:val="111111"/>
          <w:sz w:val="28"/>
          <w:sz w:val="28"/>
          <w:szCs w:val="28"/>
          <w:rtl w:val="true"/>
          <w:lang w:bidi="ar-SA"/>
        </w:rPr>
        <w:t>وأمّا بيع الفضولي لنفسه فالمنسوب إلى المشهور صحّته، واستدلّ لها بالعموم</w:t>
      </w:r>
    </w:p>
    <w:p>
      <w:pPr>
        <w:pStyle w:val="BookText"/>
        <w:rPr/>
      </w:pPr>
      <w:r>
        <w:rPr>
          <w:rFonts w:ascii="IRNazanin" w:hAnsi="IRNazanin" w:eastAsia="IRNazanin"/>
          <w:color w:val="111111"/>
          <w:sz w:val="28"/>
          <w:sz w:val="28"/>
          <w:szCs w:val="28"/>
          <w:rtl w:val="true"/>
          <w:lang w:bidi="fa-IR"/>
        </w:rPr>
        <w:t>والإطلاق، وبعض ما تقدّم من الشواهد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التمسّك بالعمومات على رفع بعض الإشكالات التي لو تمّت لم يصحّ التمسّك بها لتصحيحه، بل مع احتمال تماميتها تصير الشبهة موضوعية بالنسبة إلى العمومات والإطلاقات</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2758784_2142443653"/>
      <w:bookmarkStart w:id="193" w:name="_Toc68"/>
      <w:bookmarkEnd w:id="192"/>
      <w:r>
        <w:rPr>
          <w:rtl w:val="true"/>
        </w:rPr>
        <w:t>الإشكال العقلي بعدم تمشّي قصد المعاوضة الحقيقية</w:t>
      </w:r>
      <w:bookmarkEnd w:id="19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البيع عبارة عن تبادل المالين في الملكية، أو تمليك العين بالعوض، وهو متقوّم بإخراج العين عن ملك مالكها، وإدخالها في ملك المشتري بإزاء الثمن، وإدخاله في ملك البائع، ولا يمكن للفضولي في البيع لنفسه قصد هذا المعنى جدّاً، لا التمليك الجدّي فعلاً، ولا تملّك الثمن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الفضولي لنفسه يريد إدخال العين في ملك الطرف، وتملّك الثمن بإزائه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فأجابوا عنه بوجوهٍ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المعاوضة الحقيقية مبنيّ على جعل الغاصب نفسه مالكاً حقيقياً، وإن كان هذا الجعل لا حقيقة له، لكن المعاوضة المبنيّة على هذا الأمر غير الحقيقي حقيقية، نظير المجاز الادّعائي في الاُصول</w:t>
      </w:r>
      <w:r>
        <w:rPr>
          <w:rStyle w:val="FootnoteAnchor"/>
          <w:rtl w:val="true"/>
        </w:rPr>
        <w:footnoteReference w:id="4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الغاصب ملكية العين لنفسه، فيصير مالكاً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كونه مالكاً؛ أي مغصوباً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آخر، وهو دعوى كون المغصوب منه هو، وهي عكس الدعوى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غير مرضيّ؛ لاستحالة حصول الجدّ والتمليك الحقيقي والتملّك كذلك مع الالتفات إلى هذه الحقيقة الادّعائية؛ فإنّ المدّعي يرى نفسه مالكاً ادّعاءً ومجازاً لا حقيقة، فكيف يتمشّى منه الجدّ في التمليك الواقعي، مع موقوفيته على المالكية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يبتني على الحقائق الادّعائية لا يخرج عن الادّعائية، ولا يدخل في حيطة الحقيقية حتّى عند المدّعي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النظر في كلام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الغاصب يغصب الإضافة المالكية ويسرقها </w:t>
      </w:r>
      <w:r>
        <w:rPr>
          <w:rStyle w:val="FootnoteAnchor"/>
          <w:rtl w:val="true"/>
        </w:rPr>
        <w:footnoteReference w:id="402"/>
      </w:r>
      <w:r>
        <w:rPr>
          <w:rFonts w:ascii="Amiri" w:hAnsi="Amiri" w:eastAsia="Amiri" w:cs="Amiri"/>
          <w:color w:val="111111"/>
          <w:sz w:val="28"/>
          <w:sz w:val="28"/>
          <w:szCs w:val="28"/>
          <w:rtl w:val="true"/>
          <w:lang w:bidi="ar-SA"/>
        </w:rPr>
        <w:t>، ضرورة أنّ السرقة الحقيقية غير ممكنة ولا واقعة، والسرقة الادّعائية لا تدفع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المتقوّم به العقد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التستري قدّس سرّه من أنّه القصد إلى اللفظ مع الالتفات إلى المعنى، وربّما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الصوري الناقص</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قدّس سرّه من اعتبار أمر زائد، وهو أن يكون المضمون مراداً جدّاً في نظره؛ بأن يريد إيجاد النقل جدّاً بنظره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التسبّب بالإنشاء إلى الملكية الشرعية أو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المسلكين الأوّلين يصحّ التنزيل والبناء جدّاً في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الثالث، فإنّ الملكية العرفية والشرعية لا تقع بإنشائه، فلا يمكن القصد إلى التسبّب به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الإشكال الواضح فيما اختاره؛ أي الوجه الثالث، وهو أنّ التسبّب إلى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من العاقد؛ فإنّ للاعتبار العقلائي أو الشرعي مبادئ خاصّة به، لا يعقل أن يكون الإنشاء من العاقد علّة له، ولا تكون للملكية واقعية غير الاعتبار، حتّى تكون الأسباب أسباباً لها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المنشئ ينشئ الملكية بعد القبول في الأصيل، وبعد الإجازة في الفضولي</w:t>
      </w:r>
      <w:r>
        <w:rPr>
          <w:rStyle w:val="FootnoteAnchor"/>
          <w:rtl w:val="true"/>
        </w:rPr>
        <w:footnoteReference w:id="406"/>
      </w:r>
      <w:r>
        <w:rPr>
          <w:rFonts w:ascii="Amiri" w:hAnsi="Amiri" w:eastAsia="Amiri" w:cs="Amiri"/>
          <w:color w:val="111111"/>
          <w:sz w:val="28"/>
          <w:sz w:val="28"/>
          <w:szCs w:val="28"/>
          <w:rtl w:val="true"/>
          <w:lang w:bidi="ar-SA"/>
        </w:rPr>
        <w:t xml:space="preserve">، مع كونه خلاف الواقع في الإنشاءات </w:t>
      </w:r>
    </w:p>
    <w:p>
      <w:pPr>
        <w:pStyle w:val="BookText"/>
        <w:rPr/>
      </w:pPr>
      <w:r>
        <w:rPr>
          <w:rFonts w:ascii="Amiri" w:hAnsi="Amiri" w:eastAsia="Amiri" w:cs="Amiri"/>
          <w:color w:val="111111"/>
          <w:sz w:val="28"/>
          <w:sz w:val="28"/>
          <w:szCs w:val="28"/>
          <w:rtl w:val="true"/>
          <w:lang w:bidi="ar-SA"/>
        </w:rPr>
        <w:t xml:space="preserve">المتداولة، غير ممكن في نفسه؛ لأنّ المسبّب الحاصل من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الإيجاب، والثاني القبول، أو البيع والإجازة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التسبّب إليه بالإيجاب حتّى بعد القبول؛ لأنّ القبول والإجازة دخيلان، لا كاشفان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التصديق بأنّ البناء مجدٍ جدّاً على المسلكين، غير مرضيّ، بل على مسلك الشيخ قدّس سرّه لا يكون مفيداً جدّاً؛ لما مرّ من الإشكال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يبعد أن يكون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عبارة عن المبادلة المنشأة بالإنشاء اللفظي أو العملي، والنقل الواقعي الاعتباري غير دخيل في ماهية العقد، وعليه لا يحتاج في الدفاع عن الإشكال العقلي إلى ما تشبّث به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المحقّق التستري قدّس سرّه وإن كان غير ما ذكرناه، لكن مع وضوح بطلان ظاهره، وعلوّ مقام متكلّمه، لا أستبعد ذلك، وإلاّ فمجرّد القصد إلى اللفظ مع الشعور بالمعنى، لا يعقل أن يكون عقداً؛ فإنّ الاستعمال التصوّري أيضاً كذلك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فمراده بالقصد الصوري الناقص، لا يبعد أن يكون نظير الإرادة الاستعمالية في العمومات المخصّصة؛ فإنّ في مورد التخصيص يكون استعمال اللفظ في معناه جدّاً، ولا يكون العامّ مستعملاً في الخاصّ، ولا الاستعمال هزلاً غير جدّي، بل اللفظ مستعمل جدّاً في معناه، وإن لم يكن بجميع أفراده موضوعاً للحكم جدّاً، فماهية البيع عبارة عن التبادل الإنشائي، لا الواقعي الاعتباري، فتدبّر</w:t>
      </w:r>
      <w:r>
        <w:rPr>
          <w:rFonts w:eastAsia="Amiri" w:cs="Amiri" w:ascii="Amiri" w:hAnsi="Amiri"/>
          <w:color w:val="111111"/>
          <w:sz w:val="28"/>
          <w:szCs w:val="28"/>
          <w:rtl w:val="true"/>
          <w:lang w:bidi="ar-SA"/>
        </w:rPr>
        <w:t xml:space="preserve">. </w:t>
      </w:r>
      <w:bookmarkStart w:id="194" w:name="pg15204_140372"/>
    </w:p>
    <w:p>
      <w:pPr>
        <w:pStyle w:val="Heading6"/>
        <w:numPr>
          <w:ilvl w:val="5"/>
          <w:numId w:val="1"/>
        </w:numPr>
        <w:rPr/>
      </w:pPr>
      <w:bookmarkStart w:id="195" w:name="__RefHeading___Toc2758786_2142443653"/>
      <w:bookmarkStart w:id="196" w:name="_Toc69"/>
      <w:bookmarkEnd w:id="194"/>
      <w:bookmarkEnd w:id="195"/>
      <w:r>
        <w:rPr>
          <w:rtl w:val="true"/>
        </w:rPr>
        <w:t>الإشكال العقلائي في المقام</w:t>
      </w:r>
      <w:bookmarkEnd w:id="196"/>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إشكالاً عقلياً هو ما ذكر، وهو يختصّ بالغاصب الملتفت، وإشكالاً عقلائياً، هو أنّ البيع عبارة عن تمليك العين بالعوض، وهو متقوّم بدخول الثمن في ملك من يخرج من ملكه المثمن، وهذا المعنى لا يتحقّق في بيع الغاصب لنفسه ولو تمشّى منه القصد أو تفصّي عن الإشكال العقلي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البيع تنافي بيع الغاصب لنفسه، فلا مجال للتمسّك بالأدلّة والعمومات، بل لا بدّ من تأويل ما لو فرض دلالته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الغاصب بعد دعوى المالكية، يبيع للمالك، ويدّعي أنّه هو</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يدّعي المالكية لنفسه، ويبيع لعنوان المالك بما هو، ويدّعي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يدّعي كونه مغصوباً منه، ويبيع له، فلا يكون البيع على التقديرين من الفضولي لنفسه، ولو تمّ ذلك لاندفع الإشكال العقلي والعقلائي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صحّته؛ لأنّ الدعوى المذكورة لا توجب إيقاع البيع لعنوان المالك أو لشخصه، بل لازمها إيقاعه لنفسه؛ بدعوى المالكية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مدّعي الأسدية يدّعي أ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أسد وهو شجاع، لا أنّ الأسد شجاع، ومن ادّعى أنّه يوسف، يريد إثبات الجمال لنفسه، لا إثباته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97" w:name="pg15204_140373"/>
    </w:p>
    <w:p>
      <w:pPr>
        <w:pStyle w:val="BookText"/>
        <w:rPr/>
      </w:pPr>
      <w:bookmarkEnd w:id="197"/>
      <w:r>
        <w:rPr>
          <w:rFonts w:ascii="Amiri" w:hAnsi="Amiri" w:eastAsia="Amiri" w:cs="Amiri"/>
          <w:color w:val="111111"/>
          <w:sz w:val="28"/>
          <w:sz w:val="28"/>
          <w:szCs w:val="28"/>
          <w:rtl w:val="true"/>
          <w:lang w:bidi="ar-SA"/>
        </w:rPr>
        <w:t>ودعوى كونه إيّاه، وهو واضح في الأشباه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فمدّعي المالكية يبيع لنفسه، ويأخذ الثمن بدعوى استحقاقه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758788_2142443653"/>
      <w:bookmarkStart w:id="199" w:name="_Toc70"/>
      <w:bookmarkEnd w:id="198"/>
      <w:r>
        <w:rPr>
          <w:rtl w:val="true"/>
        </w:rPr>
        <w:t>الجواب عن الإشكال العقلي</w:t>
      </w:r>
      <w:bookmarkEnd w:id="199"/>
    </w:p>
    <w:p>
      <w:pPr>
        <w:pStyle w:val="BookText"/>
        <w:rPr/>
      </w:pPr>
      <w:r>
        <w:rPr>
          <w:rFonts w:ascii="Amiri" w:hAnsi="Amiri" w:eastAsia="Amiri" w:cs="Amiri"/>
          <w:color w:val="111111"/>
          <w:sz w:val="28"/>
          <w:sz w:val="28"/>
          <w:szCs w:val="28"/>
          <w:rtl w:val="true"/>
          <w:lang w:bidi="ar-SA"/>
        </w:rPr>
        <w:t>والذي يمكن أن يقال في جواب الإشكال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والقبول في البيع وسائر الأسباب في المعاملات، لا تكون أسباباً واقعية وعللاً لإيجاد الملكية أو الزوجية ونحوهما؛ ضرورة أنّ المذكورات اُمور اعتبارية، لا واقعية لها في غير صقع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الاعتبار اعتبار أمر خارج، فلا تكون الملكية من الأوصاف التكوينية الموجودة في الخارج، بل لو كان لها خارجية، تكون خارجيتها خارجية اعتبارية لا واقعية، فلا يعقل أن تكون الأسباب عللاً لها؛ لعدم إمكان علّيتها لاعتبار العقلاء، بل له مبادئ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فإنشاء الملكية أينما تحقّق، لا يوجد الملكية، بل قد يكون موضوعاً لاعتبار العقلاء، كالإيجاب والقبول من الأصيلين، فالبائع الأصيل لمّا رأى موضوعية الإيجاب المقارن للقبول لاعتبار العقلاء، ينشئ الإيجاب لغرض مقارنته للقبول، وصيرورتهما موضوعاً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والبائع الفضولي للمالك ينشئ تمليك العين بالعوض؛ لغرض تعقّبه بالإجازة وترتّب الأثر عليه، والبائع المكره ينشئ تمليك العين بالعوض؛ للفرار من الضرر المتوعّد، والغاصب ينشئ تمليك العين بالعوض لجلب المنفعة، وهو أخذ الثمن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الموارد لا يكون إيجاد السبب موجباً لوجود المسبّب؛ أي الملكية، وليس التمليك والتملّك الواقعيان من قبيل الإيجاد والوجود، أو الكسر </w:t>
      </w:r>
      <w:bookmarkStart w:id="200" w:name="pg15204_140374"/>
    </w:p>
    <w:p>
      <w:pPr>
        <w:pStyle w:val="BookText"/>
        <w:rPr/>
      </w:pPr>
      <w:bookmarkEnd w:id="200"/>
      <w:r>
        <w:rPr>
          <w:rFonts w:ascii="Amiri" w:hAnsi="Amiri" w:eastAsia="Amiri" w:cs="Amiri"/>
          <w:color w:val="111111"/>
          <w:sz w:val="28"/>
          <w:sz w:val="28"/>
          <w:szCs w:val="28"/>
          <w:rtl w:val="true"/>
          <w:lang w:bidi="ar-SA"/>
        </w:rPr>
        <w:t>والانكسار، بل الإيجاب والقبول موضوع لاعتبار العقلاء، وفي جميع الموارد المذكورة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وزان واحد وإن كانت الأغراض مختلفة، فلا وقع للإشكال المتقدّم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2758790_2142443653"/>
      <w:bookmarkStart w:id="202" w:name="_Toc71"/>
      <w:bookmarkEnd w:id="201"/>
      <w:r>
        <w:rPr>
          <w:rtl w:val="true"/>
        </w:rPr>
        <w:t>الجواب عن الإشكال العقلائي</w:t>
      </w:r>
      <w:bookmarkEnd w:id="202"/>
    </w:p>
    <w:p>
      <w:pPr>
        <w:pStyle w:val="BookText"/>
        <w:rPr/>
      </w:pPr>
      <w:r>
        <w:rPr>
          <w:rFonts w:ascii="Amiri" w:hAnsi="Amiri" w:eastAsia="Amiri" w:cs="Amiri"/>
          <w:color w:val="111111"/>
          <w:sz w:val="28"/>
          <w:sz w:val="28"/>
          <w:szCs w:val="28"/>
          <w:rtl w:val="true"/>
          <w:lang w:bidi="ar-SA"/>
        </w:rPr>
        <w:t>وأمّا الجواب عن الإشكال الآخر</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ماهية البيع عبارة عن مبادلة المال بالمال، وهذا المعنى لا يتقوّم بإخراج المال عن ملك البائع، وإخراج العوض عن ملك الطرف، كما في بيع الوقف، أو بيع وقف بمال وقف؛ بناءً على عدم كون الموقوف ملكاً لأحد، وكمبادلة الزكاة بمثلها من وليين 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تأثير الإيجاب والقبول بالمعنى الذي تقدّم، وصيرورة العين ملكاً للمشتري غالباً، وفي المعاملات المتعارفة، تسقط ملكية البائع عن المبيع، وملكية المشتري عن الثمن، وهذا غير كونهما داخلين في ماهية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فالمعاملات المتعارفة من الفضولي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المبادلة بين المالين، من غير كون خروج العين من الملك ودخول الثمن في الملك في حريم الإنشاء، فبيع الفضولي لنفسه كبيع الفضولي للمالك، بل كبيع الأصيلين في مقام الإنشاء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الفضولي البائع، كقول الأصيل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بيع الأصيل بتعقّب القبول يصحّ ويصير موضوعاً للأثر، وبيع الفضولي يحتاج </w:t>
      </w:r>
    </w:p>
    <w:p>
      <w:pPr>
        <w:pStyle w:val="BookText"/>
        <w:rPr/>
      </w:pPr>
      <w:r>
        <w:rPr>
          <w:rFonts w:ascii="Amiri" w:hAnsi="Amiri" w:eastAsia="Amiri" w:cs="Amiri"/>
          <w:color w:val="111111"/>
          <w:sz w:val="28"/>
          <w:sz w:val="28"/>
          <w:szCs w:val="28"/>
          <w:rtl w:val="true"/>
          <w:lang w:bidi="ar-SA"/>
        </w:rPr>
        <w:t>إلى الإجازة، وبالإجازة يدخل الثمن في ملك البائع، والمثمن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الفضولي كون الثمن داخلاً في ملكه لو فرض إمكانه، أو دعواه كونه منه، أو اعتقاد الجاهل به، غير مربوط بماهية المعاملة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يدفع إشكال عدم لحوق الإجازة بالبيع المذكور، وأنّ ما وقع غير مجاز، والمجاز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أنّ هذا الجواب يدفع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الشيخ الأعظم قدّس سرّه أفرد جواب الإشكال الأوّل بما هو واضح الإشكال</w:t>
      </w:r>
      <w:r>
        <w:rPr>
          <w:rStyle w:val="FootnoteAnchor"/>
          <w:rtl w:val="true"/>
        </w:rPr>
        <w:footnoteReference w:id="412"/>
      </w:r>
      <w:r>
        <w:rPr>
          <w:rFonts w:ascii="Amiri" w:hAnsi="Amiri" w:eastAsia="Amiri" w:cs="Amiri"/>
          <w:color w:val="111111"/>
          <w:sz w:val="28"/>
          <w:sz w:val="28"/>
          <w:szCs w:val="28"/>
          <w:rtl w:val="true"/>
          <w:lang w:bidi="ar-SA"/>
        </w:rPr>
        <w:t>، وأجاب عن الثاني بما ذكر</w:t>
      </w:r>
      <w:r>
        <w:rPr>
          <w:rStyle w:val="FootnoteAnchor"/>
          <w:rtl w:val="true"/>
        </w:rPr>
        <w:footnoteReference w:id="413"/>
      </w:r>
      <w:r>
        <w:rPr>
          <w:rFonts w:ascii="Amiri" w:hAnsi="Amiri" w:eastAsia="Amiri" w:cs="Amiri"/>
          <w:color w:val="111111"/>
          <w:sz w:val="28"/>
          <w:sz w:val="28"/>
          <w:szCs w:val="28"/>
          <w:rtl w:val="true"/>
          <w:lang w:bidi="ar-SA"/>
        </w:rPr>
        <w:t>، مع أنّه مع تمامية ذلك، لا وقع للإشكال الأوّل حتّى 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 القمّي قدّس سرّه في دفع الإشكال</w:t>
      </w:r>
      <w:r>
        <w:rPr>
          <w:rStyle w:val="FootnoteAnchor"/>
          <w:rtl w:val="true"/>
        </w:rPr>
        <w:footnoteReference w:id="414"/>
      </w:r>
      <w:r>
        <w:rPr>
          <w:rFonts w:ascii="Amiri" w:hAnsi="Amiri" w:eastAsia="Amiri" w:cs="Amiri"/>
          <w:color w:val="111111"/>
          <w:sz w:val="28"/>
          <w:sz w:val="28"/>
          <w:szCs w:val="28"/>
          <w:rtl w:val="true"/>
          <w:lang w:bidi="ar-SA"/>
        </w:rPr>
        <w:t>، فهو لا يخلو من غرابة، ولعلّ مراده غير ظاهر كلامه، وإلاّ فصدوره من مثله غير متوقّع، هذا كلّه في الإنشاءات والبيوع المتعارفة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فرض كون المشتري فضولياً غاصباً لدراهم،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 العين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صحّة لحوق الإجازة به؛ لأنّ معناه المطاوعي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نفسي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معنى مطاوعياً، ولا يصحّ القبول به</w:t>
      </w:r>
      <w:r>
        <w:rPr>
          <w:rFonts w:eastAsia="Amiri" w:cs="Amiri" w:ascii="Amiri" w:hAnsi="Amiri"/>
          <w:color w:val="111111"/>
          <w:sz w:val="28"/>
          <w:szCs w:val="28"/>
          <w:rtl w:val="true"/>
          <w:lang w:bidi="ar-SA"/>
        </w:rPr>
        <w:t xml:space="preserve">. </w:t>
      </w:r>
      <w:bookmarkStart w:id="203" w:name="pg15204_140376"/>
    </w:p>
    <w:p>
      <w:pPr>
        <w:pStyle w:val="BookText"/>
        <w:rPr/>
      </w:pPr>
      <w:bookmarkEnd w:id="203"/>
      <w:r>
        <w:rPr>
          <w:rFonts w:ascii="Amiri" w:hAnsi="Amiri" w:eastAsia="Amiri" w:cs="Amiri"/>
          <w:color w:val="111111"/>
          <w:sz w:val="28"/>
          <w:sz w:val="28"/>
          <w:szCs w:val="28"/>
          <w:rtl w:val="true"/>
          <w:lang w:bidi="ar-SA"/>
        </w:rPr>
        <w:t>ولو قال الفضولي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من نفسي بعشرة دراهم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إلغاء القيدين وصحّة الفضولي للمالك؛ لأنّ تقييد العين الشخصية المبيعة لا يؤثّر شيئاً بعد كونها لمالكها، نظير تقديم الإشارة على القيد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اُلغي القيد في المبيع، لا تبعد لغويته في الثمن أيضاً؛ تحقيقاً لحقيقة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في الدفاع عن الإشكال</w:t>
      </w:r>
      <w:r>
        <w:rPr>
          <w:rStyle w:val="FootnoteAnchor"/>
          <w:rtl w:val="true"/>
        </w:rPr>
        <w:footnoteReference w:id="415"/>
      </w:r>
      <w:r>
        <w:rPr>
          <w:rFonts w:ascii="Amiri" w:hAnsi="Amiri" w:eastAsia="Amiri" w:cs="Amiri"/>
          <w:color w:val="111111"/>
          <w:sz w:val="28"/>
          <w:sz w:val="28"/>
          <w:szCs w:val="28"/>
          <w:rtl w:val="true"/>
          <w:lang w:bidi="ar-SA"/>
        </w:rPr>
        <w:t>، فقد مرّ ما فيه</w:t>
      </w:r>
      <w:r>
        <w:rPr>
          <w:rStyle w:val="FootnoteAnchor"/>
          <w:rtl w:val="true"/>
        </w:rPr>
        <w:footnoteReference w:id="416"/>
      </w:r>
      <w:r>
        <w:rPr>
          <w:rFonts w:ascii="Amiri" w:hAnsi="Amiri" w:eastAsia="Amiri" w:cs="Amiri"/>
          <w:color w:val="111111"/>
          <w:sz w:val="28"/>
          <w:sz w:val="28"/>
          <w:szCs w:val="28"/>
          <w:rtl w:val="true"/>
          <w:lang w:bidi="ar-SA"/>
        </w:rPr>
        <w:t>، وقضيّة ثبوت الحكم في الجهات التقييدية لنفس القيد</w:t>
      </w:r>
      <w:r>
        <w:rPr>
          <w:rStyle w:val="FootnoteAnchor"/>
          <w:rtl w:val="true"/>
        </w:rPr>
        <w:footnoteReference w:id="417"/>
      </w:r>
      <w:r>
        <w:rPr>
          <w:rFonts w:ascii="Amiri" w:hAnsi="Amiri" w:eastAsia="Amiri" w:cs="Amiri"/>
          <w:color w:val="111111"/>
          <w:sz w:val="28"/>
          <w:sz w:val="28"/>
          <w:szCs w:val="28"/>
          <w:rtl w:val="true"/>
          <w:lang w:bidi="ar-SA"/>
        </w:rPr>
        <w:t>لو صحّت في محلّها، لا تصحّ في المقام؛ ضرورة أنّ مدّعي الملكية يريد بيع المملوك لنفسه بدعوى المالكية، لا للمالك أو لنفسه بما هو مالك، ولا له ودعوى كونه إيّاه</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758792_2142443653"/>
      <w:bookmarkStart w:id="205" w:name="_Toc72"/>
      <w:bookmarkEnd w:id="204"/>
      <w:r>
        <w:rPr>
          <w:rtl w:val="true"/>
        </w:rPr>
        <w:t>حول تصحيح كاشف الغطاء بيع الفضولي لنفسه</w:t>
      </w:r>
      <w:bookmarkEnd w:id="205"/>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لعقد الفضولي لنفسه، موجبة لصيرورة العوض ملكاً للفضولي، نسب</w:t>
      </w:r>
      <w:r>
        <w:rPr>
          <w:rStyle w:val="FootnoteAnchor"/>
          <w:rtl w:val="true"/>
        </w:rPr>
        <w:footnoteReference w:id="418"/>
      </w:r>
      <w:r>
        <w:rPr>
          <w:rFonts w:ascii="Amiri" w:hAnsi="Amiri" w:eastAsia="Amiri" w:cs="Amiri"/>
          <w:color w:val="111111"/>
          <w:sz w:val="28"/>
          <w:sz w:val="28"/>
          <w:szCs w:val="28"/>
          <w:rtl w:val="true"/>
          <w:lang w:bidi="ar-SA"/>
        </w:rPr>
        <w:t xml:space="preserve">إلى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القواعد</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ونقل عن بعض تلاميذه في ذلك وجهان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بيع مال الغير عن نفسه والشراء بمال الغير لنفسه، جعل </w:t>
      </w:r>
    </w:p>
    <w:p>
      <w:pPr>
        <w:pStyle w:val="BookText"/>
        <w:rPr/>
      </w:pPr>
      <w:r>
        <w:rPr>
          <w:rFonts w:ascii="Amiri" w:hAnsi="Amiri" w:eastAsia="Amiri" w:cs="Amiri"/>
          <w:color w:val="111111"/>
          <w:sz w:val="28"/>
          <w:sz w:val="28"/>
          <w:szCs w:val="28"/>
          <w:rtl w:val="true"/>
          <w:lang w:bidi="ar-SA"/>
        </w:rPr>
        <w:t xml:space="preserve">ذلك المال لنفسه، حتّى أنّه على فرض صحّة ذلك البيع أو الشراء، يتملّكه قبل انتقاله إلى غيره؛ ليكون انتقاله إليه عن ملكه،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تمليك ضمني حاصل بالبيع أو الشراء</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العتق من مال الآمر، ممنوعة، بل غير ممكنة؛ لأنّ ذلك لو فرض كونه بمنزلة استيهاب العبد، لكن صيرورة صيغة العتق بوحدتها إيجاباً للتملّك وموجبة للعتق من ماله، غير ممكنة؛ لأنّهما أمران مترتّبان، لا يعقل تحقّقهما بصيغة واحدة؛ بحيث يصير إنشاء العتق مملّكاً ومخرجاً له من مال المالك، الذي يصير مالكاً بهذا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بالصحّة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ذلك إيجاب للتمليك، ولا يلزم في القبول إلاّ ما دلّ على الرضا،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القبول بمجرّد التلفّظ بأوّل حرف منه، فيصير مالكاً قبل تحقّق إنشاء العتق، فيرد إنشاؤه على ملكه، ولا تلزم الملكية قبل الشروع في الإنشاء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تظهر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مالي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إنشاء التمليك؛ فإنّ إيجابه بمنزلة القبول وإيجاب المعاملة اللاحقة، فيصير ملكاً له بأوّل حرف منه قبل تمامية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للتمليك لنفسه فضولاً، فإظهار الرضا بأوّل حرف موجب للتملّك، والعتق يقع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الجمع بين التمليك والأمر بالعتق من ماله بصيغة واحدة، ولو اُنشئ الأمر بالعتق للانتقال إلى التمليك، بقي التمليك بلا إنشاء لفظي،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اُنشئ التمليك بالأمر الكذائي بقرينة، بقي العتق غير مأمور به، وهو خلاف الفرض، وإنشاؤهما معاً بنحو الاستعمال في أكثر من معنى، غير ممكن في المقام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العرضيات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إنشاء الأمر بالعتق مع عدم قيام قرينة موجبة للظهور في التمليك، لا يصلح له، ومع قيام قرينة صارفة لا يكون أمراً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اُنشئ به التمليك، فلا حاجة إلى الأمر بالعتق؛ فإنّه بالتمليك يصير ملكاً بإظهار القبول، والعتق من ماله لا يحتاج إلى أمر، بخلاف العتق من مال الآمر،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الإذن؛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الإجازة، فالظاهر أنّها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تصحيحها؛ بمعنى صيرورة المال بها ملكاً للفضولي، وخارجاً عن ملكه 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استيهاباً، لتكون الإجازة تمليكاً وإخراجاً للملك بعده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تصحيحه بما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الإشكال المتقدّم؛ من عدم صلاحية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هنا إشكالاً آخر، وهو أنّ ما ذكره القائل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الإجازة المذكورة تصحّح البيع والشراء، كذلك تقضي بحصول الانتقال الذي يتضمّن البيع الصحيح</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تصحيحه بوجه؛ لأنّها إن تعلّقت بنفس المبادلة فلا تنفع لما 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تعلّقت بالتمليك الضمني على فرضه، فكذلك، وصارت المسألة من قبيل من باع ثمّ ملك، وسيأتي الكلام فيه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تعلّقت بالبيع المشتمل على التمليك لا يمكن تصحيحه بما أراد؛ لأنّ مراده إن كان تصحيح البيع والتمليك عرضاً، فلا يمكن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التمليك إذا تحقّق فلا وقع لإجازته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تصحيح البيع أوّلاً، وكشف مالكية الفضولي من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الواقعة في محلّها لا يمكن أن تكشف عن الملك قبل البيع؛ فإنّ ذلك مستلزم للكشف عن عدم وقوع الإجازة في محلّها؛ ضرورة أنّ بيع الأصيل لا يحتاج إليها، هذا حال مقام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مقام الإثبات والتصديق، فلا شبهة في أنّ الفضولي الغاصب لا يريد بالبيع إنشاء التمليك لنفسه، بل هو بانٍ على أنّ المال ماله، والإجازة لا توجب تأثيراً فيما بنى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الغاصب يبيع ويأخذ الثمن لنفسه، فإذا أجاز المالك ما فعل </w:t>
      </w:r>
    </w:p>
    <w:p>
      <w:pPr>
        <w:pStyle w:val="BookText"/>
        <w:rPr/>
      </w:pPr>
      <w:r>
        <w:rPr>
          <w:rFonts w:ascii="Amiri" w:hAnsi="Amiri" w:eastAsia="Amiri" w:cs="Amiri"/>
          <w:color w:val="111111"/>
          <w:sz w:val="28"/>
          <w:sz w:val="28"/>
          <w:szCs w:val="28"/>
          <w:rtl w:val="true"/>
          <w:lang w:bidi="ar-SA"/>
        </w:rPr>
        <w:t xml:space="preserve">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أجاز البيع والأخذ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صحيحاً، فيصير الثمن ملكاً لمالك المبيع، ويكون موضوعاً للإجازة، فتكون الإجازة هبة، عكس ما قرّره تلميذ الشيخ</w:t>
      </w:r>
      <w:r>
        <w:rPr>
          <w:rStyle w:val="FootnoteAnchor"/>
          <w:rtl w:val="true"/>
        </w:rPr>
        <w:footnoteReference w:id="423"/>
      </w:r>
      <w:r>
        <w:rPr>
          <w:rFonts w:ascii="Amiri" w:hAnsi="Amiri" w:eastAsia="Amiri" w:cs="Amiri"/>
          <w:color w:val="111111"/>
          <w:sz w:val="28"/>
          <w:sz w:val="28"/>
          <w:szCs w:val="28"/>
          <w:rtl w:val="true"/>
          <w:lang w:bidi="ar-SA"/>
        </w:rPr>
        <w:t>، ولا مانع من انحلال الإجازة وانطباقها أوّلاً على المتقدّم، وبعد وجود الموضوع تنطبق على المتأخّر، كالإجازة في المعاملات المتسلسلة المترتّبة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وجيه إذا كان الغاصب قصد التملّك، دون ما إذا قصد صرف المال غصباً، كما هو دأب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الإجازة موجبة لجواز التصرّف في مال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اشتراط كون أحد العوضين ملكاً للعاقد في انتقال بدله إليه،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ملك الثمن، وإن خرج المثمن عن ملك غيره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يستشهد لذلك بمساعدة العرف على مثل اشتراء الثوب لولده أو لبعض السادة، فيخرج الثمن من ملك المشتري، ويدخل المثمن في ملك الولد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لماهية البيع التي هي مبادلة مال بمال، أو تمليك عين بعوض، والأمثلة الموهمة ليست على ما ذكر، بل هي بيع لنفسه، وإعطاء للولد بعده، ويراد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أبيع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انتفاعه به،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الجلّ لفرسي، والفراش لمنزلي</w:t>
      </w:r>
      <w:r>
        <w:rPr>
          <w:rFonts w:eastAsia="Amiri" w:cs="Amiri" w:ascii="Amiri" w:hAnsi="Amiri"/>
          <w:color w:val="111111"/>
          <w:sz w:val="28"/>
          <w:szCs w:val="28"/>
          <w:rtl w:val="true"/>
          <w:lang w:bidi="ar-SA"/>
        </w:rPr>
        <w:t xml:space="preserve">». </w:t>
      </w:r>
      <w:bookmarkStart w:id="206" w:name="pg15204_140381"/>
    </w:p>
    <w:p>
      <w:pPr>
        <w:pStyle w:val="Heading6"/>
        <w:numPr>
          <w:ilvl w:val="5"/>
          <w:numId w:val="1"/>
        </w:numPr>
        <w:rPr/>
      </w:pPr>
      <w:bookmarkStart w:id="207" w:name="__RefHeading___Toc2758794_2142443653"/>
      <w:bookmarkStart w:id="208" w:name="_Toc73"/>
      <w:bookmarkEnd w:id="206"/>
      <w:bookmarkEnd w:id="207"/>
      <w:r>
        <w:rPr>
          <w:rtl w:val="true"/>
        </w:rPr>
        <w:t>إشكال آخر في بيع الفضولي لنفسه</w:t>
      </w:r>
      <w:bookmarkEnd w:id="208"/>
    </w:p>
    <w:p>
      <w:pPr>
        <w:pStyle w:val="BookText"/>
        <w:rPr/>
      </w:pPr>
      <w:r>
        <w:rPr>
          <w:rFonts w:ascii="Amiri" w:hAnsi="Amiri" w:eastAsia="Amiri" w:cs="Amiri"/>
          <w:color w:val="111111"/>
          <w:sz w:val="28"/>
          <w:sz w:val="28"/>
          <w:szCs w:val="28"/>
          <w:rtl w:val="true"/>
          <w:lang w:bidi="ar-SA"/>
        </w:rPr>
        <w:t>وأمّا الإشكال في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المشتري الأصيل العالم بكون البائع لنفسه غاصباً، قد سلّطه على الثمن، فليس له الرجوع إليه إذا ردّ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كاشف عن عدم تحقّق المعاوضة الحقيقية، وإلاّ كان له ذلك، فإذا أجاز المالك لم يملك الثمن؛ لسبق اختصاص الغاصب به، فيكون البيع بلا ثمن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جواز الرجوع حتّى فيما لو تلف الثمن، فضلاً عن حال وجوده؛ لأنّ التسليط عليه ليس مجّاناً وبلا عوض، بل في مقابل العين وإن كان البيع فاسداً، نظير تسليطه على ثمن الخمر وآلات القمار وغيرها من المقبوض بالبيع الفاسد، مضافاً إلى منع صحّة الحكاية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758796_2142443653"/>
      <w:bookmarkStart w:id="210" w:name="_Toc74"/>
      <w:bookmarkEnd w:id="209"/>
      <w:r>
        <w:rPr>
          <w:rtl w:val="true"/>
        </w:rPr>
        <w:t>وهنا أمران</w:t>
      </w:r>
      <w:r>
        <w:rPr>
          <w:rtl w:val="true"/>
        </w:rPr>
        <w:t>:</w:t>
      </w:r>
      <w:bookmarkEnd w:id="210"/>
    </w:p>
    <w:p>
      <w:pPr>
        <w:pStyle w:val="Heading6"/>
        <w:numPr>
          <w:ilvl w:val="5"/>
          <w:numId w:val="1"/>
        </w:numPr>
        <w:rPr/>
      </w:pPr>
      <w:bookmarkStart w:id="211" w:name="__RefHeading___Toc2758798_2142443653"/>
      <w:bookmarkStart w:id="212" w:name="_Toc75"/>
      <w:bookmarkEnd w:id="211"/>
      <w:r>
        <w:rPr>
          <w:rtl w:val="true"/>
        </w:rPr>
        <w:t>الأمر الأوّل</w:t>
      </w:r>
      <w:r>
        <w:rPr>
          <w:rtl w:val="true"/>
        </w:rPr>
        <w:t xml:space="preserve">: </w:t>
      </w:r>
      <w:r>
        <w:rPr>
          <w:rtl w:val="true"/>
        </w:rPr>
        <w:t>جريان الفضولي في بيع الكلّي</w:t>
      </w:r>
      <w:bookmarkEnd w:id="212"/>
    </w:p>
    <w:p>
      <w:pPr>
        <w:pStyle w:val="Heading6"/>
        <w:numPr>
          <w:ilvl w:val="5"/>
          <w:numId w:val="1"/>
        </w:numPr>
        <w:rPr/>
      </w:pPr>
      <w:bookmarkStart w:id="213" w:name="__RefHeading___Toc2758800_2142443653"/>
      <w:bookmarkStart w:id="214" w:name="_Toc76"/>
      <w:bookmarkEnd w:id="213"/>
      <w:r>
        <w:rPr>
          <w:rtl w:val="true"/>
        </w:rPr>
        <w:t>حکمه</w:t>
      </w:r>
      <w:bookmarkEnd w:id="21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القول بصحّة الفضولي، بين كون المبيع أو الثمن عيناً شخصية، أو كلّياً في الذمّة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فيما إذا كان لشخص مال في ذمّة الغير فعلاً، فباع الفضولي هذا المال المعتبر في ذمّة المديون، وأجاز الدائن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أراد بيعه ابتداءً من ذمّة الغير، فيمكن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ليس مالاً للغير مطلقاً؛ بحيث كان كلّ غنيّ مالكاً لنقود وأجناس كلّية فعلاً بمقدار تمكّنه،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اعتبر الأجنبيّ في ذمّته شيئاً نقداً أو جنساً، لا يصير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الأصيل بنفسه بصدد بيع كلّي، فعرضه على المشتري، يكون مالاً ويبذل بإزائه المال، ويستقرّ على عهدته، فلا وقع لاعتبار الأجنبيّ الفضولي، فيكون بيعه بيعاً بلا ثمن أو بلا 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إجازة الأصيل توجب تحقّق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الإجازة المتأخّرة لا بدّ وأن تتعلّق بالبيع، وهو ليس ببيع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النقل لا تعقل أن توجد المالية وتصير مصحّحة للبيع؛ لأنّهما أمران مترتّبان، لا يمكن إيجادهما بإنشاء واحد، والكشف الحقيقي غير معقول في المقام، والكشف الحكمي إنّما هو بعد صحّة البيع، فلا يعقل التصحيح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مبادلة بين المالين، والكلّي ليس بمال، سواء اُضيف إلى ذمّة أو 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ليس بمال، بل هو مال لدى العقلاء ولو لم يضف إلى ذمّة؛ فإنّ كرّاً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قابليته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لدى العقلاء،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منه يساوي عشرين ديناراً مثلاً، ومثقالاً من الذهب يساوي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فبالإضافة إلى الذمّة أيضاً لا يصير مالاً؛ ضرورة أنّ الإضافة الناقصة التصوّرية لا يعقل أن تكون موجبة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وعروض التمام عليها بعد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الدليل على إيجابه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للزوم كون المالية قبل إيقاع المعاملة، حتّى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الإنشاء موجباً للمالية في الرتبة السابقة، وموجباً لبيع المال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الذي مصاديقه مال،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فلا إشكال من هذه الناحية، بل الإضافة إلى الذمّة توجب صيرورته كلّياً عقلياً غير قابل للوجود، فتكون الإضافة سالبة للمالية، لا موجبة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عبارة عن تبادل الإضافتين، فلا بدّ من أن يكون الكلّي مالاً للبائع، مع أنّه بدون الإضافة إلى ذمّته ليس مالاً له بلا إشكال، والإضافة التصوّرية لا توجب الملكية، ولا سيّما إذا كانت من الأجنبيّ، والإضافة التامّة تتحقّق بعد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يكون الإنشاء موجباً لملكية الكلّي والخروج عن ملكه ولو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يعقل أن تكون الإجازة موجبة لذلك؛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الإشكال المذكور، ولا يعقل الكشف الحقيقي في المقام، والكشف الحكمي لا يمكن أيضاً؛ لأنّه إنّما هو بعد صحّة البيع بالأدلّة العامّة، ولا يعقل أن يكون</w:t>
      </w:r>
    </w:p>
    <w:p>
      <w:pPr>
        <w:pStyle w:val="BookText"/>
        <w:rPr/>
      </w:pPr>
      <w:r>
        <w:rPr>
          <w:rFonts w:ascii="Amiri" w:hAnsi="Amiri" w:eastAsia="Amiri" w:cs="Amiri"/>
          <w:color w:val="111111"/>
          <w:sz w:val="28"/>
          <w:sz w:val="28"/>
          <w:szCs w:val="28"/>
          <w:rtl w:val="true"/>
          <w:lang w:bidi="ar-SA"/>
        </w:rPr>
        <w:t>كاشفاً أو موجباً لانطباق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البيع عبارة عن تبادل الإضافتين المذكورتين، بل البيع عبارة عن مبادلة المالين، ولا يتوقّف ذلك على كون المال ملكاً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التبادل بين المالين قد يكون في الملك، كما هو الغالب الشائع، وقد يكون </w:t>
      </w:r>
      <w:bookmarkStart w:id="215" w:name="pg15204_140384"/>
    </w:p>
    <w:p>
      <w:pPr>
        <w:pStyle w:val="BookText"/>
        <w:rPr/>
      </w:pPr>
      <w:bookmarkEnd w:id="215"/>
      <w:r>
        <w:rPr>
          <w:rFonts w:ascii="Amiri" w:hAnsi="Amiri" w:eastAsia="Amiri" w:cs="Amiri"/>
          <w:color w:val="111111"/>
          <w:sz w:val="28"/>
          <w:sz w:val="28"/>
          <w:szCs w:val="28"/>
          <w:rtl w:val="true"/>
          <w:lang w:bidi="ar-SA"/>
        </w:rPr>
        <w:t>في غيره، كتبادل مال الوقف في الأوقاف العامّة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ملكيتها حتّى للجهات</w:t>
      </w:r>
      <w:r>
        <w:rPr>
          <w:rStyle w:val="FootnoteAnchor"/>
          <w:rtl w:val="true"/>
        </w:rPr>
        <w:footnoteReference w:id="427"/>
      </w:r>
      <w:r>
        <w:rPr>
          <w:rFonts w:ascii="Amiri" w:hAnsi="Amiri" w:eastAsia="Amiri" w:cs="Amiri"/>
          <w:color w:val="111111"/>
          <w:sz w:val="28"/>
          <w:sz w:val="28"/>
          <w:szCs w:val="28"/>
          <w:rtl w:val="true"/>
          <w:lang w:bidi="ar-SA"/>
        </w:rPr>
        <w:t>، فإنّ البيع صحيح إذا وقع من وليّها، وتمليك العين بالعوض صادق عليه، وكذا مبادلة المال بالمال، مع أنّها لا تخرج بالبيع عن ملك أحد، ويصير العوض وقفاً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بيع الزكاة والخمس بناءً على عدم كونهما ملكاً للفقراء أو للجهة، بل الظاهر الصدق في بيع الطير في السماء، والسمك في البحر، مع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الحرّ عمله، وبيع الشخص ما في ذمّته، مشتركان في الإشكال مع المورد، والدفع ما ذكرناه، كما مرّ في أوائل البيع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2758802_2142443653"/>
      <w:bookmarkStart w:id="217" w:name="_Toc77"/>
      <w:bookmarkEnd w:id="216"/>
      <w:r>
        <w:rPr>
          <w:rtl w:val="true"/>
        </w:rPr>
        <w:t>كيفية تعيين الكلّي في الذمّة</w:t>
      </w:r>
      <w:bookmarkEnd w:id="217"/>
    </w:p>
    <w:p>
      <w:pPr>
        <w:pStyle w:val="BookText"/>
        <w:rPr/>
      </w:pPr>
      <w:r>
        <w:rPr>
          <w:rFonts w:ascii="Amiri" w:hAnsi="Amiri" w:eastAsia="Amiri" w:cs="Amiri"/>
          <w:color w:val="111111"/>
          <w:sz w:val="28"/>
          <w:sz w:val="28"/>
          <w:szCs w:val="28"/>
          <w:rtl w:val="true"/>
          <w:lang w:bidi="ar-SA"/>
        </w:rPr>
        <w:t>ثمّ إنّ تعيين الكلّي في الذمّة، بإضافة البيع إليها في اللفظ؛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 قبل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بنيّة ذلك، وأمّا إضافة الكلّي إليها، فقد مرّ الإشكال فيها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من ذمّته على أن تكون الذمّة ظرفاً لا قيداً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الكلّي موجوداً ولو اعتباراً في الذمّة، ليكون صاحب الذمّة مالكاً لجميع ما يمكن اعتباره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التعيين بالجعل إنشاءً على الذمّة،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على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 في اللفظ ذلك فأجاز، فالظاهر صحّته ووقوعه لصاحب الذمّة، كما في غيره من الفضولي، ولو ردّه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لغا القيد بقي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راجعاً إلى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ولو بالقصد، توجب التعيين، والردّ لا يوجب إلغاء القيد من الأوّل حتّى يدّعى الانصراف إلى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تعيين العاقد مع عدم الانتساب إلى الغير، ليس لأجل الانصراف، بل لأجل التعيين الارتكازي من العاقد، ومع قصد غيره لا معنى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يذكر القيد في اللفظ ونوى ذمّة الغير، فإن أجازه فالظاهر صحّته له، وإن ردّ يقع باطلاً من رأس، وإن ألزم العاقد 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هذه الصورة بالصحّة واقعاً للعاقد مع الردّ، ولصاحب الذمّة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وقوعها للعاقد، فلاُمور مسلّمة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البنائية والأغراض المنويّة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الالتزامات العقدية يملكها كلّ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تعيين المالكين في المعاوضات، ومقتضاها أن يكون نفس العاقد هو الملزم بالالتزامات الصريحة والضمنية، وأن يكون طرفه هو المالك لها عليه، فلا وجه لبطلان المعاملة لو ردّ من قصده العاقد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وقوعها له لو أجاز، فلأنّ القصد وإن لم يؤثّر في صرف الالتزامات إلى </w:t>
      </w:r>
    </w:p>
    <w:p>
      <w:pPr>
        <w:pStyle w:val="BookText"/>
        <w:rPr/>
      </w:pPr>
      <w:r>
        <w:rPr>
          <w:rFonts w:ascii="Amiri" w:hAnsi="Amiri" w:eastAsia="Amiri" w:cs="Amiri"/>
          <w:color w:val="111111"/>
          <w:sz w:val="28"/>
          <w:sz w:val="28"/>
          <w:szCs w:val="28"/>
          <w:rtl w:val="true"/>
          <w:lang w:bidi="ar-SA"/>
        </w:rPr>
        <w:t>الغير، إلاّ أنّه لا ينفكّ عن أثره التكويني، فيجعل المعاملة كالمادّة الهيولانية القابلة لصرفها إلى الغير بإجازته، فيكون القصد كجعل التولية للغير، وتكون الإجازة بمنزلة القبول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أثر له من الأغراض المنويّة المترتّبة على شراء المبيع، مثل شراء الدواء للصحّة، وشراء الماء للشرب، والاُمور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البناء على اشتراط من غير ذكره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بالمورد؛ أي تعيين البائع بالقصد، لعدم الشبهة في حصول التعيّن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قصد الوكيل البيع لنفسه يقع له، ولو قصد لموكّله يقع للموكّل، وكذا الحال في بيع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متعارف في سوق المسلمين من التعيين بالقصد، من غير ذكر صاحب السلعة، ولا شكّ في أنّ العقود تابعة للقصود، وليست القصود 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مقدّمته الثانية غير مربوطة بالمورد؛ ضرورة أنّ الفضولي القاصد للبيع من ذمّة الغير، ليس طرفاً للالتزامات العقدية، ولا يملك المشتري عليه شيئاً بحسب الواقع، وإن كان ملزماً في الظاهر، فلا تنتج المقدّمات إثبات مطلوبه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بمكان من الضعف؛ ضرورة أنّ الكلّي بما هو، لا يتعيّن ولا يتعلّق بذمّة، والتعلّق بذمّة العاقد البائع إنّما هو لأجل التعيين الارتكازي، ومع قصد الخلاف لا معنى لتعلّقه بها،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التعلّق بها لأجل الانصراف، فلا وجه له </w:t>
      </w:r>
    </w:p>
    <w:p>
      <w:pPr>
        <w:pStyle w:val="BookText"/>
        <w:rPr/>
      </w:pPr>
      <w:r>
        <w:rPr>
          <w:rFonts w:ascii="Amiri" w:hAnsi="Amiri" w:eastAsia="Amiri" w:cs="Amiri"/>
          <w:color w:val="111111"/>
          <w:sz w:val="28"/>
          <w:sz w:val="28"/>
          <w:szCs w:val="28"/>
          <w:rtl w:val="true"/>
          <w:lang w:bidi="ar-SA"/>
        </w:rPr>
        <w:t>مع قصد الخلاف أيضاً، ولا يؤثّر ردّ الغير في قصد العاقد، ولا يجعله لا شيء من أوّل الأمر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الفارق بين الكلّيات والأعيان المملوكة الخارجية؛ فإنّها متعيّنة بلا تعيين،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كونها لنفسه أو خروجها عن ملكه لا أثر له، ومعه تصير المبادلة قهراً بينها وبين الثمن لمالكها الواقعي، بخلاف المقام، فإنّ إلغاء القيد لا يوجب إضافتها إلى العاقد، 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القصد بلا أثر، فلا وجه لصيرورة الإجازة مؤثّرة للصرف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أثره التكويني يجعل المعاملة كالمادّة الهيولانية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يرجع إلى محصّل؛ فإنّ القصد لو أثّر تكويناً، لا بدّ وأن يكون تأثيره فيما يقصده، وهو الإضافة إلى الغير، فكيف يمكن أن يكون أثر قصد البيع عن ذمّة الغير، مؤثّراً تكويناً في صيرورة المعاملة كالمادّة القابلة للصرف إلى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رحمه الله علیه لا يمكن المساعدة على شيء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البيع للغير أو إضافته إليه يوجب صرف الكلّي إليه، ظهر التنافي بين إضافة البيع إلى الغير، وإضافة الكلّي إلى نفسه بنحو ما ذكرناه، وبالعكس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جمع بينهما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لفلان بدرهم على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لنفسي بدرهم على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المبادلة لا تنافي </w:t>
      </w:r>
    </w:p>
    <w:p>
      <w:pPr>
        <w:pStyle w:val="BookText"/>
        <w:rPr/>
      </w:pPr>
      <w:r>
        <w:rPr>
          <w:rFonts w:ascii="Amiri" w:hAnsi="Amiri" w:eastAsia="Amiri" w:cs="Amiri"/>
          <w:color w:val="111111"/>
          <w:sz w:val="28"/>
          <w:sz w:val="28"/>
          <w:szCs w:val="28"/>
          <w:rtl w:val="true"/>
          <w:lang w:bidi="ar-SA"/>
        </w:rPr>
        <w:t>ماهية البيع، أو لا مانع من دخول المبيع في ملك شخص، وخروج الثمن عن كيس غيره، فلا تنافي بين القيدين، ويصحّ البيع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بمنافاتها لها، فالظاهر بطلان البيع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الكلّي بالأعيان الخارجية مع الفارق، والكلّي والموجود الخارجي في المقام نظير بيع الفرس العربي الكلّي وبيع الفرس الخارجي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الفرس غير العربي لا ينطبق عليه عنوان المبيع؛ أي الكلّي المقيّد،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الفرس صحيح، والقيد ملغىً، أو فقد القيد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فإنّه مع فقد القيد يصحّ البيع؛ لوقوعه على الموجود الخارجي، والتقييد لا يوجب عدم وقوعه عليه، بل التخلّف موجب للخيار، فالكلّي لا تعيّن له إلاّ بإضافته إلى ذمّة، ومع الإضافة إلى ذمّة الغير يتعيّن بها، فلو أتى بما ينافيه لا يتعيّن بشيء منهما ولا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تعارض القيدين وتساقطهما يرجع إلى العاقد؛ لأنّ المطلق ينصرف إليه بحسب طبعه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محلّه؛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وقوع العقد بلا قيد للعاقد ليس لأجل انصراف المطلق إليه، بل لأجل القصد الارتكازي، ومع فقده لا ينسب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الموجب للتساقط لا يوجب حصول مطلق منصرف إلى العاقد؛ ضرورة أنّ الإطلاق عبارة عن الإيقاع بلا قيد، وسقوط القيدين </w:t>
      </w:r>
    </w:p>
    <w:p>
      <w:pPr>
        <w:pStyle w:val="BookText"/>
        <w:rPr/>
      </w:pPr>
      <w:r>
        <w:rPr>
          <w:rFonts w:ascii="Amiri" w:hAnsi="Amiri" w:eastAsia="Amiri" w:cs="Amiri"/>
          <w:color w:val="111111"/>
          <w:sz w:val="28"/>
          <w:sz w:val="28"/>
          <w:szCs w:val="28"/>
          <w:rtl w:val="true"/>
          <w:lang w:bidi="ar-SA"/>
        </w:rPr>
        <w:t>لا يوجب عدم القيد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تصحيح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لفلان بدرهم على ذمّتي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كونه متضمّناً للهبة،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بمالي لنفسك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 إلى الضمان، فيكون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لفلان بدرهم في ذمّته، ولكنّي تعهّدت الدرهم وضمنت</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مجرّد تصوّر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المذكور، للتخلّص عن الإشكال الوارد، وهو عدم صحّة خروج الثمن عن ملك غير من يدخل المثمن في ملكه، ولا يصحّ التخلّص عنه بالوجه الأوّل؛ لأنّ الإنشاء الواحد لا يمكن أن يكون مملّكاً، أو إنشاءً للتمليك وفي الرتبة المتأخّرة، أو في الحال المتأخّر مخرجاً للملك الحادث به عن كيس مالكه ولو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الثاني أيضاً غير معقول مع إنشاء واحد؛ بحيث يصير الإنشاء مملّكاً، وفي الرتبة المتأخّرة موجباً لضمان ما صار مملّكاً 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لفلان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مستقلاًّ، يراد به أنّه في ذمّة فلان،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آخر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التعهّد وضمّ ذمّته إلى ذمّة فلان، لكنّه مجرّد فرض خارج عن مصبّ الدعوى والكلام</w:t>
      </w:r>
      <w:r>
        <w:rPr>
          <w:rFonts w:eastAsia="Amiri" w:cs="Amiri" w:ascii="Amiri" w:hAnsi="Amiri"/>
          <w:color w:val="111111"/>
          <w:sz w:val="28"/>
          <w:szCs w:val="28"/>
          <w:rtl w:val="true"/>
          <w:lang w:bidi="ar-SA"/>
        </w:rPr>
        <w:t xml:space="preserve">. </w:t>
      </w:r>
      <w:bookmarkStart w:id="218" w:name="pg15204_140390"/>
    </w:p>
    <w:p>
      <w:pPr>
        <w:pStyle w:val="Heading6"/>
        <w:numPr>
          <w:ilvl w:val="5"/>
          <w:numId w:val="1"/>
        </w:numPr>
        <w:rPr/>
      </w:pPr>
      <w:bookmarkStart w:id="219" w:name="__RefHeading___Toc2758804_2142443653"/>
      <w:bookmarkStart w:id="220" w:name="_Toc78"/>
      <w:bookmarkEnd w:id="218"/>
      <w:bookmarkEnd w:id="219"/>
      <w:r>
        <w:rPr>
          <w:rtl w:val="true"/>
        </w:rPr>
        <w:t>الأمر الثاني</w:t>
      </w:r>
      <w:r>
        <w:rPr>
          <w:rtl w:val="true"/>
        </w:rPr>
        <w:t xml:space="preserve">: </w:t>
      </w:r>
      <w:r>
        <w:rPr>
          <w:rtl w:val="true"/>
        </w:rPr>
        <w:t>جريان الفضولي في المعاطاة</w:t>
      </w:r>
      <w:bookmarkEnd w:id="220"/>
    </w:p>
    <w:p>
      <w:pPr>
        <w:pStyle w:val="BookText"/>
        <w:rPr/>
      </w:pPr>
      <w:r>
        <w:rPr>
          <w:rFonts w:ascii="Amiri" w:hAnsi="Amiri" w:eastAsia="Amiri" w:cs="Amiri"/>
          <w:color w:val="111111"/>
          <w:sz w:val="28"/>
          <w:sz w:val="28"/>
          <w:szCs w:val="28"/>
          <w:rtl w:val="true"/>
          <w:lang w:bidi="ar-SA"/>
        </w:rPr>
        <w:t>الظاهر جريان الفضولي في المعاطاة؛ لما تقدّم من أنّها بيع حقيقة</w:t>
      </w:r>
      <w:r>
        <w:rPr>
          <w:rStyle w:val="FootnoteAnchor"/>
          <w:rtl w:val="true"/>
        </w:rPr>
        <w:footnoteReference w:id="433"/>
      </w:r>
      <w:r>
        <w:rPr>
          <w:rFonts w:ascii="Amiri" w:hAnsi="Amiri" w:eastAsia="Amiri" w:cs="Amiri"/>
          <w:color w:val="111111"/>
          <w:sz w:val="28"/>
          <w:sz w:val="28"/>
          <w:szCs w:val="28"/>
          <w:rtl w:val="true"/>
          <w:lang w:bidi="ar-SA"/>
        </w:rPr>
        <w:t>، بل هي البيع الشائع في السوق من لدن حضارة البشر، وتحقّق المبادلات والمعاملات اللفظية كانت في موارد خاصّة ومتأخّرة عن المعاطاة، وعليه فشمول أدلّة الإنفاذ لها أولى من المعاملات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الواضح أنّ الإعطاء التكويني والتقابض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أمر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سبباً وإنشاءً للمعاملة، بل الإعطاء بعنوان إيقاع البيع سبب، أو موضوع لحكم العقلاء واعتبارهم، فكما أنّ إنشاء المعاملة باللفظ موضوع لحكمهم، كذلك الإنشاء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إنشاء الفضولي باللفظ قابل للحوق الإجازة واعتبار العقلاء وحصول موضوع اعتبارهم، كذلك الإنشاء بالفعل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والخلط بين القبض والإقباض تكويناً، وبين ما هو موضوع حكمهم، صار سبباً لإشكال بعضهم في جريان الفضولي في المعاطاة حتّى بناءً على حصول الملك؛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الواقع من الفضولي لا يعنون إلاّ بعنوان الإعطاء والتبديل المكاني، وأمّا تبديل طرفي الإضافة، فمصداقه إمّا إيجاد المادّة بالهيئة، وإمّا فعل المالك، فإنّه حيث يقع في مقام البيع والشراء، يعنون بالعنوان الثانوي بتبديل طرفي 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 وبين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يمكن انفكاك حاصل المصدر عن المصدر في الإنشاء القولي، فإذا أجاز المالك وأسنده إلى نفسه وقع له، وأمّا الفعل فاسم المصدر منه لا ينفكّ عن مصدره؛ بمعنى أ نّه ليس للإعطاء اسم مصدر غير العطاء، وهذا لا ينفكّ عنه، وبإجازة المالك لا ينقلب الفعل عمّا وقع عليه</w:t>
      </w:r>
      <w:r>
        <w:rPr>
          <w:rStyle w:val="FootnoteAnchor"/>
          <w:rtl w:val="true"/>
        </w:rPr>
        <w:footnoteReference w:id="4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فإنّ الفعل من الفضولي الصادر بعنوان البيع، يكون له عنوان ذاتي، هو الإعطاء والإقباض، وعنوان ثانوي؛ باعتبار صدوره عن قصد المعاملة، وبهذا الاعتبار يكون بيعاً فضولياً معاطاةً، وإيقاعاً للتمليك، وقابلاً للإجازة، وبها تتحقّق الملكية الاعتبارية كما في الإنشاء القولي،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تبديل طرفي الإضافة عنه، والحصر في القول وفي الفعل الصادر من المالك،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المعاطاتي مركّب من أمرين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 والمعاطاة، الموافقين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الإقباض محرّم، فلا يحصل به البيع؛ بدعوى أنّ المبغوض والمنهيّ عنه لا يمكن أن ينفذه الشارع الأقدس</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التحريم لا يدلّ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عنه هو التصرّف في </w:t>
      </w:r>
    </w:p>
    <w:p>
      <w:pPr>
        <w:pStyle w:val="BookText"/>
        <w:rPr/>
      </w:pPr>
      <w:r>
        <w:rPr>
          <w:rFonts w:ascii="Amiri" w:hAnsi="Amiri" w:eastAsia="Amiri" w:cs="Amiri"/>
          <w:color w:val="111111"/>
          <w:sz w:val="28"/>
          <w:sz w:val="28"/>
          <w:szCs w:val="28"/>
          <w:rtl w:val="true"/>
          <w:lang w:bidi="ar-SA"/>
        </w:rPr>
        <w:t>مال الغير بلا إذنه، وعنوان المعاملات غيره وإن اتّحدا في الخارج، والإنفاذ القانوني غير الناظر إلى المصاديق والعناوين المنطبقة على المعاملات خارجاً، غير إنفاذ المحرّم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مرّت الإشارة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قبل وجوده، والإنفاذ له بعده، فلا مزاحمة بينهما </w:t>
      </w:r>
      <w:r>
        <w:rPr>
          <w:rStyle w:val="FootnoteAnchor"/>
          <w:rtl w:val="true"/>
        </w:rPr>
        <w:footnoteReference w:id="436"/>
      </w:r>
      <w:r>
        <w:rPr>
          <w:rFonts w:ascii="Amiri" w:hAnsi="Amiri" w:eastAsia="Amiri" w:cs="Amiri"/>
          <w:color w:val="111111"/>
          <w:sz w:val="28"/>
          <w:sz w:val="28"/>
          <w:szCs w:val="28"/>
          <w:rtl w:val="true"/>
          <w:lang w:bidi="ar-SA"/>
        </w:rPr>
        <w:t>، فلا مانع من حرمة البيع وشمول أدلّة النفوذ له على فرض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لو دلّ على الفساد، لدلّ على عدم ترتّب الأثر المقصود، وهو استقلال الإقباض في السببية، فلا ينافي كونه جزء سبب، كما أفاده الشيخ الأعظم قدّس سرّه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إذا اقتضى الفساد وعدم ترتّب الأثر المقصود، يقتضي عدم ترتّب الأثر الناقص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النهي إرشاداً إلى الفساد، فلا يفرّق فيه بين الأثر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والتامّ، وإمّا أن يكون للتحريم، وهو لا يجامع إنفاذ المعاملة، فلا يفرّق أيضاً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هو التحقيق من حصول الملكية بالمعاطاة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الإباحة، فإن كانت مالكية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الفضولية فيها؛ لأنّ الإباحة المالكية ليست بمعنى الإباحة استقلالاً وابتداءً، بل ما صدر </w:t>
      </w:r>
    </w:p>
    <w:p>
      <w:pPr>
        <w:pStyle w:val="BookText"/>
        <w:rPr/>
      </w:pPr>
      <w:r>
        <w:rPr>
          <w:rFonts w:ascii="Amiri" w:hAnsi="Amiri" w:eastAsia="Amiri" w:cs="Amiri"/>
          <w:color w:val="111111"/>
          <w:sz w:val="28"/>
          <w:sz w:val="28"/>
          <w:szCs w:val="28"/>
          <w:rtl w:val="true"/>
          <w:lang w:bidi="ar-SA"/>
        </w:rPr>
        <w:t>من المتعاطيين ليس إلاّ البيع، والقائل بالإباحة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المعاملة متضمّنة للإباحة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المقبوض بالبيع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خلاف التحقيق، لكن بناءً 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متعلّقة بالبيع المتضمّن للإباحة، فإذا ثبت بالإجماع عدم حصول الملكية في المعاطاة، تؤثّر الإجازة في الإباحة الضمنية، ويأتي اختلاف النقل والكشف فيها أيضاً، فيقول القائل بالكشف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الإجازة توجب الإباحة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الإباحة التقديرية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بالنقل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إجازة البيع توجب الإباحة من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الإباحة شرعية،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تقتضي صحّة المعاطاة، والإجماع قائم على عدم حصول الملك، وحصول الإباحة شرعاً، فيجري فيها الفضولي أيضاً؛ لأنّ مقتضى القاعدة صحّتها،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بالاقتصار على المتيقّن من الإجماع، نلتزم في الفضولي بحصول الملك؛ لعدم ثبوت 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الفضولي في شمول الإجماع له، نقول بالإباحة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ثبتت بالإجماع من غير دخالة البيع، وهو كما ترى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أنّ المعاطاة على خلاف القاعدة، وأنّ ثبوت الإباحة بالإجماع، لا يجري الفضولي فيها</w:t>
      </w:r>
      <w:r>
        <w:rPr>
          <w:rFonts w:eastAsia="Amiri" w:cs="Amiri" w:ascii="Amiri" w:hAnsi="Amiri"/>
          <w:color w:val="111111"/>
          <w:sz w:val="28"/>
          <w:szCs w:val="28"/>
          <w:rtl w:val="true"/>
          <w:lang w:bidi="ar-SA"/>
        </w:rPr>
        <w:t xml:space="preserve">. </w:t>
      </w:r>
      <w:bookmarkStart w:id="221" w:name="pg15204_140394"/>
    </w:p>
    <w:p>
      <w:pPr>
        <w:pStyle w:val="Heading4"/>
        <w:numPr>
          <w:ilvl w:val="3"/>
          <w:numId w:val="1"/>
        </w:numPr>
        <w:rPr/>
      </w:pPr>
      <w:bookmarkStart w:id="222" w:name="__RefHeading___Toc2758806_2142443653"/>
      <w:bookmarkStart w:id="223" w:name="_Toc79"/>
      <w:bookmarkEnd w:id="221"/>
      <w:bookmarkEnd w:id="222"/>
      <w:r>
        <w:rPr>
          <w:rtl w:val="true"/>
        </w:rPr>
        <w:t>القول في الإجازة والردّ</w:t>
      </w:r>
      <w:bookmarkEnd w:id="223"/>
    </w:p>
    <w:p>
      <w:pPr>
        <w:pStyle w:val="Heading5"/>
        <w:numPr>
          <w:ilvl w:val="4"/>
          <w:numId w:val="1"/>
        </w:numPr>
        <w:rPr/>
      </w:pPr>
      <w:bookmarkStart w:id="224" w:name="__RefHeading___Toc2758808_2142443653"/>
      <w:bookmarkStart w:id="225" w:name="_Toc80"/>
      <w:bookmarkEnd w:id="224"/>
      <w:r>
        <w:rPr>
          <w:rtl w:val="true"/>
        </w:rPr>
        <w:t>إمکانهما</w:t>
      </w:r>
      <w:bookmarkEnd w:id="225"/>
    </w:p>
    <w:p>
      <w:pPr>
        <w:pStyle w:val="BookText"/>
        <w:rPr/>
      </w:pPr>
      <w:r>
        <w:rPr>
          <w:rFonts w:ascii="Amiri" w:hAnsi="Amiri" w:eastAsia="Amiri" w:cs="Amiri"/>
          <w:color w:val="111111"/>
          <w:sz w:val="28"/>
          <w:sz w:val="28"/>
          <w:szCs w:val="28"/>
          <w:rtl w:val="true"/>
          <w:lang w:bidi="ar-SA"/>
        </w:rPr>
        <w:t>قد اختلفت كلماتهم في أنّ الإجازة ناقلة أو كاشفة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قبل الورود في بيان القواعد من البحث عن إمكان كلّ منهما؛ إذ مع امتناع واحد منهما أو كليهما، لا محيص عن طرح القواعد وتأويل الأدلّة، فالأخذ بها فرع عدم الامتناع، أو عدم ثبوت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النقل؛ للزوم تأثير المعدوم، فإنّ العقد حال الإجازة معدوم، والإجازة ليست تمام السبب في النقل، بل البيع دخيل إمّا بنحو تمام السبب، أو جزئه، وكلاهما ممتنع؛ لامتناع دخالة العدم شرطاً أو جزءاً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صار معدوماً هو ألفاظ المعاملات والعقود، وأمّا المعنى المنشأ، فله بقاء اعتباري، ولا يحتاج في باب الاعتبارات إلى أزيد من ذلك، وليست العقود مؤثّرات نحو تأثير العلّة والسبب، بل هي موضوع اعتبارات العقلاء والشارع الأقدس</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للبقاء الاعتباري عند العقلاء، هو صحّة فسخ العقود الخيارية، وصحّة الإقالة، وصحّة لحوق القبول بالإيجاب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هو </w:t>
      </w:r>
    </w:p>
    <w:p>
      <w:pPr>
        <w:pStyle w:val="BookText"/>
        <w:rPr/>
      </w:pPr>
      <w:r>
        <w:rPr>
          <w:rFonts w:ascii="Amiri" w:hAnsi="Amiri" w:eastAsia="Amiri" w:cs="Amiri"/>
          <w:color w:val="111111"/>
          <w:sz w:val="28"/>
          <w:sz w:val="28"/>
          <w:szCs w:val="28"/>
          <w:rtl w:val="true"/>
          <w:lang w:bidi="ar-SA"/>
        </w:rPr>
        <w:t>مبنيّ على بقاء العقد، فالإجازة ليست لاحقة بأمر معدوم، كما أنّ المعدوم لم يكن مؤثّراً ولا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المنشأ بنظر المنشئ لا يتخلّف عن الإنشاء، وإنّما المتخلّف هو المنشأ في عالم الاعتبار العقلائي أو الشرعي، وهو إذا كان متوقّفاً على رضا المالك، لا يتحقّق بمجرّد إنشاء الفضولي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فساده في نفسه؛ فإنّ المراد بالمنشأ إن كان النقل الاعتباري واقعاً؛ بحيث صار التبادل بين العوضين حاصلاً، فلا يعقل حصوله عند المنشئ الفضولي بعد التفاته إلى أنّ النقل الواقعي منوط بإجازة المالك، اللهمّ إلاّ أن يكون</w:t>
      </w:r>
    </w:p>
    <w:p>
      <w:pPr>
        <w:pStyle w:val="BookText"/>
        <w:rPr/>
      </w:pPr>
      <w:r>
        <w:rPr>
          <w:rFonts w:ascii="Amiri" w:hAnsi="Amiri" w:eastAsia="Amiri" w:cs="Amiri"/>
          <w:color w:val="111111"/>
          <w:sz w:val="28"/>
          <w:sz w:val="28"/>
          <w:szCs w:val="28"/>
          <w:rtl w:val="true"/>
          <w:lang w:bidi="ar-SA"/>
        </w:rPr>
        <w:t>ذاهلاً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حصول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العناوين الإنشائية كالبيع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حصوله بنظر الكلّ؛ ضرورة أنّ المنشأ قبل الإجازة بيع وإجارة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غير مربوط بالإشكال، بل 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تمام السبب من غير دخالة البيع بوجه، وهو كما ترى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الكشف؛ لاستلزامه القول بالشرط المتأخّر، وهو محال؛ لمساوقته لتأثير المعدوم، وتقدّم المعلول على العلّة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أجابوا عنه بوجوه، ذكرنا بعضها في الاُصول</w:t>
      </w:r>
      <w:r>
        <w:rPr>
          <w:rStyle w:val="FootnoteAnchor"/>
          <w:rtl w:val="true"/>
        </w:rPr>
        <w:footnoteReference w:id="443"/>
      </w:r>
      <w:r>
        <w:rPr>
          <w:rFonts w:ascii="Amiri" w:hAnsi="Amiri" w:eastAsia="Amiri" w:cs="Amiri"/>
          <w:color w:val="111111"/>
          <w:sz w:val="28"/>
          <w:sz w:val="28"/>
          <w:szCs w:val="28"/>
          <w:rtl w:val="true"/>
          <w:lang w:bidi="ar-SA"/>
        </w:rPr>
        <w:t>، ولا بأس بالإشارة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صحّة الشرط المتأخّر حتّى في التكوينيات،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هو حصّة خاصّة من الطبيعي، حاصلة بإضافته إلى شيء ما، والمضاف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والمؤثّر نفس الحصّة، وما هذا شأنه جاز أن يتقدّم على المضاف إليه، أو يتأخّر، أو يقارن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في التكوين هو نحو وجود حقيقي حاصل من مبادئه الوجودية، ولا يعقل حصوله بالإضافات الاعتبارية، فقياس التكوين على التشريع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الإضافة إلى المعدوم محال في المقولية منها والاعتبارية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المقولية فواضح؛ ضرورة تكافؤ المتضايفين قوّةً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الاعتبارية، فلاستلزامه الإشارة إلى المعدوم بما هو معدوم، والضرورة قاضية بعدم إمكان كون العدم مشاراً إليه، ولا موضوعاً لحكم أو 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يتخيّل مفهوم المعدوم ويشار إليه، فالإشارة إلى الموجود ذهناً، لا إلى المعدوم، وهو واضح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التخلّص عن الشرط المتأخّر، كالمحقّق الخراساني قدّس سرّه، حيث ذهب إلى أنّ العلّة في الاُمور الاعتبارية التي لا وجود لها إلاّ بمنشأ </w:t>
      </w:r>
    </w:p>
    <w:p>
      <w:pPr>
        <w:pStyle w:val="BookText"/>
        <w:rPr/>
      </w:pPr>
      <w:r>
        <w:rPr>
          <w:rFonts w:ascii="Amiri" w:hAnsi="Amiri" w:eastAsia="Amiri" w:cs="Amiri"/>
          <w:color w:val="111111"/>
          <w:sz w:val="28"/>
          <w:sz w:val="28"/>
          <w:szCs w:val="28"/>
          <w:rtl w:val="true"/>
          <w:lang w:bidi="ar-SA"/>
        </w:rPr>
        <w:t>انتزاعها، ليس إلاّ لحاظ ما هو منشأ الانتزاع، فكما يمكن لحاظ المقارن، يمكن لحاظ المتقدّم، والمتأخّر، وما هي علّة مقارنة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بالعرض لا بدّ وأن تكون له خصوصية، بها يكون منشأً للانتزاع، وإلاّ صحّ انتزاع كلّ شيء من كلّ شيء، فالإجازة فيما نحن بصدده، لو لم تكن دخيلة بوجه من الوجوه في صحّة العقد، فلا وجه للحاظها وانتزاع أمر منها أو اعتباره،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بوجودها اللحاظي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كذلك دخيلة، فدخالتها في حال العدم محال، فلا بدّ وأن تكون حال وجودها ذات خصوصية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لو لوحظت واُريد الاعتبار بلحاظ حال الوجود فلا كلام، ولا ربط له بما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الاعتبار لحال عدمها فلا يعقل؛ لفقد الخصوصية اللازمة، فهل يمكن لحاظ حصول الزوجية غداً لاعتبارها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تبعاً لأخيه المحقّق على ما حكي</w:t>
      </w:r>
      <w:r>
        <w:rPr>
          <w:rStyle w:val="FootnoteAnchor"/>
          <w:rtl w:val="true"/>
        </w:rPr>
        <w:footnoteReference w:id="446"/>
      </w:r>
      <w:r>
        <w:rPr>
          <w:rFonts w:ascii="Amiri" w:hAnsi="Amiri" w:eastAsia="Amiri" w:cs="Amiri"/>
          <w:color w:val="111111"/>
          <w:sz w:val="28"/>
          <w:sz w:val="28"/>
          <w:szCs w:val="28"/>
          <w:rtl w:val="true"/>
          <w:lang w:bidi="ar-SA"/>
        </w:rPr>
        <w:t xml:space="preserve">، حيث ذهب إلى 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لا نفسها، وهو حاصل حين العقد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الإضافية لا يعقل الاتّصاف بها فعلاً إلاّ مع اتّصاف مضايفاتها فعلاً، فلا يعقل انتزاع الاُبوّة أو الاتّصاف بها، إلاّ مع فعلية اتّصاف </w:t>
      </w:r>
    </w:p>
    <w:p>
      <w:pPr>
        <w:pStyle w:val="BookText"/>
        <w:rPr/>
      </w:pPr>
      <w:r>
        <w:rPr>
          <w:rFonts w:ascii="Amiri" w:hAnsi="Amiri" w:eastAsia="Amiri" w:cs="Amiri"/>
          <w:color w:val="111111"/>
          <w:sz w:val="28"/>
          <w:sz w:val="28"/>
          <w:szCs w:val="28"/>
          <w:rtl w:val="true"/>
          <w:lang w:bidi="ar-SA"/>
        </w:rPr>
        <w:t xml:space="preserve">شخص آخر بالولدية،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الإضافيات، فلا بدّ وأن يكون المتأخّر موصوفاً بالتأخّر حال اتّصاف المتقدّم بالتقدّم، ولا يعقل اتّصاف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تشبّث بالوجود اللحاظي،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الطرف ليس لحاظ الشيء، بل نفسه، فالحلّ من طريق العقل الدقيق بهذا المسلك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اُريد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الذي تأتي بعده الإجازة، أو اُريد الحلّ في محيط العرف،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عرفي لا عقلي، والعرف يرى اليوم مقدّماً على الغد عنواناً، وينتزع من اليوم التقدّم ومن الغد التأخّر فعلاً وإن كان العقل يخطّئه،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حلّه طريق عقلي دقيق ذكرناه في الاُصول، فراجع</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الامتناع، فلو دلّ دليل على النقل أو الكشف، لا يجوز ردّه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أقسام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إن اُريد القلب حقيقة؛ للزوم اجتماع النقيضين، واجتماع المالكين المستقلّين على مملوك واحد، ولزوم القلب المستحيل، وسيأتي بعض الكلام في القلب</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الكشف الحكمي؛ بمعنى ترتيب آثار الملك أو بعضها من الأوّل لو دلّ عليه دليل</w:t>
      </w:r>
      <w:r>
        <w:rPr>
          <w:rFonts w:eastAsia="Amiri" w:cs="Amiri" w:ascii="Amiri" w:hAnsi="Amiri"/>
          <w:color w:val="111111"/>
          <w:sz w:val="28"/>
          <w:szCs w:val="28"/>
          <w:rtl w:val="true"/>
          <w:lang w:bidi="ar-SA"/>
        </w:rPr>
        <w:t xml:space="preserve">. </w:t>
      </w:r>
      <w:bookmarkStart w:id="226" w:name="pg15204_140399"/>
    </w:p>
    <w:p>
      <w:pPr>
        <w:pStyle w:val="Heading5"/>
        <w:numPr>
          <w:ilvl w:val="4"/>
          <w:numId w:val="1"/>
        </w:numPr>
        <w:rPr/>
      </w:pPr>
      <w:bookmarkStart w:id="227" w:name="__RefHeading___Toc2758810_2142443653"/>
      <w:bookmarkStart w:id="228" w:name="_Toc81"/>
      <w:bookmarkEnd w:id="226"/>
      <w:bookmarkEnd w:id="227"/>
      <w:r>
        <w:rPr>
          <w:rtl w:val="true"/>
        </w:rPr>
        <w:t>حول كون مقتضى القاعدة هو الكشف</w:t>
      </w:r>
      <w:bookmarkEnd w:id="228"/>
    </w:p>
    <w:p>
      <w:pPr>
        <w:pStyle w:val="Heading6"/>
        <w:numPr>
          <w:ilvl w:val="5"/>
          <w:numId w:val="1"/>
        </w:numPr>
        <w:rPr/>
      </w:pPr>
      <w:bookmarkStart w:id="229" w:name="__RefHeading___Toc2758812_2142443653"/>
      <w:bookmarkStart w:id="230" w:name="_Toc82"/>
      <w:bookmarkEnd w:id="229"/>
      <w:r>
        <w:rPr>
          <w:rtl w:val="true"/>
        </w:rPr>
        <w:t>إشارة</w:t>
      </w:r>
      <w:bookmarkEnd w:id="230"/>
    </w:p>
    <w:p>
      <w:pPr>
        <w:pStyle w:val="BookText"/>
        <w:rPr/>
      </w:pPr>
      <w:r>
        <w:rPr>
          <w:rFonts w:ascii="Amiri" w:hAnsi="Amiri" w:eastAsia="Amiri" w:cs="Amiri"/>
          <w:color w:val="111111"/>
          <w:sz w:val="28"/>
          <w:sz w:val="28"/>
          <w:szCs w:val="28"/>
          <w:rtl w:val="true"/>
          <w:lang w:bidi="ar-SA"/>
        </w:rPr>
        <w:t>ثمّ إنّ مقتضى القاعدة هل هو الكشف أو النقل؟</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الكشف، وقد ذكر في تقريبه وجوه، لا بأس بالإشارة إلى بعضها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758814_2142443653"/>
      <w:bookmarkStart w:id="232" w:name="_Toc83"/>
      <w:bookmarkEnd w:id="231"/>
      <w:r>
        <w:rPr>
          <w:rtl w:val="true"/>
        </w:rPr>
        <w:t>تقريب المحقّق الرشتي</w:t>
      </w:r>
      <w:bookmarkEnd w:id="23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الرشتي قدّس سرّه من كفاية الرضا التقديري في صحّة العقد، نظير الإذن المستفاد من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كاشفة عن ذلك جدّاً ولو بعد الردّ؛ فإنّ الكراهة الباعثة على الردّ من حيث خفاء الجهة الراجحة، فلا منافاة بين الردّ فعلاً والرضا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سوى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تأثير الإجازة ولو بعد الردّ، ووقوع الردّ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اعتبار 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جواز التصرّف قبل الإجازة إذا علم أنّ المالك 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فإنّ الردّ ليس مانعاً ولو على تقدير اعتبار الرضا الفعلي؛ لعموم الأدلّة وخصوصها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الردّ يوجب زوال ارتباط العقد بالمالك المجيز، فتكون الإجازة بعده كالرضا الابتدائي من غير عقد، ثمّ أمر بالتأمّل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الثالث، فلمنع الظهور؛ لأ نّا لا نجد فرقاً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نفسه</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فكما أنّ الرضا التقديري كافٍ في الحلّ تكليفاً، كذلك هنا يكفي في صحّة العقد وتأثيره</w:t>
      </w:r>
      <w:r>
        <w:rPr>
          <w:rStyle w:val="FootnoteAnchor"/>
          <w:rtl w:val="true"/>
        </w:rPr>
        <w:footnoteReference w:id="451"/>
      </w:r>
      <w:r>
        <w:rPr>
          <w:rFonts w:ascii="Amiri" w:hAnsi="Amiri" w:eastAsia="Amiri" w:cs="Amiri"/>
          <w:color w:val="111111"/>
          <w:sz w:val="28"/>
          <w:sz w:val="28"/>
          <w:szCs w:val="28"/>
          <w:rtl w:val="true"/>
          <w:lang w:bidi="ar-SA"/>
        </w:rPr>
        <w:t>، انتهى ملخّصاً، وترك الجواب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مركّبة من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الإجازة كاشفة عن الرضا التقديري جدّاً،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ذلك كافٍ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كاشفية الإجازة عن الرضا التقديري،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الكاشفية إمّا بدعوى كون الإجازة بدلالتها اللفظية دالّة وكاشفة عنه، نظير كاشفية الجملة الخبرية عن المخبر به واقعاً، فهي باطلة بالضرورة، ولا أظنّه كان قائلاً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بدعوى كونها كاشفة ككشف المعلول عن علّته، أو ذي المبادئ عن مبادئه، ككشف الفعل الاختياري عن الإرادة والرضا والتصديق بالفائدة والتصوّر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التقديري في حال عدمه، لا يمكن أن يكون كاشفاً، ولا منكشفاً، ولا من مبادئ وجود الإجازة أو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الإجازة الفعلية لا بدّ وأن يكون من مبادئها الرضا الفعلي، ولا يعقل </w:t>
      </w:r>
    </w:p>
    <w:p>
      <w:pPr>
        <w:pStyle w:val="BookText"/>
        <w:rPr/>
      </w:pPr>
      <w:r>
        <w:rPr>
          <w:rFonts w:ascii="Amiri" w:hAnsi="Amiri" w:eastAsia="Amiri" w:cs="Amiri"/>
          <w:color w:val="111111"/>
          <w:sz w:val="28"/>
          <w:sz w:val="28"/>
          <w:szCs w:val="28"/>
          <w:rtl w:val="true"/>
          <w:lang w:bidi="ar-SA"/>
        </w:rPr>
        <w:t>أن يكون علّتها أو من مبادئها الرضا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كاشفيتها عن الرضا الفعلي بالعقد لا تنكر، فلا سبيل إلى القول بأنّها كاشفة عن الرضا التقديري فقط، بل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كاشفة عن الرضا الفعلي والتقديري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الكاشفية عن الأمر الفعلي والتقديري، جمع بين المتنافيين؛ فإنّ زمان المنكشفين إن كان واحداً، لا يعقل ثبوت الرضا الفعلي والتقديري معاً، حتّى تكون الإجازة كاشفة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الزمان مختلفاً، لا يعقل أن تكون الإجازة الشخصية والإنشاء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الرضا الفعلي في هذا الزمان، والرضا التقديري في زمان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كاشفة عن الرضا الفعلي، وهو كاشف عن الرضا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أيضاً محال؛ لعدم تناسب بين الرضا الفعلي والتقديري، لا من جهة العلّية والمعلولية، ولا 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الرضا التقديري مع عدم حصول ما علّق عليه، معدوم، والمعدوم لا كاشف، ولا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الإشكال في دعوى الملازمة بينهما عقلاً؛ فإنّ الملازمة العقلية لا تكون إلاّ بين المعلولين لعلّة واحدة، والمعدوم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معلولاً، ولا يمكن وجود الملازمة بينه وبين غيره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قرع الأسماع من لوازم الماهيات وملازماتها، ليس بمعنى أنّ المعدوم </w:t>
      </w:r>
    </w:p>
    <w:p>
      <w:pPr>
        <w:pStyle w:val="BookText"/>
        <w:rPr/>
      </w:pPr>
      <w:r>
        <w:rPr>
          <w:rFonts w:ascii="Amiri" w:hAnsi="Amiri" w:eastAsia="Amiri" w:cs="Amiri"/>
          <w:color w:val="111111"/>
          <w:sz w:val="28"/>
          <w:sz w:val="28"/>
          <w:szCs w:val="28"/>
          <w:rtl w:val="true"/>
          <w:lang w:bidi="ar-SA"/>
        </w:rPr>
        <w:t xml:space="preserve">حال عدمه له لازم أو ملازم، بل بمعنى أنّ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عن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لازم، فاللازم لازمها في ظرف الوجود، لا بقيده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لزوم المعلول لعلّته، إنّما هو في حال الوجود وبالوجود، وإنّما نحكم بعناوين مناسبة أنّ كلّ معلول لا ينفكّ عن علّته التامّة، أو أنّ النهار لازم طلوع الشمس، لا بمعنى حصول الملازمة بينهما في حال العدم،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بكشف الإجازة عن الرضا التقديري، باطل عقلاً بجميع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محتمل آخر، وهو الكشف عرفاً،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كاشفة عرفاً عن الرضا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بطلان العدم عند العقلاء والعرف، وعدم الملازمة بين الموجود والمعدوم حتّى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لو كان الملازمة بين الإجازة والرضا التقديري؛ بمعنى أنّ المجيز لو علم حال العقد به لأجاز، سواء كان في نظره صلاحاً أو لا، فهذا باطل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أنّ كلّ عقد وجد في زمان، وهو موافق للصلاح بنظر المالك، فهو ذو صلاح حال العقد بنظره، فهو أفسد؛ ضرورة أنّ المصالح كثيراً ما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وجهٌ آخر لم يكن مراده جزماً، لكن نذكره تتميماً للبحث، وهو الملازمة بين الإجازة والرضا التقديري بما أنّه تقديري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الإجازة والقضيّة التعليقية؛ أي قضيّة لو علم لرضي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ورود بعض الإشكالات العقلية 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اعتبار الرضا مطلقاً في العقد، بل المعتبر هو تعليق الرضا على شيء آخر، وهو كما ترى، هذا كلّه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أي اعتبار الرضا أعمّ من الفعلي والتقديري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ضرورة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بالعقد رضي به، لكنّه لم يعلم به فما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والوجود التقديري إن كان المراد به الوجود في الأعيان قبل حصول ما علّق عليه، فهو باطل بالضرورة، فيرجع كلامه إلى أنّ المعتبر في العقد الرضا، أعمّ من الموجود والمعدوم، وهذا عبارة اُخرى عن عدم اعتبار الرضا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إلى الاعتبار بوجوده الذهني التقديري اللحاظي كما أفاده المحقّق الخراساني قدّس سرّه</w:t>
      </w:r>
      <w:r>
        <w:rPr>
          <w:rStyle w:val="FootnoteAnchor"/>
          <w:rtl w:val="true"/>
        </w:rPr>
        <w:footnoteReference w:id="452"/>
      </w:r>
      <w:r>
        <w:rPr>
          <w:rFonts w:ascii="Amiri" w:hAnsi="Amiri" w:eastAsia="Amiri" w:cs="Amiri"/>
          <w:color w:val="111111"/>
          <w:sz w:val="28"/>
          <w:sz w:val="28"/>
          <w:szCs w:val="28"/>
          <w:rtl w:val="true"/>
          <w:lang w:bidi="ar-SA"/>
        </w:rPr>
        <w:t>، ففيه ما تقدّم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ذهب إلى الاعتبار في حال العدم، والتزم بالإشكال العقلي في هذه الاُمور الاعتبارية،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الفرق في الامتناع بين الاعتباريات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ذلك لا يحتاج إلى ما ذكره، بل له الالتزام بتأثير الإجازة حال عدمها وتأخّرها، وهو أسلم من بعض الجهات ممّا التزم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 نتيجة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الفضولي، والالتزام بأنّ كلّ عقد لحقته الإجازة ينكشف أنّه خرج عن الفضولية، فالإجازة كاشفة عن البيع غير الفضولي، لا مصحّحة بعد تسليم الفضولية، </w:t>
      </w:r>
    </w:p>
    <w:p>
      <w:pPr>
        <w:pStyle w:val="BookText"/>
        <w:rPr/>
      </w:pPr>
      <w:r>
        <w:rPr>
          <w:rFonts w:ascii="IRNazanin" w:hAnsi="IRNazanin" w:eastAsia="IRNazanin"/>
          <w:color w:val="111111"/>
          <w:sz w:val="28"/>
          <w:sz w:val="28"/>
          <w:szCs w:val="28"/>
          <w:rtl w:val="true"/>
          <w:lang w:bidi="fa-IR"/>
        </w:rPr>
        <w:t>فهو خروج عن رسم البحث وطرح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ذكره في جواب ثاني الإشكالات من طريق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الردّ يوجب زوال ارتباط العقد بالمالك المجيز، فالإجازة بعده كالرضا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أصل الدعوى، ويهدم المدّعى؛ ضرورة أنّه لو كان المؤثّر هو العقد المقارن للرضا التقديري، فلا معنى لكون الردّ موجباً لزوال الإضافة، وصيرورة الرضا كالابتدائي؛ فإنّ العقد المقرون بالرضا التقديري من الأصيلين يصحّ من أوّل الأمر، فالردّ يقع لغواً، وهو ظاهر، ولعلّ أمره بالتأمّل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دفاعه عن الثالث بمنع الظهور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ظاهر في الطيب الفعلي، لا التقديري المعدوم الذي مرجعه إلى عدم اعتبار طيب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الطيب المخزون في النفس،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الملتفت إليه تفصيلاً، كافٍ في حلّ مال المسلم، لكنّه ليس طيباً تقديرياً، بل طيب فعلي، فهل هو كافٍ في الخروج عن الفضولية؟ فيه كلام، قد سبق منّا بعضه عند تعرّض الشيخ الأعظم قدّس سرّه لذلك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أيّد مذهبه بالروايات الخاصّة</w:t>
      </w:r>
      <w:r>
        <w:rPr>
          <w:rStyle w:val="FootnoteAnchor"/>
          <w:rtl w:val="true"/>
        </w:rPr>
        <w:footnoteReference w:id="455"/>
      </w:r>
      <w:r>
        <w:rPr>
          <w:rFonts w:ascii="Amiri" w:hAnsi="Amiri" w:eastAsia="Amiri" w:cs="Amiri"/>
          <w:color w:val="111111"/>
          <w:sz w:val="28"/>
          <w:sz w:val="28"/>
          <w:szCs w:val="28"/>
          <w:rtl w:val="true"/>
          <w:lang w:bidi="ar-SA"/>
        </w:rPr>
        <w:t>، فإن كان المراد تأييد الكشف فلا كلام، وإن كان المراد تأييد مسلكه فيه فلا وجه له؛ لأنّها لم تتعرّض لكيفية الكشف، بل غاية ما يظهر منها هو أصله</w:t>
      </w:r>
      <w:r>
        <w:rPr>
          <w:rFonts w:eastAsia="Amiri" w:cs="Amiri" w:ascii="Amiri" w:hAnsi="Amiri"/>
          <w:color w:val="111111"/>
          <w:sz w:val="28"/>
          <w:szCs w:val="28"/>
          <w:rtl w:val="true"/>
          <w:lang w:bidi="ar-SA"/>
        </w:rPr>
        <w:t xml:space="preserve">. </w:t>
      </w:r>
      <w:bookmarkStart w:id="233" w:name="pg15204_140405"/>
    </w:p>
    <w:p>
      <w:pPr>
        <w:pStyle w:val="Heading6"/>
        <w:numPr>
          <w:ilvl w:val="5"/>
          <w:numId w:val="1"/>
        </w:numPr>
        <w:rPr/>
      </w:pPr>
      <w:bookmarkStart w:id="234" w:name="__RefHeading___Toc2758816_2142443653"/>
      <w:bookmarkStart w:id="235" w:name="_Toc84"/>
      <w:bookmarkEnd w:id="233"/>
      <w:bookmarkEnd w:id="234"/>
      <w:r>
        <w:rPr>
          <w:rtl w:val="true"/>
        </w:rPr>
        <w:t>استدلال آخر لكون الكشف على مقتضى القاعدة</w:t>
      </w:r>
      <w:bookmarkEnd w:id="235"/>
    </w:p>
    <w:p>
      <w:pPr>
        <w:pStyle w:val="BookText"/>
        <w:rPr/>
      </w:pPr>
      <w:r>
        <w:rPr>
          <w:rFonts w:ascii="Amiri" w:hAnsi="Amiri" w:eastAsia="Amiri" w:cs="Amiri"/>
          <w:color w:val="111111"/>
          <w:sz w:val="28"/>
          <w:sz w:val="28"/>
          <w:szCs w:val="28"/>
          <w:rtl w:val="true"/>
          <w:lang w:bidi="ar-SA"/>
        </w:rPr>
        <w:t>وممّا استدلّ به للكشف وأنّه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الإجازة متعلّقة بالعقد المتحقّق سابقاً، والرضا لاحق بمضمونه الذي هو النقل سابقاً، فلا بدّ من الانتقال من حينه، لا من حينها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السببي أوجد المنشأ به من حينه؛ لأنّ الإنشاء لا ينفكّ عن المنشأ، والإجازة تعلّقت بهذا المعنى الذي وجد من أوّل الأمر، فلا بدّ وأن يكون بعد لحوق الإجازة مؤثّراً من حينه، فالدعوى مركّبة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السببي موجد للمسبّب، وهو عناوين المعاملات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متعلّقة بما أوجد العقد، فتجعله كأنّه وجد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نقل لا كشف وإن شاركه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لازم هذا المدّعى كافٍ في الحكم ببطلانه؛ فإنّ المالكية والمملوكية من المتضايفين المتكافئين في القوّة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كون شيء مملوكاً لشخص في زمان سابق، كون المالك مالكاً فيه، ومعنى كون الإجازة موجبة للنقل من أوّل زمان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المالك مالكاً في هذا الزمان من الزمان السابق، على أن يكون الزمان السابق ظرفاً للمالك والمملوك والملكية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موقوف على رجوع الزمان السابق، أو كونه في الزمان اللاحق، وهو ضروري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النقل يشارك الكشف في أنّ المالك مالك في الزمان السابق، وإنّما الفرق بينهما أنّه على الكشف ينكشف أنّ العقد واجد للشرائط من الأوّل بأحد الوجوه المذكورة، وهذا ناقل للملك من حين العقد من هذا الزمان؛ أي يجعله في الزمان السابق مالكاً من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لا يمكن اعتباره إلاّ مع وجود الزمان، وكون المالك والمملوك فيه، واعتبار الزمان أو الزمان الاعتباري لا يفيد؛ لأنّ العقد لم يقع فيه، بل وقع في الزمان الواقعي، وهو غير قابل للإرجاع، ولا يمكن وقوع زمان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لزوم اجتماع النقيضين؛ لأنّ من زمان العقد إلى زمان الإجازة ظرف واحد للمالكية وعدمها، واختلاف ظرف المعتبر أو وجه الاعتبار، لا يوجب اختلاف ظرف ما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لزوم الانقلاب المحال، لا بمعنى انقلاب العقد غير المؤثّر مؤثّراً، حتّى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المؤثّر، العقد بعد الإجازة، أو العقد المستند، وغير المؤثّر هو العقد مجرّداً عنهما، بل بمعنى انقلاب غير المالك مالكاً في ظرف واحد، وزمان واحد، فهل يمكن أن يكون زيد غير مالك لشيء أوّل الظهر، ثمّ ينقلب مالكاً في الظرف الذي ليس مالكاً، مع لزوم اجتماع المالكين، ومع لزوم كون شيء واحد في ظرف واحد مملوكاً لواحد فقط، ومملوكاً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هذا الرأي أشكل وأفسد من سائر الآراء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الفقيه إذا تصدّى لتصحيح عقد، لا بدّ وأن ينظر إلى ما في محيط العقلاء، وإلى الأدلّة العامّة الشرعية الواردة في محيطهم، فصرف تصوّر أمر بأيّ نحو كان، لا يوجب إرجاع الاُمور العقلائية إليه</w:t>
      </w:r>
      <w:r>
        <w:rPr>
          <w:rFonts w:eastAsia="Amiri" w:cs="Amiri" w:ascii="Amiri" w:hAnsi="Amiri"/>
          <w:color w:val="111111"/>
          <w:sz w:val="28"/>
          <w:szCs w:val="28"/>
          <w:rtl w:val="true"/>
          <w:lang w:bidi="ar-SA"/>
        </w:rPr>
        <w:t xml:space="preserve">. </w:t>
      </w:r>
      <w:bookmarkStart w:id="236" w:name="pg15204_140407"/>
    </w:p>
    <w:p>
      <w:pPr>
        <w:pStyle w:val="BookText"/>
        <w:rPr/>
      </w:pPr>
      <w:bookmarkEnd w:id="236"/>
      <w:r>
        <w:rPr>
          <w:rFonts w:ascii="Amiri" w:hAnsi="Amiri" w:eastAsia="Amiri" w:cs="Amiri"/>
          <w:color w:val="111111"/>
          <w:sz w:val="28"/>
          <w:sz w:val="28"/>
          <w:szCs w:val="28"/>
          <w:rtl w:val="true"/>
          <w:lang w:bidi="ar-SA"/>
        </w:rPr>
        <w:t>ولا شكّ في أنّ العقد الباقي عند العقلاء والعرف، يكون بقاؤه الاعتباري نحو بقاء سائر الموجودات، فكما أنّ بقاء زيد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باقٍ من أوّل عمره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 بقاءه محفوف بجميع عوارضه حتّى زمانه، ليكون معناه بقاءه مع زمانه السابق في اللاحق، كذلك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المسبّبي الذي وجد في الزمان السابق، باقٍ إلى الزمان اللاحق، على أن يكون الزمان ظرفاً لا قيداً، وهذا واضح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إيقاع البيع في محيط العقلاء، ليس إلاّ تبديل العوضين إنشاءً من غير نظر إلى الزمان، وإنّما هو من ضروريات وجوده، لا من قيوده، فعليه تكون الإجازة ملحقة به، ويتمّ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إشكال فيه؛ لمساعدة العرف والعقلاء عليه، وموافقته للقواعد الشرعية، بل لو قيّد عقده بالزمان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القيد إلاّ قيداً للإيقاع؛ إذ لا معنى للبيع المتقيّد بالزمان، ولو قيّده وقع لاغياً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القيد المزبور لا يوجب رفع الإشكالات العقلية المتقدّمة؛ إذ لا تأثير للعقد مجرّداً عن الإجازة، وإنّما الأثر بعدها، فتأتي الإشكالات العقلية، ومعه لا بدّ إمّا من الالتزام بلغوية التقييد، أو لغوية أصل العقد المقيّد</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758818_2142443653"/>
      <w:bookmarkStart w:id="238" w:name="_Toc85"/>
      <w:bookmarkEnd w:id="237"/>
      <w:r>
        <w:rPr>
          <w:rtl w:val="true"/>
        </w:rPr>
        <w:t>بيان المحقّق النائيني لكون الكشف الحكمي على مقتضى القاعدة</w:t>
      </w:r>
      <w:bookmarkEnd w:id="2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ظهر ما في إفادات بعض أعاظم العصر رحمه الله علیه؛ من أنّ الإجازة ليست كالقبض، بل هي صورة للمادّة المتحقّقة، وإنفاذ من المالك لما سبق، كإنفاذ الحاكم حكم مجتهد آخر، فما يمكن ترتيبه من السابق بإنفاذ المالك يجب ترتيبه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واسطة بين الكشف الحقيقي والنقل، وهو الكشف الحكمي الموافق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لمّا كانت إنفاذاً لما سبق، فمن جهة أنّ السبب التامّ للنقل لا يتحقّق بدونها، فهي ناقلة، ومن حيث إنّها إنفاذ، يجب من حين الإجازة ترتيب الآثار التي لها اعتبار وجود حين الإجازة من حين العقد، فهي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التفكيك بين الملك وآثاره من النماء والمنافع، فالملكية لا يمكن تحقّقها قبل الإجازة، وليس لها اعتبار وجود في الحال، بخلاف المنافع فإنّه يمكن تحقّقها من قبل؛ لأنّ لها اعتبار وجود في الحال باعتبار تعلّق الضمان بها، فلو أجاز المالك استيفاء المنافع لمستوفيها، تسقط اُجرتها وضمانها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اعتبار التأخّر في المملوك مع عدم إمكان تأخّر الملك كما في الإجارة، كذا يمكن اعتبار التقدّم فيه، فإذا تحقّقت الإجازة فالنقل وإن حصل حينها، إلاّ أنّ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من قبل، وهذا كشف حكمي؛ أي نقل حقيقي مع ترتيب الآثار السابقة التي أمكن ترتيبها على العقد بوصف السبق</w:t>
      </w:r>
      <w:r>
        <w:rPr>
          <w:rStyle w:val="FootnoteAnchor"/>
          <w:rtl w:val="true"/>
        </w:rPr>
        <w:footnoteReference w:id="457"/>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اضطراب، ولم يتّضح أنّ مراده من التفكيك هل هو التفكيك الواقعي؛ بمعنى أنّ الإجازة لم تؤثّر في ملك العين من الأوّل، بل ناقلة بالنسبة إليه في الحال، وتؤثّر في ملك المنافع والنماءات من الأوّل؛ أي بعد الإجازة </w:t>
      </w:r>
    </w:p>
    <w:p>
      <w:pPr>
        <w:pStyle w:val="BookText"/>
        <w:rPr/>
      </w:pPr>
      <w:r>
        <w:rPr>
          <w:rFonts w:ascii="Amiri" w:hAnsi="Amiri" w:eastAsia="Amiri" w:cs="Amiri"/>
          <w:color w:val="111111"/>
          <w:sz w:val="28"/>
          <w:sz w:val="28"/>
          <w:szCs w:val="28"/>
          <w:rtl w:val="true"/>
          <w:lang w:bidi="ar-SA"/>
        </w:rPr>
        <w:t>صارت المنافع ملكاً له من الأوّل؛ لأنّ اعتبار الملكية فيها له آثار، دون ملكية العين، كما هو ظاهر بعض تعبيراته، كتشبيه المقام بالإجارة، والتصريح بعدم الفرق بين المنافع المتأخّرة والمتقدّمة؟</w:t>
      </w:r>
    </w:p>
    <w:p>
      <w:pPr>
        <w:pStyle w:val="BookText"/>
        <w:rPr/>
      </w:pPr>
      <w:r>
        <w:rPr>
          <w:rFonts w:ascii="Amiri" w:hAnsi="Amiri" w:eastAsia="Amiri" w:cs="Amiri"/>
          <w:color w:val="111111"/>
          <w:sz w:val="28"/>
          <w:sz w:val="28"/>
          <w:szCs w:val="28"/>
          <w:rtl w:val="true"/>
          <w:lang w:bidi="ar-SA"/>
        </w:rPr>
        <w:t>أو مراده التفكيك تعبّداً، فذهب إلى حصول الملكية بالنسبة إلى العين في الحال، وترتيب آثار الملكية بالنسبة إلى المنافع والنماءات من الأوّل؟</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مضافاً إلى الإشكالات العقلية المتقدّمة</w:t>
      </w:r>
      <w:r>
        <w:rPr>
          <w:rStyle w:val="FootnoteAnchor"/>
          <w:rtl w:val="true"/>
        </w:rPr>
        <w:footnoteReference w:id="458"/>
      </w:r>
      <w:r>
        <w:rPr>
          <w:rFonts w:ascii="Amiri" w:hAnsi="Amiri" w:eastAsia="Amiri" w:cs="Amiri"/>
          <w:color w:val="111111"/>
          <w:sz w:val="28"/>
          <w:sz w:val="28"/>
          <w:szCs w:val="28"/>
          <w:rtl w:val="true"/>
          <w:lang w:bidi="ar-SA"/>
        </w:rPr>
        <w:t>بالنسبة إلى المنافع والنماءات، كانقلاب اللا ضمان إلى الضمان من الأوّل، وسائر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التعبير بالمادّة والصورة لم يتّضح وجهه، فإن كان الوجه هو عدم مؤثّرية العقد إلاّ بها، فهذا موجود في القبض، بل أولى فيه؛ لأنّه الجزء الأخير للسبب،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مترتّب عليه، وأمّا الإجازة فصرف كونها إنفاذاً للعقد،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الوجه أنّ العقد يصير عقداً بالإجازة، فهو كما ترى، ولعلّه تفنّن في العبارة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يكون مضمونه إلاّ تبديل العوضين، والمنافع والنماءات خارجة عن مضمون العقد، وإنّما تصير ملكاً لمالك العين؛ لتبعيتها لها، لا لأصالتها في النقل،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فإنفاذ العقد إن أمكن بما رامه، وقع مضمونه من الأوّل على فرض تسليم ما ذكره، وإلاّ وقع لغواً، ولا معنى للتفكيك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وجود الأثر لو كان يصحّح الملكية من الأوّل، لكان لملكية العين من الأوّل أثر، وهو ملكية المنافع، والنماءات بتبعها، وإيجاب الضمان من الأوّل مع الغضّ عن الإشكال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على هذا الفرض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لمّا كانت إنفاذاً لمضمون العقد، وقع صحيحاً من الأوّل، وأثره ملكية العين، وملكية النماءات والمنافع تبعاً، والضمان على فرض الاستيفاء والتلف، بل ضمان العين أيضاً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للملكية السابقة اعتبار وجود في الحال بخلاف ملكية المنافع،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الإشكال في الاحتمال الثاني؛ فإنّ وجه البناء التعبّدي على ترتيب آثار الملكية في النماءات والمنافع، ليس كون الإجازة إنفاذاً للعقد، بل لو كان الإنفاذ موجباً للتعبّد على طبقه، لا بدّ من القول بتعبّد ترتيب آثار ملكية العين لا المنافع؛ لأنّ الإنفاذ غير مربوط بها، فالتعبّد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للإنفاذ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يتّضح أنّ التعبّد بترتيب الآثار، هل هو تعبّد عقلائي أو شرعي؟</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بل التعبّد بما ذكر ليس في بناء العقلاء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لأنّ العقد بمضمونه إن أمكن إنفاذه بالعمومات، فلا وجه للتفكيك، وإلاّ وقع باطلاً من رأسه، فلا معنى للتفكيك </w:t>
      </w:r>
    </w:p>
    <w:p>
      <w:pPr>
        <w:pStyle w:val="BookText"/>
        <w:rPr/>
      </w:pPr>
      <w:r>
        <w:rPr>
          <w:rFonts w:ascii="Amiri" w:hAnsi="Amiri" w:eastAsia="Amiri" w:cs="Amiri"/>
          <w:color w:val="111111"/>
          <w:sz w:val="28"/>
          <w:sz w:val="28"/>
          <w:szCs w:val="28"/>
          <w:rtl w:val="true"/>
          <w:lang w:bidi="ar-SA"/>
        </w:rPr>
        <w:t>أيضاً، فظهر أنّ دعوى كون ذلك موافقاً للقاعدة،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كلامه مواقع للنظر، كدعوى عدم الفرق بين المنافع اللاحقة والسابقة، مع أنّ الإشكالات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كالانقلاب، والجمع بين المالكين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في اللاحقة؛ لعدم مضيّ الزمان، وإمكان نقل الزماني قبل تحقّق زمانه، بخلاف ما مضى زمانه ووقع فيه على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المالك استيفاء المنافع لمستوفي المنفعة، تسقط اُجرتها وضمانها، فإنّه إن كان المراد أنّ الإجازة كناية عن إسقاطها، فهو 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الإجازة توجب حصول الملكية حال الإتلاف، فلا معنى لإسقاط الضمان، بل لازمه عدم ثبوته، مع أنّه فاسد، وترد عليه الإشكالات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الإجازة لا تصلح للتمليك من غير سبق عقد، مع عدم معنىً لملكية التالف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وكتنظير المقام بإنفاذ الحاكم حكم مجتهد آخر، فإنّ حكم الحاكم نافذ، أنفذه المجتهد أو لا، فإنفاذ الثاني كاشف عن نفوذ الأوّل حال حكمه، ولو مثّل له بإنفاذ المجتهد حكم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لكنّه أيضاً غير متّجه في غير متّجه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النظر فيما ذكره في آخرة البحث،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الحكمي موافق للقاعدة؛ للفرق بين الاُمور المتأخّرة الدخيلة في المتقدّم، فإنّها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كالقبض في الصرف، والسلم، والهبة، والوقف، ونحوه، فيتوقّف فيه تأثير العقد على وجوده، ولا مجال لتوهّم الكشف فيه، سواء كان جزء المؤثّر، كالقبض في الصرف، والسلم، أو شرط الصحّة، كالقبض في الرهن، والهبة،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كالإجازة من المالك والمرتهن ونحوهما، فحيث إنّه ناظر إلى تنفيذ ما وقع سابقاً، فيوجب تأثيره فيما سبق بالنسبة إلى ما يمكن أن يتعلّق به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الزكاة بعد بيع الزكوي، وإبراء الدين من المرتهن، وفكّ الراهن الرهانة، وهذا أيضاً كالثاني بحكم العقلاء؛ فإنّهم يرون الأمر الذي يصير موضوعاً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عنوان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الموضوع، والآثار تترتّب عليه من الأوّل، والمتأخّر واسطة في الثبوت، والأدلّة إمضاء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يختصّ بما إذا كان السابق تمام الموضوع بالنسبة إلى الآثار، كالنماء والمنافع، فبالإجازة ينكشف تحقّق حرّية الولد من قبل، لكنّه لا ينكشف بها أنّ وط‌ء الزوجة التي عقد عليها الفضولي، زناء بذات البعل، ولا تحقّق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ترتيب الآثار من قبل إنّما هو بالنسبة إلى الآثار التي لها اعتبار بقاء في زمان الإجازة لا غيرها، ولا نفس المنشأ </w:t>
      </w:r>
      <w:r>
        <w:rPr>
          <w:rStyle w:val="FootnoteAnchor"/>
          <w:rtl w:val="true"/>
        </w:rPr>
        <w:footnoteReference w:id="459"/>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ما فيه من الإشكالات العقلية</w:t>
      </w:r>
      <w:r>
        <w:rPr>
          <w:rStyle w:val="FootnoteAnchor"/>
          <w:rtl w:val="true"/>
        </w:rPr>
        <w:footnoteReference w:id="460"/>
      </w:r>
      <w:r>
        <w:rPr>
          <w:rFonts w:ascii="Amiri" w:hAnsi="Amiri" w:eastAsia="Amiri" w:cs="Amiri"/>
          <w:color w:val="111111"/>
          <w:sz w:val="28"/>
          <w:sz w:val="28"/>
          <w:szCs w:val="28"/>
          <w:rtl w:val="true"/>
          <w:lang w:bidi="ar-SA"/>
        </w:rPr>
        <w:t>، ويرد عليه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 النظر في تفريقه بين القبض في الصرف والسلم، فجعله جزء السبب، </w:t>
      </w:r>
    </w:p>
    <w:p>
      <w:pPr>
        <w:pStyle w:val="BookText"/>
        <w:rPr/>
      </w:pPr>
      <w:r>
        <w:rPr>
          <w:rFonts w:ascii="Amiri" w:hAnsi="Amiri" w:eastAsia="Amiri" w:cs="Amiri"/>
          <w:color w:val="111111"/>
          <w:sz w:val="28"/>
          <w:sz w:val="28"/>
          <w:szCs w:val="28"/>
          <w:rtl w:val="true"/>
          <w:lang w:bidi="ar-SA"/>
        </w:rPr>
        <w:t>وبينه في الرهن والهبة والوقف، فجعله شرط الصحّة؛ ضرورة عدم الفرق بينهما نصّاً وفتوى، بل القبض في الجميع شرط عند الاعتبار، ولا دليل على هذا الفرق،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ما في دعوى عدم مجال توهّم الكشف فيه، مع أنّه أولى بتوهّمه من القسم الثالث كما لا يخفى،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الكشف في السلم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ومضافاً إلى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إنفاذ لما سلف؛ لما عرفت من الإشكالات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سلف نفسه باقٍ، لا بما أنّه سلف، ومقتضى بقائه في الحال هو النقل،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الوجه في تفكيك مضمون العقد والمنافع والنماءات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أن لا معنى لإنفاذ المنافع والنماءات رأساً، إلاّ أن يرجع إلى ترتيب آثار وجود العقد بالنسبة إليهما، وعدم ترتيب آثاره بذاته،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باطل، لا يرضى به أحد، فضلاً عن كونه موافقاً لقواعد العقلاء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الجمع بين إيجاب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بمضمونه الذي هو تبديل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التعبّد بترتيب الآثار حتّى الإمكان، جمع بين المتنافيين، ولا يمكن الجمع بينهما بدليل واحد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يظهر النظر في كلام الشيخ الأعظم قدّس سرّه، حيث ذهب إلى اقتضاء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على الفرض الثالث لا بدّ من القول بالبطلان رأساً؛ لعدم إمكان الجمع بين إنفاذ المعاملات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تعبّداً بترتيب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بطلان التفكيك بين حرّية الولد في مسألة الوليدة، وبين كون الوط‌ء زناءً بذات البعل ونفس الزوجية؛ لأنّ لكلّ منها أثراً حال الإجازة، وأثر الثاني الحرمة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أفاده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دخالة المتأخّر من قبيل الواسطة في الثبوت عند العقلاء</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لأنّ الشيء المتأخّر كالإجازة، إذا كان دخيلاً بنظر العقلاء، يكون الموضوع هو العقد مع هذا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الموضوع هو ذات المتقدّم، والعنوان المتأخّر واسطة في الثبوت، لا عين لها ولا أثر في سوق العقلاء، وإنّما هو أمر أبداه أصحاب البحث؛ حرصاً على تطبيق القواعد على ما لا يكون موافقاً 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بالضعف، الأمثلة التي جعلها من هذا القبيل، كإخراج الزكاة بعد بيع الزكوي؛ فإنّه لا ينطبق على مدّعاه، مع فساده في نفسه؛ ضرورة أنّ العين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مشتركة بين صاحب المال وأرباب الزكاة بالإشاعة كما هو الأظهر</w:t>
      </w:r>
      <w:r>
        <w:rPr>
          <w:rFonts w:eastAsia="Amiri" w:cs="Amiri" w:ascii="Amiri" w:hAnsi="Amiri"/>
          <w:color w:val="111111"/>
          <w:sz w:val="28"/>
          <w:szCs w:val="28"/>
          <w:rtl w:val="true"/>
          <w:lang w:bidi="ar-SA"/>
        </w:rPr>
        <w:t xml:space="preserve">. </w:t>
      </w:r>
      <w:bookmarkStart w:id="239" w:name="pg15204_140415"/>
    </w:p>
    <w:p>
      <w:pPr>
        <w:pStyle w:val="BookText"/>
        <w:rPr/>
      </w:pPr>
      <w:bookmarkEnd w:id="239"/>
      <w:r>
        <w:rPr>
          <w:rFonts w:ascii="Amiri" w:hAnsi="Amiri" w:eastAsia="Amiri" w:cs="Amiri"/>
          <w:color w:val="111111"/>
          <w:sz w:val="28"/>
          <w:sz w:val="28"/>
          <w:szCs w:val="28"/>
          <w:rtl w:val="true"/>
          <w:lang w:bidi="ar-SA"/>
        </w:rPr>
        <w:t>أو متعلّقة لحقّهم؛ بنحو لا يجوز التصرّف إلاّ بعد إخراج الزكاة، وإنّما تتخلّص العين عن الإشاعة أو الحقّ بعد أدائها،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الزكاة موجب لصحّة البيع من الأوّل، وأيّ شيء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الرهن المتعلّق لحقّ الدائن، فإنّه لا يتخلّص عن الحقّ إلاّ بعد سقوط الدين أو فكّ الرهن، ولا معنى لعدم كونه رهناً من الأوّل؛ أي حال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بعض أنظار اُخر تركناها،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تمام الموضوع بالنسبة إلى المنافع والنماءات، وقد مرّ بعضها </w:t>
      </w:r>
      <w:r>
        <w:rPr>
          <w:rStyle w:val="FootnoteAnchor"/>
          <w:rtl w:val="true"/>
        </w:rPr>
        <w:footnoteReference w:id="46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رحمه الله علیه لا ينطبق على قواعد عقلائية، ولا يمكن تصحيحه بالأدلّة العامّة، والقواعد الشرعية</w:t>
      </w:r>
      <w:r>
        <w:rPr>
          <w:rFonts w:eastAsia="IRNazanin" w:cs="IRNazanin"/>
          <w:color w:val="111111"/>
          <w:sz w:val="28"/>
          <w:szCs w:val="28"/>
          <w:rtl w:val="true"/>
          <w:lang w:bidi="fa-IR"/>
        </w:rPr>
        <w:t>.</w:t>
      </w:r>
    </w:p>
    <w:p>
      <w:pPr>
        <w:pStyle w:val="Heading6"/>
        <w:numPr>
          <w:ilvl w:val="5"/>
          <w:numId w:val="1"/>
        </w:numPr>
        <w:rPr/>
      </w:pPr>
      <w:bookmarkStart w:id="240" w:name="__RefHeading___Toc2758820_2142443653"/>
      <w:bookmarkStart w:id="241" w:name="_Toc86"/>
      <w:bookmarkEnd w:id="240"/>
      <w:r>
        <w:rPr>
          <w:rtl w:val="true"/>
        </w:rPr>
        <w:t>حول بيان المحقّقين الخراساني والأصفهاني في المقام</w:t>
      </w:r>
      <w:bookmarkEnd w:id="24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تقدّم إلى هاهنا، يظهر النظر في إفادات المحقّق الخراساني قدّس سرّه في المقام وتلميذه المدقّق، حيث ذهبا إلى أنّ الملكية لو كانت اعتبارية، فلا استحالة في الانقلاب؛ فإنّه من قبيل الانقلاب بحسب العنوان، فلا مانع من اعتبار الملكية للمالك الأصلي إلى حال الإجازة، واعتبارها بعينها في السابق حال الإجازة لمن عقد له الفضولي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مرّ بطلان ذلك</w:t>
      </w:r>
      <w:r>
        <w:rPr>
          <w:rStyle w:val="FootnoteAnchor"/>
          <w:rtl w:val="true"/>
        </w:rPr>
        <w:footnoteReference w:id="467"/>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الملكية في الزمان الذي مضى، واستيفاء المنافع الماضية من ملكه، لا يعقل تبديلهما من الزمان الشخصي الماضي؛ فإنّه انقلاب محال، ويرجع إلى سلب ما ثبت حال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يصدق أنّه لم يكن مالكاً في الماضي بعد الإجازة،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كون الملكية اعتبارية، لا يدفع الاستحالة؛ ضرورة أنّ اجتماع الاعتبار التصديقي، مع عدم الاعتبار التصديقي، أو اعتبار العدم تصديقياً في زمان شخصي واحد، لا يعقل، والزمان غير قابل للرجوع، وكلّي المنافع غير قابل للتحقّق بعد عدمه ومضيّ الزمان عليه، وقياس الماضي بالمستقبل مع الفارق، كما أومأنا إليه سالفاً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من زمان الإجازة لا مانع منه عقلاً، ولا عرفاً، ولا شرعاً؛ فإنّ العقد المسبّبي باقٍ عرفاً إلى زمان الإجازة، ولحوقها به موجب لإتمامه، ومضمونه ليس إلاّ النقل، فيحصل ذلك بالإجازة من حينها بعد امتناع النقل من الأوّل، حتّى في باب الإجارة التي مضى مقدار من مدّتها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 الإجارة والعقد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يساعد العرف والشرع على التحليل </w:t>
      </w:r>
      <w:bookmarkStart w:id="242" w:name="pg15204_140417"/>
    </w:p>
    <w:p>
      <w:pPr>
        <w:pStyle w:val="BookText"/>
        <w:rPr/>
      </w:pPr>
      <w:bookmarkEnd w:id="242"/>
      <w:r>
        <w:rPr>
          <w:rFonts w:ascii="Amiri" w:hAnsi="Amiri" w:eastAsia="Amiri" w:cs="Amiri"/>
          <w:color w:val="111111"/>
          <w:sz w:val="28"/>
          <w:sz w:val="28"/>
          <w:szCs w:val="28"/>
          <w:rtl w:val="true"/>
          <w:lang w:bidi="ar-SA"/>
        </w:rPr>
        <w:t>بحسب الأزمان، ولازمه الصحّة بالنسبة إلى ما بقي من المدّة، أو لا يساعدا، فلا بدّ من الحكم بالبطلان، هذا كلّه بحسب القواعد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758822_2142443653"/>
      <w:bookmarkStart w:id="244" w:name="_Toc87"/>
      <w:bookmarkEnd w:id="243"/>
      <w:r>
        <w:rPr>
          <w:rtl w:val="true"/>
        </w:rPr>
        <w:t>حول مقتضى الأخبار</w:t>
      </w:r>
      <w:bookmarkEnd w:id="244"/>
    </w:p>
    <w:p>
      <w:pPr>
        <w:pStyle w:val="Heading6"/>
        <w:numPr>
          <w:ilvl w:val="5"/>
          <w:numId w:val="1"/>
        </w:numPr>
        <w:rPr/>
      </w:pPr>
      <w:bookmarkStart w:id="245" w:name="__RefHeading___Toc2758824_2142443653"/>
      <w:bookmarkStart w:id="246" w:name="_Toc88"/>
      <w:bookmarkEnd w:id="245"/>
      <w:r>
        <w:rPr>
          <w:rtl w:val="true"/>
        </w:rPr>
        <w:t>إشارة</w:t>
      </w:r>
      <w:bookmarkEnd w:id="246"/>
    </w:p>
    <w:p>
      <w:pPr>
        <w:pStyle w:val="BookText"/>
        <w:rPr/>
      </w:pPr>
      <w:r>
        <w:rPr>
          <w:rFonts w:ascii="Amiri" w:hAnsi="Amiri" w:eastAsia="Amiri" w:cs="Amiri"/>
          <w:color w:val="111111"/>
          <w:sz w:val="28"/>
          <w:sz w:val="28"/>
          <w:szCs w:val="28"/>
          <w:rtl w:val="true"/>
          <w:lang w:bidi="ar-SA"/>
        </w:rPr>
        <w:t>وأمّا الأخبار، فقد تسالموا ظاهراً على دلالة صحيحتي محمّد بن قيس والحذّاء على الكشف، على اختلافهم في معناه</w:t>
      </w:r>
      <w:r>
        <w:rPr>
          <w:rStyle w:val="FootnoteAnchor"/>
          <w:rtl w:val="true"/>
        </w:rPr>
        <w:footnoteReference w:id="469"/>
      </w:r>
      <w:r>
        <w:rPr>
          <w:rFonts w:ascii="Amiri" w:hAnsi="Amiri" w:eastAsia="Amiri" w:cs="Amiri"/>
          <w:color w:val="111111"/>
          <w:sz w:val="28"/>
          <w:sz w:val="28"/>
          <w:szCs w:val="28"/>
          <w:rtl w:val="true"/>
          <w:lang w:bidi="ar-SA"/>
        </w:rPr>
        <w:t>، وفي دلالتهما نظر، ولا بدّ من نقلهما ليتّضح الحال</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2758826_2142443653"/>
      <w:bookmarkStart w:id="248" w:name="_Toc89"/>
      <w:bookmarkEnd w:id="247"/>
      <w:r>
        <w:rPr>
          <w:rtl w:val="true"/>
        </w:rPr>
        <w:t>الاستدلال بصحيحة محمّد بن قيس على الكشف</w:t>
      </w:r>
      <w:bookmarkEnd w:id="248"/>
    </w:p>
    <w:p>
      <w:pPr>
        <w:pStyle w:val="BookText"/>
        <w:rPr/>
      </w:pPr>
      <w:r>
        <w:rPr>
          <w:rFonts w:ascii="IRNazanin" w:hAnsi="IRNazanin" w:eastAsia="IRNazanin"/>
          <w:color w:val="111111"/>
          <w:sz w:val="28"/>
          <w:sz w:val="28"/>
          <w:szCs w:val="28"/>
          <w:rtl w:val="true"/>
          <w:lang w:bidi="fa-IR"/>
        </w:rPr>
        <w:t xml:space="preserve">روى المشايخ قدّست أسرارهم، بإسنادهم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الكليني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وليدة باعها ابن سيّدها وأبوه غائب، فاشتراها رجل، فولدت منه غلاماً، ثمّ قدم سيّدها الأوّل، فخاصم سيّدها الأخير،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وليدتي، باعها ابني بغير إذني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وابنها، فناشده المشتري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باع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لك ما 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البيّع 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اُرسل ابنك حتّى ترسل ابني، فلمّا رأى ذلك سيّد الوليدة الأوّل أجاز بيع ابنه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مقتضاها تحرير الابن من السابق، فالإجازة أثّرت في صحّة البيع من الأوّل، وولادة الولد في ملك المشتري الحرّ، فصار حرّاً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كان شبهة، والولد لحق بأبيه، وولد الحرّ لا يملك، كما نصّت عليه موثّقة سماعة</w:t>
      </w:r>
      <w:r>
        <w:rPr>
          <w:rStyle w:val="FootnoteAnchor"/>
          <w:rtl w:val="true"/>
        </w:rPr>
        <w:footnoteReference w:id="472"/>
      </w:r>
      <w:r>
        <w:rPr>
          <w:rFonts w:ascii="Amiri" w:hAnsi="Amiri" w:eastAsia="Amiri" w:cs="Amiri"/>
          <w:color w:val="111111"/>
          <w:sz w:val="28"/>
          <w:sz w:val="28"/>
          <w:szCs w:val="28"/>
          <w:rtl w:val="true"/>
          <w:lang w:bidi="ar-SA"/>
        </w:rPr>
        <w:t>وهو ظاهر سائر الروايات في الباب، فالحكم هو حرّية الابن، ولزوم ردّ القيمة، سواء أجاز البيع أم 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عدم أداء قيمة الولد، وهو دالّ على الكشف ولو حكماً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عدم أخذ قيمة الخدمة واللبن، وهو دليل الكشف</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الاستفادة إنّما هي من السكوت لو كان في مقام البيان، ولا يخفى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مقام بيان خصوصيات القضيّة، ولهذا لم يذكر كيفية المخاصمة وكيفية فصلها؛ ضرورة أنّه بمجرّد قول المدّعي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وليدتي باعها ابني بغير إذني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شرعاً، ولا في مقام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 وردّ ابنها إلى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والناظر في الرواية يرى أنّه علیه السلام بصدد بيان مجرّد أنّ الإجازة بعد المخاصمة صحيحة موجبة للنفوذ، وأمّا أنّه تثبت بعد الإجازة على الرجل قيمة الولد، أو قيمة المنافع، فلا يكون بصدد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القضيّة شخصية لم تتّضح 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الإجازة دخيلة في ردّ الولد، فاسد؛ لأنّ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سيّدها الأوّل لم يرض بأداء دين ابنه إلى المشتري، وكذا ولده؛ لعدم بضاعة لهما، أو لغير ذلك، فيمكن أن تكون إجازته وعدم مطالبته بقيمة الولد والمنافع على فرض الدلالة، في مقابل دين ابنه، فرضيا بسقوط دين بدين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للصحيحة على الكشف كما هو ظاهر</w:t>
      </w:r>
      <w:r>
        <w:rPr>
          <w:rFonts w:eastAsia="Amiri" w:cs="Amiri" w:ascii="Amiri" w:hAnsi="Amiri"/>
          <w:color w:val="111111"/>
          <w:sz w:val="28"/>
          <w:szCs w:val="28"/>
          <w:rtl w:val="true"/>
          <w:lang w:bidi="ar-SA"/>
        </w:rPr>
        <w:t xml:space="preserve">. </w:t>
      </w:r>
      <w:bookmarkStart w:id="249" w:name="pg15204_140420"/>
    </w:p>
    <w:p>
      <w:pPr>
        <w:pStyle w:val="Heading6"/>
        <w:numPr>
          <w:ilvl w:val="5"/>
          <w:numId w:val="1"/>
        </w:numPr>
        <w:rPr/>
      </w:pPr>
      <w:bookmarkStart w:id="250" w:name="__RefHeading___Toc2758828_2142443653"/>
      <w:bookmarkStart w:id="251" w:name="_Toc90"/>
      <w:bookmarkEnd w:id="249"/>
      <w:bookmarkEnd w:id="250"/>
      <w:r>
        <w:rPr>
          <w:rtl w:val="true"/>
        </w:rPr>
        <w:t>الاستدلال بصحيحة الحذّاء على الكشف</w:t>
      </w:r>
      <w:bookmarkEnd w:id="251"/>
    </w:p>
    <w:p>
      <w:pPr>
        <w:pStyle w:val="BookText"/>
        <w:rPr/>
      </w:pPr>
      <w:r>
        <w:rPr>
          <w:rFonts w:ascii="IRNazanin" w:hAnsi="IRNazanin" w:eastAsia="IRNazanin"/>
          <w:color w:val="111111"/>
          <w:sz w:val="28"/>
          <w:sz w:val="28"/>
          <w:szCs w:val="28"/>
          <w:rtl w:val="true"/>
          <w:lang w:bidi="fa-IR"/>
        </w:rPr>
        <w:t>وأمّا 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وجارية، زوّجهما وليّان لهما وهما غير مدركين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أيّهما أدرك كان له الخيار، فإن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النكاح، ثمّ مات قبل أن تدرك الجارية، أترثه؟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يعزل ميراثها منه حتّى تدرك، وتحلف باللّه ما دعاها إلى أخذ الميراث إلاّ رضاها بالتزويج،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بدّ في القول بدلالتها على المقصود من ارتكاب خلاف الظاهر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كحمل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الأولياء العرفيين غير الشرعيين، مع أنّ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والوصيّ على القول بولايته في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الأولياء العرفيين، فالحمل على غير الشرعيين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الفضولي والصحّة التأهّلية، أو الجواز على فرض؛ أي معلّقاً على الإجازة، وهو ارتكاب خلاف ظاهر آخر؛ فإنّ الجائز ظاهر في النفوذ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وكحمل الخيار على اختيار الإجازة والردّ، دون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إلى هاهنا أنّ العقد الصادر من الأولياء هو عقد صحيح فعلي 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عن العقد الفضولي في باب نكاح العبيد والإماء مخالف لما هاهنا، فراجع</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دلّ بعد هذا الظهور على أنّ النكاح الخياري لا إرث فيه ولا مهر، إلاّ أن يدركا ويرضيا، والرضا شائع استعماله في باب الخيارات نصّاً </w:t>
      </w:r>
      <w:r>
        <w:rPr>
          <w:rStyle w:val="FootnoteAnchor"/>
          <w:rtl w:val="true"/>
        </w:rPr>
        <w:footnoteReference w:id="477"/>
      </w:r>
      <w:r>
        <w:rPr>
          <w:rFonts w:ascii="Amiri" w:hAnsi="Amiri" w:eastAsia="Amiri" w:cs="Amiri"/>
          <w:color w:val="111111"/>
          <w:sz w:val="28"/>
          <w:sz w:val="28"/>
          <w:szCs w:val="28"/>
          <w:rtl w:val="true"/>
          <w:lang w:bidi="ar-SA"/>
        </w:rPr>
        <w:t>وفي كلماتهم، فلا ظهور له في الفضولي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 الجواز هاهنا بعد الرضا، </w:t>
      </w:r>
    </w:p>
    <w:p>
      <w:pPr>
        <w:pStyle w:val="BookText"/>
        <w:rPr/>
      </w:pPr>
      <w:r>
        <w:rPr>
          <w:rFonts w:ascii="Amiri" w:hAnsi="Amiri" w:eastAsia="Amiri" w:cs="Amiri"/>
          <w:color w:val="111111"/>
          <w:sz w:val="28"/>
          <w:sz w:val="28"/>
          <w:szCs w:val="28"/>
          <w:rtl w:val="true"/>
          <w:lang w:bidi="ar-SA"/>
        </w:rPr>
        <w:t>غير الجواز في الصدر، فبناءً على الفضولي لا بدّ وأن يحمل على خلاف ظاهره؛ فإنّ ظاهره أنّه نافذ صحيح مطلقاً بعد الرضا، وهو في الفضولي غير معقول، بخلاف الخياري، فإنّ العقد الخياري صحيح، ويصير نافذاً لازماً بعد الرضا بالنسبة إلى الراضي،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يعزل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الظاهر؛ فإنّ الظاهر أنّه إرث فعلاً، لكنّه متزلزل موقوف على رضا الآخر؛ أي سقوط الخيار، والحمل على الإرث معلّقاً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العزل بناءً على الفضولي، على خلاف القواعد، 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لها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لعدم الإرث خيارها، مع أنّه على الفضولي علّته عدم اقتضاء العقد، لا مانعية الخيار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فالصحيحة مع إغماض العين عن الأخبار والفتاوى، ظاهرة في أنّ العقد من الأولياء خياري، وحكمه عدم الإرث والمهر إلاّ بعد لزومه وسقوط الخيار بالرضا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غير الأب من الأولياء، فيكون الحكم في غيره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 يخرج الجدّ أيضاً من الحكم، فتصير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غير الأب والجدّ خياري، حكمه ما ذكر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ظاهرها الذي لا ينبغي أن ينكر، ومجرّد كون ذلك مخالفاً للفتاوى وبعض الروايات، لا يوجب ظهورها في العقد الفضولي، فلا بدّ من رفع اليد عن ظهورها؛ لمخالفتها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الحمل على خلاف الظاهر، ثمّ الذهاب إلى خلاف القواعد المحكمة لأجلها، ثمّ الإسراء إلى باب المعاملات،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في مطلق المعاملات، فلا سبيل إليه؛ لأنّ الأمر دائر بين طرح هذا الظهور، وتأويله والحمل على خلاف الظاهر، ولا حجّة على الثاني حتّى يصحّ معها رفع اليد عن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ذيل صحيحة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لصحيحة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 يزوّج الصبيّة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أبواهما اللذان زوّجاهما فنعم جائز، ولكن لهما الخيار إذا أدركا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معارض لذيل صحيحة الحلبي؛ 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صحيحة ابن مسلم تقدّم؛ لقوّة ظهورها، بعد كون الظهور في صحيحة الحذّاء سياقياً لا لفظياً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الجدّ خلاف الظاهر جدّاً، ولا يكون جمعاً عقلائياً، وإن حمله عليه شيخ الطائفة قدّس سرّه على المحكيّ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52" w:name="pg15204_140424"/>
    </w:p>
    <w:p>
      <w:pPr>
        <w:pStyle w:val="Heading6"/>
        <w:numPr>
          <w:ilvl w:val="5"/>
          <w:numId w:val="1"/>
        </w:numPr>
        <w:rPr/>
      </w:pPr>
      <w:bookmarkStart w:id="253" w:name="__RefHeading___Toc2758830_2142443653"/>
      <w:bookmarkStart w:id="254" w:name="_Toc91"/>
      <w:bookmarkEnd w:id="252"/>
      <w:bookmarkEnd w:id="253"/>
      <w:r>
        <w:rPr>
          <w:rtl w:val="true"/>
        </w:rPr>
        <w:t>الاستدلال بصحيحة الحلبي على الكشف</w:t>
      </w:r>
      <w:bookmarkEnd w:id="254"/>
    </w:p>
    <w:p>
      <w:pPr>
        <w:pStyle w:val="BookText"/>
        <w:rPr/>
      </w:pPr>
      <w:r>
        <w:rPr>
          <w:rFonts w:ascii="IRNazanin" w:hAnsi="IRNazanin" w:eastAsia="IRNazanin"/>
          <w:color w:val="111111"/>
          <w:sz w:val="28"/>
          <w:sz w:val="28"/>
          <w:szCs w:val="28"/>
          <w:rtl w:val="true"/>
          <w:lang w:bidi="fa-IR"/>
        </w:rPr>
        <w:t>وأمّا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له عشر سنين، فيزوّجه أبوه في صغره، أيجوز طلاقه وهو ابن عشر 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تزويجه فهو صحيح، وأمّا طلاقه فينبغي أن تحبس عليه امرأته حتّى يدرك، فيعلم أنّه كان قد طلّق، فإن أقرّ بذلك وأمضاه فهي واحدة بائنة، وهو خاطب من الخطّاب، وإن أنكر ذلك وأبى أن يمضيه فهي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يوقف الميراث حتّى يدرك أيّهما بقي، ثمّ يحلف باللّه ما دعاه إلى أخذ الميراث إلاّ الرضا بالنكاح، ويدفع إليه الميراث</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ظهورها في الكشف؛ فإنّ حبس المرأة عليه للاحتياط في الفروج، وهو لا يتمّ إلاّ على الكشف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اشتمالها على ما يخالفه الأصحاب بلا خلاف</w:t>
      </w:r>
      <w:r>
        <w:rPr>
          <w:rStyle w:val="FootnoteAnchor"/>
          <w:rtl w:val="true"/>
        </w:rPr>
        <w:footnoteReference w:id="482"/>
      </w:r>
      <w:r>
        <w:rPr>
          <w:rFonts w:ascii="Amiri" w:hAnsi="Amiri" w:eastAsia="Amiri" w:cs="Amiri"/>
          <w:color w:val="111111"/>
          <w:sz w:val="28"/>
          <w:sz w:val="28"/>
          <w:szCs w:val="28"/>
          <w:rtl w:val="true"/>
          <w:lang w:bidi="ar-SA"/>
        </w:rPr>
        <w:t xml:space="preserve">، وهو ظهور ذيلها في خيارية العقد إذا صدر من الأب أو فضوليته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أنّ الحكم استحبابي، وهو كما يمكن أن يكون لما ذكر، يمكن أن يكون لمراعاة حال الصغيرة؛ فإنّ الملامسة معها مع كونها في اُهبة الطلاق، نحو نقيصة لها، ربّما تضرّ بحالها في الآتي</w:t>
      </w:r>
      <w:r>
        <w:rPr>
          <w:rFonts w:eastAsia="Amiri" w:cs="Amiri" w:ascii="Amiri" w:hAnsi="Amiri"/>
          <w:color w:val="111111"/>
          <w:sz w:val="28"/>
          <w:szCs w:val="28"/>
          <w:rtl w:val="true"/>
          <w:lang w:bidi="ar-SA"/>
        </w:rPr>
        <w:t xml:space="preserve">. </w:t>
      </w:r>
      <w:bookmarkStart w:id="255" w:name="pg15204_140425"/>
    </w:p>
    <w:p>
      <w:pPr>
        <w:pStyle w:val="BookText"/>
        <w:rPr/>
      </w:pPr>
      <w:bookmarkEnd w:id="255"/>
      <w:r>
        <w:rPr>
          <w:rFonts w:ascii="Amiri" w:hAnsi="Amiri" w:eastAsia="Amiri" w:cs="Amiri"/>
          <w:color w:val="111111"/>
          <w:sz w:val="28"/>
          <w:sz w:val="28"/>
          <w:szCs w:val="28"/>
          <w:rtl w:val="true"/>
          <w:lang w:bidi="ar-SA"/>
        </w:rPr>
        <w:t>بل لو كان الحكم لزومياً أيضاً لم يتّضح أن يكون لهذا أو لذاك، بعد كونه على خلاف الأصل، كشفاً كان أو نقلاً</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758832_2142443653"/>
      <w:bookmarkStart w:id="257" w:name="_Toc92"/>
      <w:bookmarkEnd w:id="256"/>
      <w:r>
        <w:rPr>
          <w:rtl w:val="true"/>
        </w:rPr>
        <w:t>الاستدلال برواية الكناسي على الكشف</w:t>
      </w:r>
      <w:bookmarkEnd w:id="257"/>
    </w:p>
    <w:p>
      <w:pPr>
        <w:pStyle w:val="BookText"/>
        <w:rPr/>
      </w:pPr>
      <w:r>
        <w:rPr>
          <w:rFonts w:ascii="IRNazanin" w:hAnsi="IRNazanin" w:eastAsia="IRNazanin"/>
          <w:color w:val="111111"/>
          <w:sz w:val="28"/>
          <w:sz w:val="28"/>
          <w:szCs w:val="28"/>
          <w:rtl w:val="true"/>
          <w:lang w:bidi="fa-IR"/>
        </w:rPr>
        <w:t xml:space="preserve">وبما ذكرنا يظهر النظر في رواية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طلّقها في تلك الحال، ولم يكن قد أدرك، أيجوز طلاقه؟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مسّها في الفرج فإنّ طلاقها جائز عليها وعليه، وإن لم يمسّها في الفرج، ولم يلذّ منها، ولم تلذّ منه، فإنّها تعزل عنه، وتصير إلى أهلها، فلا يراها ولا تقربه حتّى يدرك، فيسأل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قد طلّقت امرأتك فلانة، فإن هو أقرّ بذلك وأجاز الطلاق كانت تطليقة بائنة، وكان خاطباً من الخطّاب</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فإنّ وجوب العزل وحرمة القرب، يمكن أن يكون لأحد الوجهين المتقدّمين، فلا دلالة لها على الكشف بعد وجود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الاستحباب؛ بقرينة صحيحة الحلبي، وإلاّ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سندها، واشتمالها على اُمور لا نقول بها، كالتفصيل بين الابنة التي جازت تسع سنين وغيرها، فجعل عقد الأب في الاُولى نافذاً غير خياري، وفي الثانية خيارياً، فكانت البالغة أسوأ حالاً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يحمل على خلاف الظاهر؛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بصدد بيان عقد غير البالغة، </w:t>
      </w:r>
      <w:bookmarkStart w:id="258" w:name="pg15204_140426"/>
    </w:p>
    <w:p>
      <w:pPr>
        <w:pStyle w:val="BookText"/>
        <w:rPr/>
      </w:pPr>
      <w:bookmarkEnd w:id="258"/>
      <w:r>
        <w:rPr>
          <w:rFonts w:ascii="Amiri" w:hAnsi="Amiri" w:eastAsia="Amiri" w:cs="Amiri"/>
          <w:color w:val="111111"/>
          <w:sz w:val="28"/>
          <w:sz w:val="28"/>
          <w:szCs w:val="28"/>
          <w:rtl w:val="true"/>
          <w:lang w:bidi="ar-SA"/>
        </w:rPr>
        <w:t xml:space="preserve">مع أنّ أصل خيارية العقد أو فضوليته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التسالم بينهم، بل ادّعي الإجماع على خلافه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وكاشتمالها على خيارية عقد الأب إذا زوّج ابنه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وكالتفصيل بين المرأة التي دخل بها، ولذّ منها، وأقام معها سنة وغيرها، فجعل الخيار للثاني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وكالتفصيل في طلاق الصبيّ بين ما إذا مسّها في الفرج وغيره، فجعل الأوّل جائزاً فعلاً، والثاني منوطاً بإمضائه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 اليد عن القواعد بمثل تلك الروايات مع ما عرفت</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758834_2142443653"/>
      <w:bookmarkStart w:id="260" w:name="_Toc93"/>
      <w:bookmarkEnd w:id="259"/>
      <w:r>
        <w:rPr>
          <w:rtl w:val="true"/>
        </w:rPr>
        <w:t>الاستدلال برواية مسمع على الكشف</w:t>
      </w:r>
      <w:bookmarkEnd w:id="260"/>
    </w:p>
    <w:p>
      <w:pPr>
        <w:pStyle w:val="BookText"/>
        <w:rPr/>
      </w:pPr>
      <w:r>
        <w:rPr>
          <w:rFonts w:ascii="IRNazanin" w:hAnsi="IRNazanin" w:eastAsia="IRNazanin"/>
          <w:color w:val="111111"/>
          <w:sz w:val="28"/>
          <w:sz w:val="28"/>
          <w:szCs w:val="28"/>
          <w:rtl w:val="true"/>
          <w:lang w:bidi="fa-IR"/>
        </w:rPr>
        <w:t>وأمّا رواية مسمع أبي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استودعت رجلاً مالاً فجحدنيه، وحلف 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 ذلك بسنين بالمال الذي كنت استودعته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فخذه، وهذه أربعة آلاف درهم ربحتها في مالك، فهي لك مع مالك، واجعلني في حلّ، فأخذت المال منه، وأبيت أن آخذ الربح، وأوقفت المال الذي كنت استودعته حتّى أستطلع رأيك، فما ترى؟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الربح، وأعطه النصف وأحلّه، إنّ هذا رجل تائب، واللّه يحبّ التوّابين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الكشف؛ لأنّ صحّة المعاملات المترتّبة لا تتمّ إلاّ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تطبيقها على الكشف الحقيقي؛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المعاملات المترتّبة متعقّبة بالإجازة؛ فإنّه يظهر من حال مسمع أنّه أجازها، وإنّما رجع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 بتكليفه، فالشرط المتأخّر حاصل بالنسبة إلى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إجازة الجميع لو فرض انحلالها إلى الكثير، إنّما تنحلّ عرضاً وإن كانت المعاملات المجازة مترتّبة، فتقع الإجازة فيما عدا المعاملة الاُولى إجازة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انحلّت بنحو الترتّب كان وجيهاً، لكن لا موجب لهذا النحو من الانحلال،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الإجازة قبل الملكية، وتكفي في الصحّة الإجازة إذا تعقّبتها الملكية، فالإجازة في مبدأ السلسلة موجبة لصيرورة المبيع ملكاً للمجيز، وبعد ما صار ملكاً له، أثّرت الإجازة المتعقّبة بالمعاملة الثانية في حصول الملكية، فصار الثمن في المعاملة الثانية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آخر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الصحّة على النقل أيضاً، وتطبيق الرواية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انحلّت إلى الإجازات بمقدار المعاملات، فالإجازة في مبدأ السلسلة أثّرت في الملكية، وبوجودها البقائي الانحلالي، أوجبت الصحّة في سائر ما في السلسلة على القول بكفاية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حال مسمع أنّه رضي بالمعاملات، لا أنّه </w:t>
      </w:r>
    </w:p>
    <w:p>
      <w:pPr>
        <w:pStyle w:val="BookText"/>
        <w:rPr/>
      </w:pPr>
      <w:r>
        <w:rPr>
          <w:rFonts w:ascii="IRNazanin" w:hAnsi="IRNazanin" w:eastAsia="IRNazanin"/>
          <w:color w:val="111111"/>
          <w:sz w:val="28"/>
          <w:sz w:val="28"/>
          <w:szCs w:val="28"/>
          <w:rtl w:val="true"/>
          <w:lang w:bidi="fa-IR"/>
        </w:rPr>
        <w:t xml:space="preserve">أجازها؛ لعدم إشارة إلى إنشاء الإجازة، بل الظاهر أنّه رضي بأخذ المال وربحه، وإنّما منعه عن الأخذ عدم علمه بفتوى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فلحوق الرضا بالمعاملة في مبدأ السلسلة، يوجب صحّتها، فصارت السلعة له، وقد بيعت فضولاً، ورضاه فعلاً بالمعاملة الثانية في الآن الثاني يوجب صحّتها، فكلّ معاملة ملحوقة بالرضا بوجوده البقائي، وعلى ذلك أيضاً لا تدلّ الرواية على الكشف، بل حال النقل والكشف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هو المنساق من الرواية؛ من أنّ الربح الذي أتى به ربح التجارة بالمال، وأمّا لو حمل على الربح الحاصل من التجارة وثمرات المال المبتاع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اشترى بالمال بستاناً فيه ثمرات، فباع الثمرات وحصل مقدار من الربح، ثمّ باع البستان وأتى بجميع الربح،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لدلّت على الكشف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احتمل الأمران عند إلقاء السؤال لدلّت عليه أيضاً؛ لترك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انقداح الاحتمال عند خلوّ الذهن؛ فإنّ المنساق منها هو ربح التجارة، ولو لم يحرز الإطلاق أيضاً لم يمكن الاستدلال بها للكشف، مع أنّ الرواية ضعيفة بسنديها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الكلام في روايات المضاربة</w:t>
      </w:r>
      <w:r>
        <w:rPr>
          <w:rStyle w:val="FootnoteAnchor"/>
          <w:rtl w:val="true"/>
        </w:rPr>
        <w:footnoteReference w:id="486"/>
      </w:r>
      <w:r>
        <w:rPr>
          <w:rFonts w:ascii="Amiri" w:hAnsi="Amiri" w:eastAsia="Amiri" w:cs="Amiri"/>
          <w:color w:val="111111"/>
          <w:sz w:val="28"/>
          <w:sz w:val="28"/>
          <w:szCs w:val="28"/>
          <w:rtl w:val="true"/>
          <w:lang w:bidi="ar-SA"/>
        </w:rPr>
        <w:t>والاتّجار بمال اليتيم</w:t>
      </w:r>
      <w:r>
        <w:rPr>
          <w:rStyle w:val="FootnoteAnchor"/>
          <w:rtl w:val="true"/>
        </w:rPr>
        <w:footnoteReference w:id="487"/>
      </w:r>
      <w:r>
        <w:rPr>
          <w:rFonts w:ascii="Amiri" w:hAnsi="Amiri" w:eastAsia="Amiri" w:cs="Amiri"/>
          <w:color w:val="111111"/>
          <w:sz w:val="28"/>
          <w:sz w:val="28"/>
          <w:szCs w:val="28"/>
          <w:rtl w:val="true"/>
          <w:lang w:bidi="ar-SA"/>
        </w:rPr>
        <w:t>، فإنّها على فرض الدلالة على الفضولي، لا دلالة فيها على الكشف</w:t>
      </w:r>
      <w:r>
        <w:rPr>
          <w:rFonts w:eastAsia="Amiri" w:cs="Amiri" w:ascii="Amiri" w:hAnsi="Amiri"/>
          <w:color w:val="111111"/>
          <w:sz w:val="28"/>
          <w:szCs w:val="28"/>
          <w:rtl w:val="true"/>
          <w:lang w:bidi="ar-SA"/>
        </w:rPr>
        <w:t xml:space="preserve">. </w:t>
      </w:r>
      <w:bookmarkStart w:id="261" w:name="pg15204_140429"/>
    </w:p>
    <w:p>
      <w:pPr>
        <w:pStyle w:val="Heading6"/>
        <w:numPr>
          <w:ilvl w:val="5"/>
          <w:numId w:val="1"/>
        </w:numPr>
        <w:rPr/>
      </w:pPr>
      <w:bookmarkStart w:id="262" w:name="__RefHeading___Toc2758836_2142443653"/>
      <w:bookmarkStart w:id="263" w:name="_Toc94"/>
      <w:bookmarkEnd w:id="261"/>
      <w:bookmarkEnd w:id="262"/>
      <w:r>
        <w:rPr>
          <w:rtl w:val="true"/>
        </w:rPr>
        <w:t>الاستدلال برواية البارقي على الكشف</w:t>
      </w:r>
      <w:bookmarkEnd w:id="263"/>
    </w:p>
    <w:p>
      <w:pPr>
        <w:pStyle w:val="BookText"/>
        <w:rPr/>
      </w:pPr>
      <w:r>
        <w:rPr>
          <w:rFonts w:ascii="Amiri" w:hAnsi="Amiri" w:eastAsia="Amiri" w:cs="Amiri"/>
          <w:color w:val="111111"/>
          <w:sz w:val="28"/>
          <w:sz w:val="28"/>
          <w:szCs w:val="28"/>
          <w:rtl w:val="true"/>
          <w:lang w:bidi="ar-SA"/>
        </w:rPr>
        <w:t>وأمّا رواية عروة</w:t>
      </w:r>
      <w:r>
        <w:rPr>
          <w:rStyle w:val="FootnoteAnchor"/>
          <w:rtl w:val="true"/>
        </w:rPr>
        <w:footnoteReference w:id="488"/>
      </w:r>
      <w:r>
        <w:rPr>
          <w:rFonts w:ascii="IRNazanin" w:hAnsi="IRNazanin" w:eastAsia="IRNazanin"/>
          <w:color w:val="111111"/>
          <w:sz w:val="28"/>
          <w:sz w:val="28"/>
          <w:szCs w:val="28"/>
          <w:rtl w:val="true"/>
          <w:lang w:bidi="fa-IR"/>
        </w:rPr>
        <w:t xml:space="preserve">، فدلالتها على الكشف منوطة بأنّ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لعروة، دليل على عدم ارتكابه الحرام، وهو موقوف على الكشف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القول بالكشف أيضاً ارتكب قبيحاً، وتجرّى على مولاه، ولا يمكن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ارتكب فيه القبيح والتجرّي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كان يعلم تعقّب عقده بالإجازة وكاشفيتها، واضح المنع بالنسبة إلى الحكم، ومع عدم علمه كان الارتكاب تجرّياً، فلا بدّ على القولين من ارتكاب تأوّل، 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برضا الأصيل والفضولي زائداً على الرضا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بلحوق الإجازة، وهذا المقدار كافٍ في جواز التصرّف، فلا يفرّق معه بين الكشف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ارتكاب خلاف القواعد بمثل هذه الرواية وهذه الإشعارات</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758838_2142443653"/>
      <w:bookmarkStart w:id="265" w:name="_Toc95"/>
      <w:bookmarkEnd w:id="264"/>
      <w:r>
        <w:rPr>
          <w:rtl w:val="true"/>
        </w:rPr>
        <w:t>دعوى المحقّق الرشتي دلالة روايات تحليل الخمس على الكشف</w:t>
      </w:r>
      <w:bookmarkEnd w:id="2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بعض أهل التحقيق قدّس سرّه ادّعى أنّ روايات تحليل الخمس</w:t>
      </w:r>
      <w:r>
        <w:rPr>
          <w:rStyle w:val="FootnoteAnchor"/>
          <w:rtl w:val="true"/>
        </w:rPr>
        <w:footnoteReference w:id="489"/>
      </w:r>
      <w:r>
        <w:rPr>
          <w:rFonts w:ascii="IRNazanin" w:hAnsi="IRNazanin" w:eastAsia="IRNazanin"/>
          <w:color w:val="111111"/>
          <w:sz w:val="28"/>
          <w:sz w:val="28"/>
          <w:szCs w:val="28"/>
          <w:rtl w:val="true"/>
          <w:lang w:bidi="fa-IR"/>
        </w:rPr>
        <w:t xml:space="preserve">كالصريحة في الكشف؛ فإنّ تحليل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للتصرّفات المتقدّمة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لتصرّفات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وكأنّه رحمه الله علیه لم يراجع حين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وإلاّ لم يبق له شكّ في أنّ قضيّة التحليل سبقت على التصرّفات؛ فإنّ التحليل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بعض الروايات، ومن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وظاهر الأخبار أنّ التحليل من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فيها إشعار بالكشف، فضلاً عن الصراحة أو نحوها، 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رواية أبي بصير، وزرارة،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لم 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بصدد إنشاء الحلّ، بل لا يبعد أن يكون إخباراً بالحلّ السابق من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يظهر الكلام في جميع ما هو بهذا المضمون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الكشف، كما أنّ الشهرة على فرضها حصلت من الاجتهاد في الروايات، ومثل هذه غير حجّة، والاحتياط مطلوب</w:t>
      </w:r>
      <w:r>
        <w:rPr>
          <w:rFonts w:eastAsia="Amiri" w:cs="Amiri" w:ascii="Amiri" w:hAnsi="Amiri"/>
          <w:color w:val="111111"/>
          <w:sz w:val="28"/>
          <w:szCs w:val="28"/>
          <w:rtl w:val="true"/>
          <w:lang w:bidi="ar-SA"/>
        </w:rPr>
        <w:t xml:space="preserve">. </w:t>
      </w:r>
      <w:bookmarkStart w:id="266" w:name="pg15204_140431"/>
    </w:p>
    <w:p>
      <w:pPr>
        <w:pStyle w:val="Heading5"/>
        <w:numPr>
          <w:ilvl w:val="4"/>
          <w:numId w:val="1"/>
        </w:numPr>
        <w:rPr/>
      </w:pPr>
      <w:bookmarkStart w:id="267" w:name="__RefHeading___Toc2758840_2142443653"/>
      <w:bookmarkStart w:id="268" w:name="_Toc96"/>
      <w:bookmarkEnd w:id="266"/>
      <w:bookmarkEnd w:id="267"/>
      <w:r>
        <w:rPr>
          <w:rtl w:val="true"/>
        </w:rPr>
        <w:t>ثمرة النزاع بين الكشف بأنواعه والنقل</w:t>
      </w:r>
      <w:bookmarkEnd w:id="268"/>
    </w:p>
    <w:p>
      <w:pPr>
        <w:pStyle w:val="Heading6"/>
        <w:numPr>
          <w:ilvl w:val="5"/>
          <w:numId w:val="1"/>
        </w:numPr>
        <w:rPr/>
      </w:pPr>
      <w:bookmarkStart w:id="269" w:name="__RefHeading___Toc2758842_2142443653"/>
      <w:bookmarkStart w:id="270" w:name="_Toc97"/>
      <w:bookmarkEnd w:id="269"/>
      <w:r>
        <w:rPr>
          <w:rtl w:val="true"/>
        </w:rPr>
        <w:t>معنی الکشف وأقسامه</w:t>
      </w:r>
      <w:bookmarkEnd w:id="270"/>
    </w:p>
    <w:p>
      <w:pPr>
        <w:pStyle w:val="BookText"/>
        <w:rPr/>
      </w:pPr>
      <w:r>
        <w:rPr>
          <w:rFonts w:ascii="Amiri" w:hAnsi="Amiri" w:eastAsia="Amiri" w:cs="Amiri"/>
          <w:color w:val="111111"/>
          <w:sz w:val="28"/>
          <w:sz w:val="28"/>
          <w:szCs w:val="28"/>
          <w:rtl w:val="true"/>
          <w:lang w:bidi="ar-SA"/>
        </w:rPr>
        <w:t>بقي الكلام في ثمرة النزاع بين الكشف الحقيقي والحكمي والتعبّدي، وبينها وبين النقل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الكشف عن تأثير العقد من حين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وإن كانت المباني في تصوّره وتحقيقه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العقد تمام الموضوع</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التعقّب بالإجازة شرط، وهو حاصل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ستلحقه الإجازة موضوع التأثير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نفس المتقدّم بالذات تبعاً للزمان موضوع</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الإجازة شرط، والإضافة إليها حاصلة قبل تحقّقها، والموضوع حصّة مضافة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اللحاظ شرط، وهو مقارن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الإجازة كاشفة عن الرضا التقديري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الكشف الحكمي أمر واحد، والمباني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تنفيذ لمضمون العقد الموجود في زمن سابق، فتوجب انقلاب الواقع من حال الإجازة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انقلاب العنوان من أوّل الأمر، ويلزم منه الانتقال من أوّل الأمر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بعد وجودها مؤثّرة،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لا يحصل إلاّ بعد وجودها، وبعده يكون الموصوف مؤثّراً من الأوّل، لكان الكشف حكمياً انقلابياً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والكشف التعبّدي يلحق بالكشف الحقيقي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التعبّد العقد حال وجوده، إذا كان ممّا تتعقّبه الإجازة، وكان التعبّد في جميع الآثار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 في بعض الآثار إذا كان التعبّد في البعض، وبالكشف الحكمي الانقلابي لو قلنا بأنّ موضوع التعبّد الإجازة، أو العقد بعد الإجازة خارجاً، </w:t>
      </w:r>
      <w:bookmarkStart w:id="271" w:name="pg15204_140433"/>
    </w:p>
    <w:p>
      <w:pPr>
        <w:pStyle w:val="BookText"/>
        <w:rPr/>
      </w:pPr>
      <w:bookmarkEnd w:id="271"/>
      <w:r>
        <w:rPr>
          <w:rFonts w:ascii="Amiri" w:hAnsi="Amiri" w:eastAsia="Amiri" w:cs="Amiri"/>
          <w:color w:val="111111"/>
          <w:sz w:val="28"/>
          <w:sz w:val="28"/>
          <w:szCs w:val="28"/>
          <w:rtl w:val="true"/>
          <w:lang w:bidi="ar-SA"/>
        </w:rPr>
        <w:t>فتعبّدنا الشارع حال الإجازة بترتيب الآثار جميعاً أو بعضاً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فالمحتملات في الحقيقة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حقيقي، وكشف حكمي، وكشف تعبّدي، ومع إلحاق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احتماليه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بالحقيقي، وبالآخر بالحكمي، يكون المحتمل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فعله بعضهم من تكثير الأقسام؛ بجعل مباني الاحتمال الواحد موجباً للتكثير</w:t>
      </w:r>
      <w:r>
        <w:rPr>
          <w:rStyle w:val="FootnoteAnchor"/>
          <w:rtl w:val="true"/>
        </w:rPr>
        <w:footnoteReference w:id="501"/>
      </w:r>
      <w:r>
        <w:rPr>
          <w:rFonts w:ascii="Amiri" w:hAnsi="Amiri" w:eastAsia="Amiri" w:cs="Amiri"/>
          <w:color w:val="111111"/>
          <w:sz w:val="28"/>
          <w:sz w:val="28"/>
          <w:szCs w:val="28"/>
          <w:rtl w:val="true"/>
          <w:lang w:bidi="ar-SA"/>
        </w:rPr>
        <w:t>، لا وقع له، مع أنّه لو كان كذلك، لم تنحصر الاحتمالات بخمسة عشر، بل ربّما تزيد على مائة وثلاثين، بل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ملاحظة الثمرة بين الكشف الحقيقي وما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التعبّدي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الكشف الحكمي وما في حكمه؛ أي التعبّدي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هاهنا مع الغضّ عمّا سيأتي</w:t>
      </w:r>
      <w:r>
        <w:rPr>
          <w:rStyle w:val="FootnoteAnchor"/>
          <w:rtl w:val="true"/>
        </w:rPr>
        <w:footnoteReference w:id="502"/>
      </w:r>
      <w:r>
        <w:rPr>
          <w:rFonts w:ascii="Amiri" w:hAnsi="Amiri" w:eastAsia="Amiri" w:cs="Amiri"/>
          <w:color w:val="111111"/>
          <w:sz w:val="28"/>
          <w:sz w:val="28"/>
          <w:szCs w:val="28"/>
          <w:rtl w:val="true"/>
          <w:lang w:bidi="ar-SA"/>
        </w:rPr>
        <w:t>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الأصيل هل يجوز له التصرّف فيما انتقل عنه أو إليه، أم لا؟</w:t>
      </w:r>
    </w:p>
    <w:p>
      <w:pPr>
        <w:pStyle w:val="BookText"/>
        <w:rPr/>
      </w:pPr>
      <w:r>
        <w:rPr>
          <w:rFonts w:ascii="Amiri" w:hAnsi="Amiri" w:eastAsia="Amiri" w:cs="Amiri"/>
          <w:color w:val="111111"/>
          <w:sz w:val="28"/>
          <w:sz w:val="28"/>
          <w:szCs w:val="28"/>
          <w:rtl w:val="true"/>
          <w:lang w:bidi="ar-SA"/>
        </w:rPr>
        <w:t>بل المفروض هاهنا جوازه تكليفاً ووضعاً</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2758844_2142443653"/>
      <w:bookmarkStart w:id="273" w:name="_Toc98"/>
      <w:bookmarkEnd w:id="272"/>
      <w:r>
        <w:rPr>
          <w:rtl w:val="true"/>
        </w:rPr>
        <w:t>بيان الثمرة بين الكشف الحقيقي والكشف الحكمي</w:t>
      </w:r>
      <w:bookmarkEnd w:id="2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بين الكشف الحقيقي بالمعنى المتقدّم على جميع المباني، والكشف الحكمي الانقلابي بجميع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الكشف الحقيقي لمّا انتقل العوضان إلى المتعاملين من الأوّل، كان لهما جميع التصرّفات بحسب </w:t>
      </w:r>
    </w:p>
    <w:p>
      <w:pPr>
        <w:pStyle w:val="BookText"/>
        <w:rPr/>
      </w:pPr>
      <w:r>
        <w:rPr>
          <w:rFonts w:ascii="Amiri" w:hAnsi="Amiri" w:eastAsia="Amiri" w:cs="Amiri"/>
          <w:color w:val="111111"/>
          <w:sz w:val="28"/>
          <w:sz w:val="28"/>
          <w:szCs w:val="28"/>
          <w:rtl w:val="true"/>
          <w:lang w:bidi="ar-SA"/>
        </w:rPr>
        <w:t>الواقع تكليفاً ووضعاً، فلو علما بالإجازة، كان لهما ذلك ظاهراً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الجهل، فلا يكون لهما ظاهراً، ويحكم في الظاهر بحرمة التصرّف، وعدم النفوذ، لا لاستصحاب عدم لحوق الإجازة؛ فإنّ إثبات عدم مؤثّرية العقد باستصحاب عدمها مثبت، فإنّ عدم تأثير المقتضي مع فقد الشرط عقلي، ولو فرضت السببية شرعية، فضلاً عن المقام، حيث كان السبب عقلائياً أمضاه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بالمثبتية لو أردنا إثبات سلب الوصف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 العقد ملحوقاً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أردنا إثبات عدم التقدّم الذاتي تبعاً للتقدّم زماناً، كما سلكنا في تصوير الشرط المتأخّر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أردنا إثبات عدم الرضا التقديري، أو عدم اللحاظ الذي هو شرط على بعض المسالك</w:t>
      </w:r>
      <w:r>
        <w:rPr>
          <w:rStyle w:val="FootnoteAnchor"/>
          <w:rtl w:val="true"/>
        </w:rPr>
        <w:footnoteReference w:id="504"/>
      </w:r>
      <w:r>
        <w:rPr>
          <w:rFonts w:ascii="Amiri" w:hAnsi="Amiri" w:eastAsia="Amiri" w:cs="Amiri"/>
          <w:color w:val="111111"/>
          <w:sz w:val="28"/>
          <w:sz w:val="28"/>
          <w:szCs w:val="28"/>
          <w:rtl w:val="true"/>
          <w:lang w:bidi="ar-SA"/>
        </w:rPr>
        <w:t>، بل وعلى مسلك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تمام الموضوع، والإجازة كاشفة؛ أي موجبة للعلم، فإنّ البقاء على ظاهره خلاف الضرورة، ولا أظنّ التفوّه به من أحد، فضلاً عن المحقّق الثاني قدّس سرّه</w:t>
      </w:r>
      <w:r>
        <w:rPr>
          <w:rStyle w:val="FootnoteAnchor"/>
          <w:rtl w:val="true"/>
        </w:rPr>
        <w:footnoteReference w:id="505"/>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إثبات استقلال العقد، وكونه تمام الموضوع بالأصل، مثبت، بل إثبات نفي الحكم بنفي الموضوع، أو بعض أجزائه، مثبت؛ فإنّ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العقلية، لا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ذلك لاستصحاب بقاء ملكية كلّ من المتعاملين، ومع الغضّ عنه يجري الأصل الحكمي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الكشف التعبّدي على أحد احتماليه، وهو كون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إذا تعقّبته الإجازة، فإنّه كالكشف الحقيقي في الحكم، هذا حال الكشف الحقيقي وما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الكشف الحكمي،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منه هو النقل حال الإجازة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العقد قبل الإجازة لم يكن ناقلاً، وبعدها يكون ناقلاً من أوّل صدوره،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انقلاب عنوان إلى عنوان آخر موجباً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عدم جواز تصرّف كلّ فيما انتقل إليه فضولاً، وجواز تصرّفه فيما انتقل عنه إنشاءً، تكليفاً ووضعاً؛ ضرورة بقاء كلّ على ملك صاحبه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يترتّب عليه سائر الآثار، فلو وطأ أمة الغير قبل الإجازة، كان زناءً، أو سرق ما وقع عليه العقد فضولاً، لجرى عليه الحدّ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توجب الانقلاب؛ بمعنى أنّه ينقلب نفس التصرّف الشخصي في ملك غيره إلى التصرّف في ملكه، ونفس الوط‌ء الخارجي الشخصي لأمة غيره إلى الوط‌ء لأمته، ونفس السرقة الخارجية الشخصية إلى عدم السرقة، فهل هو كالفرض السابق يحرم عليه التصرّف، وتجري عليه الحدود؛ لوقوع العناوين حال الإيجاد، فيكون سارقاً وزانياً ومتصرّفاً في مال الغير حراماً، ومجرّد الانقلاب لا يوجب نفي الآثار عن العناوين؟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تترتّب عليه آثار العناوين بعد انقلاب الشخص الخارجي إلى ما هو مقابله؛ لانصراف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أدلّة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 </w:t>
      </w:r>
    </w:p>
    <w:p>
      <w:pPr>
        <w:pStyle w:val="BookText"/>
        <w:rPr/>
      </w:pPr>
      <w:r>
        <w:rPr>
          <w:rFonts w:ascii="Amiri" w:hAnsi="Amiri" w:eastAsia="Amiri" w:cs="Amiri"/>
          <w:color w:val="111111"/>
          <w:sz w:val="28"/>
          <w:sz w:val="28"/>
          <w:szCs w:val="28"/>
          <w:rtl w:val="true"/>
          <w:lang w:bidi="ar-SA"/>
        </w:rPr>
        <w:t>أو يفصّل بين ما ثبت السبب قبل الانقلاب أو بعده؟</w:t>
      </w:r>
    </w:p>
    <w:p>
      <w:pPr>
        <w:pStyle w:val="BookText"/>
        <w:rPr/>
      </w:pPr>
      <w:r>
        <w:rPr>
          <w:rFonts w:ascii="Amiri" w:hAnsi="Amiri" w:eastAsia="Amiri" w:cs="Amiri"/>
          <w:color w:val="111111"/>
          <w:sz w:val="28"/>
          <w:sz w:val="28"/>
          <w:szCs w:val="28"/>
          <w:rtl w:val="true"/>
          <w:lang w:bidi="ar-SA"/>
        </w:rPr>
        <w:t>أو بين نحو الحدود التي تدرأ بالشبهة وغيرها؟</w:t>
      </w:r>
    </w:p>
    <w:p>
      <w:pPr>
        <w:pStyle w:val="BookText"/>
        <w:rPr/>
      </w:pPr>
      <w:r>
        <w:rPr>
          <w:rFonts w:ascii="Amiri" w:hAnsi="Amiri" w:eastAsia="Amiri" w:cs="Amiri"/>
          <w:color w:val="111111"/>
          <w:sz w:val="28"/>
          <w:sz w:val="28"/>
          <w:szCs w:val="28"/>
          <w:rtl w:val="true"/>
          <w:lang w:bidi="ar-SA"/>
        </w:rPr>
        <w:t>أو بين الأحكام العقلية كالعصيان وغيره؟</w:t>
      </w:r>
    </w:p>
    <w:p>
      <w:pPr>
        <w:pStyle w:val="BookText"/>
        <w:rPr/>
      </w:pPr>
      <w:r>
        <w:rPr>
          <w:rFonts w:ascii="Amiri" w:hAnsi="Amiri" w:eastAsia="Amiri" w:cs="Amiri"/>
          <w:color w:val="111111"/>
          <w:sz w:val="28"/>
          <w:sz w:val="28"/>
          <w:szCs w:val="28"/>
          <w:rtl w:val="true"/>
          <w:lang w:bidi="ar-SA"/>
        </w:rPr>
        <w:t>وجوه، والمسألة مشكلة تحتاج إلى التأمّل، لكنّ المبنى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النظر فيما أفاده الشيخ الأعظم قدّس سرّه، فإنّه في فرض كون نفس الإجازة شرطاً، ذهب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حلّية التصرّف واقعاً،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حلّية الوط‌ء واقعاً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الشرط لو كان بنحو الشرط المتأخّر بما هو حاصل حال العقد، يحلّ التصرّف والوط‌ء، ولا وجه للتفريق بينهما، ولو كان بنحو الانقلاب، فلا يحلّ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فيما أفاده من إجراء أصالة عدم الإجازة لسلب تأثير العقد وعدم تحقّق النقل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تحقّق الاستيلاد على الحكمي؛ لعدم تحقّق حدوث الولد في الملك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على الكشف الحكمي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العقد المتعقّب بالإجازة المتأخّرة موضوعاً لحكم الشارع الأقدس، كما هو 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ملكه واضح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الإجازة شرط للحكم بالتعبّد بالملكية </w:t>
      </w:r>
    </w:p>
    <w:p>
      <w:pPr>
        <w:pStyle w:val="BookText"/>
        <w:rPr/>
      </w:pPr>
      <w:r>
        <w:rPr>
          <w:rFonts w:ascii="Amiri" w:hAnsi="Amiri" w:eastAsia="Amiri" w:cs="Amiri"/>
          <w:color w:val="111111"/>
          <w:sz w:val="28"/>
          <w:sz w:val="28"/>
          <w:szCs w:val="28"/>
          <w:rtl w:val="true"/>
          <w:lang w:bidi="ar-SA"/>
        </w:rPr>
        <w:t>وترتيب الآثار من الأوّل، فمن أولده محكوم بكونه حاصلاً في ملكه، فتترتّب عليها آثار 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نقل المالك اُمّ الولد عن ملكه قبل الإجازة فأجاز، بطل النقل على الكشف الحقيقي دون الحكمي، وعلى المجيز قيمتها؛ لأنّه مقتضى الجمع بين جعل العقد ماضياً من حين وقوعه، ومقتضى صحّة النقل الواقع قبل حكم الشارع بهذا الجعل، كما في الفسخ بالخيار مع انتقال متعلّقه بنقل لازم</w:t>
      </w:r>
      <w:r>
        <w:rPr>
          <w:rStyle w:val="FootnoteAnchor"/>
          <w:rtl w:val="true"/>
        </w:rPr>
        <w:footnoteReference w:id="5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الكشف الحكمي على الاحتمال الأوّل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الآخر، فلأنّ مقتضى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بالملكية التنزيلية من أوّل الأمر، هو الحكم بعدم تحقّق النقل من ملك الناقل، ووقوعه في ملك الغير، وهذا الحكم مقدّم على أدلّة وجوب الوفاء بالعقود؛ لأنّه رافع لموضوعها، فلا وجه للجمع المذكور، والقياس بباب الفسخ كأنّه غير وجيه؛ لأنّ الفسخ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ليس بمنزلة الردّ، وأنّ محلّ الإجازة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ونحوه كالتلف، موجب لهدم العقد، ولا يبقى معه محلّ للإجازة، فلا يبقى فرق بين الكشف الحقيقي وغيره في صحّة النقل ولغوية الإجازة؛ فإنّه على جميع المباني والاحتمالات يكون العقد موضوعاً وسبباً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النقل ونحوه هادم للعقد، فلا فرق بين الوجوه في </w:t>
      </w:r>
    </w:p>
    <w:p>
      <w:pPr>
        <w:pStyle w:val="BookText"/>
        <w:rPr/>
      </w:pPr>
      <w:r>
        <w:rPr>
          <w:rFonts w:ascii="Amiri" w:hAnsi="Amiri" w:eastAsia="Amiri" w:cs="Amiri"/>
          <w:color w:val="111111"/>
          <w:sz w:val="28"/>
          <w:sz w:val="28"/>
          <w:szCs w:val="28"/>
          <w:rtl w:val="true"/>
          <w:lang w:bidi="ar-SA"/>
        </w:rPr>
        <w:t>لغوية الإجازة،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فلا فرق بينها في بطلان النقل، وصحّة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ظاهر كلام الشيخ الأعظم قدّس سرّه تناقضاً واضحاً، لا يناسب مقامه، ولهذا أوّل بعضهم كلامه إلى ما هو غير مرضيّ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التوجيه بوجه أقرب، وهو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الثمرة على الكشف الحقيقي بين كون نفس الإجازة شرطاً، وكون الشرط تعقّب العقد بها ولحوقها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11"/>
      </w:r>
      <w:r>
        <w:rPr>
          <w:rFonts w:ascii="Amiri" w:hAnsi="Amiri" w:eastAsia="Amiri" w:cs="Amiri"/>
          <w:color w:val="111111"/>
          <w:sz w:val="28"/>
          <w:sz w:val="28"/>
          <w:szCs w:val="28"/>
          <w:rtl w:val="true"/>
          <w:lang w:bidi="ar-SA"/>
        </w:rPr>
        <w:t xml:space="preserve">، يراد به أنّ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الإجازة شرطاً بوجودها، فيرجع إلى الكشف الحكمي، وبين كون التعقّب شرطاً، وهو كشف حقيقي، هو جواز التصرّف على الكشف الحقيقي، وعدمه على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في الحكم بينهما؛ إذ لا معنى للتفرقة بين مصداقين من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به أنّ الثمرة بين الكشف الحقيقي سواء كانت الإجازة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الشرط المتأخّر الراجع إلى تأثير العقد من أوّل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التعقّب بها شرطاً، وبين 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الثمرة بين الكشف الحقيقي والحكمي مع كون نفس الإجارة شرطاً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74" w:name="pg15204_140439"/>
    </w:p>
    <w:p>
      <w:pPr>
        <w:pStyle w:val="BookText"/>
        <w:rPr/>
      </w:pPr>
      <w:bookmarkEnd w:id="274"/>
      <w:r>
        <w:rPr>
          <w:rFonts w:ascii="Amiri" w:hAnsi="Amiri" w:eastAsia="Amiri" w:cs="Amiri"/>
          <w:color w:val="111111"/>
          <w:sz w:val="28"/>
          <w:sz w:val="28"/>
          <w:szCs w:val="28"/>
          <w:rtl w:val="true"/>
          <w:lang w:bidi="ar-SA"/>
        </w:rPr>
        <w:t>يراد به الكشف الحقيقي مطلقاً، مع الحكمي إذا كان نفس الإجازة شرطاً للتعبّد والحكم، فيكون القيد راجعاً إلى الحكمي كما هو ظاهر العبارة، لا إلى الكشف، فحينئذٍ يرتفع التنافي وإن كان مخالفاً للظاهر في الجملة،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للثمرة بين الكشف والنقل مواضع</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2758846_2142443653"/>
      <w:bookmarkStart w:id="276" w:name="_Toc99"/>
      <w:bookmarkEnd w:id="275"/>
      <w:r>
        <w:rPr>
          <w:rtl w:val="true"/>
        </w:rPr>
        <w:t>الثمرات المذكورة بين الكشف والنقل</w:t>
      </w:r>
      <w:bookmarkEnd w:id="276"/>
    </w:p>
    <w:p>
      <w:pPr>
        <w:pStyle w:val="Heading6"/>
        <w:numPr>
          <w:ilvl w:val="5"/>
          <w:numId w:val="1"/>
        </w:numPr>
        <w:rPr/>
      </w:pPr>
      <w:bookmarkStart w:id="277" w:name="__RefHeading___Toc2758848_2142443653"/>
      <w:bookmarkStart w:id="278" w:name="_Toc100"/>
      <w:bookmarkEnd w:id="277"/>
      <w:r>
        <w:rPr>
          <w:rtl w:val="true"/>
        </w:rPr>
        <w:t>الثمرة الاُولى في النماء</w:t>
      </w:r>
      <w:bookmarkEnd w:id="27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والمنافع، فإنّها على الكشف مطلقاً لمن انتقلت إليه العين، وعلى النقل لمن انتقلت عنه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2758850_2142443653"/>
      <w:bookmarkStart w:id="280" w:name="_Toc101"/>
      <w:bookmarkEnd w:id="279"/>
      <w:r>
        <w:rPr>
          <w:rtl w:val="true"/>
        </w:rPr>
        <w:t>الثمرة الثانية في فسخ الأصيل</w:t>
      </w:r>
      <w:bookmarkEnd w:id="28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فسخ الأصيل لإنشائه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إجازة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له على النقل، كفسخ الموجب قبل قبول القابل، بخلاف الكشف الحقيقي، فإنّ العقد تامّ من قبل الأصيل، غاية الأمر تسلّط الآخر على الردّ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للإجازة نحو دخالة في حصول النقل شرطاً أو شطراً،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بأقسامه، أو بالنقل، وليس لأحد أن يتوهّم أنّ الإجازة غير دخيلة، وأنّ وجودها وعدمها على السواء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يقع البحث في أنّ الفسخ هل هو هادم للعقد أم لا؟</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هادم، فلا فرق بين النقل والكشف حتّى الحقيقي منه؛ لأنّ تعقّب العقد بالإجازة إنّما هو مؤثّر إذا لم ينهدم العقد، فإذا تخلّل بين العقد والإجازة فسخ هادم، لم يبق عقد حتّى تتعقّبه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إذا تعقّبه الهدم قبل الإجازة، لم يكن في علم اللّه من الأوّل عقداً متعقّباً بالإجازة حتّى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هادماً، فلا فرق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بأنّه على النقل هادم دون الكشف، يتمّ القول بالثمرة، لكن لا دليل على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تامّ من قبل الأصيل على الكشف، لا يرجع إلى محصّل؛ فإنّ المراد من التمام إن رجع إلى أنّ الأصيل حصل منه ما هو من قبله من إنشاء العقد، فلا شبهة في أنّه على النقل أيضاً كذلك، بل الموجب أيضاً حصل منه ما هو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النقل حاصل من قبله على الكشف، فهو موقوف على القول بأنّ الإجازة لا دخالة لها، أو أنّ الفسخ غير هادم، فتمامية العقد موقوفة على عدم الهادمية، وهو أوّل الكلام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التمسّك بعمومات الصحّة واللزوم</w:t>
      </w:r>
      <w:r>
        <w:rPr>
          <w:rStyle w:val="FootnoteAnchor"/>
          <w:rtl w:val="true"/>
        </w:rPr>
        <w:footnoteReference w:id="515"/>
      </w:r>
      <w:r>
        <w:rPr>
          <w:rFonts w:ascii="Amiri" w:hAnsi="Amiri" w:eastAsia="Amiri" w:cs="Amiri"/>
          <w:color w:val="111111"/>
          <w:sz w:val="28"/>
          <w:sz w:val="28"/>
          <w:szCs w:val="28"/>
          <w:rtl w:val="true"/>
          <w:lang w:bidi="ar-SA"/>
        </w:rPr>
        <w:t>غير صحيح، لا في الكشف، ولا في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فظاهر، فإنّ حلّية الأكل موضوعها مال التجارة الحاصل بين التاجرين الأصيلين، ومع فضولية الطرفين أو أحدهما، لم يحصل مال تجارة عرفاً حتّى يحلّ أو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الإجازة يحصل مال التجارة؛ لتمامية التجارة عرفاً، كما أنّ نفوذ البيع والحلّية الفعلية متعلّق بالبيع الحاصل من الأصيلين؛ ضرورة أنّه لو كان أحدهما أو كلاهما فضولياً، لا ينفذ البيع، ولا يكون له أثر قابل للإنفاذ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الوفاء بالعقود، فهو كوجوب الوفاء بالنذر والعهد والقسم ونحوها، الظاهر منها وجوب العمل على طبق المضمون، ووجوب الخروج عن العهدة العرفية، وهو لا يكون إلاّ إذا كان العقد بين الأصيلين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منه إبقاء العقد وعدم فسخه،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الأصيل ممكن</w:t>
      </w:r>
      <w:r>
        <w:rPr>
          <w:rStyle w:val="FootnoteAnchor"/>
          <w:rtl w:val="true"/>
        </w:rPr>
        <w:footnoteReference w:id="518"/>
      </w:r>
      <w:r>
        <w:rPr>
          <w:rFonts w:ascii="Amiri" w:hAnsi="Amiri" w:eastAsia="Amiri" w:cs="Amiri"/>
          <w:color w:val="111111"/>
          <w:sz w:val="28"/>
          <w:sz w:val="28"/>
          <w:szCs w:val="28"/>
          <w:rtl w:val="true"/>
          <w:lang w:bidi="ar-SA"/>
        </w:rPr>
        <w:t>، وإن كان فيه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فرضت صحّة ذلك، لا فرق بين الكشف والنقل، ولكنّ الأصحّ ما مرّ، ولا أقلّ من انصراف الأدلّة إلى عقد المالكين، والمأذون والمجاز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الأصيل ثمّ أجاز الآخر، فمع إحراز أنّ الفسخ هادم، لا إشكال في عدم لحوق الإجازة به، كشفاً كان المبنى، أو نقلاً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فيه، فهل يمكن إحراز موضوع وجوب الوفاء بالعقد باستصحاب بقائه إلى زمان الإجازة؟ </w:t>
      </w:r>
      <w:bookmarkStart w:id="281" w:name="pg15204_140442"/>
    </w:p>
    <w:p>
      <w:pPr>
        <w:pStyle w:val="BookText"/>
        <w:rPr/>
      </w:pPr>
      <w:bookmarkEnd w:id="281"/>
      <w:r>
        <w:rPr>
          <w:rFonts w:ascii="Amiri" w:hAnsi="Amiri" w:eastAsia="Amiri" w:cs="Amiri"/>
          <w:color w:val="111111"/>
          <w:sz w:val="28"/>
          <w:sz w:val="28"/>
          <w:szCs w:val="28"/>
          <w:rtl w:val="true"/>
          <w:lang w:bidi="ar-SA"/>
        </w:rPr>
        <w:t>لا يبعد ذلك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والإجازة موضوع مركّب له،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تمام الموضوع لوجوب الوفاء إذا لحقت به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العقد المشروط بالإجازة أو المتعقّب بها موضوعاً؛ لأنّ استصحاب بقاء العقد إلى حين الإجازة لا يثبت المشروط والمتقيّد</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758852_2142443653"/>
      <w:bookmarkStart w:id="283" w:name="_Toc102"/>
      <w:bookmarkEnd w:id="282"/>
      <w:r>
        <w:rPr>
          <w:rtl w:val="true"/>
        </w:rPr>
        <w:t>الثمرة الثالثة في تصرّف الأصيل</w:t>
      </w:r>
      <w:bookmarkEnd w:id="283"/>
    </w:p>
    <w:p>
      <w:pPr>
        <w:pStyle w:val="BookText"/>
        <w:rPr/>
      </w:pPr>
      <w:r>
        <w:rPr>
          <w:rFonts w:ascii="Amiri" w:hAnsi="Amiri" w:eastAsia="Amiri" w:cs="Amiri"/>
          <w:color w:val="111111"/>
          <w:sz w:val="28"/>
          <w:sz w:val="28"/>
          <w:szCs w:val="28"/>
          <w:rtl w:val="true"/>
          <w:lang w:bidi="ar-SA"/>
        </w:rPr>
        <w:t>ومنه يظهر الكلام في ثمرة اُخرى، وهي أنّ الأصيل يجوز له التصرّف فيما انتقل عنه على النقل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فسخه غير مبطل، دون الكشف، بدعوى أنّ الإجازة على النقل شرط أو شطر، فما لم تتحقّق لا يجب الوفاء على أحد المتعاقدين، وأمّا على الكشف، فيجب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الأصيل، ويحرم عليه نقضه، ووجوب الوفاء عليه ليس مراعىً بإجازة المالك، بل مقتضى العموم وجوبه حتّى مع العلم بعدم الإجازة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تارة في أنّه لو قلنا بأنّ فسخ الأصيل غير مبطل على النقل، هل يجوز له التصرّف؟ واُخرى في الثمرة المذكورة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فمبنى عدم مبطلية فسخه هو عموم وجوب الوفاء بالعقد، فإن تمّ ذلك لا تنبغي الشبهة في عدم جواز التصرّف، ولا سيّما التصرّف الناقل والمعدم؛ فإنّ الظاهر من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على طبق مقتضى العقد</w:t>
      </w:r>
      <w:r>
        <w:rPr>
          <w:rStyle w:val="FootnoteAnchor"/>
          <w:rtl w:val="true"/>
        </w:rPr>
        <w:footnoteReference w:id="520"/>
      </w:r>
      <w:r>
        <w:rPr>
          <w:rFonts w:ascii="Amiri" w:hAnsi="Amiri" w:eastAsia="Amiri" w:cs="Amiri"/>
          <w:color w:val="111111"/>
          <w:sz w:val="28"/>
          <w:sz w:val="28"/>
          <w:szCs w:val="28"/>
          <w:rtl w:val="true"/>
          <w:lang w:bidi="ar-SA"/>
        </w:rPr>
        <w:t>، ومنه ينتقل إلى صحّته ولزومه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وجوب الوفاء حرمة النقض؛ ضرورة عدم كون حرمة النقض معنى وجوب الوفاء، واستعمال أحدهما في الآخر غلط، 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المراد الإرشاد إلى الصحّة واللزوم، لا بمعنى استعماله في المرشد إليه، بل بمعنى استعماله في معناه حقيقة للانتقال إلى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في المقام المعنى المستعمل فيه مراداً أيضاً؛ ضرورة لزوم العمل على طبق العقد ووجوب الوفاء به، فكأنّه ذكر لازم المعنى؛ للانتقال إلى الملزوم، فلا يصحّ تجريده عن المعنى اللازم؛ إذ معه لا يمكن استفادة الملزوم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وجوب العمل على طبق مضمون العقد، ووجوب الوفاء به عند العقلاء، من لوازم صحّة العقد ولزومه، أراد المولى إفهام أنّ العقد عنده أيضاً نحو ما عند العقلاء، فذكر اللازم وأراده جدّاً؛ للإرشاد إلى الصحّة واللزوم بالانتقال إلى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الوفاء يمنع عن صحّة الفسخ وتأثيره،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التصرّفات؛ فإنّ المنع عن تأثيره مترتّب على المنع عن التصرّفات، فإنّه من شؤون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بعدم نفوذ فسخه؛ بدليل وجوب الوفاء، 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التصرّف مطلقاً؛ لأنّه أولى منه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ذلك؛ ضرورة أنّ مضمون العقد لم يتحقّق قبل الإجازة عرفاً وشرعاً وعقلاً، فلا معنى للإلزام بالعمل بمضمونه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العمل من طرف الأصيل، وكذا لزوم الالتزام من قبله</w:t>
      </w:r>
      <w:r>
        <w:rPr>
          <w:rStyle w:val="FootnoteAnchor"/>
          <w:rtl w:val="true"/>
        </w:rPr>
        <w:footnoteReference w:id="521"/>
      </w:r>
      <w:r>
        <w:rPr>
          <w:rFonts w:ascii="Amiri" w:hAnsi="Amiri" w:eastAsia="Amiri" w:cs="Amiri"/>
          <w:color w:val="111111"/>
          <w:sz w:val="28"/>
          <w:sz w:val="28"/>
          <w:szCs w:val="28"/>
          <w:rtl w:val="true"/>
          <w:lang w:bidi="ar-SA"/>
        </w:rPr>
        <w:t>، غير مرضيّ؛ لما تأتي الإشارة إليه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مانع من جواز تصرّف الأصيل فيما انتقل عنه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الثمرة، فإن قلنا بأنّ العقد تمام الموضوع لوجوب الوفاء بالنسبة إلى الأصيل؛ لأنّ الالتزام من قبله حاصل كما قيل</w:t>
      </w:r>
      <w:r>
        <w:rPr>
          <w:rStyle w:val="FootnoteAnchor"/>
          <w:rtl w:val="true"/>
        </w:rPr>
        <w:footnoteReference w:id="523"/>
      </w:r>
      <w:r>
        <w:rPr>
          <w:rFonts w:ascii="Amiri" w:hAnsi="Amiri" w:eastAsia="Amiri" w:cs="Amiri"/>
          <w:color w:val="111111"/>
          <w:sz w:val="28"/>
          <w:sz w:val="28"/>
          <w:szCs w:val="28"/>
          <w:rtl w:val="true"/>
          <w:lang w:bidi="ar-SA"/>
        </w:rPr>
        <w:t>، فلا فرق بين النقل والكشف؛ ضرورة عدم الفرق في حصول الالتزام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الإجازة ناقلة أو كاشفة، غير مربوط بالالتزام وعدمه، فلا بدّ من الالتزام بعدم جواز التصرّف إلى زمان الردّ من الطرف الآخر، فدخالة الإجازة بعد حصولها في النقل، لا توجب جواز التصرّف؛ فإنّ عدم الجواز فرع التزامه ووجوب الوفاء بما التزم به، لا فرع النقل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وجوبه هو العقد المربوط بالمالكين، فمع العلم بعدم الإجازة، لا ينبغي الإشكال في جواز التصرّف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جوازه على الكشف المشهوري حتّى مع العلم بعدم الإجازة، معلّلاً بأنّ العقد السابق بنفسه مؤثّر من غير ضميمة شيء شرطاً أو شطراً </w:t>
      </w:r>
      <w:r>
        <w:rPr>
          <w:rStyle w:val="FootnoteAnchor"/>
          <w:rtl w:val="true"/>
        </w:rPr>
        <w:footnoteReference w:id="524"/>
      </w:r>
      <w:r>
        <w:rPr>
          <w:rFonts w:ascii="Amiri" w:hAnsi="Amiri" w:eastAsia="Amiri" w:cs="Amiri"/>
          <w:color w:val="111111"/>
          <w:sz w:val="28"/>
          <w:sz w:val="28"/>
          <w:szCs w:val="28"/>
          <w:rtl w:val="true"/>
          <w:lang w:bidi="ar-SA"/>
        </w:rPr>
        <w:t xml:space="preserve">، لا يخلو من غرابة؛ فإنّه صرّح بأنّ نفس الإجازة المتأخّرة </w:t>
      </w:r>
    </w:p>
    <w:p>
      <w:pPr>
        <w:pStyle w:val="BookText"/>
        <w:rPr/>
      </w:pPr>
      <w:r>
        <w:rPr>
          <w:rFonts w:ascii="Amiri" w:hAnsi="Amiri" w:eastAsia="Amiri" w:cs="Amiri"/>
          <w:color w:val="111111"/>
          <w:sz w:val="28"/>
          <w:sz w:val="28"/>
          <w:szCs w:val="28"/>
          <w:rtl w:val="true"/>
          <w:lang w:bidi="ar-SA"/>
        </w:rPr>
        <w:t>شرط لكون العقد السابق بنفسه مؤثّراً تامّاً، فكيف يمكن أن تكون الإجازة شرطاً لمؤثّرية العقد، ولا يكون العقد مشروطاً بها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يعقل أن تكون الإجازة شرطاً لتأثير العقد بنفسه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التناقض؛ أي أنّها شرط لتأثير العقد بلا شرط، أو يرجع إلى أنّ لتأثير العقد شرطاً، والإجازة هادمة للشرطية،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الإجازة لها دخل في تأثير العقد شرطاً أو شطراً،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أو الكشف، فحينئذٍ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تخلّل التصرّفات المنافية مانع عن لحوق الإجازة؛ بحيث كان في علم اللّه العقد المتعقّب بالإجازة غير المتخلّل بما ينافيه مؤثّراً، يرفع التصرّف موضوعه، ولا يبقى بين النقل والكشف فرق؛ لأنّ التصرّف مانع عن الكشف، فلا يكون موضوع الأثر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غير هادم، وموضوع التأثير هو العقد بوجوده الحدوثي إذا تعقّبته الإجازة، سواء تخلّلت بينهما التصرّفات أو لا، فالثمرة بين النقل والكشف الحقيقي حاصلة؛ لأنّه على النقل لم تتحقّق الملكية للمنقول إليه، بخلاف الكشف، فلا يجوز له التصرّف فيما انتقل عنه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بالنقل الكشف الحكمي والكشف التعبّدي بأحد معنييه، وبالكشف بمعناه الآخر كما تقدّم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ذلك يترتّب على الكشف جميع الأحكام؛ من حرمة المصاهرة ونحوها، دون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والالتزام بحصول أحكام المصاهرة على النقل أو الكشف، مع فرض عدم لحوق الإجازة</w:t>
      </w:r>
      <w:r>
        <w:rPr>
          <w:rStyle w:val="FootnoteAnchor"/>
          <w:rtl w:val="true"/>
        </w:rPr>
        <w:footnoteReference w:id="526"/>
      </w:r>
      <w:r>
        <w:rPr>
          <w:rFonts w:ascii="Amiri" w:hAnsi="Amiri" w:eastAsia="Amiri" w:cs="Amiri"/>
          <w:color w:val="111111"/>
          <w:sz w:val="28"/>
          <w:sz w:val="28"/>
          <w:szCs w:val="28"/>
          <w:rtl w:val="true"/>
          <w:lang w:bidi="ar-SA"/>
        </w:rPr>
        <w:t>، غير مرضيّ؛ ضرورة أنّ تلك الأحكام مترتّبة على الزوجية الواقعية، لا على الإنشاء 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حال أدلّة الشروط على القول بشمولها للابتدائي، فإنّ الظاهر منها أيضاً لزوم الوفاء بالشرط، كما يظهر من مواردها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ملازمة المسلم مع شرطه، فهي ناظرة إلى نفس الشروط، لا إلى الوفاء بها، لم يتمّ أيضاً الاستدلال؛ فإنّ القرار في البيع ليس التزاماً مطلقاً، بل التزام في مقابل التزام، والفرض أنّه لا التزام من طرف الفضولي، ولا معنى للزوم الالتزام بنحو الإطلاق، مع أنّ التزامه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الأمر أيضاً في وجوب الوفاء لو قلنا بمقالة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ناظر إلى نفس العقد، لا العمل بمضمونه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29"/>
      </w:r>
      <w:r>
        <w:rPr>
          <w:rFonts w:ascii="Amiri" w:hAnsi="Amiri" w:eastAsia="Amiri" w:cs="Amiri"/>
          <w:color w:val="111111"/>
          <w:sz w:val="28"/>
          <w:sz w:val="28"/>
          <w:szCs w:val="28"/>
          <w:rtl w:val="true"/>
          <w:lang w:bidi="ar-SA"/>
        </w:rPr>
        <w:t>حال الاُصول مع الشكّ في الهدم، وأنّ الحقّ جريان أصالة بقاء العقد على بعض الوجوه الذي هو الأظهر، فحينئذٍ تتمّ النتيجة على الكشف الحقيقي وغيره، ويتمّ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تأثير فسخ الأصيل حتّى على النقل</w:t>
      </w:r>
      <w:r>
        <w:rPr>
          <w:rFonts w:eastAsia="Amiri" w:cs="Amiri" w:ascii="Amiri" w:hAnsi="Amiri"/>
          <w:color w:val="111111"/>
          <w:sz w:val="28"/>
          <w:szCs w:val="28"/>
          <w:rtl w:val="true"/>
          <w:lang w:bidi="ar-SA"/>
        </w:rPr>
        <w:t xml:space="preserve">. </w:t>
      </w:r>
      <w:bookmarkStart w:id="284" w:name="pg15204_140447"/>
    </w:p>
    <w:p>
      <w:pPr>
        <w:pStyle w:val="Heading6"/>
        <w:numPr>
          <w:ilvl w:val="5"/>
          <w:numId w:val="1"/>
        </w:numPr>
        <w:rPr/>
      </w:pPr>
      <w:bookmarkStart w:id="285" w:name="__RefHeading___Toc2758854_2142443653"/>
      <w:bookmarkStart w:id="286" w:name="_Toc103"/>
      <w:bookmarkEnd w:id="284"/>
      <w:bookmarkEnd w:id="285"/>
      <w:r>
        <w:rPr>
          <w:rtl w:val="true"/>
        </w:rPr>
        <w:t>حول قول كاشف الغطاء في ظهور ثمرات اُخرى</w:t>
      </w:r>
      <w:bookmarkEnd w:id="286"/>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فيما إذا انسلخت قابلية الملك عن أحدهما قبل إجازة الآخر بموت، أو بعروض الكفر بالارتداد، مع كون المبيع مسلماً أو مصحفاً، فيصحّ على الكشف، دون النقل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اُمور حتّى يتّضح الحال في هذه الثمرة وما يتلوها من فقد شرائط العوضين أو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الفضولي على القاعدة</w:t>
      </w:r>
      <w:r>
        <w:rPr>
          <w:rStyle w:val="FootnoteAnchor"/>
          <w:rtl w:val="true"/>
        </w:rPr>
        <w:footnoteReference w:id="531"/>
      </w:r>
      <w:r>
        <w:rPr>
          <w:rFonts w:ascii="Amiri" w:hAnsi="Amiri" w:eastAsia="Amiri" w:cs="Amiri"/>
          <w:color w:val="111111"/>
          <w:sz w:val="28"/>
          <w:sz w:val="28"/>
          <w:szCs w:val="28"/>
          <w:rtl w:val="true"/>
          <w:lang w:bidi="ar-SA"/>
        </w:rPr>
        <w:t>، وهي تقتضي النقل</w:t>
      </w:r>
      <w:r>
        <w:rPr>
          <w:rStyle w:val="FootnoteAnchor"/>
          <w:rtl w:val="true"/>
        </w:rPr>
        <w:footnoteReference w:id="532"/>
      </w:r>
      <w:r>
        <w:rPr>
          <w:rFonts w:ascii="Amiri" w:hAnsi="Amiri" w:eastAsia="Amiri" w:cs="Amiri"/>
          <w:color w:val="111111"/>
          <w:sz w:val="28"/>
          <w:sz w:val="28"/>
          <w:szCs w:val="28"/>
          <w:rtl w:val="true"/>
          <w:lang w:bidi="ar-SA"/>
        </w:rPr>
        <w:t>، والكشف على خلاف القواعد، ولا بدّ في إثباته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قلنا بالكشف بدليل خاصّ، لا يلزم منه خروج المعاملة عن تحت الأدلّة العامّة، حتّى يمتنع التمسّك بها في رفع بعض الشكوك التي لا يفترق فيها النقل والكشف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اعتبار شيء في العقد كالعربية، أو في المتعاقدين، كما لو شكّ في صحّة عقد المرأة بلا إذن زوجها، أو في العوضين، فالمرجع لرفع الشكّ هو إطلاق الأدلّة العامّة،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أو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تصرّف الشارع في محلّ النقل، كما تصرّف في بيع الصرف والسلم، فلو شككنا في اعتبار شيء زائد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 بالدليل الشرعي، فالمرجع هو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الكشف على القواعد؛ فإنّه يرجع إليها في الموارد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القاعدة، فإن كان لدليله الخاصّ إطلاق يرفع به الشكّ فهو، وإلاّ ففي كلّ مورد شكّ في دخالة شيء في الكشف، لا يمكن الحكم به، بل لا بدّ من القول فيه بالنقل؛ لكونه على القواعد، والشكّ في الخروج عنها،</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الكشف الحقيقي أن يكون البيع السابق المتقدّم على الإجازة مؤثّراً، فيكون موضوع الحكم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مضافاً إلى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الموضوع هو التعاقد الحاصل بين المتعاقدين بالعقد والإجازة؛ بمعنى أنّ المؤثّر هو المعاقدة بين الأصيل والمجيز الحيّين، ولمّا علم الشارع حصول هذا الأمر متأخّراً، حكم بحصول الأثر بعد إنشاء العقد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الأصيل فأجاز، تكشف الإجازة عن وجود الموضوع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موضوع الأثر؛ لأنّ موضوعه المعاقدة بين الحيّين حال 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إحراز أحد الاحتمالين، لا بدّ في غير المورد المتيقّن من العمل على القواعد، وهي تقتضي النقل، وإن كان العمل على النقل أيضاً باطلاً، يقع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ماهية البيع إذا كانت مبادلة مال بمال، تكون المبادلة في نحو إضافة، لا بمعنى نقل إضافة شخصية خاصّة من أحد المتعاملين إلى الآخر؛ فإنّه ظاهر البطلان، ضرورة لزوم تحقّق الإضافة بلا مضاف، أو بلا مضاف إليه، وهو باطل حتّى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أنّ لازم تحقّق البيع هو سقوط إضافة البائع عن المبيع، وحدوث إضافة المشتري إليه وبالعكس، فتمليك العين بالعوض، لازمه تبادل الإضافة بهذا المعنى، لا المعنى غير المعقول، كما تفوّه به بعض الألسن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ذلك هل هو بطلان البيع إذا أنشأ لشخص، وأجاز شخص آخر؟</w:t>
      </w:r>
    </w:p>
    <w:p>
      <w:pPr>
        <w:pStyle w:val="BookText"/>
        <w:rPr/>
      </w:pPr>
      <w:r>
        <w:rPr>
          <w:rFonts w:ascii="Amiri" w:hAnsi="Amiri" w:eastAsia="Amiri" w:cs="Amiri"/>
          <w:color w:val="111111"/>
          <w:sz w:val="28"/>
          <w:sz w:val="28"/>
          <w:szCs w:val="28"/>
          <w:rtl w:val="true"/>
          <w:lang w:bidi="ar-SA"/>
        </w:rPr>
        <w:t>فلو ملّك زيداً شيئاً بالعوض، فانتقل المال إلى عمرو، وأراد عمرو أن يجيز، فمقتضى القاعدة عدم الصحّة؛ لأنّ الإجازة لا تصلح إلاّ للّحوق بما اُنشئ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عمرو بإجازته وقوع العقد لزيد، فلا إشكال في أنّه غير صالح لذلك، ولو أراد وقوعه لنفسه فالإنشاء غير صالح لذلك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أمثال ذلك، لا بدّ من قيام دليل تعبّدي على الصحّة، أو لا، بل يصحّ </w:t>
      </w:r>
    </w:p>
    <w:p>
      <w:pPr>
        <w:pStyle w:val="BookText"/>
        <w:rPr/>
      </w:pPr>
      <w:r>
        <w:rPr>
          <w:rFonts w:ascii="Amiri" w:hAnsi="Amiri" w:eastAsia="Amiri" w:cs="Amiri"/>
          <w:color w:val="111111"/>
          <w:sz w:val="28"/>
          <w:sz w:val="28"/>
          <w:szCs w:val="28"/>
          <w:rtl w:val="true"/>
          <w:lang w:bidi="ar-SA"/>
        </w:rPr>
        <w:t>إذا أجاز المالك الفعلي؟</w:t>
      </w:r>
    </w:p>
    <w:p>
      <w:pPr>
        <w:pStyle w:val="BookText"/>
        <w:rPr/>
      </w:pPr>
      <w:r>
        <w:rPr>
          <w:rFonts w:ascii="Amiri" w:hAnsi="Amiri" w:eastAsia="Amiri" w:cs="Amiri"/>
          <w:color w:val="111111"/>
          <w:sz w:val="28"/>
          <w:sz w:val="28"/>
          <w:szCs w:val="28"/>
          <w:rtl w:val="true"/>
          <w:lang w:bidi="ar-SA"/>
        </w:rPr>
        <w:t>وجهان،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تبادل الإضافات بالمعنى الأوّل غير المرضيّ،</w:t>
      </w:r>
    </w:p>
    <w:p>
      <w:pPr>
        <w:pStyle w:val="BookText"/>
        <w:rPr/>
      </w:pPr>
      <w:r>
        <w:rPr>
          <w:rFonts w:ascii="Amiri" w:hAnsi="Amiri" w:eastAsia="Amiri" w:cs="Amiri"/>
          <w:color w:val="111111"/>
          <w:sz w:val="28"/>
          <w:sz w:val="28"/>
          <w:szCs w:val="28"/>
          <w:rtl w:val="true"/>
          <w:lang w:bidi="ar-SA"/>
        </w:rPr>
        <w:t>لا مجال للقول بالصحّة، وقد تقدّم في مسألة بيع الفضولي لنفسه ما هو التحقيق،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فراجع</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ففي مثل الكفر والارتداد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مثل قابلية العوضين للمملوكية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الاعتبار عند النقل؛ لعدم مالكية الكافر المسلم والمصحف، وعدم صحّة تملّك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أنشأ البيع فضولاً،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الإنشاء قبل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مشتري المسلم والمصحف كافراً، والمبيع خمراً، ثمّ عند الإجازة أسلم الكافر، وانقلب الخمر خلاًّ، فلا شبهة في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ويكون الشكّ في اعتبار إسلام المشتري من زمن إجراء الصيغة فضولاً إلى زمان الإجازة، وفي اعتبار قابلية المبيع للتملّك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 مرتفع بإطلاق وجوب الوفاء بالعقد وحلّية البيع على فرض إطلاقها، والدليل الدالّ على عدم مالكية الكافر للمسلم، أو عدم مملوكية الخمر، قاصر عن إثبات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المصحف من كافر فضولاً، وأجاز بعد إسلامه، صحّ على النقل، دون الكشف، ولو انعكس بطل على النقل بلا إشكال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الصحّة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مبنى كون الكشف على القواعد، فظاهر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غيره،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الأدلّة رافع للشكّ؛ لأنّه اعتبار زائد على أصل المعاملة، والتعبّد بالكشف لا يوجب خروج العقد عن موضوعية الأدلّة، فالتعبّد إنّما هو في الكشف فقط</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دليل الكشف قاصراً عن إثبات الكشف في المورد، فالأخذ بالقواعد في مورد القصور يقتضي النقل، ولمّا كان النقل أيضاً باطلاً، يقع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جارٍ في جميع موارد قصور دليل الكشف، فإنّه يرجع معه إلى القواعد، ومقتضاها النقل، فمع صحّة النقل نقول به، ومع عدم صحّته تبطل المعاملة، وقد تقدّم أنّه لا دليل على الكشف، وما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الثمرة فيما مرّ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موت الأصيل قبل إجازة الآخر، فلا شبهة في عدم تأثير الإجازة على النقل؛ لعدم اعتبار مالكية الميّت، وعلى فرض اعتبارها له في بعض الأحيان، لا يكون إلاّ بدليل خاصّ، والأدلّة العامّة قاصرة عن إثبات النقل إليه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الكشف،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القواعد، لا مجال له لإنكار الصحّة هاهنا؛ لأنّ إطلاق دليل وجوب الوفاء يرفع احتمال استمرار بقاء حياة البائع الأصيل إلى زمان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القاعدة، لا مجال له للحكم بالصحّة؛ لاحتمال دخالة المعاقدة بين الحيّين في الصحّة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المعاقدة حاصلة بينهما؛ لأنّ الأصيل حال العقد حيّ، والمجيز يعاقده حال حياته، فهو مع كونه كلاماً شعرياً، لا يفيد في المقام؛ لأنّ احتمال دخالة استمرار حياة الأصيل إلى زمان الإجازة في الكشف، لا دافع له مع عدم إطلاق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الموضوع نفس البيع وعنوانه مع لحوق الإجازة متأخّراً، صحّ على الكشف، لكن أنّى له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أنّه مع موت الأصيل يقوم ورّاثه مقامه، بل وإذا مات المالك الأصلي أيضاً يقوم ورّاثه مقامه في الإجازة، بحث خارج عن المقام، وإن كان الأصحّ أنّ إجازة المجيز لا تكفي في الصحّة الفعلية بعد انتقال العوض إلى ورثة الأصيل بالإرث، بل لا بدّ من إجازتهم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إنّ المال انتقل إليهم مع ثبوت حقّ الإجازة،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الورثة قائمون مقام المورّث، لا أنّ المال انتقل إليهم، لكان لما ذكر وجه، لكنّ الاحتمالين ساقطان، ولا سيّما الثاني منهما، وإن ذهب إليه بعض الأعاظم قدّس سرّه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تلف أحد العوضين، فعلى الكشف تصحّ المعاملة، دون النقل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تلف المبيع لا ثمرة؛ لأنّه قبل القبض من مال بائعه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الكلام في الفضولي ليس في البيع فقط، وفي التلف ليس في تلف المبيع فقط، بل لو تلف الثمن الشخصي الذي وقع عليه البيع تظهر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إتلاف المبيع سواء كان من قبل الأجنبيّ، أو من قبل البائع، تظهر أيضاً؛ فإنّ الحكم في تلف المبيع تعبّدي، مستنده النبوي المفتى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وهو ظاهر في التلف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ادّعيت الشهرة وعدم وجدان الخلاف في أنّ المشتري مع إتلاف الأجنبيّ مخيّر بين الرجوع إلى المتلف والفسخ</w:t>
      </w:r>
      <w:r>
        <w:rPr>
          <w:rStyle w:val="FootnoteAnchor"/>
          <w:rtl w:val="true"/>
        </w:rPr>
        <w:footnoteReference w:id="542"/>
      </w:r>
      <w:r>
        <w:rPr>
          <w:rFonts w:ascii="Amiri" w:hAnsi="Amiri" w:eastAsia="Amiri" w:cs="Amiri"/>
          <w:color w:val="111111"/>
          <w:sz w:val="28"/>
          <w:sz w:val="28"/>
          <w:szCs w:val="28"/>
          <w:rtl w:val="true"/>
          <w:lang w:bidi="ar-SA"/>
        </w:rPr>
        <w:t>، وهو أيضاً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فقدان شرائط نفس العقد في حاله، دون حال الإجازة وبالعكس، فيتصوّر في تبدّل الرأي، فلو كان رأيه صحّة العقد بالفارسي فعقد، وتبدّل رأيه قبل الإجازة، فالظاهر صحّته على الكشف؛ لأنّ المعاملة تامّة، وتسالم الأصحاب على الإجزاء، وعدم هدم الاجتهاد الثاني الآثار المترتّبة على الاجتهاد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النقل حيث لم تتمّ المعاملة، ولم يكن مورد تسلّم الأصحاب،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العقد؛ إذ لا دليل على الإجزاء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قدّس سرّه</w:t>
      </w:r>
      <w:r>
        <w:rPr>
          <w:rStyle w:val="FootnoteAnchor"/>
          <w:rtl w:val="true"/>
        </w:rPr>
        <w:footnoteReference w:id="543"/>
      </w:r>
      <w:r>
        <w:rPr>
          <w:rFonts w:ascii="Amiri" w:hAnsi="Amiri" w:eastAsia="Amiri" w:cs="Amiri"/>
          <w:color w:val="111111"/>
          <w:sz w:val="28"/>
          <w:sz w:val="28"/>
          <w:szCs w:val="28"/>
          <w:rtl w:val="true"/>
          <w:lang w:bidi="ar-SA"/>
        </w:rPr>
        <w:t>وغيره</w:t>
      </w:r>
      <w:r>
        <w:rPr>
          <w:rStyle w:val="FootnoteAnchor"/>
          <w:rtl w:val="true"/>
        </w:rPr>
        <w:footnoteReference w:id="544"/>
      </w:r>
      <w:r>
        <w:rPr>
          <w:rFonts w:ascii="Amiri" w:hAnsi="Amiri" w:eastAsia="Amiri" w:cs="Amiri"/>
          <w:color w:val="111111"/>
          <w:sz w:val="28"/>
          <w:sz w:val="28"/>
          <w:szCs w:val="28"/>
          <w:rtl w:val="true"/>
          <w:lang w:bidi="ar-SA"/>
        </w:rPr>
        <w:t>ذكروا ثمرات اُخرى، أغمضنا عن ذكرها، ولا بأس بذكر التنبيهات المذكورة</w:t>
      </w:r>
      <w:r>
        <w:rPr>
          <w:rFonts w:eastAsia="Amiri" w:cs="Amiri" w:ascii="Amiri" w:hAnsi="Amiri"/>
          <w:color w:val="111111"/>
          <w:sz w:val="28"/>
          <w:szCs w:val="28"/>
          <w:rtl w:val="true"/>
          <w:lang w:bidi="ar-SA"/>
        </w:rPr>
        <w:t xml:space="preserve">. </w:t>
      </w:r>
      <w:bookmarkStart w:id="287" w:name="pg15204_140454"/>
    </w:p>
    <w:p>
      <w:pPr>
        <w:pStyle w:val="Heading5"/>
        <w:numPr>
          <w:ilvl w:val="4"/>
          <w:numId w:val="1"/>
        </w:numPr>
        <w:rPr/>
      </w:pPr>
      <w:bookmarkStart w:id="288" w:name="__RefHeading___Toc2758856_2142443653"/>
      <w:bookmarkStart w:id="289" w:name="_Toc104"/>
      <w:bookmarkEnd w:id="287"/>
      <w:bookmarkEnd w:id="288"/>
      <w:r>
        <w:rPr>
          <w:rtl w:val="true"/>
        </w:rPr>
        <w:t>تنبيهات الإجازة</w:t>
      </w:r>
      <w:bookmarkEnd w:id="289"/>
    </w:p>
    <w:p>
      <w:pPr>
        <w:pStyle w:val="Heading6"/>
        <w:numPr>
          <w:ilvl w:val="5"/>
          <w:numId w:val="1"/>
        </w:numPr>
        <w:rPr/>
      </w:pPr>
      <w:bookmarkStart w:id="290" w:name="__RefHeading___Toc2758858_2142443653"/>
      <w:bookmarkStart w:id="291" w:name="_Toc105"/>
      <w:bookmarkEnd w:id="290"/>
      <w:r>
        <w:rPr>
          <w:rtl w:val="true"/>
        </w:rPr>
        <w:t>التنبيه الأوّل</w:t>
      </w:r>
      <w:r>
        <w:rPr>
          <w:rtl w:val="true"/>
        </w:rPr>
        <w:t xml:space="preserve">: </w:t>
      </w:r>
      <w:r>
        <w:rPr>
          <w:rtl w:val="true"/>
        </w:rPr>
        <w:t>لو كانت الإجازة على خلاف اقتضاء الكشف أو النقل</w:t>
      </w:r>
      <w:bookmarkEnd w:id="291"/>
    </w:p>
    <w:p>
      <w:pPr>
        <w:pStyle w:val="BookText"/>
        <w:rPr/>
      </w:pPr>
      <w:r>
        <w:rPr>
          <w:rFonts w:ascii="Amiri" w:hAnsi="Amiri" w:eastAsia="Amiri" w:cs="Amiri"/>
          <w:color w:val="111111"/>
          <w:sz w:val="28"/>
          <w:sz w:val="28"/>
          <w:szCs w:val="28"/>
          <w:rtl w:val="true"/>
          <w:lang w:bidi="ar-SA"/>
        </w:rPr>
        <w:t>لو أجاز العقد من حال الإجازة، فهل يصحّ العقد والإجازة حتّى على الكشف أو لا؟ أو أجاز من حين العقد، فهل يصحّ حتّى على النقل أو لا؟</w:t>
      </w:r>
    </w:p>
    <w:p>
      <w:pPr>
        <w:pStyle w:val="BookText"/>
        <w:rPr/>
      </w:pPr>
      <w:r>
        <w:rPr>
          <w:rFonts w:ascii="Amiri" w:hAnsi="Amiri" w:eastAsia="Amiri" w:cs="Amiri"/>
          <w:color w:val="111111"/>
          <w:sz w:val="28"/>
          <w:sz w:val="28"/>
          <w:szCs w:val="28"/>
          <w:rtl w:val="true"/>
          <w:lang w:bidi="ar-SA"/>
        </w:rPr>
        <w:t>محطّ البحث هاهنا ما لو كانت الإجازة على خلاف اقتضاء الكشف، فهل يصحّ العقد والإجازة على الكشف، أو على خلاف اقتضاء النقل، فهل يصحّان على النقل؟</w:t>
      </w:r>
    </w:p>
    <w:p>
      <w:pPr>
        <w:pStyle w:val="BookText"/>
        <w:rPr/>
      </w:pPr>
      <w:r>
        <w:rPr>
          <w:rFonts w:ascii="Amiri" w:hAnsi="Amiri" w:eastAsia="Amiri" w:cs="Amiri"/>
          <w:color w:val="111111"/>
          <w:sz w:val="28"/>
          <w:sz w:val="28"/>
          <w:szCs w:val="28"/>
          <w:rtl w:val="true"/>
          <w:lang w:bidi="ar-SA"/>
        </w:rPr>
        <w:t>فقضيّة تعدّد المطلوب والشرط الفاسد أجنبيّة عن محطّه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الكشف الحقيقي، فالقائل به إمّا أن يرى أنّ العقد الإنشائي المتعقّب بإجازته</w:t>
      </w:r>
      <w:r>
        <w:rPr>
          <w:rStyle w:val="FootnoteAnchor"/>
          <w:rtl w:val="true"/>
        </w:rPr>
        <w:footnoteReference w:id="545"/>
      </w:r>
      <w:r>
        <w:rPr>
          <w:rFonts w:ascii="IRNazanin" w:hAnsi="IRNazanin" w:eastAsia="IRNazanin"/>
          <w:color w:val="111111"/>
          <w:sz w:val="28"/>
          <w:sz w:val="28"/>
          <w:szCs w:val="28"/>
          <w:rtl w:val="true"/>
          <w:lang w:bidi="fa-IR"/>
        </w:rPr>
        <w:t>، أو الملحوظ مع إجازته</w:t>
      </w:r>
      <w:r>
        <w:rPr>
          <w:rStyle w:val="FootnoteAnchor"/>
          <w:rtl w:val="true"/>
        </w:rPr>
        <w:footnoteReference w:id="546"/>
      </w:r>
      <w:r>
        <w:rPr>
          <w:rFonts w:ascii="Amiri" w:hAnsi="Amiri" w:eastAsia="Amiri" w:cs="Amiri"/>
          <w:color w:val="111111"/>
          <w:sz w:val="28"/>
          <w:sz w:val="28"/>
          <w:szCs w:val="28"/>
          <w:rtl w:val="true"/>
          <w:lang w:bidi="ar-SA"/>
        </w:rPr>
        <w:t>، أو الحصّة المضافة إلى إجازته</w:t>
      </w:r>
      <w:r>
        <w:rPr>
          <w:rStyle w:val="FootnoteAnchor"/>
          <w:rtl w:val="true"/>
        </w:rPr>
        <w:footnoteReference w:id="547"/>
      </w:r>
      <w:r>
        <w:rPr>
          <w:rFonts w:ascii="Amiri" w:hAnsi="Amiri" w:eastAsia="Amiri" w:cs="Amiri"/>
          <w:color w:val="111111"/>
          <w:sz w:val="28"/>
          <w:sz w:val="28"/>
          <w:szCs w:val="28"/>
          <w:rtl w:val="true"/>
          <w:lang w:bidi="ar-SA"/>
        </w:rPr>
        <w:t>، أو المقارن للرضا التقديري</w:t>
      </w:r>
      <w:r>
        <w:rPr>
          <w:rStyle w:val="FootnoteAnchor"/>
          <w:rtl w:val="true"/>
        </w:rPr>
        <w:footnoteReference w:id="548"/>
      </w:r>
      <w:r>
        <w:rPr>
          <w:rFonts w:ascii="Amiri" w:hAnsi="Amiri" w:eastAsia="Amiri" w:cs="Amiri"/>
          <w:color w:val="111111"/>
          <w:sz w:val="28"/>
          <w:sz w:val="28"/>
          <w:szCs w:val="28"/>
          <w:rtl w:val="true"/>
          <w:lang w:bidi="ar-SA"/>
        </w:rPr>
        <w:t xml:space="preserve">، مؤثّر، فلو تعقّب العقد بالإجازة من حينها، لم تتحقّق العناوين؛ ضرورة أنّ التعقّب بمطلق الإجازة ليس مؤثّراً، بل المتعقّب </w:t>
      </w:r>
    </w:p>
    <w:p>
      <w:pPr>
        <w:pStyle w:val="BookText"/>
        <w:rPr/>
      </w:pPr>
      <w:r>
        <w:rPr>
          <w:rFonts w:ascii="Amiri" w:hAnsi="Amiri" w:eastAsia="Amiri" w:cs="Amiri"/>
          <w:color w:val="111111"/>
          <w:sz w:val="28"/>
          <w:sz w:val="28"/>
          <w:szCs w:val="28"/>
          <w:rtl w:val="true"/>
          <w:lang w:bidi="ar-SA"/>
        </w:rPr>
        <w:t>بالإجازة المتعلّقة بالعقد الإنشائي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رأى أنّ المنشأ بوجوده الحدوثي المتعقّب بإجازته، أو الملحوظ كذلك، أو المقارن للرضا، مؤثّر؛ فإنّ إجازة الحصّة المقارنة للإجازة لا يعقل أن تصير موضوعاً ومؤثّراً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المقارنة للإجازة، ساقط على القول بالكشف الحقيقي، بل غير معقول؛ للزوم تأثير الشيء في المتقدّم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الحكمي، فعلى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مضمون العقد هو النقل من حينه</w:t>
      </w:r>
      <w:r>
        <w:rPr>
          <w:rStyle w:val="FootnoteAnchor"/>
          <w:rtl w:val="true"/>
        </w:rPr>
        <w:footnoteReference w:id="549"/>
      </w:r>
      <w:r>
        <w:rPr>
          <w:rFonts w:ascii="Amiri" w:hAnsi="Amiri" w:eastAsia="Amiri" w:cs="Amiri"/>
          <w:color w:val="111111"/>
          <w:sz w:val="28"/>
          <w:sz w:val="28"/>
          <w:szCs w:val="28"/>
          <w:rtl w:val="true"/>
          <w:lang w:bidi="ar-SA"/>
        </w:rPr>
        <w:t>، أو أنّ إطلاقه يقتضي النقل من حينه إن أجاز من حين الإجازة</w:t>
      </w:r>
      <w:r>
        <w:rPr>
          <w:rStyle w:val="FootnoteAnchor"/>
          <w:rtl w:val="true"/>
        </w:rPr>
        <w:footnoteReference w:id="550"/>
      </w:r>
      <w:r>
        <w:rPr>
          <w:rFonts w:ascii="Amiri" w:hAnsi="Amiri" w:eastAsia="Amiri" w:cs="Amiri"/>
          <w:color w:val="111111"/>
          <w:sz w:val="28"/>
          <w:sz w:val="28"/>
          <w:szCs w:val="28"/>
          <w:rtl w:val="true"/>
          <w:lang w:bidi="ar-SA"/>
        </w:rPr>
        <w:t>، كانت الإجازة على خلاف مضمون العقد، أو مقتضى إطلاقه، فلا تكون مثل تلك الإجازة مؤثّرة من حال العقد؛ لأنّ مضمونه غير مجاز، والمجاز غير مضمونه ومقتضاه، من غير فرق بين النقل الانقلابي حقيقة أو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التعبّدي، فهو تابع لمقدار التعبّد، وقد عرفت أنّه لا دليل عليه يمكن التمسّك بإطلاقه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احتملنا أنّ موضوع التعبّد بالكشف هو العقد مع الإجازة الملحقة به، من غير تقييد بحال العقد أو بحال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المتيقّن من الأدلّة على فرض دلالتها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التخلّف حتّى بالتقييد بالموافقة، يشكّ في موضوع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 يظهر الحال في الإجازة المخالفة للنقل على القول به؛ فإنّ القائل بالنقل يرى أنّ العقد بوجوده البقائي اعتباراً جزء السبب، وجزءه الآخر الإجازة، ومعها تتمّ السببية، فلا بدّ من لحوقها بالبيع الموجود اعتباراً حال الإجازة، فلو أجاز بلا قيد تلحق به، لكنّه ليس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متقيّداً بأوّل وجود العقد فلا تأثير لها؛ إذ لا يتحقّق سبب النقل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 بطلان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كونها جزءاً للمؤثّر، أو موجبةً للتأثير في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اتّضح الخلط الواقع لكثير من المحشّين؛ من التصحيح بتعدّد المطلوب</w:t>
      </w:r>
      <w:r>
        <w:rPr>
          <w:rStyle w:val="FootnoteAnchor"/>
          <w:rtl w:val="true"/>
        </w:rPr>
        <w:footnoteReference w:id="552"/>
      </w:r>
      <w:r>
        <w:rPr>
          <w:rFonts w:ascii="IRNazanin" w:hAnsi="IRNazanin" w:eastAsia="IRNazanin"/>
          <w:color w:val="111111"/>
          <w:sz w:val="28"/>
          <w:sz w:val="28"/>
          <w:szCs w:val="28"/>
          <w:rtl w:val="true"/>
          <w:lang w:bidi="fa-IR"/>
        </w:rPr>
        <w:t>، أو بعدم بطلان المشروط بالشرط الفاسد</w:t>
      </w:r>
      <w:r>
        <w:rPr>
          <w:rStyle w:val="FootnoteAnchor"/>
          <w:rtl w:val="true"/>
        </w:rPr>
        <w:footnoteReference w:id="553"/>
      </w:r>
      <w:r>
        <w:rPr>
          <w:rFonts w:ascii="Amiri" w:hAnsi="Amiri" w:eastAsia="Amiri" w:cs="Amiri"/>
          <w:color w:val="111111"/>
          <w:sz w:val="28"/>
          <w:sz w:val="28"/>
          <w:szCs w:val="28"/>
          <w:rtl w:val="true"/>
          <w:lang w:bidi="ar-SA"/>
        </w:rPr>
        <w:t>، أو بإلغاء القيد ولغويته</w:t>
      </w:r>
      <w:r>
        <w:rPr>
          <w:rStyle w:val="FootnoteAnchor"/>
          <w:rtl w:val="true"/>
        </w:rPr>
        <w:footnoteReference w:id="554"/>
      </w:r>
      <w:r>
        <w:rPr>
          <w:rFonts w:ascii="Amiri" w:hAnsi="Amiri" w:eastAsia="Amiri" w:cs="Amiri"/>
          <w:color w:val="111111"/>
          <w:sz w:val="28"/>
          <w:sz w:val="28"/>
          <w:szCs w:val="28"/>
          <w:rtl w:val="true"/>
          <w:lang w:bidi="ar-SA"/>
        </w:rPr>
        <w:t>، فإنّها خارجة عن محطّ الكلام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انعقد البحث بأنّ الإجازة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مقارنتها بقيد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خلاف الكشف أو النقل، هل يمكن تصحيحها بإلغاء القيد أو الشرط أو نحو ذلك؟ كان لما ذكروا وجه</w:t>
      </w:r>
      <w:r>
        <w:rPr>
          <w:rFonts w:eastAsia="Amiri" w:cs="Amiri" w:ascii="Amiri" w:hAnsi="Amiri"/>
          <w:color w:val="111111"/>
          <w:sz w:val="28"/>
          <w:szCs w:val="28"/>
          <w:rtl w:val="true"/>
          <w:lang w:bidi="ar-SA"/>
        </w:rPr>
        <w:t xml:space="preserve">. </w:t>
      </w:r>
      <w:bookmarkStart w:id="292" w:name="pg15204_140457"/>
    </w:p>
    <w:p>
      <w:pPr>
        <w:pStyle w:val="Heading6"/>
        <w:numPr>
          <w:ilvl w:val="5"/>
          <w:numId w:val="1"/>
        </w:numPr>
        <w:rPr/>
      </w:pPr>
      <w:bookmarkStart w:id="293" w:name="__RefHeading___Toc2758860_2142443653"/>
      <w:bookmarkStart w:id="294" w:name="_Toc106"/>
      <w:bookmarkEnd w:id="292"/>
      <w:bookmarkEnd w:id="293"/>
      <w:r>
        <w:rPr>
          <w:rtl w:val="true"/>
        </w:rPr>
        <w:t>التنبيه الثاني</w:t>
      </w:r>
      <w:r>
        <w:rPr>
          <w:rtl w:val="true"/>
        </w:rPr>
        <w:t xml:space="preserve">: </w:t>
      </w:r>
      <w:r>
        <w:rPr>
          <w:rtl w:val="true"/>
        </w:rPr>
        <w:t>حول اعتبار الإنشاء في الإجازة</w:t>
      </w:r>
      <w:bookmarkEnd w:id="294"/>
    </w:p>
    <w:p>
      <w:pPr>
        <w:pStyle w:val="Heading6"/>
        <w:numPr>
          <w:ilvl w:val="5"/>
          <w:numId w:val="1"/>
        </w:numPr>
        <w:rPr/>
      </w:pPr>
      <w:bookmarkStart w:id="295" w:name="__RefHeading___Toc2758862_2142443653"/>
      <w:bookmarkStart w:id="296" w:name="_Toc107"/>
      <w:bookmarkEnd w:id="295"/>
      <w:r>
        <w:rPr>
          <w:rtl w:val="true"/>
        </w:rPr>
        <w:t>لا يعتبر في نفوذ العقد الفضولي إلاّ الرضا</w:t>
      </w:r>
      <w:bookmarkEnd w:id="296"/>
    </w:p>
    <w:p>
      <w:pPr>
        <w:pStyle w:val="BookText"/>
        <w:rPr/>
      </w:pPr>
      <w:r>
        <w:rPr>
          <w:rFonts w:ascii="Amiri" w:hAnsi="Amiri" w:eastAsia="Amiri" w:cs="Amiri"/>
          <w:color w:val="111111"/>
          <w:sz w:val="28"/>
          <w:sz w:val="28"/>
          <w:szCs w:val="28"/>
          <w:rtl w:val="true"/>
          <w:lang w:bidi="ar-SA"/>
        </w:rPr>
        <w:t>لا يعتبر في نفوذ العقد الفضولي إلاّ الرضا، ولو شكّ في الرضا يحكم في الظاهر بعدم التأثير وعدم النقل؛ لاستصحاب بقاء ملك كلّ منهما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باعتبار إنشاء الإجازة والإنفاذ</w:t>
      </w:r>
      <w:r>
        <w:rPr>
          <w:rStyle w:val="FootnoteAnchor"/>
          <w:rtl w:val="true"/>
        </w:rPr>
        <w:footnoteReference w:id="555"/>
      </w:r>
      <w:r>
        <w:rPr>
          <w:rFonts w:ascii="Amiri" w:hAnsi="Amiri" w:eastAsia="Amiri" w:cs="Amiri"/>
          <w:color w:val="111111"/>
          <w:sz w:val="28"/>
          <w:sz w:val="28"/>
          <w:szCs w:val="28"/>
          <w:rtl w:val="true"/>
          <w:lang w:bidi="ar-SA"/>
        </w:rPr>
        <w:t>، وهو غير مرضيّ؛ لأنّ اعتباره إمّا لأجل عدم صدق العناوين إلاّ به، كما قيل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العقد مركّباً من الإيجاب ومنه، وهما ركنان فيه</w:t>
      </w:r>
      <w:r>
        <w:rPr>
          <w:rStyle w:val="FootnoteAnchor"/>
          <w:rtl w:val="true"/>
        </w:rPr>
        <w:footnoteReference w:id="556"/>
      </w:r>
      <w:r>
        <w:rPr>
          <w:rFonts w:ascii="Amiri" w:hAnsi="Amiri" w:eastAsia="Amiri" w:cs="Amiri"/>
          <w:color w:val="111111"/>
          <w:sz w:val="28"/>
          <w:sz w:val="28"/>
          <w:szCs w:val="28"/>
          <w:rtl w:val="true"/>
          <w:lang w:bidi="ar-SA"/>
        </w:rPr>
        <w:t>،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في الفضولي كالقبول في غيره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ضرورة صدق العناوين عليه، أجازه، أو ردّه، أو لا؛ فإنّ البيع مثلاً ليس إلاّ تمليك العين بالعوض، وبيع الفضولي لا يقصر عن بيع الأصيل في ذلك، وحصول الأثر لا دخالة له في عنوان المعاملات، بل لا يعقل دخالته فيه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العناوين صادقة على الفاسد من المصاديق، فبيع الربوي والخمر بيع فاسد، وبيع الصرف قبل القبض بيع، فالفضولي بيع عرفاً وشرعاً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لأجل أنّ المعتبر في الفضولي صيرورته عقداً وبيعاً وتجارة للأصيل، 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عقودكم، وكذا سائر العناوين، فإنّ الوفاء لا يجب إلاّ على من كان العقد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فالأدلّة لا تشمل الفضولي رأساً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متقيّدة بالرضا فقط، بل الخطاب للأصيل؛ باعتبار كون العقد عقده، ولا يصير العقد عقده إلاّ بإنشاء الإجازة، فإنّ الانتساب أمر تسبيبي كالبيع، لا يحصل إلاّ بالإنشاء والإيجاد، ولا يحصل بالرضا أو بإظهاره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الإنشاء الصادر من الفضولي وحاصله الذي لا يختلف مع المصدر إلاّ اعتباراً، لا يكون فعلاً ولا أثر فعل إلاّ للفضولي، والمالك الأصلي لم يوجد العقد، ولا يكون العقد فعله، ولا نتيجة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فلو كان المعتبر صيرورة العقد عقده، لا شبهة في أنّ الإجازة بأيّ وجه اُخذت، لا توجب ذلك</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الأصيلين لا يعقل أن يكون عقد كلّ منهما </w:t>
      </w:r>
      <w:r>
        <w:rPr>
          <w:rStyle w:val="FootnoteAnchor"/>
          <w:rtl w:val="true"/>
        </w:rPr>
        <w:footnoteReference w:id="559"/>
      </w:r>
      <w:r>
        <w:rPr>
          <w:rFonts w:ascii="Amiri" w:hAnsi="Amiri" w:eastAsia="Amiri" w:cs="Amiri"/>
          <w:color w:val="111111"/>
          <w:sz w:val="28"/>
          <w:sz w:val="28"/>
          <w:szCs w:val="28"/>
          <w:rtl w:val="true"/>
          <w:lang w:bidi="ar-SA"/>
        </w:rPr>
        <w:t>،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مركّب من الإيجاب والقبول وهما ركنان،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تمام ماهية العقد توجد بفعل الموجب كما هو الواقع؛ فإنّه على الأوّل لا يكون العقد فعل كلّ منهما حقيقة، بل جزء منه فعل الموجب، وجزؤه الآخر فعل القابل، وكذا البيع والتجارة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نسب الكلّ إلى كلّ منهما، فهو بنحو من الادّعاء والمجاز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فعل القابل؛ فإنّ القابل لا شأن له إلاّ مطاوعة ما أوجده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كون العقد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يصدق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بيع كلّ منهما وعقده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عقد الأصيلين كذلك، ولا الوكيل منهما، ولا المأذون، ولا الفضولي، ولمّا لم نشكّ في أنّ عقد الأصيلين ووكيلهما والمأذون منهما مشمول للأدلّة، فلا نشكّ في عدم اعتبار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المعتبر أن يكون للعقد والبيع والتجارة نحو ارتباط وانتساب إلى المالكين، إمّا بإيجاد كلّ منهما ركناً منه، أو إيجاد أحدهما وقبول الآخر، أو إيجاد وكيلهما، أو كونه مأذوناً فيه،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عند العقلاء كافّة، والأدلّة لا تخرج عمّا يفهمه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في الأصيلين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الواقع بينهما كافٍ في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الوفاء على كلّ بالعقد الواقع بينهما، فالعقد عقدهما، فيجب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ذلك في باب الوكالة والإذن، وكذا الفضولي؛ لعدم الصدق إلاّ مسامحة ومجازاً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الإجازة والإمضاء والإنفاذ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عن صيرورة العقد بها عقد المالك</w:t>
      </w:r>
      <w:r>
        <w:rPr>
          <w:rStyle w:val="FootnoteAnchor"/>
          <w:rtl w:val="true"/>
        </w:rPr>
        <w:footnoteReference w:id="560"/>
      </w:r>
      <w:r>
        <w:rPr>
          <w:rFonts w:ascii="Amiri" w:hAnsi="Amiri" w:eastAsia="Amiri" w:cs="Amiri"/>
          <w:color w:val="111111"/>
          <w:sz w:val="28"/>
          <w:sz w:val="28"/>
          <w:szCs w:val="28"/>
          <w:rtl w:val="true"/>
          <w:lang w:bidi="ar-SA"/>
        </w:rPr>
        <w:t>فإنّها إجازة فعل الغير وإمضاؤه وإنفاذه،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فعلته وأوجدته أمضيته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لو كان كناية عن الإمضاء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فالصفقة اعتبرت على ما هو الواقع من كونها صفقة يمينه، فكيف يمكن أن يكون هذا الأمر 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وعنواناً وأثراً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لملاحظة كون العقد عقد الأصيل، موجباً لصيرورته كذلك حتّى مجازاً وادّعاءً، فضلاً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للشارع أن يدّعي أنّ العقد عقدهما باعتبار نحو استناد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يتمّ إلاّ مع ثبوت استعمال العناوين مجازاً، وإلاّ فالأصل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الإجازة موجبة لكون العقد مجازاً من المالك، وهو كافٍ في النفوذ ووجوب الوفاء عرفاً وشرعاً، وهذا المعنى بعينه موجود في الرضا؛ فإنّ العقد مع الرضا عقد مرضيّ به من المالك، وهو كافٍ، بل هو أولى بشمول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العقد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الانتساب أمراً تسبيبياً لا بدّ لحصوله من الإنشاء والإيجاد</w:t>
      </w:r>
      <w:r>
        <w:rPr>
          <w:rStyle w:val="FootnoteAnchor"/>
          <w:rtl w:val="true"/>
        </w:rPr>
        <w:footnoteReference w:id="562"/>
      </w:r>
      <w:r>
        <w:rPr>
          <w:rFonts w:ascii="Amiri" w:hAnsi="Amiri" w:eastAsia="Amiri" w:cs="Amiri"/>
          <w:color w:val="111111"/>
          <w:sz w:val="28"/>
          <w:sz w:val="28"/>
          <w:szCs w:val="28"/>
          <w:rtl w:val="true"/>
          <w:lang w:bidi="ar-SA"/>
        </w:rPr>
        <w:t>، غير مرضيّة؛ فإنّ ما هو تسبيبي ومحتاج إلى الإنشاء والإيجاد، هو عناوين المعاملات، وهي حاصلة في الفضولي كالأصيل، بلا فرق بينهما، كما أنّ العقد لا يكون عقدهما في شيء من الموارد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والانتساب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نحو ربط بين العقد والمالك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بالرضا وبالإجازة وبالإذن ونحوها، وهو كافٍ في شمول الأدلّة، بعد عدم اشتمالها على أمر يوجب عدم الصدق،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بعقودكم</w:t>
      </w:r>
      <w:r>
        <w:rPr>
          <w:rFonts w:eastAsia="Amiri" w:cs="Amiri" w:ascii="Amiri" w:hAnsi="Amiri"/>
          <w:color w:val="111111"/>
          <w:sz w:val="28"/>
          <w:szCs w:val="28"/>
          <w:rtl w:val="true"/>
          <w:lang w:bidi="ar-SA"/>
        </w:rPr>
        <w:t xml:space="preserve">». </w:t>
      </w:r>
      <w:bookmarkStart w:id="297" w:name="pg15204_140461"/>
    </w:p>
    <w:p>
      <w:pPr>
        <w:pStyle w:val="BookText"/>
        <w:rPr/>
      </w:pPr>
      <w:bookmarkEnd w:id="297"/>
      <w:r>
        <w:rPr>
          <w:rFonts w:ascii="Amiri" w:hAnsi="Amiri" w:eastAsia="Amiri" w:cs="Amiri"/>
          <w:color w:val="111111"/>
          <w:sz w:val="28"/>
          <w:sz w:val="28"/>
          <w:szCs w:val="28"/>
          <w:rtl w:val="true"/>
          <w:lang w:bidi="ar-SA"/>
        </w:rPr>
        <w:t>مع أنّه لو كانت الأدلّة مشتملة عليه، لا محيص إلاّ عن الحمل على نحو انتساب، غير كون العقد عقده حقيقة، إمّا بالحمل على المجاز، أو الادّعاء، ومناطه حاصل في العقد المرضيّ به كالعقد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يقتضي الشمول للعقد المرضيّ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حال مقايسة الإجازة مع القبول؛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القبول أمر إنشائي، كذا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كونه مع الفارق عرفاً، يمكن لنا دعوى عدم اعتبار الإيجاد في القبول أيضاً؛ فإنّ عنوان المعاملة الذي هو أمر تسبيبي، يحصل بالإيجاب، ولا شأن للقبول إلاّ إظهار الرضا بما أوجده، فعلى القواعد يكفي في القبول الرضا الباطني أيضاً، إلاّ أن يقوم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الرضا لا إظهاره، هذا حال الأدلّة العامّة</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2758864_2142443653"/>
      <w:bookmarkStart w:id="299" w:name="_Toc108"/>
      <w:bookmarkEnd w:id="298"/>
      <w:r>
        <w:rPr>
          <w:rtl w:val="true"/>
        </w:rPr>
        <w:t>دلالة صحيحة الحذّاء على كفاية الرضا في الإجازة</w:t>
      </w:r>
      <w:bookmarkEnd w:id="2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الأدلّة الخاصّة، فمقتضى صحيحة الحذّاء</w:t>
      </w:r>
      <w:r>
        <w:rPr>
          <w:rStyle w:val="FootnoteAnchor"/>
          <w:rtl w:val="true"/>
        </w:rPr>
        <w:footnoteReference w:id="563"/>
      </w:r>
      <w:r>
        <w:rPr>
          <w:rFonts w:ascii="Amiri" w:hAnsi="Amiri" w:eastAsia="Amiri" w:cs="Amiri"/>
          <w:color w:val="111111"/>
          <w:sz w:val="28"/>
          <w:sz w:val="28"/>
          <w:szCs w:val="28"/>
          <w:rtl w:val="true"/>
          <w:lang w:bidi="ar-SA"/>
        </w:rPr>
        <w:t>هو اعتبار الرضا ليس إلاّ، والعجب أنّ الشيخ قدّس سرّه وغيره مع عدّهم لها من أدلّة الفضولي، واستدلالهم بها على الكشف</w:t>
      </w:r>
      <w:r>
        <w:rPr>
          <w:rStyle w:val="FootnoteAnchor"/>
          <w:rtl w:val="true"/>
        </w:rPr>
        <w:footnoteReference w:id="564"/>
      </w:r>
      <w:r>
        <w:rPr>
          <w:rFonts w:ascii="Amiri" w:hAnsi="Amiri" w:eastAsia="Amiri" w:cs="Amiri"/>
          <w:color w:val="111111"/>
          <w:sz w:val="28"/>
          <w:sz w:val="28"/>
          <w:szCs w:val="28"/>
          <w:rtl w:val="true"/>
          <w:lang w:bidi="ar-SA"/>
        </w:rPr>
        <w:t>، لم يتمسّكوا في المقام بها، مع أنّها صريحة في ذلك، أو كالصريحة فيه، فراجعها</w:t>
      </w:r>
      <w:r>
        <w:rPr>
          <w:rFonts w:eastAsia="Amiri" w:cs="Amiri" w:ascii="Amiri" w:hAnsi="Amiri"/>
          <w:color w:val="111111"/>
          <w:sz w:val="28"/>
          <w:szCs w:val="28"/>
          <w:rtl w:val="true"/>
          <w:lang w:bidi="ar-SA"/>
        </w:rPr>
        <w:t xml:space="preserve">. </w:t>
      </w:r>
      <w:bookmarkStart w:id="300" w:name="pg15204_140462"/>
    </w:p>
    <w:p>
      <w:pPr>
        <w:pStyle w:val="BookText"/>
        <w:rPr/>
      </w:pPr>
      <w:bookmarkEnd w:id="300"/>
      <w:r>
        <w:rPr>
          <w:rFonts w:ascii="Amiri" w:hAnsi="Amiri" w:eastAsia="Amiri" w:cs="Amiri"/>
          <w:color w:val="111111"/>
          <w:sz w:val="28"/>
          <w:sz w:val="28"/>
          <w:szCs w:val="28"/>
          <w:rtl w:val="true"/>
          <w:lang w:bidi="ar-SA"/>
        </w:rPr>
        <w:t xml:space="preserve">نعم، بناءً على ما قلنا في مفادها </w:t>
      </w:r>
      <w:r>
        <w:rPr>
          <w:rStyle w:val="FootnoteAnchor"/>
          <w:rtl w:val="true"/>
        </w:rPr>
        <w:footnoteReference w:id="565"/>
      </w:r>
      <w:r>
        <w:rPr>
          <w:rFonts w:ascii="Amiri" w:hAnsi="Amiri" w:eastAsia="Amiri" w:cs="Amiri"/>
          <w:color w:val="111111"/>
          <w:sz w:val="28"/>
          <w:sz w:val="28"/>
          <w:szCs w:val="28"/>
          <w:rtl w:val="true"/>
          <w:lang w:bidi="ar-SA"/>
        </w:rPr>
        <w:t>فهي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اعتبرنا إنشاء الإجازة، فلا إشكال في حصوله بأيّ مظهر عقلائي؛ من اللفظ الصريح، والكنائي، والفعل إذا فهم منه ذلك، كما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تجيز بيع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الأفعال كالتصرّف، وتمكين المعقود عليها،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كاشفة عن الرضا المعتبر،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إنشاء الإجازة، فلازمه حرمة التصرّف والتمكين؛ فإنّ حصول الملكية والزواج إنّما هو بعد تحقّق العمل الذي يتحقّق به الإنشاء، فالتصرّف وقع في مال الغير بلا إذنه، والرضا المعاملي لا يفيد، والرضا بالتصرّف مفقود، كما أنّ</w:t>
      </w:r>
    </w:p>
    <w:p>
      <w:pPr>
        <w:pStyle w:val="BookText"/>
        <w:rPr/>
      </w:pPr>
      <w:r>
        <w:rPr>
          <w:rFonts w:ascii="Amiri" w:hAnsi="Amiri" w:eastAsia="Amiri" w:cs="Amiri"/>
          <w:color w:val="111111"/>
          <w:sz w:val="28"/>
          <w:sz w:val="28"/>
          <w:szCs w:val="28"/>
          <w:rtl w:val="true"/>
          <w:lang w:bidi="ar-SA"/>
        </w:rPr>
        <w:t>التمكين حرام وإن وقع به الزواج</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758866_2142443653"/>
      <w:bookmarkStart w:id="302" w:name="_Toc109"/>
      <w:bookmarkEnd w:id="301"/>
      <w:r>
        <w:rPr>
          <w:rtl w:val="true"/>
        </w:rPr>
        <w:t>تردّد الشيخ الأنصاري في كفاية الرضا الباطني</w:t>
      </w:r>
      <w:bookmarkEnd w:id="302"/>
    </w:p>
    <w:p>
      <w:pPr>
        <w:pStyle w:val="BookText"/>
        <w:rPr/>
      </w:pPr>
      <w:r>
        <w:rPr>
          <w:rFonts w:ascii="Amiri" w:hAnsi="Amiri" w:eastAsia="Amiri" w:cs="Amiri"/>
          <w:color w:val="111111"/>
          <w:sz w:val="28"/>
          <w:sz w:val="28"/>
          <w:szCs w:val="28"/>
          <w:rtl w:val="true"/>
          <w:lang w:bidi="ar-SA"/>
        </w:rPr>
        <w:t>ثمّ إنّ الشيخ الأعظم قدّس سرّه بعد اختيار كفاية الرضا الباطني، تردّد فيها؛ نظراً إلى أنّ لازمها كفايته في أوّل العقد، والظاهر أنّ الأصحاب 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بأنّه لو كان مجرّد الرضا ملزماً، لكان مجرّد الكراهة فسخاً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باللازم الأوّل لا مانع منه، وليست المسألة إجماعية بلا إشكال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اللازم الثاني فلا يلزم؛ ضرورة أنّ الاكتفاء بالرضا في الإلزام؛ لأجل أنّ </w:t>
      </w:r>
      <w:bookmarkStart w:id="303" w:name="pg15204_140463"/>
    </w:p>
    <w:p>
      <w:pPr>
        <w:pStyle w:val="BookText"/>
        <w:rPr/>
      </w:pPr>
      <w:bookmarkEnd w:id="303"/>
      <w:r>
        <w:rPr>
          <w:rFonts w:ascii="Amiri" w:hAnsi="Amiri" w:eastAsia="Amiri" w:cs="Amiri"/>
          <w:color w:val="111111"/>
          <w:sz w:val="28"/>
          <w:sz w:val="28"/>
          <w:szCs w:val="28"/>
          <w:rtl w:val="true"/>
          <w:lang w:bidi="ar-SA"/>
        </w:rPr>
        <w:t>ما هو أمر تسبيبي إنشائي حصل بإنشاء الفضولي، وشرط تأثيره الرضا، وهو أيضاً حاصل، فلا وجه لعدم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الفسخ، فهو كنفس المعاملة يحتاج إلى الإنشاء؛ فإنّه حلّ العقد، وهو أمر تسبيبي، يحتاج إيجاده إلى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يلتزم بعدم كون مجرّد الكراهة فسخاً، وإن كان مجرّد الرضا إجازة</w:t>
      </w:r>
      <w:r>
        <w:rPr>
          <w:rStyle w:val="FootnoteAnchor"/>
          <w:rtl w:val="true"/>
        </w:rPr>
        <w:footnoteReference w:id="567"/>
      </w:r>
      <w:r>
        <w:rPr>
          <w:rFonts w:ascii="Amiri" w:hAnsi="Amiri" w:eastAsia="Amiri" w:cs="Amiri"/>
          <w:color w:val="111111"/>
          <w:sz w:val="28"/>
          <w:sz w:val="28"/>
          <w:szCs w:val="28"/>
          <w:rtl w:val="true"/>
          <w:lang w:bidi="ar-SA"/>
        </w:rPr>
        <w:t>، صحيح، لكن لا لأجل كون الرضا إجازة، بل لأجل عدم الاشتراط إلاّ بالرضا، والإجازة كاشفة عنه</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758868_2142443653"/>
      <w:bookmarkStart w:id="305" w:name="_Toc110"/>
      <w:bookmarkEnd w:id="304"/>
      <w:r>
        <w:rPr>
          <w:rtl w:val="true"/>
        </w:rPr>
        <w:t>التنبيه الثالث اعتبار عدم سبق الردّ في الإجازة</w:t>
      </w:r>
      <w:bookmarkEnd w:id="305"/>
    </w:p>
    <w:p>
      <w:pPr>
        <w:pStyle w:val="Heading6"/>
        <w:numPr>
          <w:ilvl w:val="5"/>
          <w:numId w:val="1"/>
        </w:numPr>
        <w:rPr/>
      </w:pPr>
      <w:bookmarkStart w:id="306" w:name="__RefHeading___Toc2758870_2142443653"/>
      <w:bookmarkStart w:id="307" w:name="_Toc111"/>
      <w:bookmarkEnd w:id="306"/>
      <w:r>
        <w:rPr>
          <w:rtl w:val="true"/>
        </w:rPr>
        <w:t>أدلّة اعتباره</w:t>
      </w:r>
      <w:bookmarkEnd w:id="3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الإجازة أن لا يسبقها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بعد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بما أنّها تجعل المجيز أحد طرفي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مكلّفاً بوجوب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كالإيجاب إذا كان البيع فضولياً، وكالقبول إذا كان الاشتراء فضولياً، وكما أنّ الردّ بعد الإيجاب قبل القبول موجب لسلب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الموجب، أو القابل، فكذلك في المقام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المدّعى يتوقّف ثبوته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الإيجاب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الموجب أو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لسقوطهما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قبل الإجازة كالردّ 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 صحّتها بالنسبة إلى ردّ الموجب إيجابه، إذا كان الإيجاب عبارة عن الإرادة المظهرة كما قيل</w:t>
      </w:r>
      <w:r>
        <w:rPr>
          <w:rStyle w:val="FootnoteAnchor"/>
          <w:rtl w:val="true"/>
        </w:rPr>
        <w:footnoteReference w:id="569"/>
      </w:r>
      <w:r>
        <w:rPr>
          <w:rFonts w:ascii="Amiri" w:hAnsi="Amiri" w:eastAsia="Amiri" w:cs="Amiri"/>
          <w:color w:val="111111"/>
          <w:sz w:val="28"/>
          <w:sz w:val="28"/>
          <w:szCs w:val="28"/>
          <w:rtl w:val="true"/>
          <w:lang w:bidi="ar-SA"/>
        </w:rPr>
        <w:t>، أو عبارة عن البناء والقرار القلبي بأنّ هذا ملك الطرف بإزاء كذا، أو عبارة عن التعهّد بذلك</w:t>
      </w:r>
      <w:r>
        <w:rPr>
          <w:rStyle w:val="FootnoteAnchor"/>
          <w:rtl w:val="true"/>
        </w:rPr>
        <w:footnoteReference w:id="570"/>
      </w:r>
      <w:r>
        <w:rPr>
          <w:rFonts w:ascii="Amiri" w:hAnsi="Amiri" w:eastAsia="Amiri" w:cs="Amiri"/>
          <w:color w:val="111111"/>
          <w:sz w:val="28"/>
          <w:sz w:val="28"/>
          <w:szCs w:val="28"/>
          <w:rtl w:val="true"/>
          <w:lang w:bidi="ar-SA"/>
        </w:rPr>
        <w:t>، فإذا ارتبطت الإرادة المظهرة من القابل بالإرادة المظهرة من الموجب، تمّ العقد، وكذا الحال في البناء والقرار وفي التعهّد؛ لأنّ العدول عن الإيجاب قبل القبول، يوجب سقوط الإرادة والبناء والقرار القلبي، والتعهّد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يعقل ارتباط القبول بالإيجاب؛ لمعدومية الإرادة وسقوطها، وما كان مظهراً للإرادة السابقة، لا يعقل أن يبقى على مظهريته، فلا بدّ من إرادة اُخرى، وبناء آخر، وتعهّد آخر، وإظهارها حتّى يرتبط القبول به، هذا بالنسبة إلى ردّ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القابل، فلا يصلح لإسقاط إرادة الموجب، ولا قراره وبنائه، ولا تعهّده؛ لأنّ لها مبادئ خاصّة، ما دامت باقية تبقى بوجود علّتها ومبادئها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ردّ القابل وأيس الموجب من قبوله، سقطت المعاليل؛ لسقوط عللها ومبادئها، لكن لو ردّ ثمّ عدل قبل سقوطها، تمّ نصاب العقد، وارتبطت الإرادة والقرار والتعهّد بنظائرها في الموجب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لكنّ المباني كلّها غير مرضيّة، ولا يوافقها عرف، ولا عقل، ولا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الإرادة المظهرة والبناء القلبي، فتصوّره يغني في الحكم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التعهّد فقد يقال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وجوب الوفاء بالعهد، والعقد هو معاقدة الطرفين ومعاهدتهما، ومع فقد تعهّد أحدهما لا تتحقّق المعاهدة والمعاقدة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لو كان بمعنى العهد، والتعاقد لو كان بمعنى التعاهد، فلا بدّ من الالتزام بخروج البيع ونحوه منه؛ ضرورة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مبادلة مال بمال، أو تمليك عين بالعوض، وعناوين العهدة والالتزام خارجة عنه، فلا يقال لمن باع خبزاً بدرهم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عاهده، وهما تعاهدا على كون الخبز في مقابل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العرف والعقلاء يدركون عناوين المعاملات، ويغفلون عن التعاهد والمعاهدة والمعاقدة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التبادل وتمامية المعاملة، وصيرورة كلّ من العوضين ملكاً للآخر، يرى العقلاء عهدة أداء كلّ مال صاحبه، والعهدة للأداء من أحكام المعاملة لا نفسها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الربط الاعتباري الحاصل من التبادل الاعتباري، فكأنّه عقدة حاصلة من الإنشاء، كما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الَّذِى بِيَدِهِ عُقْدَةُ النِّكَاحِ</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فعقدة البيع كعقدة النكاح، فهي عبارة عن تبادل العوضين، الذي يتوهّم منه حصول عقدة بتبادل الإضافات، ولمّا كان العقد موجباً لصيرورة العوضين متبادلين، وكان لكلّ منهما عهدة أداء مال صاحبه بواسطة العقد، توجّه الأمر بوجوب الوفاء به والعمل على طبق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وردت لتصحيح المعاملات وإنفاذها، كما تمسّك بها السلف والخلف، لكن لسانها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إنفاذ أصل الماهية،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بالمطابقة على نفوذها وحلّيتها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مضمونها، وأمر بالوفاء بها، ولازمه صحّتها ونفوذها، فيدلّ عليها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الأموال الحاصلة بالتجارة، وحلّ أكلها والتصرّف فيها، فيدلّ بالالتزام على صيرورة المال ماله وصحّة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تكليفياً زائداً على لزوم العمل على طبق المعاملة، وردّ مال الغير الذي صار ماله من قبل العقد، وإنّما هو حكم إرشادي لا مولوي، وإلاّ لزمت منه صحّة العقوبتين لمن ترك العمل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عدم ردّ مال الغير، وعقوبة عدم الوفاء بالعقد، وإن كان العنوانان حاصلين بعمل واحد، واجتمعا في الردّ الخارجي، ولا أظنّ صحّة الالتزام بذلك والتزامهم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المتأخّرون اُمور عقلية، خارجة عن المتفاهم </w:t>
      </w:r>
    </w:p>
    <w:p>
      <w:pPr>
        <w:pStyle w:val="BookText"/>
        <w:rPr/>
      </w:pPr>
      <w:r>
        <w:rPr>
          <w:rFonts w:ascii="Amiri" w:hAnsi="Amiri" w:eastAsia="Amiri" w:cs="Amiri"/>
          <w:color w:val="111111"/>
          <w:sz w:val="28"/>
          <w:sz w:val="28"/>
          <w:szCs w:val="28"/>
          <w:rtl w:val="true"/>
          <w:lang w:bidi="ar-SA"/>
        </w:rPr>
        <w:t>العرفي الذي هو الميزان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المبنى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هو التبادل، أو التمليك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أنشأ الموجب ذلك فردّ القابل، لا يوجب ذلك هدم الإنشاء لا عرفاً، ولا عقلاً، ولا شرعاً، فله القبول بعد ردّه، وكذا لو ردّ الموجب؛ إذ لا دليل على سقوط إنشائه، فالقاعدة تقتضي صحّته لو رجع، إلاّ أن يقوم إجماع على خلافها، أو يحرز من العرف والعقلاء أنّ رجوع الموجب يوجب عدم اعتبار بقاء إيجابه، والعهدة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ذلك يجري استصحاب بقاء الإيجاب، فإذا لحقه القبول، يندرج في موضوع وجوب الوفاء؛ لأنّ موضوعه مركّب من الإيجاب والقبول، وهو حاصل بالأصل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موضوعه العقد، وقلنا إنّه أمر انتزاعي من الإيجاب والقبول، لكان الأصل مثبتاً؛ هذا حال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صحّتها، ومقتضى القاعدة عدم كون الردّ مضرّاً بها على جميع المباني؛ لأنّ العقد وجد بفعل الفضولي، أي بإرادته المظهرة، أو بنائه، أو تعهّده، أو إنشائه المبادلة، ولا وجه لكون ردّ غيره موجباً لهدم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المتحقّق من الغير يحتاج إلى نحو انتساب إلى المالك، وقبل الإجازة لم يكن منتسباً إليه حتّى يقطع الانتساب، وبعدها يصير منتسباً، فلو التزمنا في ردّ الموجب بأنّه موجب لعدم صدق العقد، وبعبارة اُخرى موجب لهدم الإنشاء، فلا موجب للالتزام به في المقام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ردّ القابل أيضاً موجب لذلك، فالظاهر لزوم الالتزام بذلك في </w:t>
      </w:r>
      <w:bookmarkStart w:id="308" w:name="pg15204_140468"/>
    </w:p>
    <w:p>
      <w:pPr>
        <w:pStyle w:val="BookText"/>
        <w:rPr/>
      </w:pPr>
      <w:bookmarkEnd w:id="308"/>
      <w:r>
        <w:rPr>
          <w:rFonts w:ascii="Amiri" w:hAnsi="Amiri" w:eastAsia="Amiri" w:cs="Amiri"/>
          <w:color w:val="111111"/>
          <w:sz w:val="28"/>
          <w:sz w:val="28"/>
          <w:szCs w:val="28"/>
          <w:rtl w:val="true"/>
          <w:lang w:bidi="ar-SA"/>
        </w:rPr>
        <w:t>الفضولي أيضاً؛ لأنّهما مشتركان في أنّ فعل الغير ينهدم بردّ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للإجازة شأن إلاّ قبول فعل الغير وإيجابه</w:t>
      </w:r>
      <w:r>
        <w:rPr>
          <w:rStyle w:val="FootnoteAnchor"/>
          <w:rtl w:val="true"/>
        </w:rPr>
        <w:footnoteReference w:id="573"/>
      </w:r>
      <w:r>
        <w:rPr>
          <w:rFonts w:ascii="Amiri" w:hAnsi="Amiri" w:eastAsia="Amiri" w:cs="Amiri"/>
          <w:color w:val="111111"/>
          <w:sz w:val="28"/>
          <w:sz w:val="28"/>
          <w:szCs w:val="28"/>
          <w:rtl w:val="true"/>
          <w:lang w:bidi="ar-SA"/>
        </w:rPr>
        <w:t>، وأنّ تمام ماهية البيع الإنشائي حصل بإيجاب الموجب، وقبول الفضولي لا أثر له، لا في تحقّق مفهوم البيع، ولا في ترتّب الأثر، فالإجازة قبول متأخّر، لكنّ الالتزام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مبنى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مركّب من الإيجاب والقبول، ولا تتمّ ماهية العقد إلاّ بهما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الالتزام بأنّ الردّ قبل القبول موجب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المركّب إذا وجد بعض أجزائه، وتخلّل بينه وبين بعض آخر المنافي، لزم منه سلب الاسم، وعدم تحقّقه، وعدم بقاء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الفضولي بعد تماميته،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وحصول الردّ بعد تمامية الماهية وصدق الاسم، فمقايسة الردّ بعد تمامية الماهية بالردّ في خلالها وقبل تماميتها، مع الفارق</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758872_2142443653"/>
      <w:bookmarkStart w:id="310" w:name="_Toc112"/>
      <w:bookmarkEnd w:id="309"/>
      <w:r>
        <w:rPr>
          <w:rtl w:val="true"/>
        </w:rPr>
        <w:t>استدلال الشيخ الأنصاري على اعتبار عدم سبق الردّ</w:t>
      </w:r>
      <w:bookmarkEnd w:id="3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الأعظم قدّس سرّه، فإنّه مع اعترافه بأنّ الفضولي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الردّ ينفسخ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تجعل المجيز أحد </w:t>
      </w:r>
    </w:p>
    <w:p>
      <w:pPr>
        <w:pStyle w:val="BookText"/>
        <w:rPr/>
      </w:pPr>
      <w:r>
        <w:rPr>
          <w:rFonts w:ascii="Amiri" w:hAnsi="Amiri" w:eastAsia="Amiri" w:cs="Amiri"/>
          <w:color w:val="111111"/>
          <w:sz w:val="28"/>
          <w:sz w:val="28"/>
          <w:szCs w:val="28"/>
          <w:rtl w:val="true"/>
          <w:lang w:bidi="ar-SA"/>
        </w:rPr>
        <w:t>طرفي العقد، وإلاّ لم يكن مكلّفاً بالوفاء، وقد تقرّر أنّ من شروط الصيغة</w:t>
      </w:r>
    </w:p>
    <w:p>
      <w:pPr>
        <w:pStyle w:val="BookText"/>
        <w:rPr/>
      </w:pPr>
      <w:r>
        <w:rPr>
          <w:rFonts w:ascii="Amiri" w:hAnsi="Amiri" w:eastAsia="Amiri" w:cs="Amiri"/>
          <w:color w:val="111111"/>
          <w:sz w:val="28"/>
          <w:sz w:val="28"/>
          <w:szCs w:val="28"/>
          <w:rtl w:val="true"/>
          <w:lang w:bidi="ar-SA"/>
        </w:rPr>
        <w:t xml:space="preserve">أن لا يحصل بين طرفي العقد ما يسقطهما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معنى المعاهدة</w:t>
      </w:r>
      <w:r>
        <w:rPr>
          <w:rStyle w:val="FootnoteAnchor"/>
          <w:rtl w:val="true"/>
        </w:rPr>
        <w:footnoteReference w:id="5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الإجازة لا وقع لاستدلاله، ولا مجال للمقايسة، إلاّ أن يدّعى أنّه بالإجازة ينتقل الانتساب من المباشر الفضولي إلى المجيز، وهو مع فساده في نفسه لا ينتج؛ إذ المفروض حصول الردّ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قوله إلى أنّه بعد الردّ لا يصحّ أن تجعل الإجازة المجيز أحد طرفي العقد، فهو مصادرة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لا تصلح لأن تجعل المجيز أحد طرفي العقد حقيقة، ودليل وجوب الوفاء لا يتوقّف شموله على ذلك، بل العقد المجاز والمأذون فيه مشمول لإطلاقه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في معنى المعاهدة، محلّ منع؛ فإنّ اعتبار العهد والمعاهدة يخالف اعتبار المعاملات نحو البيع والإجارة؛ فإنّ مفادها ليس التعاهد والعهدة، بل بعد تحقّقها وترتّب الأثر، يحكم بأنّ كلاًّ من الطرفين على عهدته أداء مال الغير، أو على عهدته ماله إن كان العوض أو المعوّض كلّياً، وهذا غير كون ماهية البيع عبارة عن التعاهد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كيفية إنشاء قرار المعاهدات بين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كالمعاهدات الحربية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إنشاء المبايعات، ففي المعاهدات يقال ويقرّر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bookmarkStart w:id="311" w:name="pg15204_140470"/>
    </w:p>
    <w:p>
      <w:pPr>
        <w:pStyle w:val="BookText"/>
        <w:rPr/>
      </w:pPr>
      <w:bookmarkEnd w:id="311"/>
      <w:r>
        <w:rPr>
          <w:rFonts w:ascii="Amiri" w:hAnsi="Amiri" w:eastAsia="Amiri" w:cs="Amiri"/>
          <w:color w:val="111111"/>
          <w:sz w:val="28"/>
          <w:sz w:val="28"/>
          <w:szCs w:val="28"/>
          <w:rtl w:val="true"/>
          <w:lang w:bidi="ar-SA"/>
        </w:rPr>
        <w:t>طرفي المعاهدة تعاهدا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المعاملات اسم وأثر من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أوفوا بالعهود،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بأنّه مخصوص بباب المعاهدات، وأنّ أبواب المعاملات خارجة عن مفاده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758874_2142443653"/>
      <w:bookmarkStart w:id="313" w:name="_Toc113"/>
      <w:bookmarkEnd w:id="312"/>
      <w:r>
        <w:rPr>
          <w:rtl w:val="true"/>
        </w:rPr>
        <w:t>الاستدلال بقاعدة السلطنة</w:t>
      </w:r>
      <w:bookmarkEnd w:id="313"/>
    </w:p>
    <w:p>
      <w:pPr>
        <w:pStyle w:val="BookText"/>
        <w:rPr/>
      </w:pPr>
      <w:r>
        <w:rPr>
          <w:rFonts w:ascii="Amiri" w:hAnsi="Amiri" w:eastAsia="Amiri" w:cs="Amiri"/>
          <w:color w:val="111111"/>
          <w:sz w:val="28"/>
          <w:sz w:val="28"/>
          <w:szCs w:val="28"/>
          <w:rtl w:val="true"/>
          <w:lang w:bidi="ar-SA"/>
        </w:rPr>
        <w:t>واستدلّ على المطلوب بقاعدة السلطنة؛ وأنّ مقتضاها تأثير الردّ في قطع علاقة الطرف الآخر عن ملكه، فلا يبقى ما تلحقه الإجازة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فإنّ قاعدة السلطنة على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قاعدة عقلائية ممضاة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مرتبطة بالسلطنة على العقود، ولا سيّما العقد الذي هو من فعل الغير، ولا بالسلطنة على إسقاط العقد عن قابليته للحوق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إنشاء العقد على الأموال تصرّفاً فيها حتّى يزاحم سلطنته على ماله، ولم تحصل علقة حقيقة حتّى يقطع المالك تلك العلقة، وليس للمالك إلاّ السلطنة على الإجازة وتركها؛ فإنّها من شؤون السلطنة على ماله، فإنّها سلطنة على نقله، فله النقل وعدمه، وليس له حلّ إنشاء الغير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أوردوا عليه</w:t>
      </w:r>
      <w:r>
        <w:rPr>
          <w:rStyle w:val="FootnoteAnchor"/>
          <w:rtl w:val="true"/>
        </w:rPr>
        <w:footnoteReference w:id="578"/>
      </w:r>
      <w:r>
        <w:rPr>
          <w:rFonts w:ascii="Amiri" w:hAnsi="Amiri" w:eastAsia="Amiri" w:cs="Amiri"/>
          <w:color w:val="111111"/>
          <w:sz w:val="28"/>
          <w:sz w:val="28"/>
          <w:szCs w:val="28"/>
          <w:rtl w:val="true"/>
          <w:lang w:bidi="ar-SA"/>
        </w:rPr>
        <w:t>، ولعلّ الشيخ الأعظم قدّس سرّه أشار بالتأمّل إلى بعض ما ذكر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314" w:name="pg15204_140471"/>
    </w:p>
    <w:p>
      <w:pPr>
        <w:pStyle w:val="Heading6"/>
        <w:numPr>
          <w:ilvl w:val="5"/>
          <w:numId w:val="1"/>
        </w:numPr>
        <w:rPr/>
      </w:pPr>
      <w:bookmarkStart w:id="315" w:name="__RefHeading___Toc2758876_2142443653"/>
      <w:bookmarkStart w:id="316" w:name="_Toc114"/>
      <w:bookmarkEnd w:id="314"/>
      <w:bookmarkEnd w:id="315"/>
      <w:r>
        <w:rPr>
          <w:rtl w:val="true"/>
        </w:rPr>
        <w:t>كلام المحقّق النائيني في تصحيح التمسّك بقاعدة السلطنة</w:t>
      </w:r>
      <w:bookmarkEnd w:id="316"/>
    </w:p>
    <w:p>
      <w:pPr>
        <w:pStyle w:val="BookText"/>
        <w:rPr/>
      </w:pPr>
      <w:r>
        <w:rPr>
          <w:rFonts w:ascii="Amiri" w:hAnsi="Amiri" w:eastAsia="Amiri" w:cs="Amiri"/>
          <w:color w:val="111111"/>
          <w:sz w:val="28"/>
          <w:sz w:val="28"/>
          <w:szCs w:val="28"/>
          <w:rtl w:val="true"/>
          <w:lang w:bidi="ar-SA"/>
        </w:rPr>
        <w:t>لكنّ بعض الأعاظم قدّس سرّه تصدّى لتصحيح التمسّك بالقاعدة، فقال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إسقاط العقد عن قابليته للحوق الإجازة ليس من الأحكام، بل كونه من الحقوق المالية ظاهر؛ فإنّ البيع من الغير من السلطنة المالية، وثبوتها للمالك بأدلّة نفوذ البيع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البيع أيضاً من أنحاء السلطنة، وشمول عموم القاعدة لهذا النحو من السلطنة لا ينبغي الإشكال فيه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مقايسة ردّ الإنشاء الذي هو فعل الغير، ولا يكون تصرّفاً بوجه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إنشاء صرف لبيع صاحب المال الذي هو تصرّف في ماله، ومن أنحاء السلطنة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الدعاوى، فأيّ ربط بين تصرّف الشخص في ماله بالبيع، وإنفاذه بدليل شرعي، وبين ردّ إنشاء الغير الذي هو ليس تصرّفاً خارجياً، ولا اعتبارياً،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الفضولي وإن لم يتصرّف في ملك المالك، ولم يتحقّق المنشأ بإنشائه في عالم الاعتبار، إلاّ أنّه تحقّق منه المنشأ بنظره؛ فإنّه أوقع التبديل بين المالين، ومقتضى السلطنة المطلقة أن يكون له إبطال هذا الإنشاء</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آخر؛ فإنّه بعد الاعتراف بعدم كونه تصرّفاً واقعاً، فمجرّد كونه بنظره </w:t>
      </w:r>
    </w:p>
    <w:p>
      <w:pPr>
        <w:pStyle w:val="BookText"/>
        <w:rPr/>
      </w:pPr>
      <w:r>
        <w:rPr>
          <w:rFonts w:ascii="Amiri" w:hAnsi="Amiri" w:eastAsia="Amiri" w:cs="Amiri"/>
          <w:color w:val="111111"/>
          <w:sz w:val="28"/>
          <w:sz w:val="28"/>
          <w:szCs w:val="28"/>
          <w:rtl w:val="true"/>
          <w:lang w:bidi="ar-SA"/>
        </w:rPr>
        <w:t>تصرّفاً لا يوجب قلب الواقع، وموضوع دليل السلطنة هو الواقع، لا ما هو بنظر شخص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أنشأ المنشئ بوجوده الإنشائي، متحقّق في نظره ونظر سائر العقلاء، والنقل الواقعي غير متحقّق بنظره ونظر غيره، إلاّ أن يكون شخصاً غافلاً عن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الإنشاء تصرّفاً مزاحماً لسلطنة المالك، فلا بدّ وأن يكون محرّماً وغير واقع، فبطل الفضولي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وعجيب آخر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ردّ المرتهن بيع الراهن ليس موجباً لزوال عقده؛ لأنّ المرتهن ليست له سلطنة على العقد، وإنّما له استيفاء دينه من العين، ومجرّد العقد عليها لا يكون مزاحماً لهذا الحقّ</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مجرّد الإنشاء إن كان نحو تصرّف في مال الغير، لا يبقى فرق بين ملك الغير ومتعلّق حقّه، وإلاّ فلا فرق بينهما أيضاً، فكما أنّ إنشاء الراهن ليس مزاحماً لحقّ المرتهن، كذلك إنشاء الفضولي ليس مزاحماً لشيء من حقوق المالك، فللمالك بعد هذا الإنشاء جميع التصرّفات الخارجية والاعتبارية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نقل بأنّ السلطنة على إسقاط العقد من السلطنة على المال، بل هو من الأحكام الشرعية، إلاّ أنّه لا شبهة في أنّ هذا الذي ثبت 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عليه، ولا يمكنه حلّه وإيجاد ضدّه، فنفوذ ردّه عقد الفضولي كجواز البيع، فكما لا يجوز له فسخ البيع بعد صدوره منه، </w:t>
      </w:r>
    </w:p>
    <w:p>
      <w:pPr>
        <w:pStyle w:val="BookText"/>
        <w:rPr/>
      </w:pPr>
      <w:r>
        <w:rPr>
          <w:rFonts w:ascii="Amiri" w:hAnsi="Amiri" w:eastAsia="Amiri" w:cs="Amiri"/>
          <w:color w:val="111111"/>
          <w:sz w:val="28"/>
          <w:sz w:val="28"/>
          <w:szCs w:val="28"/>
          <w:rtl w:val="true"/>
          <w:lang w:bidi="ar-SA"/>
        </w:rPr>
        <w:t>فكذلك لا ينفذ منه إبطال ردّه بعد تحقّقه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أعجب ممّا سبق؛ ضرورة أنّ جواز البيع ثبت له بقاعدة السلطنة، وليس له فسخه؛ لأدلّة لزوم البيع، وأمّا ردّه فلا دليل على إنفاذه وعدم جواز الرجوع منه، فالمقايسة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لا نسلّم حصول العلقة،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تحصل له العلقة شرعاً، لكنّها حصلت له عرفاً، فالردّ يبطل هذه العلقة، مع أنّ تأثير الردّ لا يتوقّف على العلقة فعلاً، بل تكفي شأنية تحقّقها، ولا شبهة في أنّ العقد الفضولي مادّة قابلة للحوق الإجازة به، فالردّ مقابل للإجازة، وهو يسقط العقد عن القابلية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من الدعاوى العجيبة، فإنّ العلقة التي حصلت عرفاً بزعمه، إن كانت وراء إنشاء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المبادلة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تحصل لا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ذلك فهي حاصلة عرفاً وشرعاً، ولهذا لو أجاز صحّ شرعاً وعرفاً، وهذه العلقة ليست تصرّفاً في المال قطعاً، وإلاّ لزمت حرمته وبطلانه،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أنّ مجرّد الإنشاء كافٍ في جواز حلّه، كما ادّعاه أخيراً، فهو مصادرة ظاهرة؛ فإنّ المدّعى أنّ الإنشاء قابل للردّ والفسخ، والدليل أنّ الإنشاء كافٍ في الردّ والفسخ، وهو كما ترى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قاعدة السلطنة ليس إلاّ صحّة الإجازة؛ فإنّها </w:t>
      </w:r>
    </w:p>
    <w:p>
      <w:pPr>
        <w:pStyle w:val="BookText"/>
        <w:rPr/>
      </w:pPr>
      <w:r>
        <w:rPr>
          <w:rFonts w:ascii="Amiri" w:hAnsi="Amiri" w:eastAsia="Amiri" w:cs="Amiri"/>
          <w:color w:val="111111"/>
          <w:sz w:val="28"/>
          <w:sz w:val="28"/>
          <w:szCs w:val="28"/>
          <w:rtl w:val="true"/>
          <w:lang w:bidi="ar-SA"/>
        </w:rPr>
        <w:t>موجبة للنقل، وهو من أنحاء التصرّف، والسلطنة عليه من أنحاء السلطنة على المال، ولازم السلطنة على الإجازة السلطنة على تركها، وإلاّ لم يكن سلطاناً على الفعل؛ فإنّ القدرة على الشيء قدرة على إيجاده وتركه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رحمه الله علیه كان في نظره ما هو المعروف؛ من أنّ القدرة شأنها كذلك</w:t>
      </w:r>
      <w:r>
        <w:rPr>
          <w:rStyle w:val="FootnoteAnchor"/>
          <w:rtl w:val="true"/>
        </w:rPr>
        <w:footnoteReference w:id="585"/>
      </w:r>
      <w:r>
        <w:rPr>
          <w:rFonts w:ascii="Amiri" w:hAnsi="Amiri" w:eastAsia="Amiri" w:cs="Amiri"/>
          <w:color w:val="111111"/>
          <w:sz w:val="28"/>
          <w:sz w:val="28"/>
          <w:szCs w:val="28"/>
          <w:rtl w:val="true"/>
          <w:lang w:bidi="ar-SA"/>
        </w:rPr>
        <w:t>، فتوهّم أنّ مقابل القدرة على الإجازة القدرة على حلّ الإنشاء، ولازم القدرة على طرف هو القدرة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المقابل الذي يلزم تعلّق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تعلّقت بمقابله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والترك، لا الفعل وفعل آخر، ولا سيّما إذا كان الفعل تصرّفاً في المال، والفعل الآخر تصرّفاً في العقد لا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تمامية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قاعدة السلطنة جواز الردّ، أو أنّ الردّ موجب بحسب القاعدة لفسخ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طرح ما يدلّ على صحّتها بعد الردّ فرضاً؛ فإنّ قاعدة السلطنة قابلة للتقييد، والقاعدة الاُخرى قابلة للردع، فإذا دلّت رواية صحيحة على ذلك، لزم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قدّس سرّه وتبعه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الصحيحة الدالّة عليه أو تأويلها </w:t>
      </w:r>
      <w:r>
        <w:rPr>
          <w:rStyle w:val="FootnoteAnchor"/>
          <w:rtl w:val="true"/>
        </w:rPr>
        <w:footnoteReference w:id="586"/>
      </w:r>
      <w:r>
        <w:rPr>
          <w:rFonts w:ascii="Amiri" w:hAnsi="Amiri" w:eastAsia="Amiri" w:cs="Amiri"/>
          <w:color w:val="111111"/>
          <w:sz w:val="28"/>
          <w:sz w:val="28"/>
          <w:szCs w:val="28"/>
          <w:rtl w:val="true"/>
          <w:lang w:bidi="ar-SA"/>
        </w:rPr>
        <w:t>، غير موجّه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مرّ سابقاً أنّ صحيحة محمّد بن قيس لا تدلّ على الردّ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317" w:name="pg15204_140475"/>
    </w:p>
    <w:p>
      <w:pPr>
        <w:pStyle w:val="Heading6"/>
        <w:numPr>
          <w:ilvl w:val="5"/>
          <w:numId w:val="1"/>
        </w:numPr>
        <w:rPr/>
      </w:pPr>
      <w:bookmarkStart w:id="318" w:name="__RefHeading___Toc2758878_2142443653"/>
      <w:bookmarkStart w:id="319" w:name="_Toc115"/>
      <w:bookmarkEnd w:id="317"/>
      <w:bookmarkEnd w:id="318"/>
      <w:r>
        <w:rPr>
          <w:rtl w:val="true"/>
        </w:rPr>
        <w:t>الاستدلال بصحيحة ابن بزيع</w:t>
      </w:r>
      <w:bookmarkEnd w:id="319"/>
    </w:p>
    <w:p>
      <w:pPr>
        <w:pStyle w:val="BookText"/>
        <w:rPr/>
      </w:pPr>
      <w:r>
        <w:rPr>
          <w:rFonts w:ascii="Amiri" w:hAnsi="Amiri" w:eastAsia="Amiri" w:cs="Amiri"/>
          <w:color w:val="111111"/>
          <w:sz w:val="28"/>
          <w:sz w:val="28"/>
          <w:szCs w:val="28"/>
          <w:rtl w:val="true"/>
          <w:lang w:bidi="ar-SA"/>
        </w:rPr>
        <w:t>ويمكن الاستدلال على المطلوب بصحيحة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ولا سبيل للزوج عليها؟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أقامت معه بعد ما أفاقت فهو رضاً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التزويج عليها؟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منه، ظاهر في إظهار التنفّر والمخالفة للنكاح، ولا شكّ أنّ هذا كافٍ في الردّ، ولا يلزم فيه إنشاء نحو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لتحقّق الفعل منها، بل الظاهر الإنكار في مقابل الرضا، والفزع إظهار عدم الرضا والتنفّر، وهو ردّ فعلي بلا شبهة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تزويجها نفسها مباشرة، لا التوكيل فيها، فحينئذٍ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المورد الذي هو الفضولي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شيوع التوكيل في باب الزواج حتّى في العصور السابقة يوجب على الأقلّ انقداح احتماله، فحينئذٍ مع ترك الاستفصال تدلّ على عدم الفرق بين المباشرة والتوكيل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المقام إنّما هي أنّ الردّ هل يوجب انهدام العقد وفسخ الإنشاء أم لا؟ فمن هذه الحيثية لا فرق بين إنشاء وإنشاء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الشبهة في صحّة الفضولي، يمكن القول بالاختصاص بباب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السكر لو أوجب سلب التمييز لم يصحّ الإنشاء، وإلاّ فلا مانع من الصحّة الفعلية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الحاصل من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التمييز؛ بنحو لا يفهم صاحبه معاني الألفاظ وموارد استعمالها، وإن أوجب عدم تشخيص المصالح والمفاسد، فلا يبعد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إنشائه واحتياجه إلى الإنفاذ،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تدلّ على صحّة إنشائه واحتياجه إلى الإنفاذ، فيعلم منها أنّ الإنشاء منه صحيح متمشٍّ، والاحتياج إلى الإنفاذ تعبّد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رضاها بالتزويج معلّق على اللزوم، والرضا المشروط والتعليقي لا أثر له، فلا يجوز الاتّكال على الرواية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ظنّها باللزوم جهة تعليلية، وبعد ذلك رضيت به، والرضا في باب </w:t>
      </w:r>
    </w:p>
    <w:p>
      <w:pPr>
        <w:pStyle w:val="BookText"/>
        <w:rPr/>
      </w:pPr>
      <w:r>
        <w:rPr>
          <w:rFonts w:ascii="Amiri" w:hAnsi="Amiri" w:eastAsia="Amiri" w:cs="Amiri"/>
          <w:color w:val="111111"/>
          <w:sz w:val="28"/>
          <w:sz w:val="28"/>
          <w:szCs w:val="28"/>
          <w:rtl w:val="true"/>
          <w:lang w:bidi="ar-SA"/>
        </w:rPr>
        <w:t>المعاملات ليس بمعنى طيب النفس، بل أعمّ منه، كما في عقد المضطرّ كما مرّ</w:t>
      </w:r>
    </w:p>
    <w:p>
      <w:pPr>
        <w:pStyle w:val="BookText"/>
        <w:rPr/>
      </w:pPr>
      <w:r>
        <w:rPr>
          <w:rFonts w:ascii="Amiri" w:hAnsi="Amiri" w:eastAsia="Amiri" w:cs="Amiri"/>
          <w:color w:val="111111"/>
          <w:sz w:val="28"/>
          <w:sz w:val="28"/>
          <w:szCs w:val="28"/>
          <w:rtl w:val="true"/>
          <w:lang w:bidi="ar-SA"/>
        </w:rPr>
        <w:t>في محلّه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ذيل رواية أبي ولاّد</w:t>
      </w:r>
      <w:r>
        <w:rPr>
          <w:rStyle w:val="FootnoteAnchor"/>
          <w:rtl w:val="true"/>
        </w:rPr>
        <w:footnoteReference w:id="593"/>
      </w:r>
      <w:r>
        <w:rPr>
          <w:rFonts w:ascii="Amiri" w:hAnsi="Amiri" w:eastAsia="Amiri" w:cs="Amiri"/>
          <w:color w:val="111111"/>
          <w:sz w:val="28"/>
          <w:sz w:val="28"/>
          <w:szCs w:val="28"/>
          <w:rtl w:val="true"/>
          <w:lang w:bidi="ar-SA"/>
        </w:rPr>
        <w:t>المتقدّمة فيما سلف</w:t>
      </w:r>
      <w:r>
        <w:rPr>
          <w:rStyle w:val="FootnoteAnchor"/>
          <w:rtl w:val="true"/>
        </w:rPr>
        <w:footnoteReference w:id="594"/>
      </w:r>
      <w:r>
        <w:rPr>
          <w:rFonts w:ascii="Amiri" w:hAnsi="Amiri" w:eastAsia="Amiri" w:cs="Amiri"/>
          <w:color w:val="111111"/>
          <w:sz w:val="28"/>
          <w:sz w:val="28"/>
          <w:szCs w:val="28"/>
          <w:rtl w:val="true"/>
          <w:lang w:bidi="ar-SA"/>
        </w:rPr>
        <w:t>، فلا يدلّ على عدم اعتبار الرضا ولو مع جهة تعليلية؛ لأنّ الرجل في تلك الرواية لم يكن راضياً، وإنّما أظهر الرضا لاستنقاذ بعض حقّه، كما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يفترق باب حلّ الأموال عن الرضا المعاملي، ولهذا لو اضطرّه الغاصب إلى الرضا في التصرّف في ماله، لم يصر حلالاً، فلو أراد قتله فأدّى مالاً فدية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بتصرّفك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حلالاً، بخلاف ما لو اضطرّه إلى المعاملة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شككنا في أنّ الردّ موجب للفسخ، فاستصحاب بقاء العقد لا مانع منه؛ فإنّ العقد إذا لحقته الإجازة، يكون موضوعاً لوجوب الوفاء، فالعقد موجود بالأصل، ولحوق الإجازة به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العقد المتقيّد والمتّصف بكونه مرضيّاً به ومجازاً موضوع، لكان الأصل مثبتاً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الإجازة بعدم مسبوقيتها بالردّ، إلاّ أن يقوم إجماع على ذلك، وإثبات الإجماع في تلك المسألة المبنيّة على القواعد مشكل، بل ممنوع، والاحتياط حسن</w:t>
      </w:r>
      <w:r>
        <w:rPr>
          <w:rFonts w:eastAsia="Amiri" w:cs="Amiri" w:ascii="Amiri" w:hAnsi="Amiri"/>
          <w:color w:val="111111"/>
          <w:sz w:val="28"/>
          <w:szCs w:val="28"/>
          <w:rtl w:val="true"/>
          <w:lang w:bidi="ar-SA"/>
        </w:rPr>
        <w:t xml:space="preserve">. </w:t>
      </w:r>
      <w:bookmarkStart w:id="320" w:name="pg15204_140478"/>
    </w:p>
    <w:p>
      <w:pPr>
        <w:pStyle w:val="Heading6"/>
        <w:numPr>
          <w:ilvl w:val="5"/>
          <w:numId w:val="1"/>
        </w:numPr>
        <w:rPr/>
      </w:pPr>
      <w:bookmarkStart w:id="321" w:name="__RefHeading___Toc2758880_2142443653"/>
      <w:bookmarkStart w:id="322" w:name="_Toc116"/>
      <w:bookmarkEnd w:id="320"/>
      <w:bookmarkEnd w:id="321"/>
      <w:r>
        <w:rPr>
          <w:rtl w:val="true"/>
        </w:rPr>
        <w:t>التنبيه الرابع</w:t>
      </w:r>
      <w:r>
        <w:rPr>
          <w:rtl w:val="true"/>
        </w:rPr>
        <w:t xml:space="preserve">: </w:t>
      </w:r>
      <w:r>
        <w:rPr>
          <w:rtl w:val="true"/>
        </w:rPr>
        <w:t>عدم تورّث الإجازة</w:t>
      </w:r>
      <w:bookmarkEnd w:id="322"/>
    </w:p>
    <w:p>
      <w:pPr>
        <w:pStyle w:val="BookText"/>
        <w:rPr/>
      </w:pPr>
      <w:r>
        <w:rPr>
          <w:rFonts w:ascii="Amiri" w:hAnsi="Amiri" w:eastAsia="Amiri" w:cs="Amiri"/>
          <w:color w:val="111111"/>
          <w:sz w:val="28"/>
          <w:sz w:val="28"/>
          <w:szCs w:val="28"/>
          <w:rtl w:val="true"/>
          <w:lang w:bidi="ar-SA"/>
        </w:rPr>
        <w:t>لا إشكال في أنّ الإجازة لا تورث؛ لأنّها ليست من الحقوق، بل نفوذها من الأحكام العقلائية الثابتة للملك، أو من شؤون السلطنة على الأموال، كالبيع والصلح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الحقوق، هل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منهم</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تورث، أو تورث على بعض المباني دون بعض؟</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المجيز لا بدّ وأن يكون مالكاً حال العقد، فلا شبهة في عدم إرثها، بل لو كانت من الحقوق، تكون من الحقوق غير القابلة للإرث، كحقّ القسم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ذلك، فانتقال الإجازة أيضاً بالإرث لا يخلو من إشكال؛ لأنّ للوارث حقّ الإجازة بالأصالة، وما كان له بالأصالة، لا يعقل أن ينتقل إليه بالإرث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حقّ الإجازة في بيع واحد متعدّداً كالخيار؛ لأنّ الخيارات المتعدّدة لا مانع من ثبوتها لشخص، كخيار العيب وخيار الغبن وغيرهما، وأمّا حقّ </w:t>
      </w:r>
      <w:bookmarkStart w:id="323" w:name="pg15204_140479"/>
    </w:p>
    <w:p>
      <w:pPr>
        <w:pStyle w:val="BookText"/>
        <w:rPr/>
      </w:pPr>
      <w:bookmarkEnd w:id="323"/>
      <w:r>
        <w:rPr>
          <w:rFonts w:ascii="Amiri" w:hAnsi="Amiri" w:eastAsia="Amiri" w:cs="Amiri"/>
          <w:color w:val="111111"/>
          <w:sz w:val="28"/>
          <w:sz w:val="28"/>
          <w:szCs w:val="28"/>
          <w:rtl w:val="true"/>
          <w:lang w:bidi="ar-SA"/>
        </w:rPr>
        <w:t>الإجازة فأمر وحداني، فإذا كان شخص واجداً له، لا يعقل أن يكون واجداً له ثانياً ولو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للوارث حقّين، أحدهما أصلي، والآخر إرثي، ضعيف غير موافق لاعتبار العقلاء،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الغضّ عنه، لا تورث أيضاً على القول بالكشف، بناءً على أنّ مضمون العقد هو النقل من حينه، والإجازة إنفاذ لمضمونه؛ فإنّ الوارث ليس له إنفاذ مضمون العقد، فإنّه غير مالك لهذا الإنفاذ، والإنفاذ من حال موت المورّث ليس مضموناً للعقد على هذا المبنى، وكذا الحال على بعض المباني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بعد فساد كونها حقّاً، وستأتي تتمّة لذلك البحث في محلّه إن شاء اللّه تعالى</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2758882_2142443653"/>
      <w:bookmarkStart w:id="325" w:name="_Toc117"/>
      <w:bookmarkEnd w:id="324"/>
      <w:r>
        <w:rPr>
          <w:rtl w:val="true"/>
        </w:rPr>
        <w:t>التنبيه الخامس</w:t>
      </w:r>
      <w:r>
        <w:rPr>
          <w:rtl w:val="true"/>
        </w:rPr>
        <w:t xml:space="preserve">: </w:t>
      </w:r>
      <w:r>
        <w:rPr>
          <w:rtl w:val="true"/>
        </w:rPr>
        <w:t>حول جريان الفضولية في القبض والإقباض</w:t>
      </w:r>
      <w:bookmarkEnd w:id="325"/>
    </w:p>
    <w:p>
      <w:pPr>
        <w:pStyle w:val="Heading6"/>
        <w:numPr>
          <w:ilvl w:val="5"/>
          <w:numId w:val="1"/>
        </w:numPr>
        <w:rPr/>
      </w:pPr>
      <w:bookmarkStart w:id="326" w:name="__RefHeading___Toc2758884_2142443653"/>
      <w:bookmarkStart w:id="327" w:name="_Toc118"/>
      <w:bookmarkEnd w:id="326"/>
      <w:r>
        <w:rPr>
          <w:rtl w:val="true"/>
        </w:rPr>
        <w:t>فیه وجوه</w:t>
      </w:r>
      <w:bookmarkEnd w:id="327"/>
    </w:p>
    <w:p>
      <w:pPr>
        <w:pStyle w:val="BookText"/>
        <w:rPr/>
      </w:pPr>
      <w:r>
        <w:rPr>
          <w:rFonts w:ascii="Amiri" w:hAnsi="Amiri" w:eastAsia="Amiri" w:cs="Amiri"/>
          <w:color w:val="111111"/>
          <w:sz w:val="28"/>
          <w:sz w:val="28"/>
          <w:szCs w:val="28"/>
          <w:rtl w:val="true"/>
          <w:lang w:bidi="ar-SA"/>
        </w:rPr>
        <w:t>هل تجري الفضولية في القبض والإقباض مطلقاً، أو لا مطلقاً، أو تجري في قبض الكلّيات وإقباضها دون الأعيان الشخصية؟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أقواها عدم الجريان مطلقاً؛ لأنّ الفضولية متقوّمة بأن يكون للموضوع الذي تجري فيه تركّب، يحصل أحد جزئيه مثلاً بفعل الفضولي، والآخر بفعل المالك الأصلي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يحصل عنوانه بفعل الفضولي، وشرط تأثيره بفعل المالك الأصلي أو رضاه، كالعقود والإيقاعات التي تحصل عناوينها بفعل الفضولي، وتكون العناوين جزء المؤثّر، والجزء الآخر إجازة المالك الأصلي أو رضاه، أو تكون العناوين حاصلة بفعل الفضولي، وشرط تأثيرها بفعل المالك الأصلي أو رضاه كما تقدّم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جريانها في مثل القبض والإقباض، أن يكون موضوع الأثر القبض أو الإقباض بعنوانهما، بضمّ جزء آخر أو شرط هو الإجازة، فتكون الإجازة جزءاً متمّماً للمؤثّر، أو شرطاً للتأثير، فحينئذٍ يكون للقبض والإقباض صحّة وفساد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فالقبض من الفضولي لا يكون صحيحاً فعلاً، ولا يترتّب عليه أثر إلاّ إذا ضمّت إليه الإجازة، فتصحّ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القبض والإقباض بعنوانهما غير دخيلين في الموارد التي اُخذا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الأدلّة والجمود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للحكم، بل الموضوع أمر آخر، كالوصول في يد الطرف بأيّ وسيلة، أو الإجازة والرضا بإيصاله بأيّ شخص أو محلّ، ولا يكون عنوان القبض والإقباض جزء المؤثّر ولا تمامه مع شرط، فلا معنى للفضولية فيهما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التسليم والتسلّم، والقبض والإقباض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المعاملات عند العقلاء، بالنسبة إلى العوضين الشخصيين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معتبرين بوجه من الوجوه، بل المعتبر حصول العوضين عندهما بأيّ نحو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الأمر أوسع من ذلك، فلو وصل أحدهما أو كلاهما إلى أجنبيّ ورضيا بذلك، أو وقعا في محلّ اتّفاقاً ورضيا بذلك، كفى في حصول ما يعتبر عند العقلاء مع عدم القبض والإقباض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تؤدّيه</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xml:space="preserve">حيث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للضمان، ومع ذلك لا شكّ في 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والمناسبات المغروسة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غاية الضمان حصوله عنده ولو لم تصدق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أوسع من ذلك، فإذا رضي المالك ببقاء العين تحت يد الغاصب، سقط الضمان بلا إشكال، ولا يرى العرف ذلك مخالفاً للنبوي، وبين التسليم والتسلّم المعتبرين عرفاً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رضي أحد المتعاملين ببقاء ماله عند الآخر تمّ التسلّم، لا لأجل كونه وكيلاً في التسلّم، بل لأجل كفاية ذلك في باب المعاملات، وعدم كون التسليم بعنوانه موضوعاً لحكم العرف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يشذّ من ذلك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فلو وقع المبيع بأيّ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فعل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المشتري، </w:t>
      </w:r>
    </w:p>
    <w:p>
      <w:pPr>
        <w:pStyle w:val="BookText"/>
        <w:rPr/>
      </w:pPr>
      <w:r>
        <w:rPr>
          <w:rFonts w:ascii="Amiri" w:hAnsi="Amiri" w:eastAsia="Amiri" w:cs="Amiri"/>
          <w:color w:val="111111"/>
          <w:sz w:val="28"/>
          <w:sz w:val="28"/>
          <w:szCs w:val="28"/>
          <w:rtl w:val="true"/>
          <w:lang w:bidi="ar-SA"/>
        </w:rPr>
        <w:t>سقط ضمان البائع، وبتلفه لا ينفسخ العقد، بل لو وقع في محلّ، وأجاز المشتري</w:t>
      </w:r>
    </w:p>
    <w:p>
      <w:pPr>
        <w:pStyle w:val="BookText"/>
        <w:rPr/>
      </w:pPr>
      <w:r>
        <w:rPr>
          <w:rFonts w:ascii="Amiri" w:hAnsi="Amiri" w:eastAsia="Amiri" w:cs="Amiri"/>
          <w:color w:val="111111"/>
          <w:sz w:val="28"/>
          <w:sz w:val="28"/>
          <w:szCs w:val="28"/>
          <w:rtl w:val="true"/>
          <w:lang w:bidi="ar-SA"/>
        </w:rPr>
        <w:t>بقاءه فيه، سقط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سقوط الضمان هو إجازة إيصاله إلى شخص أو إلى محلّ، ففي مثل ذلك لا معنى للفضولية؛ لعدم دخالة القبض والإقباض، وعدم كونهما جزءاً للموضوع، هذا في العوضين الشخصيين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الكلّيات التي يكون تعيّنها بالانطباق على المصداق،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جريانها فيها؛ لأنّ تشخيص الكلّي المملوك بالفرد وتعيينه فيه، نوع من المعاملة، وهو في اللبّ مبادلة بين الكلّي والفرد المتشخّص</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لعدم كون إيفاء الطبيعة بمصداقها تبادلاً بينهما، بل المصداق عين الطبيعة في الخارج، وإيجاد الطبيعة ليس إلاّ بالفرد الذي هو عينها، فإذا كان عليه منّ من الحنطة، فأعطى الدائن منّاً منها، فقد أعطى ما عليه؛ فإنّ ما عليه هو نفس</w:t>
      </w:r>
    </w:p>
    <w:p>
      <w:pPr>
        <w:pStyle w:val="BookText"/>
        <w:rPr/>
      </w:pPr>
      <w:r>
        <w:rPr>
          <w:rFonts w:ascii="Amiri" w:hAnsi="Amiri" w:eastAsia="Amiri" w:cs="Amiri"/>
          <w:color w:val="111111"/>
          <w:sz w:val="28"/>
          <w:sz w:val="28"/>
          <w:szCs w:val="28"/>
          <w:rtl w:val="true"/>
          <w:lang w:bidi="ar-SA"/>
        </w:rPr>
        <w:t>الطبيعة التي هو هي فيه، فإرجاع ذلك إلى المبادلة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الجزئي المتشخّص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التعيين فيه إلى إقباض المديون، وقبض الدائن، بل لو وقع مصداق منه في يده بأيّ نحو كان، ورضيا بكونه مصداق الدين، صحّ وتعيّن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منّ من الحنطة في جانب من الدار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طلبت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بذلك، أدّى دينه، ولا يحتاج إلى القبض الخارجي، وهذا أمر عقلائي، لا يحتاج إثباته إلى مؤونة زائدة</w:t>
      </w:r>
      <w:r>
        <w:rPr>
          <w:rFonts w:eastAsia="Amiri" w:cs="Amiri" w:ascii="Amiri" w:hAnsi="Amiri"/>
          <w:color w:val="111111"/>
          <w:sz w:val="28"/>
          <w:szCs w:val="28"/>
          <w:rtl w:val="true"/>
          <w:lang w:bidi="ar-SA"/>
        </w:rPr>
        <w:t xml:space="preserve">. </w:t>
      </w:r>
      <w:bookmarkStart w:id="328" w:name="pg15204_140483"/>
    </w:p>
    <w:p>
      <w:pPr>
        <w:pStyle w:val="BookText"/>
        <w:rPr/>
      </w:pPr>
      <w:bookmarkEnd w:id="328"/>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الفضولية لا تجري فيما يعتبر من القبض والإقباض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فالظاهر جريانها فيهما؛ لأنّ كلاًّ منهما إذا وقع من الفضولي، لا يقع صحيحاً مؤثّراً في الصرف والسلم مثلاً، فالتأثير موقوف على الإجازة أو الرضا، فإذا أجاز تمّ الموضوع المؤثّر، فما هو محقّق الفضولية هو كون أثر مترتّباً على عنوان حاصل من الغير، مع ضمّ الإجازة من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الأفعال الخارجية لا تنقلب عمّا هي عليه</w:t>
      </w:r>
      <w:r>
        <w:rPr>
          <w:rStyle w:val="FootnoteAnchor"/>
          <w:rtl w:val="true"/>
        </w:rPr>
        <w:footnoteReference w:id="601"/>
      </w:r>
      <w:r>
        <w:rPr>
          <w:rFonts w:ascii="Amiri" w:hAnsi="Amiri" w:eastAsia="Amiri" w:cs="Amiri"/>
          <w:color w:val="111111"/>
          <w:sz w:val="28"/>
          <w:sz w:val="28"/>
          <w:szCs w:val="28"/>
          <w:rtl w:val="true"/>
          <w:lang w:bidi="ar-SA"/>
        </w:rPr>
        <w:t>، صحيح، لكنّه أجنبيّ عن المقام؛ لأنّ فعل الغير جزء الموضوع، وإذا صار مجازاً، يكون مؤثّراً في أمر اعتباري، كما أنّ البيع أيضاً فعل الغير، وإذا صار مجازاً أثّر في النقل من غير انقلاب، لا في الإنشاء، ولا في المنشأ، كما مرّ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2758886_2142443653"/>
      <w:bookmarkStart w:id="330" w:name="_Toc119"/>
      <w:bookmarkEnd w:id="329"/>
      <w:r>
        <w:rPr>
          <w:rtl w:val="true"/>
        </w:rPr>
        <w:t>حول جريان نزاع الكشف والنقل في المقام</w:t>
      </w:r>
      <w:bookmarkEnd w:id="330"/>
    </w:p>
    <w:p>
      <w:pPr>
        <w:pStyle w:val="BookText"/>
        <w:rPr/>
      </w:pPr>
      <w:r>
        <w:rPr>
          <w:rFonts w:ascii="Amiri" w:hAnsi="Amiri" w:eastAsia="Amiri" w:cs="Amiri"/>
          <w:color w:val="111111"/>
          <w:sz w:val="28"/>
          <w:sz w:val="28"/>
          <w:szCs w:val="28"/>
          <w:rtl w:val="true"/>
          <w:lang w:bidi="ar-SA"/>
        </w:rPr>
        <w:t>ثمّ بعد فرض جريان الفضولية فيهما، فهل يأتي نزاع الكشف والنقل؟</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بالكشف،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إنّما يصحّ في أفعال وعناوين لها بقاء اعتباري إلى زمان الإجازة، والاُمور الاعتبارية المنشأة في البيع ونحوه، باقية إلى زمان الإجازة، فبلحوقها تؤثّر أثرها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 التكويني الخارجي، فليس له بقاء، فإذا حدث القبض ثمّ تلف </w:t>
      </w:r>
    </w:p>
    <w:p>
      <w:pPr>
        <w:pStyle w:val="BookText"/>
        <w:rPr/>
      </w:pPr>
      <w:r>
        <w:rPr>
          <w:rFonts w:ascii="Amiri" w:hAnsi="Amiri" w:eastAsia="Amiri" w:cs="Amiri"/>
          <w:color w:val="111111"/>
          <w:sz w:val="28"/>
          <w:sz w:val="28"/>
          <w:szCs w:val="28"/>
          <w:rtl w:val="true"/>
          <w:lang w:bidi="ar-SA"/>
        </w:rPr>
        <w:t>مثلاً، أو خرج عن تحت يده، فلا يعقل بقاؤه واقعاً، وليس هو من الاعتباريات حتّى يبقى اعتباراً، واعتبار القبض في حال الإجازة ليس قبضاً واقعاً، فلا يترتّب عليه الأثر، وما هو موضوع الأثر ليس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القول بالكشف، فإنّ وجوده الحدوثي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متعقّباً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ترتيب الأثر، فالنقل لا يصحّ إلاّ إذا استمرّ القبض إلى زمان الإجازة، مع كون وجوده البقائي موضوعاً للأثر، 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المعتبر في المعاملات ليس هو الحصول في اليد خارجاً، بل المعتبر هو جعل الشيء تحت استيلاء الطرف، وإنّما القبض الخارجي في بعض الأحيان محصّل للاستيلاء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استولى عليه من غير قبض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المنقولات، وكثير من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مقبوضاً، فتخلية اليد عن قرية أو بستان، وجعلهما تحت سلطنة المشتري، كافٍ فيما هو المعتبر، وليست قبضاً خارجياً، والقبض الخارجي من غير استيلاء لا يكفي، لا في باب المعاملات، ولا في ضمان اليد، والاستيلاء تمام الموضوع في ضمان اليد، وكذا باب التسليم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أمر اعتباري أيضاً لا واقعي، فلو كفت في اعتبار البقاء اعتبارية الشيء، لكانت في المقام أيضاً كافية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الاستيلاء على فرض اعتباريته، لا يبقى مع سلبه، فإذا استولى على شيء، وخرج الشيء عن تحت استيلائه، لا يعقل بقاء الاستيلاء عليه مع حلول نقيضه أو ضدّه، وهذا كما إذا باع ثمّ فسخ، فإنّ البيع لا يبقى بعد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الاستيلاء إذا حدث وبقي إلى زمان الإجازة، فالقبض المعتبر هو وجوده الحدوثي،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 اعتباراً ولحوق الإجازة به، فصارت النتيجة نقلاً،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الاستيلاء بوجوده البقائي كافٍ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عمّا ذكر،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 مثل المقام ليس مؤثّراً تكوينياً، بل التأثير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المجاز موضوع حكم العقلاء أو الشارع الأقدس، ولا يلزم اجتماع جزئي الموضوع في الوجود، فالقبض السابق مع الإجازة اللاحقة، موضوع للأثر وإن تخلّل بينهما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القول بالنقل؛ لأنّ الإجازة المتعلّقة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كالإجازة المتعلّقة بالعقود الإذنية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من حينها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القائل في العقود الإذنية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الفضولي فيها؛ لأنّ إجازة المجيز علّة تامّة لتحقّق أثرها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أخرج القائل في أوائل الفضولي القبض والإقباض منه، 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علّة تامّة لتحقّق أثره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فكلامه هاهنا مع ما هناك متهافت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بجريان الفضولي فيهما، وأنكر الكشف كما هو ظاهره </w:t>
      </w:r>
    </w:p>
    <w:p>
      <w:pPr>
        <w:pStyle w:val="BookText"/>
        <w:rPr/>
      </w:pPr>
      <w:r>
        <w:rPr>
          <w:rFonts w:ascii="Amiri" w:hAnsi="Amiri" w:eastAsia="Amiri" w:cs="Amiri"/>
          <w:color w:val="111111"/>
          <w:sz w:val="28"/>
          <w:sz w:val="28"/>
          <w:szCs w:val="28"/>
          <w:rtl w:val="true"/>
          <w:lang w:bidi="ar-SA"/>
        </w:rPr>
        <w:t>في المقام،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 الإجازة علّة تامّة أن لا يجري النقل فيالقبض والإقباض؛ لأنّ الإجازة تمام المؤثّر فيما يصحّ تأثيرها، وهو حال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تأثيرها في حال القبض، فلا يمكن إلاّ مع جريان الفضولي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بعض المؤثّر، وتعقّبه بالإجازة متمّمه، أو الإجازة بوجودها شرط التأثير، فإنكار جريان النقل على هذا المبنى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قبول القبض هنا للإجازة، دون القبض في الصرف والسلم؛ لأنّ القبض هنا موضوع لحكم شرعي، كقاعدة التلف قبل القبض، وهناك شرط تأثير العقد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فالقبض لا ينتسب إلى المالك إلاّ بالإجازة، والانتساب أمر واقعي، لا يعقل تقدّمه على ما به الانتساب، ففيما إذا كان موضوعاً لحكم، لا يترتّب عليه إلاّ حين تحقّق موضوعه، وإذا كان شرطاً للتأثير، أمكن أن يكون القبض المنسوب إليه حال الإجازة شرطاً متأخّراً للتأثير حال العقد، أو حال قبض الأجنبيّ</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عدم جريان النزاع فيهما على جميع المباني؛ فإنّ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التأثير إنّما هو للوجود اللحاظي،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الحصّة المضافة موضوع الأثر،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كاشفة عن الرضا التقديري،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بالانقلاب الحقيقي،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 التعبّدي، لا مانع لهم من القول بالكشف </w:t>
      </w:r>
      <w:bookmarkStart w:id="331" w:name="pg15204_140487"/>
    </w:p>
    <w:p>
      <w:pPr>
        <w:pStyle w:val="BookText"/>
        <w:rPr/>
      </w:pPr>
      <w:bookmarkEnd w:id="331"/>
      <w:r>
        <w:rPr>
          <w:rFonts w:ascii="Amiri" w:hAnsi="Amiri" w:eastAsia="Amiri" w:cs="Amiri"/>
          <w:color w:val="111111"/>
          <w:sz w:val="28"/>
          <w:sz w:val="28"/>
          <w:szCs w:val="28"/>
          <w:rtl w:val="true"/>
          <w:lang w:bidi="ar-SA"/>
        </w:rPr>
        <w:t>في القبض والإقباض بعد فرض جريان الفضولي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الفضولي فيهما</w:t>
      </w:r>
      <w:r>
        <w:rPr>
          <w:rStyle w:val="FootnoteAnchor"/>
          <w:rtl w:val="true"/>
        </w:rPr>
        <w:footnoteReference w:id="607"/>
      </w:r>
      <w:r>
        <w:rPr>
          <w:rFonts w:ascii="Amiri" w:hAnsi="Amiri" w:eastAsia="Amiri" w:cs="Amiri"/>
          <w:color w:val="111111"/>
          <w:sz w:val="28"/>
          <w:sz w:val="28"/>
          <w:szCs w:val="28"/>
          <w:rtl w:val="true"/>
          <w:lang w:bidi="ar-SA"/>
        </w:rPr>
        <w:t>، ومع فرض الجريان يجري نزاع الكشف والنقل</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2758888_2142443653"/>
      <w:bookmarkStart w:id="333" w:name="_Toc120"/>
      <w:bookmarkEnd w:id="332"/>
      <w:r>
        <w:rPr>
          <w:rtl w:val="true"/>
        </w:rPr>
        <w:t>حول كون إجازة البيع إجازة القبض</w:t>
      </w:r>
      <w:bookmarkEnd w:id="333"/>
    </w:p>
    <w:p>
      <w:pPr>
        <w:pStyle w:val="BookText"/>
        <w:rPr/>
      </w:pPr>
      <w:r>
        <w:rPr>
          <w:rFonts w:ascii="Amiri" w:hAnsi="Amiri" w:eastAsia="Amiri" w:cs="Amiri"/>
          <w:color w:val="111111"/>
          <w:sz w:val="28"/>
          <w:sz w:val="28"/>
          <w:szCs w:val="28"/>
          <w:rtl w:val="true"/>
          <w:lang w:bidi="ar-SA"/>
        </w:rPr>
        <w:t>ثمّ إنّه لا إشكال في عدم كون إجازة البيع إجازة القبض، ولا مستلزمة لها، فيما إذا لم يكن القبض شرطاً لصحّة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شرطاً، فإن علم المجيز ذلك فأجاز، كان لازمها الإجازة بعد ما أجاز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جهله، فهل تستلزمها أيضاً كما في سائر شرائط الصحّة، أو لا؛ لأنّ هذا الشرط أمر خارج عن العقد وتعبّد شرعي، وربّما لا يرضى المجيز للعقد أن يقع ماله بيد الفضولي؟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العقد 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بصحّة قبض المالك غير العاقد، وصحّ العقد بقبضه، وكان متمكّناً من القبض قبل التفرّق، صحّ العقد والردّ، فإذا قبض صحّ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اشترطنا قبض العاقد، أو لم يمكن للمالك القبض قبل التفرّق، بطل العقد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ردّ القبض ثمّ أجازه، فالظاهر صحّة العقد إذا بقي مجلس التقابض</w:t>
      </w:r>
      <w:r>
        <w:rPr>
          <w:rFonts w:eastAsia="Amiri" w:cs="Amiri" w:ascii="Amiri" w:hAnsi="Amiri"/>
          <w:color w:val="111111"/>
          <w:sz w:val="28"/>
          <w:szCs w:val="28"/>
          <w:rtl w:val="true"/>
          <w:lang w:bidi="ar-SA"/>
        </w:rPr>
        <w:t xml:space="preserve">. </w:t>
      </w:r>
      <w:bookmarkStart w:id="334" w:name="pg15204_140488"/>
    </w:p>
    <w:p>
      <w:pPr>
        <w:pStyle w:val="Heading6"/>
        <w:numPr>
          <w:ilvl w:val="5"/>
          <w:numId w:val="1"/>
        </w:numPr>
        <w:rPr/>
      </w:pPr>
      <w:bookmarkStart w:id="335" w:name="__RefHeading___Toc2758890_2142443653"/>
      <w:bookmarkStart w:id="336" w:name="_Toc121"/>
      <w:bookmarkEnd w:id="334"/>
      <w:bookmarkEnd w:id="335"/>
      <w:r>
        <w:rPr>
          <w:rtl w:val="true"/>
        </w:rPr>
        <w:t>التنبيه السادس</w:t>
      </w:r>
      <w:r>
        <w:rPr>
          <w:rtl w:val="true"/>
        </w:rPr>
        <w:t xml:space="preserve">: </w:t>
      </w:r>
      <w:r>
        <w:rPr>
          <w:rtl w:val="true"/>
        </w:rPr>
        <w:t>حول فورية الإجازة</w:t>
      </w:r>
      <w:bookmarkEnd w:id="336"/>
    </w:p>
    <w:p>
      <w:pPr>
        <w:pStyle w:val="Heading6"/>
        <w:numPr>
          <w:ilvl w:val="5"/>
          <w:numId w:val="1"/>
        </w:numPr>
        <w:rPr/>
      </w:pPr>
      <w:bookmarkStart w:id="337" w:name="__RefHeading___Toc2758892_2142443653"/>
      <w:bookmarkStart w:id="338" w:name="_Toc122"/>
      <w:bookmarkEnd w:id="337"/>
      <w:r>
        <w:rPr>
          <w:rtl w:val="true"/>
        </w:rPr>
        <w:t>ليست الإجازة على الفور</w:t>
      </w:r>
      <w:bookmarkEnd w:id="338"/>
    </w:p>
    <w:p>
      <w:pPr>
        <w:pStyle w:val="BookText"/>
        <w:rPr/>
      </w:pPr>
      <w:r>
        <w:rPr>
          <w:rFonts w:ascii="Amiri" w:hAnsi="Amiri" w:eastAsia="Amiri" w:cs="Amiri"/>
          <w:color w:val="111111"/>
          <w:sz w:val="28"/>
          <w:sz w:val="28"/>
          <w:szCs w:val="28"/>
          <w:rtl w:val="true"/>
          <w:lang w:bidi="ar-SA"/>
        </w:rPr>
        <w:t>ليست الإجازة على الفور؛ لأنّ تأخيرها لا يوجب زوال عناوين العقود بلا ريب، ولا تقاس الإجازة بالقبول على مسلك القوم، من كون العقد مركّباً من الإيجاب والقبول</w:t>
      </w:r>
      <w:r>
        <w:rPr>
          <w:rStyle w:val="FootnoteAnchor"/>
          <w:rtl w:val="true"/>
        </w:rPr>
        <w:footnoteReference w:id="608"/>
      </w:r>
      <w:r>
        <w:rPr>
          <w:rFonts w:ascii="Amiri" w:hAnsi="Amiri" w:eastAsia="Amiri" w:cs="Amiri"/>
          <w:color w:val="111111"/>
          <w:sz w:val="28"/>
          <w:sz w:val="28"/>
          <w:szCs w:val="28"/>
          <w:rtl w:val="true"/>
          <w:lang w:bidi="ar-SA"/>
        </w:rPr>
        <w:t xml:space="preserve">لأنّه في تأخير القبول تزول صورة المركّب، ولا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تمّ العقد، وتأخيرها لا يوجب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لم يطّلع المالك على العقد إلاّ بعد مدّة، ثمّ اطّلع وأجاز، صحّت الإجازة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الفورية بعد علمه بخلاف القبول، فإنّه لو لم يطّلع المشتري على الإيجاب إلاّ بعد زمان مضرّ بالتوالي، بطل الإيجاب، هذا على مسلك القوم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ذكرناه</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شأنها هو القبول، بل القبول إجازة إنشاء الفضولي في الأصيلين أيضاً؛ لأنّ إنشاء الموجب بالنسبة إلى مال المشتري فضولي، فمقتضى القواعد عدم اعتبار التوالي بين الإيجاب والقبول أيضاً، إلاّ مع قيام دليل عليه، ولا شبهة في عدم قيامه في الفضولي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يحتمل فيه التعبّد الشرعي باعتبار الفور، لكنّه مدفوع بعمومات أدلّة العقود، وإطلاق دليل السلطنة؛ لأنّ اعتبار ذلك مخالف لسلطنة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الموارد التي يقال فيها بالفورية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والشفعة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لأنّ الطبع مجبول على دفع ما يكرهه، والأخذ بما يحبّه، فإذا لم يعمل الخيار مع علمه بثبوته، فلا محالة إمّا مقدم على الضرر، أو مسقط لحقّه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المبنى في تلك الموارد ليس ما ذكر بل هو الاختلاف في جواز التمسّك بالعمومات أو الإطلاقات، أو استصحاب حكم المخصّص، كما اعترف به أيضاً في بابه</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المقام وغيره في أنّ الخيار أو الإجازة بحسب مقام الثبوت، على الفور، أو على التراخي، لا في دلالة حال صاحبهما على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الطبائع كذلك لا تقتضي ما ذكره؛ لإمكان أن يكون التأخير لأجل عدم إحراز ما هو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مجيء ما ذكره في مورد يعلم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بتصريحه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إسقاط حقّه وعدم الإقدام على الضرر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غير مرضيّ في نفسه، وخارج عن محطّ البحث</w:t>
      </w:r>
      <w:r>
        <w:rPr>
          <w:rFonts w:eastAsia="Amiri" w:cs="Amiri" w:ascii="Amiri" w:hAnsi="Amiri"/>
          <w:color w:val="111111"/>
          <w:sz w:val="28"/>
          <w:szCs w:val="28"/>
          <w:rtl w:val="true"/>
          <w:lang w:bidi="ar-SA"/>
        </w:rPr>
        <w:t xml:space="preserve">. </w:t>
      </w:r>
      <w:bookmarkStart w:id="339" w:name="pg15204_140490"/>
    </w:p>
    <w:p>
      <w:pPr>
        <w:pStyle w:val="Heading6"/>
        <w:numPr>
          <w:ilvl w:val="5"/>
          <w:numId w:val="1"/>
        </w:numPr>
        <w:rPr/>
      </w:pPr>
      <w:bookmarkStart w:id="340" w:name="__RefHeading___Toc2758894_2142443653"/>
      <w:bookmarkStart w:id="341" w:name="_Toc123"/>
      <w:bookmarkEnd w:id="339"/>
      <w:bookmarkEnd w:id="340"/>
      <w:r>
        <w:rPr>
          <w:rtl w:val="true"/>
        </w:rPr>
        <w:t>حول تضرّر الأصيل بعدم الإجازة وعدم الردّ</w:t>
      </w:r>
      <w:bookmarkEnd w:id="341"/>
    </w:p>
    <w:p>
      <w:pPr>
        <w:pStyle w:val="BookText"/>
        <w:rPr/>
      </w:pPr>
      <w:r>
        <w:rPr>
          <w:rFonts w:ascii="Amiri" w:hAnsi="Amiri" w:eastAsia="Amiri" w:cs="Amiri"/>
          <w:color w:val="111111"/>
          <w:sz w:val="28"/>
          <w:sz w:val="28"/>
          <w:szCs w:val="28"/>
          <w:rtl w:val="true"/>
          <w:lang w:bidi="ar-SA"/>
        </w:rPr>
        <w:t>ثمّ إنّه لو لم يجز المالك ولم يردّ،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العقد من قبل الأصيل قبل الإجازة،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تصرّفه في ماله قبل انتقاله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 ذلك</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لعدم توجّه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العقد عليه، وحرمة تصرّفه فيما انتقل عنه وإليه، فالأقوى على مسلك القوم، من حكومة دليل الضرر على أدلّة الأحكام، رفع حرمة تصرّفه، وبه يدفع الضرر عنه، ولا يلزم من لزوم العقد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لزوم العقد في باب الخيارات أيضاً لم يكن ضرراً، بل تحمّل الغبن ضرر، ولمّا كان ذلك من آثار لزوم العقد، يرفع اللزوم لدفع الضرر اللازم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المال غير منتقل إلى الغير، لكنّه بالعقد صار محروماً عن التصرّف،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ضرري؛ أي موجب لحرمانه، لا لزوم العقد، فدليل لا ضرر يرفع هذا الحكم،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لازم، ولا يجوز له التصرّف في ماله، لا بدّ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الضرر حاكم على الحكم الأخير الذي يلزم منه الضرر؛ أي العلّة الأخيرة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العقد علّة لحرمة التصرّفات وضعاً وتكليفاً، فمع رفع الحرمة، يرتفع اللزوم، كما أنّه مع الحرمة يستكشف اللزوم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كاستكشاف الصحّة من وجوب الوفاء، الملازمة </w:t>
      </w:r>
    </w:p>
    <w:p>
      <w:pPr>
        <w:pStyle w:val="BookText"/>
        <w:rPr/>
      </w:pPr>
      <w:r>
        <w:rPr>
          <w:rFonts w:ascii="Amiri" w:hAnsi="Amiri" w:eastAsia="Amiri" w:cs="Amiri"/>
          <w:color w:val="111111"/>
          <w:sz w:val="28"/>
          <w:sz w:val="28"/>
          <w:szCs w:val="28"/>
          <w:rtl w:val="true"/>
          <w:lang w:bidi="ar-SA"/>
        </w:rPr>
        <w:t xml:space="preserve">لحرمة التصرّفات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رفع حرمة التصرّف بدليل نفي الضرر لا يستلزم نفي اللزوم، بل ما هو مستلزم لذلك هو عدم وجوب الوفاء في عقد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بدليل شرعي وجوب الوفاء، واستكشف منه اللزوم والصحّة، فدلّ دليل على عدم الحرمة لعارض، لا يوجب ذلك عدم اللزوم، كما لا يوجب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العلّية والمعلولية ليست على حذو علل التكوين، ولهذا ترى أنّ الشيخ الأعظم قدّس سرّه مع فرض لزوم العقد بالنسبة إلى الأصيل، فصّل في حرمة التصرّف بين الكشف والنقل، وقال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الحرمة، مع لزوم العقد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الضرر حاكم على حرمة التصرّف تكليفاً ووضعاً، على فرض استفادة الحرمتين، ووضعاً على فرض الوضع فقط، ومع رفعهما لا ضرر في اللزوم، والحرمة علّة أخيرة للضرر، هذا على مبنى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ما سلكناه في دليل نفي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حكومته على أدلّة الأحكام، بل هو حكم سياسي سلطاني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سلطان</w:t>
      </w:r>
      <w:r>
        <w:rPr>
          <w:rStyle w:val="FootnoteAnchor"/>
          <w:rtl w:val="true"/>
        </w:rPr>
        <w:footnoteReference w:id="614"/>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في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المجيز مماطلاً، وهو يوجب الضرر على 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إلى الوالي، كما رجع الأنصاري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سمرة بن جندب، فأمر بقلع الشجرة؛ لقطع الفساد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342" w:name="pg15204_140492"/>
    </w:p>
    <w:p>
      <w:pPr>
        <w:pStyle w:val="BookText"/>
        <w:rPr/>
      </w:pPr>
      <w:bookmarkEnd w:id="342"/>
      <w:r>
        <w:rPr>
          <w:rFonts w:ascii="Amiri" w:hAnsi="Amiri" w:eastAsia="Amiri" w:cs="Amiri"/>
          <w:color w:val="111111"/>
          <w:sz w:val="28"/>
          <w:sz w:val="28"/>
          <w:szCs w:val="28"/>
          <w:rtl w:val="true"/>
          <w:lang w:bidi="ar-SA"/>
        </w:rPr>
        <w:t>فهاهنا للحاكم إلزامه بالردّ أو الإجازة، ولو امتنع فله الإجازة أو الردّ، والضرر وإن ورد عليه بحكم الشرع وحرمانه عن التصرّف، لكن قطع النزاع بعد الرفع إلى الحاكم بيده وبنظره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حرمة التصرّف، وإلاّ فقد عرفت</w:t>
      </w:r>
      <w:r>
        <w:rPr>
          <w:rStyle w:val="FootnoteAnchor"/>
          <w:rtl w:val="true"/>
        </w:rPr>
        <w:footnoteReference w:id="616"/>
      </w:r>
      <w:r>
        <w:rPr>
          <w:rFonts w:ascii="Amiri" w:hAnsi="Amiri" w:eastAsia="Amiri" w:cs="Amiri"/>
          <w:color w:val="111111"/>
          <w:sz w:val="28"/>
          <w:sz w:val="28"/>
          <w:szCs w:val="28"/>
          <w:rtl w:val="true"/>
          <w:lang w:bidi="ar-SA"/>
        </w:rPr>
        <w:t>عدمها في النقل واقعاً وظاهراً، وفي الكشف ظاهراً على بعض المباني، ومعه لا ضرر على الأصيل حتّى يدفع بدليل نفيه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758896_2142443653"/>
      <w:bookmarkStart w:id="344" w:name="_Toc124"/>
      <w:bookmarkEnd w:id="343"/>
      <w:r>
        <w:rPr>
          <w:rtl w:val="true"/>
        </w:rPr>
        <w:t>التنبيه السابع اعتبار مطابقة الإجازة للعقد</w:t>
      </w:r>
      <w:bookmarkEnd w:id="344"/>
    </w:p>
    <w:p>
      <w:pPr>
        <w:pStyle w:val="Heading6"/>
        <w:numPr>
          <w:ilvl w:val="5"/>
          <w:numId w:val="1"/>
        </w:numPr>
        <w:rPr/>
      </w:pPr>
      <w:bookmarkStart w:id="345" w:name="__RefHeading___Toc2758898_2142443653"/>
      <w:bookmarkStart w:id="346" w:name="_Toc125"/>
      <w:bookmarkEnd w:id="345"/>
      <w:r>
        <w:rPr>
          <w:rtl w:val="true"/>
        </w:rPr>
        <w:t>إشارة</w:t>
      </w:r>
      <w:bookmarkEnd w:id="346"/>
    </w:p>
    <w:p>
      <w:pPr>
        <w:pStyle w:val="BookText"/>
        <w:rPr/>
      </w:pPr>
      <w:r>
        <w:rPr>
          <w:rFonts w:ascii="Amiri" w:hAnsi="Amiri" w:eastAsia="Amiri" w:cs="Amiri"/>
          <w:color w:val="111111"/>
          <w:sz w:val="28"/>
          <w:sz w:val="28"/>
          <w:szCs w:val="28"/>
          <w:rtl w:val="true"/>
          <w:lang w:bidi="ar-SA"/>
        </w:rPr>
        <w:t>لا ينبغي الإشكال في اعتبار مطابقة الإجازة للعقد، ولا ينبغي أن يكون النزاع في المقام كبروياً، وإن أوهم كلام الشيخ الأعظم قدّس سرّه بأنّه كبروي، وأنّ في الأجزاء لا تجب المطابقة، دون الشروط</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2758900_2142443653"/>
      <w:bookmarkStart w:id="348" w:name="_Toc126"/>
      <w:bookmarkEnd w:id="347"/>
      <w:r>
        <w:rPr>
          <w:rtl w:val="true"/>
        </w:rPr>
        <w:t>بيان المحقّق النائيني في كون النزاع كبروياً</w:t>
      </w:r>
      <w:bookmarkEnd w:id="34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إجمال كلامه غرّ بعض الأعاظم قدّس سرّه، فذهب إلى عدم اعتبار المطابقة، 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الإجازة حكم البيع ابتداءً، فكما يجوز للمالك بيع بعض ماله ابتداءً، فكذلك تجوز له إجازة بعضه</w:t>
      </w:r>
      <w:r>
        <w:rPr>
          <w:rStyle w:val="FootnoteAnchor"/>
          <w:rtl w:val="true"/>
        </w:rPr>
        <w:footnoteReference w:id="618"/>
      </w:r>
      <w:r>
        <w:rPr>
          <w:rFonts w:ascii="Amiri" w:hAnsi="Amiri" w:eastAsia="Amiri" w:cs="Amiri"/>
          <w:color w:val="111111"/>
          <w:sz w:val="28"/>
          <w:sz w:val="28"/>
          <w:szCs w:val="28"/>
          <w:rtl w:val="true"/>
          <w:lang w:bidi="ar-SA"/>
        </w:rPr>
        <w:t>، فجعل الكلام في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كقبول الإيجاب، لا شأن لها إلاّ إنفاذ ما وقع، والرضا بما أوجده الفضولي، فلو كانت كالبيع الابتدائي لزمت التوالي الفاسدة التي لا يلتزم بها قطعاً، كما لو باع الفضولي، وأجاز هبة، أو إجارة، أو باع بدرهم، وأجاز بمنّ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منه قدّس سرّه في مسألة مطابقة القبول للإيجاب، أنّ اعتبارها من القضايا التي قياساتها معها </w:t>
      </w:r>
      <w:r>
        <w:rPr>
          <w:rStyle w:val="FootnoteAnchor"/>
          <w:rtl w:val="true"/>
        </w:rPr>
        <w:footnoteReference w:id="619"/>
      </w:r>
      <w:r>
        <w:rPr>
          <w:rFonts w:ascii="Amiri" w:hAnsi="Amiri" w:eastAsia="Amiri" w:cs="Amiri"/>
          <w:color w:val="111111"/>
          <w:sz w:val="28"/>
          <w:sz w:val="28"/>
          <w:szCs w:val="28"/>
          <w:rtl w:val="true"/>
          <w:lang w:bidi="ar-SA"/>
        </w:rPr>
        <w:t>، كما أنّ الشيخ الأعظم قدّس سرّه أيضاً ذهب إلى وضوح الاعتبار هناك، فراجع</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الوجه هاهنا هو الوجه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مسلكنا من أنّ القبول إجازة للفضولي حقيقة، وأنّ الإجازة بمنزلة القبول كما مرّ</w:t>
      </w:r>
      <w:r>
        <w:rPr>
          <w:rStyle w:val="FootnoteAnchor"/>
          <w:rtl w:val="true"/>
        </w:rPr>
        <w:footnoteReference w:id="621"/>
      </w:r>
      <w:r>
        <w:rPr>
          <w:rFonts w:ascii="IRNazanin" w:hAnsi="IRNazanin" w:eastAsia="IRNazanin"/>
          <w:color w:val="111111"/>
          <w:sz w:val="28"/>
          <w:sz w:val="28"/>
          <w:szCs w:val="28"/>
          <w:rtl w:val="true"/>
          <w:lang w:bidi="fa-IR"/>
        </w:rPr>
        <w:t>،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مسلكهم؛ من أنّ العقد مركّب من الإيجاب والقبول</w:t>
      </w:r>
      <w:r>
        <w:rPr>
          <w:rStyle w:val="FootnoteAnchor"/>
          <w:rtl w:val="true"/>
        </w:rPr>
        <w:footnoteReference w:id="622"/>
      </w:r>
      <w:r>
        <w:rPr>
          <w:rFonts w:ascii="Amiri" w:hAnsi="Amiri" w:eastAsia="Amiri" w:cs="Amiri"/>
          <w:color w:val="111111"/>
          <w:sz w:val="28"/>
          <w:sz w:val="28"/>
          <w:szCs w:val="28"/>
          <w:rtl w:val="true"/>
          <w:lang w:bidi="ar-SA"/>
        </w:rPr>
        <w:t>، والإجازة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تنفيذ للعقد، وبها يصير العقد عقداً للمجيز؛ فلأنّ الوجه في لزوم مطابقة القبول للإيجاب، هو أنّه لا شأن للقبول إلاّ مطاوعة ما أوقعه الموجب، والإنفاذ لما فعله، والإجازة بعينها كذلك، فلو لم تطابق العقد، لا تكون إجازة وإنفاذاً، كما لا يكون القبول في الفرض قبولاً</w:t>
      </w:r>
      <w:r>
        <w:rPr>
          <w:rFonts w:eastAsia="Amiri" w:cs="Amiri" w:ascii="Amiri" w:hAnsi="Amiri"/>
          <w:color w:val="111111"/>
          <w:sz w:val="28"/>
          <w:szCs w:val="28"/>
          <w:rtl w:val="true"/>
          <w:lang w:bidi="ar-SA"/>
        </w:rPr>
        <w:t xml:space="preserve">. </w:t>
      </w:r>
      <w:bookmarkStart w:id="349" w:name="pg15204_140494"/>
    </w:p>
    <w:p>
      <w:pPr>
        <w:pStyle w:val="BookText"/>
        <w:rPr/>
      </w:pPr>
      <w:bookmarkEnd w:id="349"/>
      <w:r>
        <w:rPr>
          <w:rFonts w:ascii="Amiri" w:hAnsi="Amiri" w:eastAsia="Amiri" w:cs="Amiri"/>
          <w:color w:val="111111"/>
          <w:sz w:val="28"/>
          <w:sz w:val="28"/>
          <w:szCs w:val="28"/>
          <w:rtl w:val="true"/>
          <w:lang w:bidi="ar-SA"/>
        </w:rPr>
        <w:t>فما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بحكم البيع ابتداءً، إن رجع إلى أنّ الإجازة إيقاع للبيع ابتداءً، فهو واضح الضعف، ومخالف لماهية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أنّها في هذا الأثر كالبيع الابتدائي، فهو مصادرة لا يصغى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للنزاع الكبروي</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758902_2142443653"/>
      <w:bookmarkStart w:id="351" w:name="_Toc127"/>
      <w:bookmarkEnd w:id="350"/>
      <w:r>
        <w:rPr>
          <w:rtl w:val="true"/>
        </w:rPr>
        <w:t>بيان المحقّق الأصفهاني في كون النزاع صغروياً</w:t>
      </w:r>
      <w:bookmarkEnd w:id="351"/>
    </w:p>
    <w:p>
      <w:pPr>
        <w:pStyle w:val="BookText"/>
        <w:rPr/>
      </w:pPr>
      <w:r>
        <w:rPr>
          <w:rFonts w:ascii="Amiri" w:hAnsi="Amiri" w:eastAsia="Amiri" w:cs="Amiri"/>
          <w:color w:val="111111"/>
          <w:sz w:val="28"/>
          <w:sz w:val="28"/>
          <w:szCs w:val="28"/>
          <w:rtl w:val="true"/>
          <w:lang w:bidi="ar-SA"/>
        </w:rPr>
        <w:t>وقد يظهر من بعض أهل التدقيق قدّس سرّه أنّ النزاع صغروي، وأنّ المطابقة معتبرة، لكنّه ادّعى حصول المطابقة في جميع الموارد بالنسبة إلى الأجزاء؛ بدعوى أنّ الملكية حيث كانت من الإضافات والاعتبارات التي تتشخّص بأطرافها، فلا محالة تتعدّد الملكية حقيقة بتعدّد المملوك، لا أنّ الكلّ مملوك بملكية واحدة، وإلاّ لم يعقل تمليك بعضه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العقد هو القرار المعاملي الوارد على الملكية، فلا محالة هناك قرارات متعدّدة بتعدّد أطرافها، وإن جمعها إنشاء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يخلو من غرابة؛ فإنّ الاعتبارات العقلائية لا بدّ في كشف حيثيتها من الرجوع إلى العقلاء والعرف، ومن الضروري أنّ بائع سلعة واحدة، لم يتحقّق منه إلاّ قرار واحد ومعاملة واحدة، لا معاملات كثيرة بعدد أجزائها المتوهّمة أو المفروضة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باع كتاباً له ألف صفحة، لم يصدر منه إلاّ بيع واحد، لا ألف بيع بعدد الصفحات</w:t>
      </w:r>
      <w:r>
        <w:rPr>
          <w:rFonts w:eastAsia="Amiri" w:cs="Amiri" w:ascii="Amiri" w:hAnsi="Amiri"/>
          <w:color w:val="111111"/>
          <w:sz w:val="28"/>
          <w:szCs w:val="28"/>
          <w:rtl w:val="true"/>
          <w:lang w:bidi="ar-SA"/>
        </w:rPr>
        <w:t xml:space="preserve">. </w:t>
      </w:r>
      <w:bookmarkStart w:id="352" w:name="pg15204_140495"/>
    </w:p>
    <w:p>
      <w:pPr>
        <w:pStyle w:val="BookText"/>
        <w:rPr/>
      </w:pPr>
      <w:bookmarkEnd w:id="352"/>
      <w:r>
        <w:rPr>
          <w:rFonts w:ascii="IRNazanin" w:hAnsi="IRNazanin" w:eastAsia="IRNazanin"/>
          <w:color w:val="111111"/>
          <w:sz w:val="28"/>
          <w:sz w:val="28"/>
          <w:szCs w:val="28"/>
          <w:rtl w:val="true"/>
          <w:lang w:bidi="fa-IR"/>
        </w:rPr>
        <w:t>وعلى ما ذكره رحمه الله علیه لو باع داراً، لصدرت منه قرارات بعدد الخشب والطوب</w:t>
      </w:r>
      <w:r>
        <w:rPr>
          <w:rStyle w:val="FootnoteAnchor"/>
          <w:rtl w:val="true"/>
        </w:rPr>
        <w:footnoteReference w:id="624"/>
      </w:r>
      <w:r>
        <w:rPr>
          <w:rFonts w:ascii="Amiri" w:hAnsi="Amiri" w:eastAsia="Amiri" w:cs="Amiri"/>
          <w:color w:val="111111"/>
          <w:sz w:val="28"/>
          <w:sz w:val="28"/>
          <w:szCs w:val="28"/>
          <w:rtl w:val="true"/>
          <w:lang w:bidi="ar-SA"/>
        </w:rPr>
        <w:t>والآلات، وأيضاً صدرت منه قرارات بحسب الكسر المشاع إلى ما شاء اللّه، ويكون كلّ بيع مشتملاً على بيوع، بعضها غررية؛ لعدم العلم بالأجزاء الظاهرة والباطنة،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إيكال تلك الاُمور إلى العرف، لا إلى الاعتبار العقلي الموجب للخطأ في الاُمور العرفية</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758904_2142443653"/>
      <w:bookmarkStart w:id="354" w:name="_Toc128"/>
      <w:bookmarkEnd w:id="353"/>
      <w:r>
        <w:rPr>
          <w:rtl w:val="true"/>
        </w:rPr>
        <w:t>التحقيق في لزوم تطابق الإجازة للعقد</w:t>
      </w:r>
      <w:bookmarkEnd w:id="354"/>
    </w:p>
    <w:p>
      <w:pPr>
        <w:pStyle w:val="BookText"/>
        <w:rPr/>
      </w:pPr>
      <w:r>
        <w:rPr>
          <w:rFonts w:ascii="Amiri" w:hAnsi="Amiri" w:eastAsia="Amiri" w:cs="Amiri"/>
          <w:color w:val="111111"/>
          <w:sz w:val="28"/>
          <w:sz w:val="28"/>
          <w:szCs w:val="28"/>
          <w:rtl w:val="true"/>
          <w:lang w:bidi="ar-SA"/>
        </w:rPr>
        <w:t>والتحقيق أن يقال في باب الإيجاب والقبول وفي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لو كان قبولاً لإنشاء الموجب، والإجازة إجازةً لإنشاء البيع، فلا مجال للتجزّؤ فيهما؛ لأنّ الإنشاء لا يتجزّأ، ولا ينحلّ إلى إنشاءات، كما أنّ الإخبار باُمور متكثّرة، لا ينحلّ إلى إخبارات،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إلاّ كذباً واحداً، ولا ينحلّ إلى أكاذيب بعدد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النذر والعهد ونحوهما، فلو نذر أن يصوم كلّ جمعة، لم ينحلّ إلى نذور كثيرة، بل نذر واحد لاُمور كثيرة، فلو ترك صوم جمعة حنث في نذره، ولا حنث بعده؛ إذ لا نذر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خاطب جماعة، لم ينحلّ خطابه إلى خطابات بعدد المخاطبين، بل خطاب واحد يخاطب به الجميع، وهذا واضح عند التدبّر، وتترتّب عليه أحكام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قبولاً للمنشأ وإجازة للبيع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بالإنشاء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لاختلفت الموارد عرفاً، فإذا كانت السلعة واحدة ككتاب واحد، وثوب واحد، ودار واحدة وهكذا، لا ينحلّ البيع المنشأ إلى بيوع كثيرة وانتقالات عديدة، إلاّ مع وجود منشأ للتحليل والتكثير، كما لو كانت السلعة الشخصية لشخصين، أو نقل ما يملكه وما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كثيرة غير مرتبطة في المعاملة، كمن أراد بيع ثوبه بعشرة، وفراشه بعشرين، وبعد التقاول جمع بينهما في الإيجاب، أو البيع فضولاً، فحينئذٍ لو قبل المشتري أحدهما، أو أجازه المالك، صحّ، ولم يكن ما قبله وأجازه غير مطابق للإيجاب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فالميزان هو الانحلال العرفي، ومعه تصحّ الإجازة في البعض، كما يصحّ القبول فيه، ومع عدمه لا يصحّان، ولا فرق بين القبول والإجازة بوجه، فالنزاع صغروي، والموارد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البيع بحسب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الأوصاف والقيود فملخّص الكلام فيه أنّ البيع إن وقع على الكلّي الموصوف، فلا بدّ من إجازة الموصوف، فإن أجاز بوصف مغاير أو بلا وصف، لم تقع صحيحة؛ لأنّ ما أجازه غير ما وقع عليه العقد، ولا ينحلّ العقد على الموصوف إلى العقد على الذات، وعلى القيد،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وقع على الكلّي بلا قيد، فأجاز المقيّد، ومجرّد صدق الكلّي على المقيّد، لا يوجب إيقاع العقد على ما صدق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 على الجزئي الخارجي، ووصفه بوصف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 هذا الفرس </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بيع هذا الفرس غير العربي، فالظاهر صحّة الإجازة؛ لتعلّقها بالعقد على الموجود الخارجي، والتوصيف لا يوجب عدم الإجازة له، إلاّ أن يرجع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الخارجي لا يخرج عن هذيّته بضمّ القيود أو رفضها، كما أنّه لو باع الفرس الخارجي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المشتري، ثمّ بان أنّه غير عربي، صحّ البيع، وكان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وقع على المقيّد وهو مفقود، وغيره لم يقع عليه العقد؛ ضرورة أنّ العقد وقع على الموجود الخارجي، لا على عنوان كلّي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القيود المنضمّة إلى الكلّيات، والمنضمّة إلى الجزئيات الخارجية، فكلّ قيد ضمّ إلى كلّي، يصير به عنواناً آخر مغايراً للمطلق وللمقيّد بغيره، بخلاف القيود المنضمّة إلى الجزئي؛ فإنّ الجزئي لا يصير لأجل القيد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الاقتداء بشخص خارجي ولو بقيد أنّه زيد وكان واقعاً عمراً، صحيح</w:t>
      </w:r>
      <w:r>
        <w:rPr>
          <w:rStyle w:val="FootnoteAnchor"/>
          <w:rtl w:val="true"/>
        </w:rPr>
        <w:footnoteReference w:id="625"/>
      </w:r>
      <w:r>
        <w:rPr>
          <w:rFonts w:ascii="Amiri" w:hAnsi="Amiri" w:eastAsia="Amiri" w:cs="Amiri"/>
          <w:color w:val="111111"/>
          <w:sz w:val="28"/>
          <w:sz w:val="28"/>
          <w:szCs w:val="28"/>
          <w:rtl w:val="true"/>
          <w:lang w:bidi="ar-SA"/>
        </w:rPr>
        <w:t>لأنّ الاقتداء لم يكن بالعنوان، حتّى يقال بالتخلّف، بل يقع على الخارج، ولا يتخلّف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الشروط، 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تارةً يقع في ضمن العقد، واُخرى في تلو الإجازة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التفصيل بين الموارد، والميزان هو الانحلال وعدمه، فقد يكون العقد والشرط منحلّين إلى قرارين بنظر العرف، كما لو أرادا إيقاع </w:t>
      </w:r>
    </w:p>
    <w:p>
      <w:pPr>
        <w:pStyle w:val="BookText"/>
        <w:rPr/>
      </w:pPr>
      <w:r>
        <w:rPr>
          <w:rFonts w:ascii="Amiri" w:hAnsi="Amiri" w:eastAsia="Amiri" w:cs="Amiri"/>
          <w:color w:val="111111"/>
          <w:sz w:val="28"/>
          <w:sz w:val="28"/>
          <w:szCs w:val="28"/>
          <w:rtl w:val="true"/>
          <w:lang w:bidi="ar-SA"/>
        </w:rPr>
        <w:t>شرط، ولكن لمّا رأيا أنّ الشروط الابتدائية باطلة، أوقعاه في ضمن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تكون المعاملة غير مطلوبة بالذات، لكن لأجل إيقاع الشرط في ضمنها بنيا على إيقاعها، فلا شبهة في أنّ الشرط في مثله غير منوط بالعقد، ولا دخيل في الثمن والمثمن حتّى بحسب اللبّ والداعي، وعليه لو أجاز البيع دون الشرط صحّ، ففيما نحن فيه أيضاً لو كان الشرط كذلك، صحّت إجازة البيع 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سيق الشرط لبيان حدود المبيع في نظر العرف، كما لو شرط أوصاف المبيع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وزنة من البطّيخ، وشرطت أن يكون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الانحلال عرفاً إلى بيع أصل البطّيخ، وشرط في ضمن البيع، بل العرف يرى أنّ موضوع المعاملة هو البطّيخ الحلو، وإنّما ذكر المقصود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القيد،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ففي مثله التزام واحد عرفاً وإن كان منحلاًّ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الشرط مطلوباً مرتبطاً لبّاً بالمعاملة؛ بحيث كان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من الثمن؛ بمعنى أنّ ثمن المبيع بحسب اللبّ، هو المقدار الذي جعل بإزاء المبيع في عقد البيع، مع المقدار الذي ذكر شرطاً، كما أنّه لو باع الدار التي قيمتها ألف ومائة بألف، وشرط عليه عملاً يساوي مائة، كان في اللبّ باعها بألف ومائة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مثله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البيع المشروط في ضمنه ينحلّ إلى بيع الدار بألف، وهو قرار، وقرار آخر هو في ضمنه؛ أي العمل الكذائي، فللمالك إجازة البيع دون الشرط؟ </w:t>
      </w:r>
    </w:p>
    <w:p>
      <w:pPr>
        <w:pStyle w:val="BookText"/>
        <w:rPr/>
      </w:pPr>
      <w:r>
        <w:rPr>
          <w:rFonts w:ascii="Amiri" w:hAnsi="Amiri" w:eastAsia="Amiri" w:cs="Amiri"/>
          <w:color w:val="111111"/>
          <w:sz w:val="28"/>
          <w:sz w:val="28"/>
          <w:szCs w:val="28"/>
          <w:rtl w:val="true"/>
          <w:lang w:bidi="ar-SA"/>
        </w:rPr>
        <w:t xml:space="preserve">أو أنّ الالتزامين يرجعان عرفاً إلى التزام واحد، كما هو ظاهر الشيخ قدّس سرّه هاهنا </w:t>
      </w:r>
      <w:r>
        <w:rPr>
          <w:rStyle w:val="FootnoteAnchor"/>
          <w:rtl w:val="true"/>
        </w:rPr>
        <w:footnoteReference w:id="626"/>
      </w:r>
      <w:r>
        <w:rPr>
          <w:rFonts w:ascii="Amiri" w:hAnsi="Amiri" w:eastAsia="Amiri" w:cs="Amiri"/>
          <w:color w:val="111111"/>
          <w:sz w:val="28"/>
          <w:sz w:val="28"/>
          <w:szCs w:val="28"/>
          <w:rtl w:val="true"/>
          <w:lang w:bidi="ar-SA"/>
        </w:rPr>
        <w:t>، وإن رجع عنه في باب الشروط</w:t>
      </w:r>
      <w:r>
        <w:rPr>
          <w:rStyle w:val="FootnoteAnchor"/>
          <w:rtl w:val="true"/>
        </w:rPr>
        <w:footnoteReference w:id="6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يبعد ترجيح الأوّل والحكم بالصحّة والانحلال؛ بدعوى أنّ الدواعي والاُمور اللبّية لا توجب تقييد الإنشاءات بها، فمن اشترى دواءً إنّما اشتراه للشرب وترتّب الصحّة عليه، ولا يكون ذلك قيداً للإنشاء، ولا للمنشأ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اللبّ وإن وقعت الدار في مقابل ألف ومائة، وكان الداعي للمعاملة أخذ الثمن، ومورد الشرط بإزائها، لكن لم يصر ذلك موجباً لعدم تفكيك إنشاء البيع عن إنشاء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إنشاءان، ومنشآن بهما، فله إجازة عقد البيع، وعدم إجازة الشرط، والتفصيل في محلّه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الموارد التي لا يصحّ تفكيكهما، ومعه تبطل الإجازة، ما إذا كان ذكر الشرط دخيلاً في صحّة العقد، كما لو كان رفع الغرر بذكر الشرط، فلو باع طاقة عباء بطل للغرر، فإذا ذكر القيود الرافعة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قبول البيع دون الشرط؛ للزوم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وقع الشرط في تلو الإجازة، فالبحث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الشرط ولزومه،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الإجازة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الأصيل هاهنا هو الثاني، فالظاهر فيه هو اختلاف الموارد هنا أيضاً، </w:t>
      </w:r>
    </w:p>
    <w:p>
      <w:pPr>
        <w:pStyle w:val="BookText"/>
        <w:rPr/>
      </w:pPr>
      <w:r>
        <w:rPr>
          <w:rFonts w:ascii="Amiri" w:hAnsi="Amiri" w:eastAsia="Amiri" w:cs="Amiri"/>
          <w:color w:val="111111"/>
          <w:sz w:val="28"/>
          <w:sz w:val="28"/>
          <w:szCs w:val="28"/>
          <w:rtl w:val="true"/>
          <w:lang w:bidi="ar-SA"/>
        </w:rPr>
        <w:t>فقد تنحلّ الإجازة المتلوّة بالشرط إلى إجازة البيع، واشتراط مستقلّ مذكور في تلوها، كما لو أراد اشتراط شيء مستقلّ، وزعم أنّ ذكره في تلو الإجازة يخرجه عن الشرط البدوي من غير ارتباط بين المعاملة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إذا كان الشرط غير دخيل في تفاوت القيم، كما لو شرط عليه أن يعتكف لنفسه لا للشارط، أو يصلّي أوّل الوقت، وكان غرضه عبادة اللّه تعالى، من غير أن يكون للشرط قسط من الثمن ولو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ينحلّ ما أوقعه إلى أمرين، بل يرجع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تحديد حدود الإجازة،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وشرطت أن تكون السلعة بوصف 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بنظر العرف وحدة الالتزام، لا أنّه التزام مستقلّ في ضمن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الشرط دخيلاً في الرغبات، كاشتراط خياطة الثوب، ونحوها ممّا يكون له بحسب اللبّ قسط من الثمن، ففيه الكلام السابق، كما أنّ الأمر في السلعة الجزئية كما مرّ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حال لزوم الشرط في تلو الإجازة، فالظاهر أنّه مبنيّ على صحّة 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ضمن الإيقاع يخرجه عن الابتدائية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الإيقاع إذا تحقّق تمّ، ولا يتوقّف على ضمّ شيء آخر إليه، فإذا تمّ يكون ما لحقه بعد تمامه خارجاً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شروط الطلاق، وقع من غير انتظار لأمر آخر، والشرط بعده أجنبيّ عنه، والفرض أنّه لم يعلّق على الشرط، بل يكون الشرط في تلوه بلا تعليق، وإلاّ بطل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الشرط في تلو الإجازة، فلو لم يقبل الطرف، أو قبل ولم يعمل بالشرط، فهل له خيار ردّ الإجازة، فيكون حال الإجازة حال البيع مع تخلّف الشرط، ومع ردّ الإجازة يصير البيع خالياً عنها؟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الإجازة بوجودها الحدوثي صارت سبباً للنقل، ولا يعقل إمحاؤها بوجودها الحدوثي، ولا بقاء لها حتّى يردّها في هذا الحال، كفسخ العقد الباقي إلى زمانه؟ وجهان</w:t>
      </w:r>
      <w:r>
        <w:rPr>
          <w:rFonts w:eastAsia="Amiri" w:cs="Amiri" w:ascii="Amiri" w:hAnsi="Amiri"/>
          <w:color w:val="111111"/>
          <w:sz w:val="28"/>
          <w:szCs w:val="28"/>
          <w:rtl w:val="true"/>
          <w:lang w:bidi="ar-SA"/>
        </w:rPr>
        <w:t xml:space="preserve">. </w:t>
      </w:r>
      <w:bookmarkStart w:id="355" w:name="pg15204_140502"/>
    </w:p>
    <w:p>
      <w:pPr>
        <w:pStyle w:val="Heading4"/>
        <w:numPr>
          <w:ilvl w:val="3"/>
          <w:numId w:val="1"/>
        </w:numPr>
        <w:rPr/>
      </w:pPr>
      <w:bookmarkStart w:id="356" w:name="__RefHeading___Toc2758906_2142443653"/>
      <w:bookmarkStart w:id="357" w:name="_Toc129"/>
      <w:bookmarkEnd w:id="355"/>
      <w:bookmarkEnd w:id="356"/>
      <w:r>
        <w:rPr>
          <w:rtl w:val="true"/>
        </w:rPr>
        <w:t>القول في المجيز</w:t>
      </w:r>
      <w:bookmarkEnd w:id="357"/>
    </w:p>
    <w:p>
      <w:pPr>
        <w:pStyle w:val="Heading5"/>
        <w:numPr>
          <w:ilvl w:val="4"/>
          <w:numId w:val="1"/>
        </w:numPr>
        <w:rPr/>
      </w:pPr>
      <w:bookmarkStart w:id="358" w:name="__RefHeading___Toc2758908_2142443653"/>
      <w:bookmarkStart w:id="359" w:name="_Toc130"/>
      <w:bookmarkEnd w:id="358"/>
      <w:r>
        <w:rPr>
          <w:rtl w:val="true"/>
        </w:rPr>
        <w:t>وفيه اُمور</w:t>
      </w:r>
      <w:r>
        <w:rPr>
          <w:rtl w:val="true"/>
        </w:rPr>
        <w:t>:</w:t>
      </w:r>
      <w:bookmarkEnd w:id="359"/>
    </w:p>
    <w:p>
      <w:pPr>
        <w:pStyle w:val="Heading6"/>
        <w:numPr>
          <w:ilvl w:val="5"/>
          <w:numId w:val="1"/>
        </w:numPr>
        <w:rPr/>
      </w:pPr>
      <w:bookmarkStart w:id="360" w:name="__RefHeading___Toc2758910_2142443653"/>
      <w:bookmarkStart w:id="361" w:name="_Toc131"/>
      <w:bookmarkEnd w:id="360"/>
      <w:r>
        <w:rPr>
          <w:rtl w:val="true"/>
        </w:rPr>
        <w:t>الأمر الأوّل</w:t>
      </w:r>
      <w:r>
        <w:rPr>
          <w:rtl w:val="true"/>
        </w:rPr>
        <w:t xml:space="preserve">: </w:t>
      </w:r>
      <w:r>
        <w:rPr>
          <w:rtl w:val="true"/>
        </w:rPr>
        <w:t>اعتبار كون المجيز جائز التصرّف حين الإجازة</w:t>
      </w:r>
      <w:bookmarkEnd w:id="361"/>
    </w:p>
    <w:p>
      <w:pPr>
        <w:pStyle w:val="BookText"/>
        <w:rPr/>
      </w:pPr>
      <w:r>
        <w:rPr>
          <w:rFonts w:ascii="Amiri" w:hAnsi="Amiri" w:eastAsia="Amiri" w:cs="Amiri"/>
          <w:color w:val="111111"/>
          <w:sz w:val="28"/>
          <w:sz w:val="28"/>
          <w:szCs w:val="28"/>
          <w:rtl w:val="true"/>
          <w:lang w:bidi="ar-SA"/>
        </w:rPr>
        <w:t>لا شبهة في اعتبار كونه جائز التصرّف حين الإجازة بالبلوغ، والعقل، وعدم الحجر لفلس أو سفه أو مرض، بناءً على عدم نفوذ منجّزات المريض زائداً على الثلث، من غير فرق بين النقل والكشف إذا كانت الإجازة دخيلة في النقل والصحّة، ولو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مسلك من قال بالكشف المحض من غير دخالة للإجازة</w:t>
      </w:r>
      <w:r>
        <w:rPr>
          <w:rStyle w:val="FootnoteAnchor"/>
          <w:rtl w:val="true"/>
        </w:rPr>
        <w:footnoteReference w:id="630"/>
      </w:r>
      <w:r>
        <w:rPr>
          <w:rFonts w:ascii="Amiri" w:hAnsi="Amiri" w:eastAsia="Amiri" w:cs="Amiri"/>
          <w:color w:val="111111"/>
          <w:sz w:val="28"/>
          <w:sz w:val="28"/>
          <w:szCs w:val="28"/>
          <w:rtl w:val="true"/>
          <w:lang w:bidi="ar-SA"/>
        </w:rPr>
        <w:t>، أو من قال بكاشفيتها عن الرضا التقديري، والشرط هو الرضا التقديري المقارن للعقد</w:t>
      </w:r>
      <w:r>
        <w:rPr>
          <w:rStyle w:val="FootnoteAnchor"/>
          <w:rtl w:val="true"/>
        </w:rPr>
        <w:footnoteReference w:id="631"/>
      </w:r>
      <w:r>
        <w:rPr>
          <w:rFonts w:ascii="Amiri" w:hAnsi="Amiri" w:eastAsia="Amiri" w:cs="Amiri"/>
          <w:color w:val="111111"/>
          <w:sz w:val="28"/>
          <w:sz w:val="28"/>
          <w:szCs w:val="28"/>
          <w:rtl w:val="true"/>
          <w:lang w:bidi="ar-SA"/>
        </w:rPr>
        <w:t>، لا مناص له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الاعتبار في مثل المحجور عليه لسفه أو نحوه؛ لعدم كون الإجازة حينئذٍ تصرّفاً مالياً بوجه، وعدم الحجر عن الإتيان بالكاشف عن أمر سابق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احتمل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الكشف يمضي إجازة المريض؛ </w:t>
      </w:r>
    </w:p>
    <w:p>
      <w:pPr>
        <w:pStyle w:val="BookText"/>
        <w:rPr/>
      </w:pPr>
      <w:r>
        <w:rPr>
          <w:rFonts w:ascii="Amiri" w:hAnsi="Amiri" w:eastAsia="Amiri" w:cs="Amiri"/>
          <w:color w:val="111111"/>
          <w:sz w:val="28"/>
          <w:sz w:val="28"/>
          <w:szCs w:val="28"/>
          <w:rtl w:val="true"/>
          <w:lang w:bidi="ar-SA"/>
        </w:rPr>
        <w:t>بدعوى أنّ الإجازة ليست تصرّفاً، بل هي شرط لنفوذ التصرّفات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ضرورة أنّ الإنشاء إذا كان غير مؤثّر في النقل من الأوّل، فليس تصرّفاً، وإلاّ لزم القول بحرمته وببطلانه بناءً على عدم اجتماع الحرمة والإنفاذ، والإجازة المتأخّرة دخيلة في النقل على أيّ حال، إلاّ على مسلك من أشرنا إليه، والمريض على المبنى المتقدّم محجور عليه فيه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هذا الأمر في شرائط المجيز، كالعقل، والبلوغ، وعدم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 بعض الأعاظم قدّس سرّه بما إذا تصرّف المجيز بما ينافي الإجازة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تأثير الإجازة مع تصرّف المجيز بما ينافي الإجازة دور واضح؛ فإنّ بطلان تصرّفه يتوقّف على تأثيرها، وتأثيرها يتوقّف على بطلانه، ولا عكس؛ فإنّ تصرّفه وقع من أهله في محلّه، فإرهان المالك المبيع قبل الإجازة، يوجب عدم تأثيرها </w:t>
      </w:r>
      <w:r>
        <w:rPr>
          <w:rStyle w:val="FootnoteAnchor"/>
          <w:rtl w:val="true"/>
        </w:rPr>
        <w:footnoteReference w:id="6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تصرّف المالك بعد عقد الفضولي وقبل الإجازة بما ينافيها، أجنبيّة عن المقام، بل هي مسألة اُخرى، مبناها غير مسألتنا هذه، وهو أنّ تصرّفه ذلك هل هو هادم للعقد نظير الردّ على القول بالهدم، أو مانع عن لحوق الإجازة به، أو أنّ العقد المتعقّب بالإجازة مؤثّر، وموجب لخروج المبيع عن ملكه، فبطل تصرّفه؟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من اعتبار كون المجيز جائز التصرّف؟</w:t>
      </w:r>
      <w:r>
        <w:rPr>
          <w:rFonts w:eastAsia="Amiri" w:cs="Amiri" w:ascii="Amiri" w:hAnsi="Amiri"/>
          <w:color w:val="111111"/>
          <w:sz w:val="28"/>
          <w:szCs w:val="28"/>
          <w:rtl w:val="true"/>
          <w:lang w:bidi="ar-SA"/>
        </w:rPr>
        <w:t xml:space="preserve">! </w:t>
      </w:r>
      <w:bookmarkStart w:id="362" w:name="pg15204_140504"/>
    </w:p>
    <w:p>
      <w:pPr>
        <w:pStyle w:val="BookText"/>
        <w:rPr/>
      </w:pPr>
      <w:bookmarkEnd w:id="362"/>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الكلام في شرائط المجيز، وقد يكون في شرائط الإجازة، وقد يكون في شرائط العقد المجاز، وإرجاع بعضها إلى بعض خلط، والكلام هاهنا في شرائط الأوّل كما هو واضح</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758912_2142443653"/>
      <w:bookmarkStart w:id="364" w:name="_Toc132"/>
      <w:bookmarkEnd w:id="363"/>
      <w:r>
        <w:rPr>
          <w:rtl w:val="true"/>
        </w:rPr>
        <w:t>الأمر الثاني</w:t>
      </w:r>
      <w:r>
        <w:rPr>
          <w:rtl w:val="true"/>
        </w:rPr>
        <w:t xml:space="preserve">: </w:t>
      </w:r>
      <w:r>
        <w:rPr>
          <w:rtl w:val="true"/>
        </w:rPr>
        <w:t>اعتبار وجود المجيز حين العقد</w:t>
      </w:r>
      <w:bookmarkEnd w:id="364"/>
    </w:p>
    <w:p>
      <w:pPr>
        <w:pStyle w:val="BookText"/>
        <w:rPr/>
      </w:pPr>
      <w:r>
        <w:rPr>
          <w:rFonts w:ascii="Amiri" w:hAnsi="Amiri" w:eastAsia="Amiri" w:cs="Amiri"/>
          <w:color w:val="111111"/>
          <w:sz w:val="28"/>
          <w:sz w:val="28"/>
          <w:szCs w:val="28"/>
          <w:rtl w:val="true"/>
          <w:lang w:bidi="ar-SA"/>
        </w:rPr>
        <w:t xml:space="preserve">هل يعتبر في الصحّة أن يكون للعقد مجيز حاله؟ ولا بأس بالبحث عنه كبروياً، وإن فرض أنّه لا مورد له عندنا؛ إذ يكفي في عدم اللغوية كونه ذا أثر ولو عند غيرنا، كما يبحث في باب الجهاد بعض ما يتعلّق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وتكليفه</w:t>
      </w:r>
      <w:r>
        <w:rPr>
          <w:rStyle w:val="FootnoteAnchor"/>
          <w:rtl w:val="true"/>
        </w:rPr>
        <w:footnoteReference w:id="634"/>
      </w:r>
      <w:r>
        <w:rPr>
          <w:rFonts w:ascii="Amiri" w:hAnsi="Amiri" w:eastAsia="Amiri" w:cs="Amiri"/>
          <w:color w:val="111111"/>
          <w:sz w:val="28"/>
          <w:sz w:val="28"/>
          <w:szCs w:val="28"/>
          <w:rtl w:val="true"/>
          <w:lang w:bidi="ar-SA"/>
        </w:rPr>
        <w:t>، بل قد يبحث عمّا لا يتّفق الوجود له، كالبحث عن نجاسة دم مخلوق الساعة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في المقام قد يذهب إلى عدم الولاية لأحد حتّى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كبيع مال الصغير بخلاف مصلحته، ويمكن التمثيل أيضاً ببيع مال الغير عن نفسه، بناءً على عدم صحّة إجازة المالك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الاعتبار بعد كون عقد الفضولي على القواعد، ومشمولاً للعمومات والإطلاقات، فلو شكّ في اعتباره يرفعه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الكشف، وأنّه على خلاف القواعد، وعدم إطلاق في الدليل الذي يدلّ عليه، لو شكّ في اعتبار ذلك لا يمكن تصحيحه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مرّ في سالف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لمّا كان على القواعد، لو فرض قصور </w:t>
      </w:r>
    </w:p>
    <w:p>
      <w:pPr>
        <w:pStyle w:val="BookText"/>
        <w:rPr/>
      </w:pPr>
      <w:r>
        <w:rPr>
          <w:rFonts w:ascii="Amiri" w:hAnsi="Amiri" w:eastAsia="Amiri" w:cs="Amiri"/>
          <w:color w:val="111111"/>
          <w:sz w:val="28"/>
          <w:sz w:val="28"/>
          <w:szCs w:val="28"/>
          <w:rtl w:val="true"/>
          <w:lang w:bidi="ar-SA"/>
        </w:rPr>
        <w:t>دليل الكشف في مورد، يؤخذ بالقواعد فيه، ويحكم بالنقل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تقتضي النقل، وإنّما خرجنا عنها لدليل خاصّ، دالّ على الكشف على فرض تماميته، فلو كان له إطلاق يؤخذ به، ويحكم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الشكّ، وإلاّ فيؤخذ بإطلاق دليل النقل؛ أي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الأخذ بها إلاّ ما استدلّ به فخر الدين قدّس سرّه تقريباً لقول العلاّمة قدّس سرّه، فعنه أنّه يبتني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صحّة بيع الفضولي قبل الإجازة، كونه في التأثير على أقرب مراتب الإمكان الاستعدادي؛ لاجتماع الشرائط غير الإجازة، فإذا أمكنت إمكاناً قريباً 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امتنع تحقّقه امتنع وقوع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إذا امتنعت صحّته في زمان امتنع دائماً؛ لأنّه إذا امتنعت الصحّة حينئذٍ تعيّن البطلان؛ لامتناع ارتفاعهما معاً واقعاً، والبطلان في زمان يقتضي بطلانه دائماً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الاُولى؛ لعدم الدليل عليها، بل ما ذكره مصادرة عند التحقيق؛ فإنّ المدّعى أنّه يعتبر وجود مجيز حال العقد، والدليل أنّ معنى الصحّة في الفضولي هو استجماعه لجميع القيود، منها وجود مجيز حال العقد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تسالمنا معه على جميع القيود، وخالفناه في اعتبار المجيز، وطالبناه بالدليل عليه، لكان الجواب بحسب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العقد من </w:t>
      </w:r>
    </w:p>
    <w:p>
      <w:pPr>
        <w:pStyle w:val="BookText"/>
        <w:rPr/>
      </w:pPr>
      <w:r>
        <w:rPr>
          <w:rFonts w:ascii="Amiri" w:hAnsi="Amiri" w:eastAsia="Amiri" w:cs="Amiri"/>
          <w:color w:val="111111"/>
          <w:sz w:val="28"/>
          <w:sz w:val="28"/>
          <w:szCs w:val="28"/>
          <w:rtl w:val="true"/>
          <w:lang w:bidi="ar-SA"/>
        </w:rPr>
        <w:t>أن يكون له مجيز حاله حتّى يتمّ مراتب الإمكان الاستعدادي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ما ذكره، بل إطلاق الأدلّة على خلافه، وليس معنى صحّة الفضولي ما ذكره، بل معناها أنّه لو فرض إلحاق الإجازة به لصحّ فعلاً، وإمكان اللحوق فعلاً ولا إمكانه خارجان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فيما إذا وجد عقد وضمّت إليه الإجازة، وكان حالها جامعاً لشرائط الصحّة، وإن كان في حال وجوده بحيث لو ضمّت إليه لكان باطلاً، كما لو باع الفضولي مائعاً خارجياً وكان خمراً، ثمّ صار خلاًّ فأجاز، أو باع كلباً هراشاً، فصار حارساً، إذ لا دليل على بطلان الإنشاء على المذكورات، والفرض صدق العناوين وحصول الشرط عند الإجازة التي بها يحصل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البطلان في المذكورات، لم يسلّم في مورد البحث؛ أي إمكان لحوق الإجازة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صحّت هذه المقدّمة فلا يرد الإشكال على الاُخريين؛ ضرورة أنّه مع بطلان العقد الفضولي حال صدوره بطل مطلقاً، ولا ينقلب الباطل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الكبرى، وأنّ امتناع صحّة العقد في زمان لا يقتضي امتناعه دائماً </w:t>
      </w:r>
      <w:r>
        <w:rPr>
          <w:rStyle w:val="FootnoteAnchor"/>
          <w:rtl w:val="true"/>
        </w:rPr>
        <w:footnoteReference w:id="638"/>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المدّعى أنّ العقد ممتنع الصحّة، وكلّ ما كان ممتنع الصحّة في زمان كان ممتنعاً دائماً، كان الإشكال عليه كبروياً؛ لأنّ الامتناع المذكور ليس امتناعاً ذاتياً بالضرورة، بل هو امتناع بالغير؛ أي بامتناع لحوق الإجازة، </w:t>
      </w:r>
    </w:p>
    <w:p>
      <w:pPr>
        <w:pStyle w:val="BookText"/>
        <w:rPr/>
      </w:pPr>
      <w:r>
        <w:rPr>
          <w:rFonts w:ascii="Amiri" w:hAnsi="Amiri" w:eastAsia="Amiri" w:cs="Amiri"/>
          <w:color w:val="111111"/>
          <w:sz w:val="28"/>
          <w:sz w:val="28"/>
          <w:szCs w:val="28"/>
          <w:rtl w:val="true"/>
          <w:lang w:bidi="ar-SA"/>
        </w:rPr>
        <w:t>والممتنع بالغير إذا أمكن الغير صار ممكناً، وإلاّ خرج عن الامتناع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المفروض في المقام ليس امتناع وجود المجيز، بل عدم المجيز فعلاً، فلا ينتج ذلك امتناع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الصحّة ممتنعة مع عدم لحوق الإجازة؛ أي ممتنعة بشرط عدم اللحوق، أو في حال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المعلول ممتنع مع عدم تمامية أجزاء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أفحش؛ لأنّ مطلق الفضولي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الفخر قدّس سرّه استدلّ بما تقدّم</w:t>
      </w:r>
      <w:r>
        <w:rPr>
          <w:rStyle w:val="FootnoteAnchor"/>
          <w:rtl w:val="true"/>
        </w:rPr>
        <w:footnoteReference w:id="639"/>
      </w:r>
      <w:r>
        <w:rPr>
          <w:rFonts w:ascii="Amiri" w:hAnsi="Amiri" w:eastAsia="Amiri" w:cs="Amiri"/>
          <w:color w:val="111111"/>
          <w:sz w:val="28"/>
          <w:sz w:val="28"/>
          <w:szCs w:val="28"/>
          <w:rtl w:val="true"/>
          <w:lang w:bidi="ar-SA"/>
        </w:rPr>
        <w:t>، لا بما ذكر آنفاً، وكذا المحقّق الثاني قدّس سرّه، أراد ما أراد الفخر؛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القرب أنّه مع عدم من له أهلية الإجازة، تكون صحّة العقد ممتنعة في الحال، وإذا امتنعت في زمان ما امتنعت دائماً؛ لأنّ بطلان العقد في زمان يقتضي بطلانه دائماً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عين تقرير الفخر، فالإشكال حينئذٍ صغروي لا كبروي، لكن الشيخ الأعظم قدّس سرّه اقتصر في نقل الدليل على صدر العبارة، وأغمض عن ذيلها، فزعم أنّ تمام الدليل هو هذه الكلّية، فأجاب بما أجاب</w:t>
      </w:r>
      <w:r>
        <w:rPr>
          <w:rStyle w:val="FootnoteAnchor"/>
          <w:rtl w:val="true"/>
        </w:rPr>
        <w:footnoteReference w:id="641"/>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على البطلان بلزوم الضرر على المشتري؛ لكونه ممنوعاً عن التصرّف في الثمن إذا كان معيّناً، للزوم العقد من جانبه، واحتمال الإجازة، وفي المبيع أيضاً؛ لعدم المقتضي لجواز التصرّف وإمكان عدمها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365" w:name="pg15204_140508"/>
    </w:p>
    <w:p>
      <w:pPr>
        <w:pStyle w:val="BookText"/>
        <w:rPr/>
      </w:pPr>
      <w:bookmarkEnd w:id="365"/>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منع عدم جواز تصرّفه في الثمن، ومنع لزوم العقد من قبله كما مرّ</w:t>
      </w:r>
      <w:r>
        <w:rPr>
          <w:rStyle w:val="FootnoteAnchor"/>
          <w:rtl w:val="true"/>
        </w:rPr>
        <w:footnoteReference w:id="643"/>
      </w:r>
      <w:r>
        <w:rPr>
          <w:rFonts w:ascii="Amiri" w:hAnsi="Amiri" w:eastAsia="Amiri" w:cs="Amiri"/>
          <w:color w:val="111111"/>
          <w:sz w:val="28"/>
          <w:sz w:val="28"/>
          <w:szCs w:val="28"/>
          <w:rtl w:val="true"/>
          <w:lang w:bidi="ar-SA"/>
        </w:rPr>
        <w:t xml:space="preserve">، وعلى فرض التسليم يمكن إجراء بعض الاُصول لإثبات الجواز ظاهراً، ومنع لزوم الضرر دائماً على فرض عدم جواز التصرّف إذا تحقّق المجيز في زمان قصير، أو عدم الداعي له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الضرر لا يقتضي البطلان، ولا عدم اللزوم، بل ما يوجب الضرر هو حرمة تصرّفه في ماله، وهو المنفيّ على المبنى؛ فإنّه مع جواز التصرّف، لا ضرر عليه من قبل الصحّة واللزوم كما مرّ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نصوص النكاح الفضولي ما يشهد على المدّعى</w:t>
      </w:r>
      <w:r>
        <w:rPr>
          <w:rStyle w:val="FootnoteAnchor"/>
          <w:rtl w:val="true"/>
        </w:rPr>
        <w:footnoteReference w:id="64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366" w:name="__RefHeading___Toc2758914_2142443653"/>
      <w:bookmarkStart w:id="367" w:name="_Toc133"/>
      <w:bookmarkEnd w:id="366"/>
      <w:r>
        <w:rPr>
          <w:rtl w:val="true"/>
        </w:rPr>
        <w:t>الأمر الثالث</w:t>
      </w:r>
      <w:r>
        <w:rPr>
          <w:rtl w:val="true"/>
        </w:rPr>
        <w:t xml:space="preserve">: </w:t>
      </w:r>
      <w:r>
        <w:rPr>
          <w:rtl w:val="true"/>
        </w:rPr>
        <w:t>كون المجيز جائز التصرّف حال العقد</w:t>
      </w:r>
      <w:bookmarkEnd w:id="367"/>
    </w:p>
    <w:p>
      <w:pPr>
        <w:pStyle w:val="Heading6"/>
        <w:numPr>
          <w:ilvl w:val="5"/>
          <w:numId w:val="1"/>
        </w:numPr>
        <w:rPr/>
      </w:pPr>
      <w:bookmarkStart w:id="368" w:name="__RefHeading___Toc2758916_2142443653"/>
      <w:bookmarkStart w:id="369" w:name="_Toc134"/>
      <w:bookmarkEnd w:id="368"/>
      <w:r>
        <w:rPr>
          <w:rtl w:val="true"/>
        </w:rPr>
        <w:t>إشارة</w:t>
      </w:r>
      <w:bookmarkEnd w:id="369"/>
    </w:p>
    <w:p>
      <w:pPr>
        <w:pStyle w:val="BookText"/>
        <w:rPr/>
      </w:pPr>
      <w:r>
        <w:rPr>
          <w:rFonts w:ascii="Amiri" w:hAnsi="Amiri" w:eastAsia="Amiri" w:cs="Amiri"/>
          <w:color w:val="111111"/>
          <w:sz w:val="28"/>
          <w:sz w:val="28"/>
          <w:szCs w:val="28"/>
          <w:rtl w:val="true"/>
          <w:lang w:bidi="ar-SA"/>
        </w:rPr>
        <w:t>هل يشترط في المجيز كونه جائز التصرّف حال العقد أو لا؟ ويتمّ ذلك في ضمن مسألتين</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2758918_2142443653"/>
      <w:bookmarkStart w:id="371" w:name="_Toc135"/>
      <w:bookmarkEnd w:id="370"/>
      <w:r>
        <w:rPr>
          <w:rtl w:val="true"/>
        </w:rPr>
        <w:t>حكم ما لو لم يكن جائز التصرّف بسبب الحجر كالراهن</w:t>
      </w:r>
      <w:bookmarkEnd w:id="371"/>
    </w:p>
    <w:p>
      <w:pPr>
        <w:pStyle w:val="Heading6"/>
        <w:numPr>
          <w:ilvl w:val="5"/>
          <w:numId w:val="1"/>
        </w:numPr>
        <w:rPr/>
      </w:pPr>
      <w:bookmarkStart w:id="372" w:name="__RefHeading___Toc2758920_2142443653"/>
      <w:bookmarkStart w:id="373" w:name="_Toc136"/>
      <w:bookmarkEnd w:id="372"/>
      <w:r>
        <w:rPr>
          <w:rtl w:val="true"/>
        </w:rPr>
        <w:t>إشارة</w:t>
      </w:r>
      <w:bookmarkEnd w:id="37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المالك حال العقد هو المالك حال الإجازة، لكن المجيز لم يكن حال العقد جائز التصرّف؛ لثبوت حق الغير على ماله، كتعلّق </w:t>
      </w:r>
      <w:bookmarkStart w:id="374" w:name="pg15204_140509"/>
    </w:p>
    <w:p>
      <w:pPr>
        <w:pStyle w:val="BookText"/>
        <w:rPr/>
      </w:pPr>
      <w:bookmarkEnd w:id="374"/>
      <w:r>
        <w:rPr>
          <w:rFonts w:ascii="Amiri" w:hAnsi="Amiri" w:eastAsia="Amiri" w:cs="Amiri"/>
          <w:color w:val="111111"/>
          <w:sz w:val="28"/>
          <w:sz w:val="28"/>
          <w:szCs w:val="28"/>
          <w:rtl w:val="true"/>
          <w:lang w:bidi="ar-SA"/>
        </w:rPr>
        <w:t>حق الرهانة، كما لو باع الراهن ففكّ الرهن، فيقع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احتياجه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نزاع الكشف والنقل فيه</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758922_2142443653"/>
      <w:bookmarkStart w:id="376" w:name="_Toc137"/>
      <w:bookmarkEnd w:id="375"/>
      <w:r>
        <w:rPr>
          <w:rtl w:val="true"/>
        </w:rPr>
        <w:t>الأمر الأوّل</w:t>
      </w:r>
      <w:r>
        <w:rPr>
          <w:rtl w:val="true"/>
        </w:rPr>
        <w:t xml:space="preserve">: </w:t>
      </w:r>
      <w:r>
        <w:rPr>
          <w:rtl w:val="true"/>
        </w:rPr>
        <w:t>صحّة بيع الراهن</w:t>
      </w:r>
      <w:bookmarkEnd w:id="376"/>
    </w:p>
    <w:p>
      <w:pPr>
        <w:pStyle w:val="Heading6"/>
        <w:numPr>
          <w:ilvl w:val="5"/>
          <w:numId w:val="1"/>
        </w:numPr>
        <w:rPr/>
      </w:pPr>
      <w:bookmarkStart w:id="377" w:name="__RefHeading___Toc2758924_2142443653"/>
      <w:bookmarkStart w:id="378" w:name="_Toc138"/>
      <w:bookmarkEnd w:id="377"/>
      <w:r>
        <w:rPr>
          <w:rtl w:val="true"/>
        </w:rPr>
        <w:t>الظاهر هو صحّته</w:t>
      </w:r>
      <w:bookmarkEnd w:id="37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صحّته؛ لعموم دليل الوفاء بالعقد وإطلاقه بالنسبة إلى الأفراد، وإنّما خرج منه حال من أحوال فرد منه، وهو حال تعلّق حقّ الغير به، فيبقى الباقي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أفرادياً، وإطلاقاً يستفاد من دليل الحكمة؛ بأنّ كلّ فرد تمام الموضوع للصحّة، وأنّ حكم لزوم الوفاء بالنسبة إليه كلازم يستمرّ معه، كما قرّر في محلّه</w:t>
      </w:r>
      <w:r>
        <w:rPr>
          <w:rStyle w:val="FootnoteAnchor"/>
          <w:rtl w:val="true"/>
        </w:rPr>
        <w:footnoteReference w:id="646"/>
      </w:r>
      <w:r>
        <w:rPr>
          <w:rFonts w:ascii="Amiri" w:hAnsi="Amiri" w:eastAsia="Amiri" w:cs="Amiri"/>
          <w:color w:val="111111"/>
          <w:sz w:val="28"/>
          <w:sz w:val="28"/>
          <w:szCs w:val="28"/>
          <w:rtl w:val="true"/>
          <w:lang w:bidi="ar-SA"/>
        </w:rPr>
        <w:t xml:space="preserve">، وحقّ الغير ليس مانعاً عن العموم الأفرادي، بل عن الإطلاق حال التعلّق، ومقتضى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وكذا الحال في إطلاق سائر الأدلّة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الكلام في باب الخيارات، وقد فرغنا هناك عن جواز التمسّك بالإطلاق مع دفع الإشكالات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379" w:name="pg15204_140510"/>
    </w:p>
    <w:p>
      <w:pPr>
        <w:pStyle w:val="Heading6"/>
        <w:numPr>
          <w:ilvl w:val="5"/>
          <w:numId w:val="1"/>
        </w:numPr>
        <w:rPr/>
      </w:pPr>
      <w:bookmarkStart w:id="380" w:name="__RefHeading___Toc2758926_2142443653"/>
      <w:bookmarkStart w:id="381" w:name="_Toc139"/>
      <w:bookmarkEnd w:id="379"/>
      <w:bookmarkEnd w:id="380"/>
      <w:r>
        <w:rPr>
          <w:rtl w:val="true"/>
        </w:rPr>
        <w:t>كلام المحقّق الأصفهاني في المقام</w:t>
      </w:r>
      <w:bookmarkEnd w:id="381"/>
    </w:p>
    <w:p>
      <w:pPr>
        <w:pStyle w:val="BookText"/>
        <w:rPr/>
      </w:pPr>
      <w:r>
        <w:rPr>
          <w:rFonts w:ascii="Amiri" w:hAnsi="Amiri" w:eastAsia="Amiri" w:cs="Amiri"/>
          <w:color w:val="111111"/>
          <w:sz w:val="28"/>
          <w:sz w:val="28"/>
          <w:szCs w:val="28"/>
          <w:rtl w:val="true"/>
          <w:lang w:bidi="ar-SA"/>
        </w:rPr>
        <w:t>وقد يقال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عدا زمان الرهن؛ لأنّ تخصيص العامّ وتقييد المطلق يوجب التنويع إلى كلّيين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الأفراد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الأفراد الفاسدة، كدليل اعتبار الرضا، فإنّه يوجب تقييد العقد بالمرضيّ به، فمتى وجد عقد ثمّ تعقّبه الرضا، يوجد فرد يندرج تحت الكلّي الواجب وفاؤه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مثل البيع والرهن؛ بحيث كان كلّ منهما واجب الوفاء، وكانا متمانعين متزاحمين، فلا يعمّهما العامّ مع عدم الترجيح، وحيث إنّ المفروض سبق حقّ الرهن، فلا يعقل شمول العامّ للفرد المزاحم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بعد زوال الحقّ فرد من العامّ حتّى يعمّه العامّ من الأوّل؛ إذ ليس التزاحم العقلي موجباً لحصول عنوانين، رتّب على أحدهما وجوب الوفاء بنحو القضيّة الحقيقية، حتّى يتوهّم أنّ العقد بعد زوال المانع مندرج تحت ذلك الكلّي المرتّب عليه الحكم من الأوّل</w:t>
      </w:r>
      <w:r>
        <w:rPr>
          <w:rStyle w:val="FootnoteAnchor"/>
          <w:rtl w:val="true"/>
        </w:rPr>
        <w:footnoteReference w:id="648"/>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موارد من النظر نشير إلى مهمّاتها، ولا بدّ لتحقيق الحال فيها من الرجوع إلى الاُصول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يوجب التنويع، غير مرضيّ، ولازمه </w:t>
      </w:r>
    </w:p>
    <w:p>
      <w:pPr>
        <w:pStyle w:val="BookText"/>
        <w:rPr/>
      </w:pPr>
      <w:r>
        <w:rPr>
          <w:rFonts w:ascii="Amiri" w:hAnsi="Amiri" w:eastAsia="Amiri" w:cs="Amiri"/>
          <w:color w:val="111111"/>
          <w:sz w:val="28"/>
          <w:sz w:val="28"/>
          <w:szCs w:val="28"/>
          <w:rtl w:val="true"/>
          <w:lang w:bidi="ar-SA"/>
        </w:rPr>
        <w:t>سراية الإجمال من المخصّص المنفصل إلى العامّ، نعم لا يبعد التنويع في باب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من الدلالات اللفظية، والخاصّ لا يصادمه فيها، بل لم يكن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أقوى من العامّ في مقام الدلالات اللفظية، وليس حكم العامّ جارياً على عنوان، بل بدلالة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يدلّ على أفراد العنوان، فالمحكوم بالحكم هو الأفراد لا العناوين، والإخراج بالخاصّ أيضاً إخراج لطائفة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الخاصّ منفصلاً، واستقرّ ظهور العامّ، وشمل الأفراد بالدلالة اللفظية، لم يكن وجه لحصول عنوانين لأجل الخروج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باب تقدّم الخاصّ باب تقديم ظاهر على ظاهر، حتّى يتوهّم منه ذلك، وإن كان التوهّم أيضاً غير مرضيّ، وإنّما يتقدّم الخاصّ؛ لتقدّم أصالة الجدّ في الخاصّ على أصالة الجدّ في العامّ في محيط التقنين، الذي ضعف فيه أصل الجدّ في القوانين العامّة؛ بحيث لا تقاوم أصالته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المطلق فليس من الدلالات اللفظية، بل الإطلاق ثابت لأجل جعل عنوان موضوعاً لحكم، وهو من الأفعال الاختيارية، لا الدلالة اللغوية، وبعد كون الحكم على العنوان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تمام الموضوع للحكم مع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فيحتجّ بالفعل الاختياري على كونه تمام الموضوع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ورد قيد منفصلاً، يعلم أنّ العنوان المأخوذ في المطلق مع قيد كذائي موضوع للحكم، ولهذا صار المطلق مقيّداً، وحصل مع لحاظ القيد عنوانان، </w:t>
      </w:r>
    </w:p>
    <w:p>
      <w:pPr>
        <w:pStyle w:val="BookText"/>
        <w:rPr/>
      </w:pPr>
      <w:r>
        <w:rPr>
          <w:rFonts w:ascii="Amiri" w:hAnsi="Amiri" w:eastAsia="Amiri" w:cs="Amiri"/>
          <w:color w:val="111111"/>
          <w:sz w:val="28"/>
          <w:sz w:val="28"/>
          <w:szCs w:val="28"/>
          <w:rtl w:val="true"/>
          <w:lang w:bidi="ar-SA"/>
        </w:rPr>
        <w:t>ويسري إجمال القيد إلى المطلق، والتفصيل في محلّه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لو كان من قبيل الدليلين المتزاحمين، فلا وجه لعدم شمول العموم لهما؛ لأنّ التزاحم إنّما هو بعد الانطباق، وكلّ حكم على موضوعه قبل الانطباق عامّ غير مزاحم، والتزاحم العقلي لا يوجب عدم الشمول، والتفصيل في باب الترتّب</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المقام ليس من قبيل التزاحم، وإلاّ فلا وجه لتقدّم الأسبق؛ لأنّ السبق ليس من المرجّحات عقلاً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المقام من باب الخروج موضوعاً في جانب، والانصراف الموجب لنحو تقييد في جانب آخر؛ فإنّ البيع إذا سبق على عين من الأصيلين، خرج الموضوع عن وجوب الوفاء بعقد الرهن؛ لأنّ العين خارجة عن ملك الراهن، فالخروج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سبق الرهن وصارت متعلّقة لحقّ الغير، انصرف إطلاق دليل وجوب الوفاء بعقد البيع عن العين المتعلّقة لحقّ الغير ما دام كذلك، وبعد رفع المانع يؤخذ بإطلاق دليل وجوب الوفاء، لا عمومه؛ لأنّ عمومه غير متمانع مع دليل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الإطلاق والتقييد أجنبيّ عن القضايا الحقيقية، نعم العمومات لها نحو تشابه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بين مصداقين من عموم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بل بين مصداق منه وإطلاق آخر،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بالأخذ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ونحوه؛ لأنّ ضمّه إلى دليل الرهن يوجب تنويعه إلى بيع وارد على المرهونة وغيره، فالبيع الذي زال حقّ الرهانة عن متعلّقه فرد مندرج تحت الكلّي المحكوم بالصحّة، فيكون كالبيع غير المرضيّ به حال حدوثه، وكان بقاءً مرضيّاً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مانعية حقّ الرهانة المانعية ما دام الحقّ، فيكون بعينه كدليل الإكراه المانع عن النفوذ ما دام الإكراه</w:t>
      </w:r>
      <w:r>
        <w:rPr>
          <w:rStyle w:val="FootnoteAnchor"/>
          <w:rtl w:val="true"/>
        </w:rPr>
        <w:footnoteReference w:id="65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تنويع دليل بضمّ دليل آخر، إنّما هو فيما إذا كان الثاني مقيّداً له، كتقييد إطلاق دليل حلّ البيع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أو كتقييد الأدلّة بحديث الرفع</w:t>
      </w:r>
      <w:r>
        <w:rPr>
          <w:rStyle w:val="FootnoteAnchor"/>
          <w:rtl w:val="true"/>
        </w:rPr>
        <w:footnoteReference w:id="655"/>
      </w:r>
      <w:r>
        <w:rPr>
          <w:rFonts w:ascii="Amiri" w:hAnsi="Amiri" w:eastAsia="Amiri" w:cs="Amiri"/>
          <w:color w:val="111111"/>
          <w:sz w:val="28"/>
          <w:sz w:val="28"/>
          <w:szCs w:val="28"/>
          <w:rtl w:val="true"/>
          <w:lang w:bidi="ar-SA"/>
        </w:rPr>
        <w:t>تحكيماً لما يوجب التقييد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اختلاف دليلين والتمانع بينهما، فلا يوجب ذلك، نحو مقامنا هذا؛ فإنّ دليل حلّ البيع ودليل صحّة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الرهن </w:t>
      </w:r>
      <w:bookmarkStart w:id="382" w:name="pg15204_140514"/>
    </w:p>
    <w:p>
      <w:pPr>
        <w:pStyle w:val="BookText"/>
        <w:rPr/>
      </w:pPr>
      <w:bookmarkEnd w:id="382"/>
      <w:r>
        <w:rPr>
          <w:rFonts w:ascii="Amiri" w:hAnsi="Amiri" w:eastAsia="Amiri" w:cs="Amiri"/>
          <w:color w:val="111111"/>
          <w:sz w:val="28"/>
          <w:sz w:val="28"/>
          <w:szCs w:val="28"/>
          <w:rtl w:val="true"/>
          <w:lang w:bidi="ar-SA"/>
        </w:rPr>
        <w:t>والكفيل في بيع النسيئة</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متمانعان كعامّين من وجه، لا يقدّم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تقدّم الرهن لا يعقل نفوذ البيع وبالعكس، حسب ما أفاد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معنونيته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على الدليل المفيد لاعتبار الرضا ودليل الإكراه في غير محلّه؛ لأنّهما مقيّدان لإطلاق دليل البيع، لأجل التقييد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وتحكيم دليل الإكراه الموجب للتنويع، فأين هذا من ضمّ دليل نفوذ الرهن إلى دليل البيع مع عدم وجه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ذكرناه من انصراف دليل نفوذ البيع عن مورد الرهن</w:t>
      </w:r>
      <w:r>
        <w:rPr>
          <w:rStyle w:val="FootnoteAnchor"/>
          <w:rtl w:val="true"/>
        </w:rPr>
        <w:footnoteReference w:id="658"/>
      </w:r>
      <w:r>
        <w:rPr>
          <w:rFonts w:ascii="Amiri" w:hAnsi="Amiri" w:eastAsia="Amiri" w:cs="Amiri"/>
          <w:color w:val="111111"/>
          <w:sz w:val="28"/>
          <w:sz w:val="28"/>
          <w:szCs w:val="28"/>
          <w:rtl w:val="true"/>
          <w:lang w:bidi="ar-SA"/>
        </w:rPr>
        <w:t xml:space="preserve">، كان ذلك موجّهاً، كما أنّ الأمر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فالتفرقة بينهما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نحو صحّة الفضولي لا مانع منها</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758928_2142443653"/>
      <w:bookmarkStart w:id="384" w:name="_Toc140"/>
      <w:bookmarkEnd w:id="383"/>
      <w:r>
        <w:rPr>
          <w:rtl w:val="true"/>
        </w:rPr>
        <w:t>الأمر الثاني</w:t>
      </w:r>
      <w:r>
        <w:rPr>
          <w:rtl w:val="true"/>
        </w:rPr>
        <w:t xml:space="preserve">: </w:t>
      </w:r>
      <w:r>
        <w:rPr>
          <w:rtl w:val="true"/>
        </w:rPr>
        <w:t>حول لزوم الإجازة بعد فكّ الرهن</w:t>
      </w:r>
      <w:bookmarkEnd w:id="38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يحتاج العقد بعد فكّ الرهن إلى الإجازة،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إنشاء الإجازة في الفضولي؟ أو يكفي في المقام الرضا حال العقد، فلو لم يردّ العقد قبل فكّ الرهن وفكّه، صار صحيحاً بالفعل؟ </w:t>
      </w:r>
      <w:bookmarkStart w:id="385" w:name="pg15204_140515"/>
    </w:p>
    <w:p>
      <w:pPr>
        <w:pStyle w:val="BookText"/>
        <w:rPr/>
      </w:pPr>
      <w:bookmarkEnd w:id="385"/>
      <w:r>
        <w:rPr>
          <w:rFonts w:ascii="Amiri" w:hAnsi="Amiri" w:eastAsia="Amiri" w:cs="Amiri"/>
          <w:color w:val="111111"/>
          <w:sz w:val="28"/>
          <w:sz w:val="28"/>
          <w:szCs w:val="28"/>
          <w:rtl w:val="true"/>
          <w:lang w:bidi="ar-SA"/>
        </w:rPr>
        <w:t>الظاهر ذلك؛ لأنّ إنشاء الإجازة على القول به، إنّما هو لأجل الانتساب إلى المالك، وهو حاصل، والرضا المقارن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رضاه كرضا الأجنبيّ، حيث إنّه لا يترتّب عليه الأثر</w:t>
      </w:r>
      <w:r>
        <w:rPr>
          <w:rStyle w:val="FootnoteAnchor"/>
          <w:rtl w:val="true"/>
        </w:rPr>
        <w:footnoteReference w:id="659"/>
      </w:r>
      <w:r>
        <w:rPr>
          <w:rFonts w:ascii="Amiri" w:hAnsi="Amiri" w:eastAsia="Amiri" w:cs="Amiri"/>
          <w:color w:val="111111"/>
          <w:sz w:val="28"/>
          <w:sz w:val="28"/>
          <w:szCs w:val="28"/>
          <w:rtl w:val="true"/>
          <w:lang w:bidi="ar-SA"/>
        </w:rPr>
        <w:t>، غير مرضيّ؛ لأنّ رضا المالك مقتضٍ للصحّة ودخيل فيها، وإنّما يمنع عن ترتّب الأثر كونه رهناً، فإذا زال أثّر المقتضي أثره، بخلاف رضا الأجنبيّ، فإنّه غير مقتضٍ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له ردّ البيع، أو لو كره بعد الرضا المقارن كان مؤثّراً في عدم النفوذ؟</w:t>
      </w:r>
    </w:p>
    <w:p>
      <w:pPr>
        <w:pStyle w:val="BookText"/>
        <w:rPr/>
      </w:pPr>
      <w:r>
        <w:rPr>
          <w:rFonts w:ascii="Amiri" w:hAnsi="Amiri" w:eastAsia="Amiri" w:cs="Amiri"/>
          <w:color w:val="111111"/>
          <w:sz w:val="28"/>
          <w:sz w:val="28"/>
          <w:szCs w:val="28"/>
          <w:rtl w:val="true"/>
          <w:lang w:bidi="ar-SA"/>
        </w:rPr>
        <w:t>وجهان تقدّم الكلام فيهما، وقد ذكرنا أنّ دليل وجوب الوفاء قاصر عن إثبات وجوب إبقاء العقد الذي لم يؤثّر أثره؛ لأنّ الوفاء هو العمل على طبق مضمون العقد، لا إبقاء العقد بنفسه، فراجع</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2758930_2142443653"/>
      <w:bookmarkStart w:id="387" w:name="_Toc141"/>
      <w:bookmarkEnd w:id="386"/>
      <w:r>
        <w:rPr>
          <w:rtl w:val="true"/>
        </w:rPr>
        <w:t>الأمر الثالث</w:t>
      </w:r>
      <w:r>
        <w:rPr>
          <w:rtl w:val="true"/>
        </w:rPr>
        <w:t xml:space="preserve">: </w:t>
      </w:r>
      <w:r>
        <w:rPr>
          <w:rtl w:val="true"/>
        </w:rPr>
        <w:t>جريان نزاع الكشف والنقل في المقام</w:t>
      </w:r>
      <w:bookmarkEnd w:id="387"/>
    </w:p>
    <w:p>
      <w:pPr>
        <w:pStyle w:val="BookText"/>
        <w:rPr/>
      </w:pPr>
      <w:r>
        <w:rPr>
          <w:rFonts w:ascii="Amiri" w:hAnsi="Amiri" w:eastAsia="Amiri" w:cs="Amiri"/>
          <w:color w:val="111111"/>
          <w:sz w:val="28"/>
          <w:sz w:val="28"/>
          <w:szCs w:val="28"/>
          <w:rtl w:val="true"/>
          <w:lang w:bidi="ar-SA"/>
        </w:rPr>
        <w:t>بقي الكلام في الأمر الثالث؛ أي جريان نزاع الكشف، وفيه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لو قلنا باعتبارها، أو فرض أنّ العاقد غير المالك فيحتاج إلى إجازته، هل يصحّ فيها القول بالكشف كما في باب الفضولي؟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الجريان؛ لأنّ لازم الكشف حصول النقل من الأوّل، وهو حال </w:t>
      </w:r>
    </w:p>
    <w:p>
      <w:pPr>
        <w:pStyle w:val="BookText"/>
        <w:rPr/>
      </w:pPr>
      <w:r>
        <w:rPr>
          <w:rFonts w:ascii="Amiri" w:hAnsi="Amiri" w:eastAsia="Amiri" w:cs="Amiri"/>
          <w:color w:val="111111"/>
          <w:sz w:val="28"/>
          <w:sz w:val="28"/>
          <w:szCs w:val="28"/>
          <w:rtl w:val="true"/>
          <w:lang w:bidi="ar-SA"/>
        </w:rPr>
        <w:t>تعلّق حقّ الرهن، ومع حفظه لا يعقل تأثير العقد، والفرض أنّ الفكّ من الحين لا من أوّل العقد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لازم الكشف الحقيقي، وأمّا الكشف التعبّدي بأحد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التعبّد مترتّباً على الإجازة بعد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فيه الإشكال، لأنّ التعبّد بترتيب الآثار من الأوّل إنّما هو بعد فكّ الرهن، وليس التعبّد الكذائي مخالفاً لحقّ المرتهن، وليس ذلك كاشفاً عن حصول الملك من الأوّل، ولا من التعبّد بحصوله حال الرهن،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الكشف الحكمي الانقلابي، سواء كان الانقلاب حقيقياً أو عنوانياً، فإنّه كما لا مانع من ملكية شيء واحد لشخص في زمان قبل كون العقد مجازاً، وملكيته في نفس ذلك الزمان لآخر بعد 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صاحب الإشكال هاهنا </w:t>
      </w:r>
      <w:r>
        <w:rPr>
          <w:rStyle w:val="FootnoteAnchor"/>
          <w:rtl w:val="true"/>
        </w:rPr>
        <w:footnoteReference w:id="662"/>
      </w:r>
      <w:r>
        <w:rPr>
          <w:rFonts w:ascii="Amiri" w:hAnsi="Amiri" w:eastAsia="Amiri" w:cs="Amiri"/>
          <w:color w:val="111111"/>
          <w:sz w:val="28"/>
          <w:sz w:val="28"/>
          <w:szCs w:val="28"/>
          <w:rtl w:val="true"/>
          <w:lang w:bidi="ar-SA"/>
        </w:rPr>
        <w:t>، وإن مرّ الإشكال فيه</w:t>
      </w:r>
      <w:r>
        <w:rPr>
          <w:rStyle w:val="FootnoteAnchor"/>
          <w:rtl w:val="true"/>
        </w:rPr>
        <w:footnoteReference w:id="663"/>
      </w:r>
      <w:r>
        <w:rPr>
          <w:rFonts w:ascii="Amiri" w:hAnsi="Amiri" w:eastAsia="Amiri" w:cs="Amiri"/>
          <w:color w:val="111111"/>
          <w:sz w:val="28"/>
          <w:sz w:val="28"/>
          <w:szCs w:val="28"/>
          <w:rtl w:val="true"/>
          <w:lang w:bidi="ar-SA"/>
        </w:rPr>
        <w:t xml:space="preserve">، لكن الكلام هاهنا في صحّة جريان النزاع، لا في صحّة الكشف أو قسم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المقام؛ فإنّه لا مانع من صحّة البيع بعد الإجازة التي بعد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فالانتقال حصل في حال الفكّ من الأوّل، ولا إشكال في عدم منافاته لحقّ المرتهن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الفكّ كالإجازة، يمكن نزاع الكشف والنقل فيه،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الإجازة، بل يصحّ البيع بمجرّد الفكّ، 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الفكّ كاشف، أو لا بدّ من القول بالنقل؟ </w:t>
      </w:r>
      <w:bookmarkStart w:id="388" w:name="pg15204_140517"/>
    </w:p>
    <w:p>
      <w:pPr>
        <w:pStyle w:val="BookText"/>
        <w:rPr/>
      </w:pPr>
      <w:bookmarkEnd w:id="388"/>
      <w:r>
        <w:rPr>
          <w:rFonts w:ascii="Amiri" w:hAnsi="Amiri" w:eastAsia="Amiri" w:cs="Amiri"/>
          <w:color w:val="111111"/>
          <w:sz w:val="28"/>
          <w:sz w:val="28"/>
          <w:szCs w:val="28"/>
          <w:rtl w:val="true"/>
          <w:lang w:bidi="ar-SA"/>
        </w:rPr>
        <w:t>قد اضطرب في المقام كلام بعض الأعاظم قدّس أسرارهم</w:t>
      </w:r>
      <w:r>
        <w:rPr>
          <w:rStyle w:val="FootnoteAnchor"/>
          <w:rtl w:val="true"/>
        </w:rPr>
        <w:footnoteReference w:id="664"/>
      </w:r>
      <w:r>
        <w:rPr>
          <w:rFonts w:ascii="Amiri" w:hAnsi="Amiri" w:eastAsia="Amiri" w:cs="Amiri"/>
          <w:color w:val="111111"/>
          <w:sz w:val="28"/>
          <w:sz w:val="28"/>
          <w:szCs w:val="28"/>
          <w:rtl w:val="true"/>
          <w:lang w:bidi="ar-SA"/>
        </w:rPr>
        <w:t>، والظاهر صحّة النزاع هاهنا أيضاً على بعض المباني،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مضمونه حصول النقل في زمانه، والمانع منه هو الرهن، فإذا سقط الرهن، انتقل من حال العقد بعد السقوط، وهو لا ينافي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جارٍ فيما تعلّق به حقّ الغرماء، وأمّا إذا كان المانع من قبيل السفه، فلا إشكال في جريان نزاع الكشف على جميع المباني؛ فإنّ السفيه لم يسقط كلامه، بل منع بعد حجره عن التصرّف في أمواله، وبعد رفعه لا مانع من إنفاذ المعاملة حال سفهه،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المجيز غير جائز التصرّف لأجل المانع؛ أي المسألة الاُولى</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758932_2142443653"/>
      <w:bookmarkStart w:id="390" w:name="_Toc142"/>
      <w:bookmarkEnd w:id="389"/>
      <w:r>
        <w:rPr>
          <w:rtl w:val="true"/>
        </w:rPr>
        <w:t>حكم ما لو لم يكن جائز التصرّف بسبب عدم الملك</w:t>
      </w:r>
      <w:bookmarkEnd w:id="390"/>
    </w:p>
    <w:p>
      <w:pPr>
        <w:pStyle w:val="Heading6"/>
        <w:numPr>
          <w:ilvl w:val="5"/>
          <w:numId w:val="1"/>
        </w:numPr>
        <w:rPr/>
      </w:pPr>
      <w:bookmarkStart w:id="391" w:name="__RefHeading___Toc2758934_2142443653"/>
      <w:bookmarkStart w:id="392" w:name="_Toc143"/>
      <w:bookmarkEnd w:id="391"/>
      <w:r>
        <w:rPr>
          <w:rtl w:val="true"/>
        </w:rPr>
        <w:t>إشارة</w:t>
      </w:r>
      <w:bookmarkEnd w:id="392"/>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عدم جواز التصرّف لأجل عدم المقتضي، كما إذا باع شيئاً ثمّ ملكه بالاشتراء أو غيره، ففيها صور يعرف حالها في ضمن المسألة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758936_2142443653"/>
      <w:bookmarkStart w:id="394" w:name="_Toc144"/>
      <w:bookmarkEnd w:id="393"/>
      <w:r>
        <w:rPr>
          <w:rtl w:val="true"/>
        </w:rPr>
        <w:t>من باع شيئاً ثمّ ملكه</w:t>
      </w:r>
      <w:bookmarkEnd w:id="39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الأصحاب فيها،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غير محتاج إلى الإجازة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محتاج إليها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w:t>
      </w:r>
      <w:r>
        <w:rPr>
          <w:rStyle w:val="FootnoteAnchor"/>
          <w:rtl w:val="true"/>
        </w:rPr>
        <w:footnoteReference w:id="667"/>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اختار الشيخ الأعظم قدّس سرّه الصحّة، متمسّكاً بالأصل والعمومات بعد دفع ما يرد عليه من الإشكال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عموم الأدلّة وإطلاقها لو لم يمنع عنه المانع، فمع الشكّ في اعتبار شيء يدفع بإطلاق الأدلّة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فالظاهر أنّ مراده هو الأصل العملي مقابل العموم، مع الغضّ عنه، وعليه فإن كان المراد أصالة عدم اشتراط كون المجيز هو المالك حال العقد، ورجع إلى عدم اشتراط العقد الخارجي، فلا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أصالة عدم اشتراط طبيعة العقد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الطبيعة قبل تشريع الشرع لم تكن مشروطة بشرط، وبعده علم اشتراطها بشرائط، وشكّ في غيرها، منها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لا يثبت كون المجرّد عن الشرط مؤثّراً، ولا كونه تمام الموضوع لحكم الشرع بالانتقال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الأثر للطبيعة، وأنّها عين الأفراد في الخارج، وإلاّ فالأصل </w:t>
      </w:r>
      <w:bookmarkStart w:id="395" w:name="pg15204_140519"/>
    </w:p>
    <w:p>
      <w:pPr>
        <w:pStyle w:val="BookText"/>
        <w:rPr/>
      </w:pPr>
      <w:bookmarkEnd w:id="395"/>
      <w:r>
        <w:rPr>
          <w:rFonts w:ascii="Amiri" w:hAnsi="Amiri" w:eastAsia="Amiri" w:cs="Amiri"/>
          <w:color w:val="111111"/>
          <w:sz w:val="28"/>
          <w:sz w:val="28"/>
          <w:szCs w:val="28"/>
          <w:rtl w:val="true"/>
          <w:lang w:bidi="ar-SA"/>
        </w:rPr>
        <w:t>الجاري فيها لا يثبت الحكم للفرد بخصوصيته، والتفصيل في محلّه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استصحاب الصحّة التأهّلية إلى زمان الإجازة، لا يثبت ترتّب الأثر بلحوق الإجازة بها؛ فإنّ ترتّب الأثر على العلّة عقلي، وتأثير العلّة التامّة أيضاً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أنّ المعلوم حال صدور العقد هو الصحّة إذا لحقت إجازة المالك الأوّل به، وصحّة لحوق إجازة الثاني مشكوك فيها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التمسّك بحديث الرفع</w:t>
      </w:r>
      <w:r>
        <w:rPr>
          <w:rStyle w:val="FootnoteAnchor"/>
          <w:rtl w:val="true"/>
        </w:rPr>
        <w:footnoteReference w:id="670"/>
      </w:r>
      <w:r>
        <w:rPr>
          <w:rFonts w:ascii="Amiri" w:hAnsi="Amiri" w:eastAsia="Amiri" w:cs="Amiri"/>
          <w:color w:val="111111"/>
          <w:sz w:val="28"/>
          <w:sz w:val="28"/>
          <w:szCs w:val="28"/>
          <w:rtl w:val="true"/>
          <w:lang w:bidi="ar-SA"/>
        </w:rPr>
        <w:t>لرفع شرطية المشكوك فيه؛ فإنّ رفعها لا يثبت ترتّب الأثر بلحوق الإجازة به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758938_2142443653"/>
      <w:bookmarkStart w:id="397" w:name="_Toc145"/>
      <w:bookmarkEnd w:id="396"/>
      <w:r>
        <w:rPr>
          <w:rtl w:val="true"/>
        </w:rPr>
        <w:t>إشكالات صاحب المقابس قدّس سرّه</w:t>
      </w:r>
      <w:bookmarkEnd w:id="397"/>
    </w:p>
    <w:p>
      <w:pPr>
        <w:pStyle w:val="Heading6"/>
        <w:numPr>
          <w:ilvl w:val="5"/>
          <w:numId w:val="1"/>
        </w:numPr>
        <w:rPr/>
      </w:pPr>
      <w:bookmarkStart w:id="398" w:name="__RefHeading___Toc2758940_2142443653"/>
      <w:bookmarkStart w:id="399" w:name="_Toc146"/>
      <w:bookmarkEnd w:id="398"/>
      <w:r>
        <w:rPr>
          <w:rtl w:val="true"/>
        </w:rPr>
        <w:t>إشارة</w:t>
      </w:r>
      <w:bookmarkEnd w:id="399"/>
    </w:p>
    <w:p>
      <w:pPr>
        <w:pStyle w:val="BookText"/>
        <w:rPr/>
      </w:pPr>
      <w:r>
        <w:rPr>
          <w:rFonts w:ascii="Amiri" w:hAnsi="Amiri" w:eastAsia="Amiri" w:cs="Amiri"/>
          <w:color w:val="111111"/>
          <w:sz w:val="28"/>
          <w:sz w:val="28"/>
          <w:szCs w:val="28"/>
          <w:rtl w:val="true"/>
          <w:lang w:bidi="ar-SA"/>
        </w:rPr>
        <w:t xml:space="preserve">ثمّ إنّ هاهنا اُموراً لا بدّ للقائل بالصحّة المتمسّك بالعموم والإطلاق لها من دفعها، ونحن نذكرها حسب ما قرّرها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2758942_2142443653"/>
      <w:bookmarkStart w:id="401" w:name="_Toc147"/>
      <w:bookmarkEnd w:id="400"/>
      <w:r>
        <w:rPr>
          <w:rtl w:val="true"/>
        </w:rPr>
        <w:t>الإشكال الأوّل</w:t>
      </w:r>
      <w:r>
        <w:rPr>
          <w:rtl w:val="true"/>
        </w:rPr>
        <w:t>:</w:t>
      </w:r>
      <w:bookmarkEnd w:id="401"/>
    </w:p>
    <w:p>
      <w:pPr>
        <w:pStyle w:val="BookText"/>
        <w:rPr/>
      </w:pPr>
      <w:r>
        <w:rPr>
          <w:rFonts w:ascii="Amiri" w:hAnsi="Amiri" w:eastAsia="Amiri" w:cs="Amiri"/>
          <w:color w:val="111111"/>
          <w:sz w:val="28"/>
          <w:sz w:val="28"/>
          <w:szCs w:val="28"/>
          <w:rtl w:val="true"/>
          <w:lang w:bidi="ar-SA"/>
        </w:rPr>
        <w:t>أنّه قد باع مال الغير لنفسه، وقد مرّ الإشكال فيه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قدّس سرّه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سبق أنّ الأقوى صحّته، وربّما يسلم هنا عن بعض الإشكالات، مثل مخالفة الإجازة لما قصده المتعاقدان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قدّس سرّه عن الإشكال العقلي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المعاوضة الحقيقية مبنيّ على جعل الغاصب نفسه مالكاً حقيقياً نظير المجاز الادّعائي</w:t>
      </w:r>
      <w:r>
        <w:rPr>
          <w:rStyle w:val="FootnoteAnchor"/>
          <w:rtl w:val="true"/>
        </w:rPr>
        <w:footnoteReference w:id="673"/>
      </w:r>
      <w:r>
        <w:rPr>
          <w:rFonts w:ascii="Amiri" w:hAnsi="Amiri" w:eastAsia="Amiri" w:cs="Amiri"/>
          <w:color w:val="111111"/>
          <w:sz w:val="28"/>
          <w:sz w:val="28"/>
          <w:szCs w:val="28"/>
          <w:rtl w:val="true"/>
          <w:lang w:bidi="ar-SA"/>
        </w:rPr>
        <w:t>، فإن أراد من ذلك أنّه جعل نفسه مالكاً وباع للمالك، كما صرّح بذلك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مبنى صحّته تحليل داعيه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التبديل بين ملكي مالكهما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أنّ المالك لأحد العوضين هو نفسه، فيلغى هذا الخيال والتطبيق، ويؤخذ بقصد المعاوضة بين ملكي المالكين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هذا الادّعاء لا بدّ من القول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إجازة المالك الثاني؛ لأنّ المفروض أنّه جعل نفسه مالكاً وباع لمالكه، والمالك حال العقد هو غير المجيز، فهذا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الإشكال في المقام، وإن رفعه عن المقام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مراده من جعل الغاصب نفسه مالكاً حقيقياً، أنّه بعد جعله كذلك باع لنفسه، اندفع الإشكال العقلي في كلا المقامين، والإشكال العقلائي؛ أي مخالفة الإجازة لما قصده المتعاقدان هاهنا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مبنى اندفاع الإشكال العقلائي هناك، ما صرّح به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البائع الفضولي إنّما قصد تمليك المثمن للمشتري بإزاء الثمن، وأمّا كون الثمن مالاً له أو لغيره، فإيجاب البيع ساكت عنه، فيرجع فيه إلى ما يقتضيه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العوض في ملك مالك المعوّض، تحقيقاً لمعنى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المثمن ملك لمالكه واقعاً، فإذا أجاز المعاوضة انتقل عوضه إليه</w:t>
      </w:r>
      <w:r>
        <w:rPr>
          <w:rStyle w:val="FootnoteAnchor"/>
          <w:rtl w:val="true"/>
        </w:rPr>
        <w:footnoteReference w:id="6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 هذا المبنى أنّ العقد الإنشائي نقل الثمن إلى مالك المثمن حال العقد إنشاءً؛ لأنّه 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فإنشاء هذا المفهوم يقتضي وجود ذلك إنشاءً؛ أي دخول الثمن في ملك مالك المثمن إنشاءً، والإجازة تتعلّق بهذا المنشأ إذا كانت صادرة من مالكه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المبنى على فرض صحّته، يهدم أساس الصحّة في المقام؛ لأنّ لازمه مغايرة الإجازة لما هو مضمون العقد ومقتضاه، لأنّ المجيز فعلاً غير المالك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الجواب عن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الإشكال العقلي على الاحتمال الذي ذكرناه الموافق لظاهر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العاقد بعد جعل نفسه مالكاً باع لنفسه، وبعد البناء على ذلك صارت المعاوضة حقيقية، فحينئذٍ لا بدّ بمقتضى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يدخل الثمن في ملكه إنشاءً؛ لأنّه مالك للمثمن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فالمعاوضة الحقيقية على هذا المبنى، لا بدّ وأن تقع بين ملك المالك الادّعائي وبين الثمن، وهذا ممّا يوجب هدم الجواب عن الإشكال الثاني، المبنيّ على أنّ 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الثمن في ملك المالك الحقيقي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إنشاء البيع المذكور لا بدّ وأن يكون بوجه يصحّ بإجازة </w:t>
      </w:r>
    </w:p>
    <w:p>
      <w:pPr>
        <w:pStyle w:val="BookText"/>
        <w:rPr/>
      </w:pPr>
      <w:r>
        <w:rPr>
          <w:rFonts w:ascii="Amiri" w:hAnsi="Amiri" w:eastAsia="Amiri" w:cs="Amiri"/>
          <w:color w:val="111111"/>
          <w:sz w:val="28"/>
          <w:sz w:val="28"/>
          <w:szCs w:val="28"/>
          <w:rtl w:val="true"/>
          <w:lang w:bidi="ar-SA"/>
        </w:rPr>
        <w:t>صاحب السلعة؛ أي المالك الأوّل، وبعد الانتقال عنه يصحّ بإجازة المالك الثاني، والجمع بينهما لا يمكن، كما لا يمكن أن يكون مقتضى المعاوضة ذلك؛ أي الانتقال إلى المالك الأصلي إنشاءً في حال، وإلى المالك الجديد في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الإجازة من المجيز لا شأن لها إلاّ تنفيذ ما أنشأه الفضولي، فالنقل الإنشائي من الفضولي يصير حقيقياً نافذاً بالإجازة، وليست الإجازة معاملة؛ أي إنشاءً للنقل بالعوض؛ بل هي إنفاذ للنقل بالعوض الحاصل بإنشاء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فالمعاوضة الإنشائية هي ماهية البيع المتحقّقة إنشاءً؛ فإنّ بيع الفضولي لا يقصر عن بيع الأصيل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يفترق عنه في الأثر الذي لا يدخل في الماهية ولا في صدقها على المنشأ، فحينئذٍ لا بدّ وأن يتحقّق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مفهومها هو نحو تبادل بين السلعة والثمن، ونتيجته تبادل الإضافات إنشاءً في الفضولي، وإنشاءً وحقيقة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تبادلهما المستتبع لتبادل نحو إضافة، لا يعقل إلاّ مع وجود إضافة، إمّا حقيقة، أو تخيّلاً وادّعاءً على نحو ما أفاده الشيخ الأعظم قدّس سرّه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الفضولي لنفسه، إمّا لادّعاء الملكية لنفسه، والتمليك والتملّك بعد هذه الدعوى لنفسه، فيرى تبادل الإضافات عن نفسه ومنها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يرجع ذلك إلى التبادل بين ملكي مالكين حقيقة، وتنزيل نفسه بعده </w:t>
      </w:r>
    </w:p>
    <w:p>
      <w:pPr>
        <w:pStyle w:val="BookText"/>
        <w:rPr/>
      </w:pPr>
      <w:r>
        <w:rPr>
          <w:rFonts w:ascii="Amiri" w:hAnsi="Amiri" w:eastAsia="Amiri" w:cs="Amiri"/>
          <w:color w:val="111111"/>
          <w:sz w:val="28"/>
          <w:sz w:val="28"/>
          <w:szCs w:val="28"/>
          <w:rtl w:val="true"/>
          <w:lang w:bidi="ar-SA"/>
        </w:rPr>
        <w:t xml:space="preserve">منزلة المالك، كما أفاده بعض الأعاظم قدّس سرّه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إجازة المالك موافقة لقصد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إجازة الفضولي بعد الاشتراء موافقة لقصده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بنينا على إلغاء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زائد على ماهية البيع،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إنشاء الفضولي هو تبادل السلعة الخارجية التي هي ملك المالك مع الثمن، ومقتضى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السلعة، فعاد المحذور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بنينا على إبقاء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النتيجة تبادل تمليك العين، وتملّك الثمن لنفسه ادّعاءً، فهذا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تلحقه الإجازة من المالك؛ لعدم تبادل ملكه مع الثمن فرضاً، فالجمع بينهما؛ بحيث يصحّ لحوقها من كلّ منهما، لا يمكن على مبنى الشيخ ومن تبعه قدّست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التبادل الإنشائي بين ملك طبيعي المالك للسلعة المنطبق على المالك قبل الخروج عن ملكه باشتراء الفضولي، وعلى الفضولي بعده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كان المراد بالطبيعي صرف الوجود باصطلاح الاُصولي، فهو منطبق على أوّل الوجود، ولا ينطبق على الثاني، فلا بدّ من الالتزام بأنّ المراد ملك المالك على نحو الكلّي البدلي أو الوجود الساري،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إلغاء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الإنشاء على المملوك المعيّن المشخّص، لا يبقى إلاّ ذلك المشخّص، ولا ينقلب كلّياً، كما هو واضح</w:t>
      </w:r>
      <w:r>
        <w:rPr>
          <w:rFonts w:eastAsia="Amiri" w:cs="Amiri" w:ascii="Amiri" w:hAnsi="Amiri"/>
          <w:color w:val="111111"/>
          <w:sz w:val="28"/>
          <w:szCs w:val="28"/>
          <w:rtl w:val="true"/>
          <w:lang w:bidi="ar-SA"/>
        </w:rPr>
        <w:t xml:space="preserve">. </w:t>
      </w:r>
      <w:bookmarkStart w:id="402" w:name="pg15204_140524"/>
    </w:p>
    <w:p>
      <w:pPr>
        <w:pStyle w:val="BookText"/>
        <w:rPr/>
      </w:pPr>
      <w:bookmarkEnd w:id="402"/>
      <w:r>
        <w:rPr>
          <w:rFonts w:ascii="Amiri" w:hAnsi="Amiri" w:eastAsia="Amiri" w:cs="Amiri"/>
          <w:color w:val="111111"/>
          <w:sz w:val="28"/>
          <w:sz w:val="28"/>
          <w:szCs w:val="28"/>
          <w:rtl w:val="true"/>
          <w:lang w:bidi="ar-SA"/>
        </w:rPr>
        <w:t>هذا كلّه لوازم كلماتهم في المقام المتقدّم وهاهنا، ومع الغضّ عنها، وجعل المسألة التي كلامنا فيها نصب العين، يصحّ أن يجاب عن الإشكال العقلي المشترك بما سلكنا هناك في الجواب</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هاهنا أهون؛ لأنّ إنشاء البيع لنفسه مع الوثوق بتحصيل المبيع والردّ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رجاء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 ولا يفترق في الإشكال عن بيع الفضولي، فكما يصحّ الجدّ برجاء إجازة صاحب المال، يصحّ هاهنا أيضاً، ومع شراء المبيع تتمّ المعاملة بالإجازة أو بدونها، على اختلاف القول في ذلك</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2758944_2142443653"/>
      <w:bookmarkStart w:id="404" w:name="_Toc148"/>
      <w:bookmarkEnd w:id="403"/>
      <w:r>
        <w:rPr>
          <w:rtl w:val="true"/>
        </w:rPr>
        <w:t>الإشكال الثاني</w:t>
      </w:r>
      <w:r>
        <w:rPr>
          <w:rtl w:val="true"/>
        </w:rPr>
        <w:t>:</w:t>
      </w:r>
      <w:bookmarkEnd w:id="404"/>
    </w:p>
    <w:p>
      <w:pPr>
        <w:pStyle w:val="BookText"/>
        <w:rPr/>
      </w:pPr>
      <w:r>
        <w:rPr>
          <w:rFonts w:ascii="Amiri" w:hAnsi="Amiri" w:eastAsia="Amiri" w:cs="Amiri"/>
          <w:color w:val="111111"/>
          <w:sz w:val="28"/>
          <w:sz w:val="28"/>
          <w:szCs w:val="28"/>
          <w:rtl w:val="true"/>
          <w:lang w:bidi="ar-SA"/>
        </w:rPr>
        <w:t>أنّا حيث جوّزنا بيع غير المملوك مع انتفاء الملك، ورضا المالك، والقدرة على التسليم، اكتفينا بحصول ذلك للمالك المجيز؛ لأنّه البائع حقيقة، والفرض هنا عدم إجازته، وعدم وقوع البيع عنه</w:t>
      </w:r>
      <w:r>
        <w:rPr>
          <w:rStyle w:val="FootnoteAnchor"/>
          <w:rtl w:val="true"/>
        </w:rPr>
        <w:footnoteReference w:id="6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أجابوا عنه بوجوه</w:t>
      </w:r>
      <w:r>
        <w:rPr>
          <w:rStyle w:val="FootnoteAnchor"/>
          <w:rtl w:val="true"/>
        </w:rPr>
        <w:footnoteReference w:id="680"/>
      </w:r>
      <w:r>
        <w:rPr>
          <w:rFonts w:ascii="Amiri" w:hAnsi="Amiri" w:eastAsia="Amiri" w:cs="Amiri"/>
          <w:color w:val="111111"/>
          <w:sz w:val="28"/>
          <w:sz w:val="28"/>
          <w:szCs w:val="28"/>
          <w:rtl w:val="true"/>
          <w:lang w:bidi="ar-SA"/>
        </w:rPr>
        <w:t>، ولم يتعرّضوا لجميع خصوصيات كلامه، بل لم يتعرّضوا لما هو أشكل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 على ما يستفاد من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هاهنا فاقد 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مالكية ما وقع عنه، وعدم وقوعه للمالك، فتختلّ بذلك أركان البيع، ولا يصدق عليه العنوان؛ لأنّ البيع عبارة عن التبادل بين ملكي مالكين كما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هاهنا عن بيع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هناك أردنا تصحيحه بإجازة المالك،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وقع على العين الخارجية، وضمّ القيد الزائد لغو، لا يوجب عدم الوقوع عليها، كما قلنا في باب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دائماً يقع بالإمام الموجود قدّام الصفوف، وإن قيّده المأموم بألف قيد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لا يصحّ، سواء اُلغي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 لعدم إجازة المالك على الأوّل، واختلال أركان البيع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مبنيّ على لزوم موافقة البيع الإنشائي للواقع المحقّق، ودخالة ذلك في صدق المفهوم، وهو ممنوع، ألا ترى أنّ إنشاء بيع الكلّي بالكلّي بيع حقيقة، وصادق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الكلّي قبل إيقاع البيع ليس ملكاً لصاحب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الإنسان مالكاً لالُوف من الاُمور الكثيرة في ذمّته، سواء اُضيف إليها أم لا، فلا يكون بيع الكلّي بالكلّي من قبيل بيع الأعيان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يصدق عليه إلاّ التمليك بالعوض؛ بمعنى أوسع من مفهوم الملك حتّى يشمل الحقوق ونحوها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كون الثمن عوضاً عن المثمن، وداخلاً في ملك صاحب السلعة </w:t>
      </w:r>
    </w:p>
    <w:p>
      <w:pPr>
        <w:pStyle w:val="BookText"/>
        <w:rPr/>
      </w:pPr>
      <w:r>
        <w:rPr>
          <w:rFonts w:ascii="Amiri" w:hAnsi="Amiri" w:eastAsia="Amiri" w:cs="Amiri"/>
          <w:color w:val="111111"/>
          <w:sz w:val="28"/>
          <w:sz w:val="28"/>
          <w:szCs w:val="28"/>
          <w:rtl w:val="true"/>
          <w:lang w:bidi="ar-SA"/>
        </w:rPr>
        <w:t>إنشاءً؛ تحقيقاً لمعنى المعاوضة، وفيما نحن فيه باع عن نفسه ملك غيره بعوض لنفسه، ولا قصور له في مقام المفهومية والإنشاء، وعدم الانتقال فعلاً لا يضرّ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لهذا العقد من كان رضاه دخيلاً في صحّته؛ لأنّ صاحب المال ليس له العقد، ومن له العقد لا دخالة لرضاه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لهذا العقد من له قدرة التسليم؛ لأنّ قدرة صاحب المال غير معتبرة ولا مفيدة، لعدم كون العقد له، وقدرة الفضولي أجنبيّة لا دخالة لها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من له العقد عند تأثير العقد معتبر، وهو حاصل، ولا دليل على اعتبار الزائد عليه، ولو شكّ يدفع بالإطلاقات، وكذا الحال في اعتبار القدرة على التسليم، فلو علم أنّ الفضولي له القدرة على التسليم عند صيرورة البيع له صحّ، ولا دليل على الزائد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إنكار اعتبار القدرة على التسليم تعبّداً غير ما هو المعتبر عند العقلاء، فلو لم يقدر البائع عليه، ولكنّ المشتري يقدر على تحصيل المبيع صحّ، كما لو غصبه ظالم، ولم يقدر المالك على أخذه، ولكن يقدر شخص ثالث عليه، صحّ بيعه منه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فما هو المعتبر قدرة تسليم من له البيع عند صيرورة البيع له، وأمّا ما أفاده الشيخ قدّس سرّه في جوابه</w:t>
      </w:r>
      <w:r>
        <w:rPr>
          <w:rStyle w:val="FootnoteAnchor"/>
          <w:rtl w:val="true"/>
        </w:rPr>
        <w:footnoteReference w:id="682"/>
      </w:r>
      <w:r>
        <w:rPr>
          <w:rFonts w:ascii="Amiri" w:hAnsi="Amiri" w:eastAsia="Amiri" w:cs="Amiri"/>
          <w:color w:val="111111"/>
          <w:sz w:val="28"/>
          <w:sz w:val="28"/>
          <w:szCs w:val="28"/>
          <w:rtl w:val="true"/>
          <w:lang w:bidi="ar-SA"/>
        </w:rPr>
        <w:t>، فالظاهر أنّه غير مربوط بإشكاله</w:t>
      </w:r>
      <w:r>
        <w:rPr>
          <w:rFonts w:eastAsia="Amiri" w:cs="Amiri" w:ascii="Amiri" w:hAnsi="Amiri"/>
          <w:color w:val="111111"/>
          <w:sz w:val="28"/>
          <w:szCs w:val="28"/>
          <w:rtl w:val="true"/>
          <w:lang w:bidi="ar-SA"/>
        </w:rPr>
        <w:t xml:space="preserve">. </w:t>
      </w:r>
      <w:bookmarkStart w:id="405" w:name="pg15204_140527"/>
    </w:p>
    <w:p>
      <w:pPr>
        <w:pStyle w:val="BookText"/>
        <w:rPr/>
      </w:pPr>
      <w:bookmarkEnd w:id="405"/>
      <w:r>
        <w:rPr>
          <w:rFonts w:ascii="Amiri" w:hAnsi="Amiri" w:eastAsia="Amiri" w:cs="Amiri"/>
          <w:color w:val="111111"/>
          <w:sz w:val="28"/>
          <w:sz w:val="28"/>
          <w:szCs w:val="28"/>
          <w:rtl w:val="true"/>
          <w:lang w:bidi="ar-SA"/>
        </w:rPr>
        <w:t>ومن المحتمل أن يكون مراد المستدلّ بما ذكره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الفضولي على خلاف القاعدة، ولا بدّ من الاقتصار على المتيقّن منه، وهو غير هذه الصورة، كما صرّح بذلك في باب بيع الغاصب لنفسه</w:t>
      </w:r>
      <w:r>
        <w:rPr>
          <w:rStyle w:val="FootnoteAnchor"/>
          <w:rtl w:val="true"/>
        </w:rPr>
        <w:footnoteReference w:id="683"/>
      </w:r>
      <w:r>
        <w:rPr>
          <w:rFonts w:ascii="Amiri" w:hAnsi="Amiri" w:eastAsia="Amiri" w:cs="Amiri"/>
          <w:color w:val="111111"/>
          <w:sz w:val="28"/>
          <w:sz w:val="28"/>
          <w:szCs w:val="28"/>
          <w:rtl w:val="true"/>
          <w:lang w:bidi="ar-SA"/>
        </w:rPr>
        <w:t>، فحينئذٍ يكون الجواب منع كونه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الكشف على خلافها، لا مطلق الفضولي، ومع كون الفضولي على القاعدة، كلّما شكّ في اعتبار شيء زائد، يدفع بالإطلاق 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2758946_2142443653"/>
      <w:bookmarkStart w:id="407" w:name="_Toc149"/>
      <w:bookmarkEnd w:id="406"/>
      <w:r>
        <w:rPr>
          <w:rtl w:val="true"/>
        </w:rPr>
        <w:t>الإشكال الثالث</w:t>
      </w:r>
      <w:r>
        <w:rPr>
          <w:rtl w:val="true"/>
        </w:rPr>
        <w:t>:</w:t>
      </w:r>
      <w:bookmarkEnd w:id="407"/>
    </w:p>
    <w:p>
      <w:pPr>
        <w:pStyle w:val="Heading6"/>
        <w:numPr>
          <w:ilvl w:val="5"/>
          <w:numId w:val="1"/>
        </w:numPr>
        <w:rPr/>
      </w:pPr>
      <w:bookmarkStart w:id="408" w:name="__RefHeading___Toc2758948_2142443653"/>
      <w:bookmarkStart w:id="409" w:name="_Toc150"/>
      <w:bookmarkEnd w:id="408"/>
      <w:r>
        <w:rPr>
          <w:rtl w:val="true"/>
        </w:rPr>
        <w:t>بيانه</w:t>
      </w:r>
      <w:bookmarkEnd w:id="409"/>
    </w:p>
    <w:p>
      <w:pPr>
        <w:pStyle w:val="BookText"/>
        <w:rPr/>
      </w:pPr>
      <w:r>
        <w:rPr>
          <w:rFonts w:ascii="Amiri" w:hAnsi="Amiri" w:eastAsia="Amiri" w:cs="Amiri"/>
          <w:color w:val="111111"/>
          <w:sz w:val="28"/>
          <w:sz w:val="28"/>
          <w:szCs w:val="28"/>
          <w:rtl w:val="true"/>
          <w:lang w:bidi="ar-SA"/>
        </w:rPr>
        <w:t>الإجازة حيث صحّت، كاشفة على الأصحّ مطلقاً؛ لعموم الدليل الدالّ عليه، ويلزم حينئذٍ خروج المال عن ملك البائع قبل دخوله في ملكه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الإجازة كاشفة، بل ناقلة بحسب القواعد على الأقوى، ولم يدلّ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كما مرّ مستقصىً</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سلّمت دلالة الأدلّة الخاصّة عليه، فلا عموم ولا إطلاق لها، فلا بدّ من الاقتصار على موردها، والمقام ليس من تلك الموارد، فمع قصور دليل الكشف، لا بدّ من القول بالنقل؛ عملاً بالقواعد في غير مورد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فالدليل العقلي في هذا الأمر والأمرين الآتيين يدلّ على بطلان الكشف، لا بطلان الفضولي،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العقلي المذكور جار في الكشف الحقيقي، وفي الحكمي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الكشف الانقلابي العنواني لا مانع منه عقلاً، ولا يلزم منه التالي المذكور</w:t>
      </w:r>
      <w:r>
        <w:rPr>
          <w:rStyle w:val="FootnoteAnchor"/>
          <w:rtl w:val="true"/>
        </w:rPr>
        <w:footnoteReference w:id="686"/>
      </w:r>
      <w:r>
        <w:rPr>
          <w:rFonts w:ascii="IRNazanin" w:hAnsi="IRNazanin" w:eastAsia="IRNazanin"/>
          <w:color w:val="111111"/>
          <w:sz w:val="28"/>
          <w:sz w:val="28"/>
          <w:szCs w:val="28"/>
          <w:rtl w:val="true"/>
          <w:lang w:bidi="fa-IR"/>
        </w:rPr>
        <w:t>، قد فرغنا سابقاً عن الجواب عنه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قدّمناه يرد الإشكال حتّى على الكشف الحكمي الانقلابي ولو مع تسليم ذلك في الفضولي؛ لأنّ الخروج عن ملكه من أوّل زمان العقد، إنّما هو قبل دخوله في ملكه، وإن كان بالإجازة أراد الإخراج؛ ضرورة أنّ الملك حاصل له من زمن الابتياع، وأراد الإخراج قبل زمنه الذي ليس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فقس ذلك بباب الإجارة، فلو آجر بيتاً فضولاً سنتين، ثمّ انتقل إليه بالبيع وأجاز الإجارة، فالمنافع قبل البيع ليست ملكاً له، ولم تصر له بالبيع أيضاً، فلو دخلت المنافع بالإجازة في ملك المستأجر، لا بدّ وأن يكون الخروج قبل الدخول، نعم لا يرد على الكشف التعبّدي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إشكال آخر عقلائي على جميع أقسامه، وهو لزوم كون نماء العين للمشتري في زمان كانت العين فيه ملكاً للمالك، من غير أن يكون طرفاً للبيع، فمجرّد بيع أجنبيّ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دخالة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انتقال النماءات </w:t>
      </w:r>
    </w:p>
    <w:p>
      <w:pPr>
        <w:pStyle w:val="BookText"/>
        <w:rPr/>
      </w:pPr>
      <w:r>
        <w:rPr>
          <w:rFonts w:ascii="Amiri" w:hAnsi="Amiri" w:eastAsia="Amiri" w:cs="Amiri"/>
          <w:color w:val="111111"/>
          <w:sz w:val="28"/>
          <w:sz w:val="28"/>
          <w:szCs w:val="28"/>
          <w:rtl w:val="true"/>
          <w:lang w:bidi="ar-SA"/>
        </w:rPr>
        <w:t>إلى المشتري، وهو أمر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الكشف مطلقاً على وزان سائر الموارد، لكن يصحّ البيع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الكشف مقتضى القواعد، وبنينا على أنّ العقد يقتضي النقل من حينه، والإجازة لا بدّ وأن تتعلّق به كذلك وإلاّ لم تصحّ، فلو تعلّقت بزمان متأخّر عن العقد كانت باطلة؛ لعدم تعلّقها بما هو منشأ، كما لو باع فأجاز صلحاً أو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التصحيح في المقام على هذا المبنى، والحكم بالكشف من زمان الابتياع؛ أي أوّل زمان إمكان الكشف، كما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المقتضي موجود، ولا مانع شرعاً وعقلاً من كاشفية الإجازة من زمان قابلية تأثيرها </w:t>
      </w:r>
      <w:r>
        <w:rPr>
          <w:rStyle w:val="FootnoteAnchor"/>
          <w:rtl w:val="true"/>
        </w:rPr>
        <w:footnoteReference w:id="6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الكشف على القاعدة، والغضّ عمّا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الشامل لكلّ فرد منها، وإطلاق كلّ فرد بالنسبة إلى الأزمنة؛ بدليل الحكمة المقرّر في محلّه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المقتضي لشمول العموم الأفرادي لهذا العقد موجود، لكنّ المانع العقلي أيضاً موجود بالنسبة إلى أوّل زمان العقد إلى زمان الابتياع، فالظاهر صحّة ما أفاده، لا لما ذكره، بل لأنّ الإجازة تعلّقت بمضمون العقد، والعامّ باقٍ على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المانع بالنسبة إلى الشمول الأفرادي، وإنّما المانع مانع عن الإطلاق المستفاد من دليل الحكمة، فبعد رفع المانع يؤخذ بإطلاقه، نظير ما ذكرناه في باب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غير مورد المتيقّن يؤخذ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حالات الأفراد، لا باستصحاب حكم المخصّص، من غير فرق بين الخروج من أوّل الأمر إلى زمان، أو غيره، فراجع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للشمول مفقود، وأنّ العقد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انتساب إليه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مشمول للأدلّة، فلا يمكن تصحيحه؛ لأنّ الفرد المقتضي لحصول مضمونه في أوّل زمان تحقّقه كما هو الفرض، خارج عن العامّ، وزمان الابتياع غير مشمول أيضاً؛ لأنّ النقل من ذلك الزمان مخالف لمقتضى 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الشمول للحالات تابع لشمول العموم الأفرادي، ومع عدمه لا موضوع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بالشمول من أوّل الأمر للفرد المتقيّد بزمان الابتياع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ذكرناه؛ من أنّ الشمول لذلك غير معقول، لأنّ المضمون المتقيّد بزمان العقد، كما هو المفروض ومحطّ كلام الشيخ قدّس سرّه في المقام، لا يعقل انطباقه على زمان آخر، فالإجازة من زمان الابتياع إجازة لغير العقد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عود إلى التقييد الحالي مع وجود المقتضي للشمول، وهو خلاف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وجود المقتضي وتعلّق الإجازة بالعقد من زمان تحقّقه، هو كون المانع من النفوذ في قطعة من الزمان، ومقتضى الإطلاق الصحّة فيما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المقتضي، وعدم شمول وجوب الوفاء للعقد على مال الغير من غير انتساب إليه بوجه، فزمان تحقّق العقد لا يكون منتسباً إلى من هو صالح للانتساب إليه، وبعد تحقّق الابتياع كان المنشأ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مبنى الكشف على أحد الاحتمالات، وهو كون الإجازة متعلّقة بالعقد الذي مقتضاه النقل من حين الوقوع، كما هو مفروض كلام الشيخ الأعظم قدّس سرّه</w:t>
      </w:r>
      <w:r>
        <w:rPr>
          <w:rStyle w:val="FootnoteAnchor"/>
          <w:rtl w:val="true"/>
        </w:rPr>
        <w:footnoteReference w:id="692"/>
      </w:r>
      <w:r>
        <w:rPr>
          <w:rFonts w:ascii="IRNazanin" w:hAnsi="IRNazanin" w:eastAsia="IRNazanin"/>
          <w:color w:val="111111"/>
          <w:sz w:val="28"/>
          <w:sz w:val="28"/>
          <w:szCs w:val="28"/>
          <w:rtl w:val="true"/>
          <w:lang w:bidi="fa-IR"/>
        </w:rPr>
        <w:t>، وقد عرفت أ نّه لا يمكن التصحيح على هذا الاحتمال بنحو ما رامه رحمه الله علیه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هذا التفكيك والتبعيض على بعض المسالك الاُخر في باب الكشف، كمسلك المحقّق الرشتي قدّس سرّه </w:t>
      </w:r>
      <w:r>
        <w:rPr>
          <w:rStyle w:val="FootnoteAnchor"/>
          <w:rtl w:val="true"/>
        </w:rPr>
        <w:footnoteReference w:id="693"/>
      </w:r>
      <w:r>
        <w:rPr>
          <w:rFonts w:ascii="Amiri" w:hAnsi="Amiri" w:eastAsia="Amiri" w:cs="Amiri"/>
          <w:color w:val="111111"/>
          <w:sz w:val="28"/>
          <w:sz w:val="28"/>
          <w:szCs w:val="28"/>
          <w:rtl w:val="true"/>
          <w:lang w:bidi="ar-SA"/>
        </w:rPr>
        <w:t xml:space="preserve">، بل ومسلك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694"/>
      </w:r>
      <w:r>
        <w:rPr>
          <w:rFonts w:ascii="Amiri" w:hAnsi="Amiri" w:eastAsia="Amiri" w:cs="Amiri"/>
          <w:color w:val="111111"/>
          <w:sz w:val="28"/>
          <w:sz w:val="28"/>
          <w:szCs w:val="28"/>
          <w:rtl w:val="true"/>
          <w:lang w:bidi="ar-SA"/>
        </w:rPr>
        <w:t>، ولا جدوى في التعرّض لها بعد عدم كونها مرضيّة، وعدم دليل عليها في مقام الإثبات</w:t>
      </w:r>
      <w:r>
        <w:rPr>
          <w:rFonts w:eastAsia="Amiri" w:cs="Amiri" w:ascii="Amiri" w:hAnsi="Amiri"/>
          <w:color w:val="111111"/>
          <w:sz w:val="28"/>
          <w:szCs w:val="28"/>
          <w:rtl w:val="true"/>
          <w:lang w:bidi="ar-SA"/>
        </w:rPr>
        <w:t xml:space="preserve">. </w:t>
      </w:r>
      <w:bookmarkStart w:id="410" w:name="pg15204_140532"/>
    </w:p>
    <w:p>
      <w:pPr>
        <w:pStyle w:val="Heading6"/>
        <w:numPr>
          <w:ilvl w:val="5"/>
          <w:numId w:val="1"/>
        </w:numPr>
        <w:rPr/>
      </w:pPr>
      <w:bookmarkStart w:id="411" w:name="__RefHeading___Toc2758950_2142443653"/>
      <w:bookmarkStart w:id="412" w:name="_Toc151"/>
      <w:bookmarkEnd w:id="410"/>
      <w:bookmarkEnd w:id="411"/>
      <w:r>
        <w:rPr>
          <w:rtl w:val="true"/>
        </w:rPr>
        <w:t>كلام المحقّق النائيني في المقام</w:t>
      </w:r>
      <w:bookmarkEnd w:id="412"/>
    </w:p>
    <w:p>
      <w:pPr>
        <w:pStyle w:val="BookText"/>
        <w:rPr/>
      </w:pPr>
      <w:r>
        <w:rPr>
          <w:rFonts w:ascii="Amiri" w:hAnsi="Amiri" w:eastAsia="Amiri" w:cs="Amiri"/>
          <w:color w:val="111111"/>
          <w:sz w:val="28"/>
          <w:sz w:val="28"/>
          <w:szCs w:val="28"/>
          <w:rtl w:val="true"/>
          <w:lang w:bidi="ar-SA"/>
        </w:rPr>
        <w:t>ثمّ إنّه قال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المقام متوقّفة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كون شخص خاصّ طرفاً للمعاوضة، لا بمعنى إمكان كونه كلّياً؛ فإنّ هذا غير معقول، لأنّ الإضافة تتوقّف على مضاف إليه معيّن، بل بمعنى عدم اعتبار خصوص كونه زيداً أو بكراً، فلو اشترى من شخص باعتقاد كونه زيداً، فتبيّن كونه بكراً، لا يضرّ، وليس البيع 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مسألة من باع شيئاً ثمّ ملك، كمسألة اختلاف المالك حال العقد والإجازة بسبب الموت والوراثة؛ بأن يكون تبدّل الملك كتبدّل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هذان الأمران، فلا محيص عن الصحّة في المقام، وإن كان اقتضاء الإجازة كشف الملك من حين العقد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الإشكال عن الأمر الأوّل، وفرّق في الثاني بين باب البيع والإرث بما تكرّر منه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الوارث يقوم مقام المورّث، والتبديل في المالك دون الملك، بخلاف البيع؛ فإنّه تبديل في الملك، فإذا أجاز الوارث كانت إجازته متعلّقة بنفس هذا التبديل، وأمّا إذا أجاز الفضولي فتعلّقت إجازته بغير ما وقع</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 مقدّمتيه، وفي النتيجة التي أراد ترتيبها عليهما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الكلّي طرف الإضافة؛ لكونه غير معيّن، فيه نظر ظاهر؛ فإنّ الكلّي معيّن قابل لتعلّق الإضافة به، كما في </w:t>
      </w:r>
    </w:p>
    <w:p>
      <w:pPr>
        <w:pStyle w:val="BookText"/>
        <w:rPr/>
      </w:pPr>
      <w:r>
        <w:rPr>
          <w:rFonts w:ascii="Amiri" w:hAnsi="Amiri" w:eastAsia="Amiri" w:cs="Amiri"/>
          <w:color w:val="111111"/>
          <w:sz w:val="28"/>
          <w:sz w:val="28"/>
          <w:szCs w:val="28"/>
          <w:rtl w:val="true"/>
          <w:lang w:bidi="ar-SA"/>
        </w:rPr>
        <w:t xml:space="preserve">بيع الكلّي، ولا فرق بين كون المبيع أو الثمن كلّياً، وبين كون البائع أو المشتري كلّياً، حتّى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كلّية ومعيّنات وإن كانت مصاديقها غير معيّنة، ولهذا يتعلّق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الفرد المردّد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لا يعقل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الإضافة، ولعلّ مراده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صحيح، لكن في باب النكاح أيضاً كذلك، فلو تزوّجت شخصاً خاصّاً بتوهّم أنّه زيد فكان عمراً، صحّ وإن كان الزوجان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في باب الإرث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التبديل في المالك دون الملك، وأنّ الورثة قائمون مقام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يصدّقه عقل ولا نقل، بل الأدلّة النقلية؛ كتاباً، وسنّة، وارتكاز العقلاء والمتشرّعة،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قيام كلّ وارث مقام مورّثه في مقدار 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 الزوجة في الثمن، والبنت في النصف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يردّه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ربط المقدّمتين بالمسألة؛ فإنّ المفروض بيع مال لنفسه لا لصاحبه، ثمّ بعد ما تملّكه أجاز ما أنشأ لنفسه، وهذا أجنبيّ عن المقدّمتين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قبيل سرقة الإضافة، بل من قبيل مجاز المشارفة، فيبيع ما يملكه فعلاً بلحاظ ملكه فيما بعد، ثمّ أمر بالتأمّل</w:t>
      </w:r>
      <w:r>
        <w:rPr>
          <w:rStyle w:val="FootnoteAnchor"/>
          <w:rtl w:val="true"/>
        </w:rPr>
        <w:footnoteReference w:id="696"/>
      </w:r>
      <w:r>
        <w:rPr>
          <w:rFonts w:ascii="Amiri" w:hAnsi="Amiri" w:eastAsia="Amiri" w:cs="Amiri"/>
          <w:color w:val="111111"/>
          <w:sz w:val="28"/>
          <w:sz w:val="28"/>
          <w:szCs w:val="28"/>
          <w:rtl w:val="true"/>
          <w:lang w:bidi="ar-SA"/>
        </w:rPr>
        <w:t>، لكن لا تأمّل في أنّ البيع لنفسه، كما أنّه لا تأمّل في ذلك في الغاصب</w:t>
      </w:r>
      <w:r>
        <w:rPr>
          <w:rFonts w:eastAsia="Amiri" w:cs="Amiri" w:ascii="Amiri" w:hAnsi="Amiri"/>
          <w:color w:val="111111"/>
          <w:sz w:val="28"/>
          <w:szCs w:val="28"/>
          <w:rtl w:val="true"/>
          <w:lang w:bidi="ar-SA"/>
        </w:rPr>
        <w:t xml:space="preserve">. </w:t>
      </w:r>
      <w:bookmarkStart w:id="413" w:name="pg15204_140534"/>
    </w:p>
    <w:p>
      <w:pPr>
        <w:pStyle w:val="BookText"/>
        <w:rPr/>
      </w:pPr>
      <w:bookmarkEnd w:id="413"/>
      <w:r>
        <w:rPr>
          <w:rFonts w:ascii="Amiri" w:hAnsi="Amiri" w:eastAsia="Amiri" w:cs="Amiri"/>
          <w:color w:val="111111"/>
          <w:sz w:val="28"/>
          <w:sz w:val="28"/>
          <w:szCs w:val="28"/>
          <w:rtl w:val="true"/>
          <w:lang w:bidi="ar-SA"/>
        </w:rPr>
        <w:t>ثمّ إنّ ما أفاده قدّس سرّه ينتج عكس ما رامه؛ فإنّ البيع إن وقع لنفسه، فإن انتقل إليه ببيع صحّ؛ لأنّ ما أجاز عين ما أنشأه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مات مورّثه، وقام هو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في الاعتبار هو هو؛ قضاءً لحقّ عدم تغيير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لعدم موافقة الإجازة للمنشأ، فإنّه نقل مال نفسه وتملّك ثمنه إنشاءً، وبعد قيامه مقام الميّت صار هو الميّت اعتباراً، وإجازته إجازة الميّت، ولم ينشئ البيع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مجاز المشارفة يرجع إلى البيع للمالك الواقعي، لا يرجع إلى محصّل وإن لم يبعد أن يكون منشأ اشتباهه في المقام ذلك</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758952_2142443653"/>
      <w:bookmarkStart w:id="415" w:name="_Toc152"/>
      <w:bookmarkEnd w:id="414"/>
      <w:r>
        <w:rPr>
          <w:rtl w:val="true"/>
        </w:rPr>
        <w:t>الإشكال الرابع</w:t>
      </w:r>
      <w:r>
        <w:rPr>
          <w:rtl w:val="true"/>
        </w:rPr>
        <w:t>:</w:t>
      </w:r>
      <w:bookmarkEnd w:id="415"/>
    </w:p>
    <w:p>
      <w:pPr>
        <w:pStyle w:val="Heading6"/>
        <w:numPr>
          <w:ilvl w:val="5"/>
          <w:numId w:val="1"/>
        </w:numPr>
        <w:rPr/>
      </w:pPr>
      <w:bookmarkStart w:id="416" w:name="__RefHeading___Toc2758954_2142443653"/>
      <w:bookmarkStart w:id="417" w:name="_Toc153"/>
      <w:bookmarkEnd w:id="416"/>
      <w:r>
        <w:rPr>
          <w:rtl w:val="true"/>
        </w:rPr>
        <w:t>بيانه</w:t>
      </w:r>
      <w:bookmarkEnd w:id="417"/>
    </w:p>
    <w:p>
      <w:pPr>
        <w:pStyle w:val="BookText"/>
        <w:rPr/>
      </w:pPr>
      <w:r>
        <w:rPr>
          <w:rFonts w:ascii="Amiri" w:hAnsi="Amiri" w:eastAsia="Amiri" w:cs="Amiri"/>
          <w:color w:val="111111"/>
          <w:sz w:val="28"/>
          <w:sz w:val="28"/>
          <w:szCs w:val="28"/>
          <w:rtl w:val="true"/>
          <w:lang w:bidi="ar-SA"/>
        </w:rPr>
        <w:t xml:space="preserve">أنّه على الكشف الحقيقي يلزم اجتماع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والمالك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معيّن معاً في زمان واحد، وهما متضادّان، واجتماع الضدّين مستلزم لاجتماع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لازم في كلّ عقد فضولي على الكشف؛ لأنّ المشتري لا بدّ وأن يملك بعد العقد والمالك كذلك حتّى تصحّ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الإجازة الملك الصوري المستصحب، ولا يكفي ذلك في العقد الثاني، انتهى ملخّصاً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غير الإشكال السابق؛ فإنّ مبنى السابق لحاظ </w:t>
      </w:r>
      <w:bookmarkStart w:id="418" w:name="pg15204_140535"/>
    </w:p>
    <w:p>
      <w:pPr>
        <w:pStyle w:val="BookText"/>
        <w:rPr/>
      </w:pPr>
      <w:bookmarkEnd w:id="418"/>
      <w:r>
        <w:rPr>
          <w:rFonts w:ascii="Amiri" w:hAnsi="Amiri" w:eastAsia="Amiri" w:cs="Amiri"/>
          <w:color w:val="111111"/>
          <w:sz w:val="28"/>
          <w:sz w:val="28"/>
          <w:szCs w:val="28"/>
          <w:rtl w:val="true"/>
          <w:lang w:bidi="ar-SA"/>
        </w:rPr>
        <w:t>البائع الفضولي، واستلزام خروج الشيء عن ملكه قبل دخوله فيه، ومبنى هذا الإشكال لحاظ المشتري والمالك الأصلي، واجتماع ملكهما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الشيء في ملك المشتري قبل خروجه عن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إشكال مستقلّ، ولهذا لو فرض صحّة اجتماع المالكين على 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بعضهم</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ببطلان الأوّل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الإشكال العامّ في باب الفضولي عين هذا الإشكال وهذا التالي الباطل، وهو اجتماع المالكين على ملك واحد،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ملك المشتري والمالك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 في المقامين</w:t>
      </w:r>
      <w:r>
        <w:rPr>
          <w:rStyle w:val="FootnoteAnchor"/>
          <w:rtl w:val="true"/>
        </w:rPr>
        <w:footnoteReference w:id="699"/>
      </w:r>
      <w:r>
        <w:rPr>
          <w:rFonts w:ascii="Amiri" w:hAnsi="Amiri" w:eastAsia="Amiri" w:cs="Amiri"/>
          <w:color w:val="111111"/>
          <w:sz w:val="28"/>
          <w:sz w:val="28"/>
          <w:szCs w:val="28"/>
          <w:rtl w:val="true"/>
          <w:lang w:bidi="ar-SA"/>
        </w:rPr>
        <w:t>ردّاً على المستشكل،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أجاب عن أصل الإشكال بما مرّ، وقد مرّ الكلام حوله</w:t>
      </w:r>
      <w:r>
        <w:rPr>
          <w:rStyle w:val="FootnoteAnchor"/>
          <w:rtl w:val="true"/>
        </w:rPr>
        <w:footnoteReference w:id="700"/>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758956_2142443653"/>
      <w:bookmarkStart w:id="420" w:name="_Toc154"/>
      <w:bookmarkEnd w:id="419"/>
      <w:r>
        <w:rPr>
          <w:rtl w:val="true"/>
        </w:rPr>
        <w:t>أجوبة المحقّقين عن الإشكال العامّ</w:t>
      </w:r>
      <w:bookmarkEnd w:id="420"/>
    </w:p>
    <w:p>
      <w:pPr>
        <w:pStyle w:val="BookText"/>
        <w:rPr/>
      </w:pPr>
      <w:r>
        <w:rPr>
          <w:rFonts w:ascii="Amiri" w:hAnsi="Amiri" w:eastAsia="Amiri" w:cs="Amiri"/>
          <w:color w:val="111111"/>
          <w:sz w:val="28"/>
          <w:sz w:val="28"/>
          <w:szCs w:val="28"/>
          <w:rtl w:val="true"/>
          <w:lang w:bidi="ar-SA"/>
        </w:rPr>
        <w:t>وأمّا الإشكال العامّ في الفضولي على الكشف، فقد أجابوا عنه بوجوه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كفاية الملكية </w:t>
      </w:r>
    </w:p>
    <w:p>
      <w:pPr>
        <w:pStyle w:val="BookText"/>
        <w:rPr/>
      </w:pPr>
      <w:r>
        <w:rPr>
          <w:rFonts w:ascii="Amiri" w:hAnsi="Amiri" w:eastAsia="Amiri" w:cs="Amiri"/>
          <w:color w:val="111111"/>
          <w:sz w:val="28"/>
          <w:sz w:val="28"/>
          <w:szCs w:val="28"/>
          <w:rtl w:val="true"/>
          <w:lang w:bidi="ar-SA"/>
        </w:rPr>
        <w:t>الاستصحابية في صحّة الفضولي، ولا تكفي في العقد الثاني</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الأدلّة العامّة أو الخاصّة لمّا كان الصحّة على الكشف الحقيقي، ولا شبهة في دخالة الإجازة ولو بنحو الشرط المتأخّر فيها،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امتناع اجتماع المالكين على ملك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بكفاية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ذاك الدليل وهذا الامتناع نستكشف إقامة الشارع الملكية الظاهرية مقام الواقعية، كما قلنا في باب اعتبار الطهارة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تحكيم أصالة الطهارة على أدلّة اعتبار الطهارة الظاهرة في حدّ نفسها في الطهارة الواقعية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أيضاً مقتضى دليل الاستصحاب الملكية، وهو حاكم على ما دلّ على لزوم إجازة صاحب المال في التصرّفات في ماله، وهذا وإن اقتضى الصحّة في جميع المقامات، لكن الضرورة أو الإجماع قائمة على عدم كفاية الملكية الظاهرية في الصحّة في غير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لا يرد عليه إيراد القوم كالشيخ وغيره 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الملكية الواقعية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ذكر عدم الاّطراد؛ للعلم بحصول الإجازة </w:t>
      </w:r>
    </w:p>
    <w:p>
      <w:pPr>
        <w:pStyle w:val="BookText"/>
        <w:rPr/>
      </w:pPr>
      <w:r>
        <w:rPr>
          <w:rFonts w:ascii="Amiri" w:hAnsi="Amiri" w:eastAsia="Amiri" w:cs="Amiri"/>
          <w:color w:val="111111"/>
          <w:sz w:val="28"/>
          <w:sz w:val="28"/>
          <w:szCs w:val="28"/>
          <w:rtl w:val="true"/>
          <w:lang w:bidi="ar-SA"/>
        </w:rPr>
        <w:t>أحياناً، ومعه يسقط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قدّس سرّه من كفاية الملكية التقديرية؛ أي لولا الإجازة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مبنيّ على الالتزام بذلك بعد قيام الدليل على الكشف الحقيقي، ولا يراد كفايتها مطلقاً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أهل التحقيق قدّس سرّه من أنّ اتّصال ملك المجيز بزمان الإجازة غير لازم، بل اللازم اتّصال الملك بزمان التصرّف الناقل؛ ليكون النقل عن ملكه، فللمالك نقله مباشرة وتسبيباً وإجازة، فكما أنّ الملكية الفعلية المتّصلة بحال العقد مباشرة تصحّح النقل، كذلك هذه الملكية تصحّح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ملكه حال العقد مانع عن إجازته فيما بعد؛ لاندفاعه بأنّ مقتضي الشيء لا يعقل أن يكون مانعاً عنه؛ فإنّ زواله بسبب الإجازة المتأخّرة، فكيف يأبى عن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المتأخّرة إجازة لمضمون العقد بعد تمامه، وهو حال الانتقال على الكشف الحقيقي، فتكون رتبة الانتقال أو حاله مقارنة لحال الإجازة، فلا يعقل أن يكون الانتقال وزوال الملك من مقتضياتها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تصوّر الشرط المتأخّر، يكون الانتقال بعد تحقّق المشروط بما هو مشروط، فيترتّب عليه النقل، فرتبة النقل متأخّرة عن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لو كفت الملكية حال العقد، ولم يلزم اتّصالها بحال الإجازة، ولم يعتبر اتّصال الملكية التقديرية أو الظاهرية، لكان اللازم صحّة الإجازة ولو بعد بيع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الفضولي، ثمّ باع المالك الأصلي ما باعه، ثمّ أجاز، كانت الإجازة للملكية الحاصلة حال العقد، ومع الكشف كان عقد المالك الأصلي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الصحّة عدم التصرّف الناقل، يرجع إلى لزوم بقاء الملكية التقديرية من زمان العقد إلى زمان الإجازة، ولولا هذا الشرط لم يكن عقد المالك الأصلي موجباً لتفويت المحلّ؛ ضرورة أنّ المحلّ القابل قبل عقد المالك الأصلي متحقّق، والإجازة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أن تكون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بعدم التخلّل عبارة اُخرى عن اتّصال الملكية التقديرية من زمان العقد إلى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الثلاثة المتقدّمة مشتركة في أنّ المال للمالك المجيز حال العقد؛ أي قبل وقوعه، وفي أنّ المجيز حال الإجازة غير مالك، وإنّما الاختلاف في اعتبار أمر زائد على ذلك، وهو الملكية الظاهرية على رأي، والملكية التقديرية على رأي، وعدم اعتبار شيء على الأخير، ولولا ذاك أو ذلك يلزم التالي المتقدّم، هذا على الكشف الحقيقي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الكشف الانقلابي الحقيقي والاعتباري، فقد تقدّم فيما سلف امتناعهما </w:t>
      </w:r>
      <w:r>
        <w:rPr>
          <w:rStyle w:val="FootnoteAnchor"/>
          <w:rtl w:val="true"/>
        </w:rPr>
        <w:footnoteReference w:id="706"/>
      </w:r>
      <w:r>
        <w:rPr>
          <w:rFonts w:ascii="Amiri" w:hAnsi="Amiri" w:eastAsia="Amiri" w:cs="Amiri"/>
          <w:color w:val="111111"/>
          <w:sz w:val="28"/>
          <w:sz w:val="28"/>
          <w:szCs w:val="28"/>
          <w:rtl w:val="true"/>
          <w:lang w:bidi="ar-SA"/>
        </w:rPr>
        <w:t>، ومع الغضّ عنه لا يرد الإشكال المذكور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 قدّس سرّه؛ من أنّه وإن اجتمع مالكان على ملك واحد في زمان واحد، إلاّ أنّه إذا كان ملك أحدهما في طول ملك الآخر، فلا دليل على امتناعه، وأدلّ دليل على إمكانه وقوعه، كما في ملك العبد الذي يملكه المولى، وإنّما الممتنع اجتماع مالكين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ملك المجاز له مترتّب على ملك المجيز وقوامه به، فاجتماعهما لا يضرّ، انتهى</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يتّضح أنّ مراده بيان عدم اجتماع المتضادّين لأجل الطولية، أو أنّ اجتماع المتضادّين لا مانع منه مع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الثاني، وهو في غاية السقوط؛ لأنّه بعد فرض التضادّ بينهما، وعدم تأثير الطولية في رفع الاجتماع، يلزم الالتزام بجواز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مراده الأوّل، فإن كان المراد بالطولية الرافعة للاجتماع هو أنّ المجاز له يتلقّى الملك من المجيز؛ لأنّ الإجازة شرط الانتقال، كما أنّ بيع الأصيل شرطه، فهذا وإن رفع الاجتماع، لكنّه خروج عن البحث، وليس الاجتماع في زمان واحد، ولا يناسب التمثيل بملك العبد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وأن يراد اجتماعهما في آن واحد على موضوع واحد، لكن بنحو الطولية، وهو كافٍ في رفع الاجتماع؛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مملوك العبد، ومملوك العبد مملوك المولى، فملك العبد تعلّق بالذات، وملك المولى بعنوان المملوك المتأخّر عن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امتناع ذلك؛ للزوم قيام الضدّ بالضدّ، نظير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الجسم أبيض، والأبيض بما هو أبيض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 إلى أنّ الذات قام بها البياض، والبياض المتأخّر عن الذات قام به السواد، أو أنّ الذات بوصف البياض قام بها السواد، فهذا قيام الضدّ بالضدّ واجتماع الضدّين، هذا بالنسبة إلى الموجود الخارجي وأوصافه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البحث في باب اجتماع الأمر والنهي، بأنّ العامّين المطلقين أيضاً داخلان في محطّ البحث، لكنّ البحث هناك أجنبيّ عن المقام؛ لأنّ الكلام في المقام في الموجود الخارجي، وهناك في عناوين كلّية، مع أنّ التحقيق في ذلك المقام عدم كونهما محطّ البحث</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إمكان الشيء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ثابت، وما ادّعي وقوعه غير ثابت، ولو دلّ ظاهر عليه لا بدّ من تأويله؛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مالك، والمولى أولى بالتصرّف، كمالكية الناس وأولوية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الاُمور الاعتبارية، واجتماع المالكين على ملك، ليس من قبيل اجتماع الضدّين، ولو كان تنافٍ وتضادّ فإنّما هو في اعتبارهما، لا في نفسهما، والكلام هاهنا بعد الفراغ عن عدم إمكان اجتماعهما، كان لأجل التضادّ، أو التنافي في الاعتبار، أو مبادئه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منع الطولية في المقام، فإنّ المجاز له لم يكن مالكاً لملك </w:t>
      </w:r>
    </w:p>
    <w:p>
      <w:pPr>
        <w:pStyle w:val="BookText"/>
        <w:rPr/>
      </w:pPr>
      <w:r>
        <w:rPr>
          <w:rFonts w:ascii="Amiri" w:hAnsi="Amiri" w:eastAsia="Amiri" w:cs="Amiri"/>
          <w:color w:val="111111"/>
          <w:sz w:val="28"/>
          <w:sz w:val="28"/>
          <w:szCs w:val="28"/>
          <w:rtl w:val="true"/>
          <w:lang w:bidi="ar-SA"/>
        </w:rPr>
        <w:t>المجيز بما أنّه ملكه؛ بأن يكون المجيز مالكاً للذات، والمجاز له مالكاً لما هو ملك المجيز، بل المجاز له تملّك الذات بواسطة الإجازة، فالمجيز مالك للمال، والمجاز له مالك له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ضمّ الإشكال العامّ إلى ما يلزم في المسألة، اجتماع ملاّك ثلاثة على ملك واحد قبل العقد الثاني؛ لأنّه على الكشف يكون ملكاً للمشتري، ولم يخرج من ملك المالك الأصلي، ولا بدّ من ملكية العاقد، وإلاّ لم تنفع إجازته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الالتزام بالشرط المتأخّر، لا يرد إشكال اجتماع ملاّك ثلاثة؛ لأنّ المشتري والمالك الأصيل مالكان إلى زمان البيع الثاني، والمشتري والمجيز مالكان بعد البيع الثاني إلى زمان الإجازة، ولا موجب للالتزام بكون المجيز مالكاً من حين العقد الأوّل؛ لأنّ المشتري وإن كان يتلقّى الملك من مالكه، إلاّ أنّه لا يجب أن يكون هو المجيز بالخصوص، بل إمّا هو أو الأصيل</w:t>
      </w:r>
      <w:r>
        <w:rPr>
          <w:rStyle w:val="FootnoteAnchor"/>
          <w:rtl w:val="true"/>
        </w:rPr>
        <w:footnoteReference w:id="7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تعليله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إمكان خروج الملك عن ملك العاقد قبل دخوله فيه، لا يلزم اجتماع الثلاثة، كما يشعر به صدر كلامه، لكن تعليله صريح بخلاف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فإنّ إمكان التلقّي من أحدهما غير وقوعه، ولا إشكال </w:t>
      </w:r>
    </w:p>
    <w:p>
      <w:pPr>
        <w:pStyle w:val="BookText"/>
        <w:rPr/>
      </w:pPr>
      <w:r>
        <w:rPr>
          <w:rFonts w:ascii="Amiri" w:hAnsi="Amiri" w:eastAsia="Amiri" w:cs="Amiri"/>
          <w:color w:val="111111"/>
          <w:sz w:val="28"/>
          <w:sz w:val="28"/>
          <w:szCs w:val="28"/>
          <w:rtl w:val="true"/>
          <w:lang w:bidi="ar-SA"/>
        </w:rPr>
        <w:t>في أنّ تلقّي الملك فعلاً من المجيز لا من مالكه الأصلي، فلزم على الفرض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بعض أهل التحقيق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ملك المشتري الأوّل له مقتضي الثبوت، وملك المالك الأصلي له مقتضي البقاء، وأمّا ملك الفضولي قبل العقد الثاني فليس له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الالتزام بعدم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خروج مال المالك الأصلي قبل العقد الثاني قهراً عليه، فكون الفضولي لا بدّ من أن يكون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المحذور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واجتماع ملاّك ثلاثة أمر آخر</w:t>
      </w:r>
      <w:r>
        <w:rPr>
          <w:rStyle w:val="FootnoteAnchor"/>
          <w:rtl w:val="true"/>
        </w:rPr>
        <w:footnoteReference w:id="7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يتّضح أنّه بصدد الإشكال على الشيخ، أو بيان أمر واقعي، فإن كان الأوّل فلا يظهر من الشيخ قدّس سرّه أنّه أراد أنّ الاجتماع لأجل حصول أسبابه، بل صريحه أنّ ملك العاقد لا بدّ منه، وإلاّ لغت إجازته من حين العقد</w:t>
      </w:r>
      <w:r>
        <w:rPr>
          <w:rStyle w:val="FootnoteAnchor"/>
          <w:rtl w:val="true"/>
        </w:rPr>
        <w:footnoteReference w:id="712"/>
      </w:r>
      <w:r>
        <w:rPr>
          <w:rFonts w:ascii="Amiri" w:hAnsi="Amiri" w:eastAsia="Amiri" w:cs="Amiri"/>
          <w:color w:val="111111"/>
          <w:sz w:val="28"/>
          <w:sz w:val="28"/>
          <w:szCs w:val="28"/>
          <w:rtl w:val="true"/>
          <w:lang w:bidi="ar-SA"/>
        </w:rPr>
        <w:t>، فإشكاله أجنبيّ عن كلامه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ملكية العاقد ليس لدفع هذا المحذور؛ ضرورة أنّ محذور خروج مال عن ملك صاحبه قهراً عليه، ليس أشدّ من دخول مال في ملك شخص بلا سبب وقهراً عليه، فلا يمكن دفع هذا المحذور بمحذور نحوه، والأمر سهل</w:t>
      </w:r>
      <w:r>
        <w:rPr>
          <w:rFonts w:eastAsia="Amiri" w:cs="Amiri" w:ascii="Amiri" w:hAnsi="Amiri"/>
          <w:color w:val="111111"/>
          <w:sz w:val="28"/>
          <w:szCs w:val="28"/>
          <w:rtl w:val="true"/>
          <w:lang w:bidi="ar-SA"/>
        </w:rPr>
        <w:t xml:space="preserve">. </w:t>
      </w:r>
      <w:bookmarkStart w:id="421" w:name="pg15204_140543"/>
    </w:p>
    <w:p>
      <w:pPr>
        <w:pStyle w:val="Heading6"/>
        <w:numPr>
          <w:ilvl w:val="5"/>
          <w:numId w:val="1"/>
        </w:numPr>
        <w:rPr/>
      </w:pPr>
      <w:bookmarkStart w:id="422" w:name="__RefHeading___Toc2758958_2142443653"/>
      <w:bookmarkStart w:id="423" w:name="_Toc155"/>
      <w:bookmarkEnd w:id="421"/>
      <w:bookmarkEnd w:id="422"/>
      <w:r>
        <w:rPr>
          <w:rtl w:val="true"/>
        </w:rPr>
        <w:t>الإشكال الخامس</w:t>
      </w:r>
      <w:r>
        <w:rPr>
          <w:rtl w:val="true"/>
        </w:rPr>
        <w:t>:</w:t>
      </w:r>
      <w:bookmarkEnd w:id="423"/>
    </w:p>
    <w:p>
      <w:pPr>
        <w:pStyle w:val="BookText"/>
        <w:rPr/>
      </w:pPr>
      <w:r>
        <w:rPr>
          <w:rFonts w:ascii="Amiri" w:hAnsi="Amiri" w:eastAsia="Amiri" w:cs="Amiri"/>
          <w:color w:val="111111"/>
          <w:sz w:val="28"/>
          <w:sz w:val="28"/>
          <w:szCs w:val="28"/>
          <w:rtl w:val="true"/>
          <w:lang w:bidi="ar-SA"/>
        </w:rPr>
        <w:t>أنّه على الكشف يقع العقد الثاني على مال المشتري، فلا بدّ من إجازته حتّى يصحّ، فيلزم توقفّ صحّة إجازة العاقد على صحّة إجازة المشتري، وصحّة إجازة المشتري على صحّة إجازة العاقد، وهو دور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توقّف صحّة العقدين على إجازة المشتري غير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لولا هذه الإجازة لم يصحّ، فتوقّفت الصحّة عليها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الأعاجيب، بل من المستحيل؛ لاستلزام ذلك عدم تملّك المالك الأصلي شيئاً من الثمن والمثمن، وتملّك المشتري الأوّل المبيع بلا عوض إن اتّحد الثمنان، ودون تمامه إن زاد الأوّل، ومع زيادة إن نقص؛ لانكشاف وقوعه في ملكه، فالثمن له، وقد كان المبيع له بما بذل من الثمن، وهو ظاهر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تعدّد الاستدلال على مدّعىً واحد، هو كون كلّ دليل مستقلاًّ في الإثبات، فلو توقّفت تمامية دليل على تمامية دليل آخر، لا يعقل أن يكون دليلاً مستقلاًّ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الدليل الخامس إلاّ بعد تمامية الدليل الرابع؛ أي عدم إمكان اجتماع المالكين على ملك واحد، فلو بنينا على جواز اجتماعهما، وكان </w:t>
      </w:r>
    </w:p>
    <w:p>
      <w:pPr>
        <w:pStyle w:val="BookText"/>
        <w:rPr/>
      </w:pPr>
      <w:r>
        <w:rPr>
          <w:rFonts w:ascii="Amiri" w:hAnsi="Amiri" w:eastAsia="Amiri" w:cs="Amiri"/>
          <w:color w:val="111111"/>
          <w:sz w:val="28"/>
          <w:sz w:val="28"/>
          <w:szCs w:val="28"/>
          <w:rtl w:val="true"/>
          <w:lang w:bidi="ar-SA"/>
        </w:rPr>
        <w:t>ما وقع عليه العقد الأوّل ملكاً للمشتري بتمامه، وملكاً للمالك الأصلي بتمامه، لم يرد الإشكال الخامس؛ ضرورة أنّ المالك الأصلي مالك لتمامه، ولم يتصرّف إلاّ في ملكه، ولم ينقل ملك المشتري، بل صار المال بعد البيع بتمامه ملكاً للمجيز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مملوكية شيء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كلّ منهما مالكاً لتمامه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كلّ واحد منهما ماله لا يحتاج إلى إجازة الآخر؛ لعدم تصرّفه في ملك الآخر، بل نقل تمام ماله، فصار ملكاً للمشتري بتمامه، وبقي ملك صاحبه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قبل البيع ملكاً للبائع والمالك الآخر، وبعده للمشتري والمالك الآخر، كما في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التصرّف الخارجي إلاّ بإذن صاحبه؛ فإنّه وإن تصرّف في ملكه، لكنّه تصرّف في ملك الآخر أيضاً، ففرق بين التصرّف الخارجي والاعتباري، كما في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تتوقّف صحّة المعاملة الثانية على إجازة المشتري، فيندفع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أغمضنا عن ذلك، فتوقّف صحّة إجازة كلّ من شخصين على صحّة إجازة الآخر دور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الحاجة إلى إجازة المشتري الأوّل؛ لأنّ المفروض أنّ ملكيته حال العقد موقوفة على هذا البيع الثاني، ومثل هذه الملكية لا تقتضي نفوذ البيع برضاه؛ لأنّ المفروض أنّه فرع هذا التصرّف وناشئة من قبله، ونحن نسلّم أنّ </w:t>
      </w:r>
    </w:p>
    <w:p>
      <w:pPr>
        <w:pStyle w:val="BookText"/>
        <w:rPr/>
      </w:pPr>
      <w:r>
        <w:rPr>
          <w:rFonts w:ascii="Amiri" w:hAnsi="Amiri" w:eastAsia="Amiri" w:cs="Amiri"/>
          <w:color w:val="111111"/>
          <w:sz w:val="28"/>
          <w:sz w:val="28"/>
          <w:szCs w:val="28"/>
          <w:rtl w:val="true"/>
          <w:lang w:bidi="ar-SA"/>
        </w:rPr>
        <w:t>المال قبل البيع الثاني للمشتري الأوّل، لكنّه إنّما يكون له بشرط هذا البيع، ولولاه لما كان له، فلا يحتاج إلى إجازته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دليل بالخصوص على صحّة هذا البيع على الكشف، ودار الأمر بين الالتزام بالدور المحال، أو الالتزام بما ذكره، لا محيص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اُريد البناء على الصحّة بالأدلّة العامّة، أو الدليل على مطلق الفضولي كشفاً، ففيما دار الأمر بين محال عقلي، وأمر مخالف لمقتضى المعاملات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مال الغير عن ملكه بلا سبب وتصرّف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بطلان المعاملة الكذائية، لا بدّ وأن يبنى على البطلان؛ إذ لولاه للزم أحد الباطلين، والالتزام بما ذكره بلا دلالة دليل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المذكور لا يرد على الانقلاب، حقيقياً كان أو اعتبارياً، والانقلاب في الملك لا يوجب الانقلاب في العقد، وليس العقد كالنماء؛ لأنّ النماء تابع للعين في الملكية، فانقلاب المتبوع يوجب انقلاب التابع، والعقد ليس كذلك</w:t>
      </w:r>
      <w:r>
        <w:rPr>
          <w:rStyle w:val="FootnoteAnchor"/>
          <w:rtl w:val="true"/>
        </w:rPr>
        <w:footnoteReference w:id="715"/>
      </w:r>
      <w:r>
        <w:rPr>
          <w:rFonts w:ascii="Amiri" w:hAnsi="Amiri" w:eastAsia="Amiri" w:cs="Amiri"/>
          <w:color w:val="111111"/>
          <w:sz w:val="28"/>
          <w:sz w:val="28"/>
          <w:szCs w:val="28"/>
          <w:rtl w:val="true"/>
          <w:lang w:bidi="ar-SA"/>
        </w:rPr>
        <w:t>، وهو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الانقلاب الحقيقي، فكيف يمكن أن يكون الشيء الذي وقع عليه العقد ملكاً لشخص، ثمّ ينقلب من الأوّل إلى زمان الإجازة ملكاً لشخص آخر، مع أنّ العقد في ذلك الزمان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بماله؟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تكويناً انقلاب شيء ذي إضافة إلى شيء آخر، هل يصحّ بقاء </w:t>
      </w:r>
      <w:bookmarkStart w:id="424" w:name="pg15204_140546"/>
    </w:p>
    <w:p>
      <w:pPr>
        <w:pStyle w:val="BookText"/>
        <w:rPr/>
      </w:pPr>
      <w:bookmarkEnd w:id="424"/>
      <w:r>
        <w:rPr>
          <w:rFonts w:ascii="Amiri" w:hAnsi="Amiri" w:eastAsia="Amiri" w:cs="Amiri"/>
          <w:color w:val="111111"/>
          <w:sz w:val="28"/>
          <w:sz w:val="28"/>
          <w:szCs w:val="28"/>
          <w:rtl w:val="true"/>
          <w:lang w:bidi="ar-SA"/>
        </w:rPr>
        <w:t>إضافته على حالها قبل الانقلاب، وهل هذا إلاّ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والانقلاب الاعتباري لا يقصر في هذا الأمر عن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الانقلاب تعبّدياً، كان في السعة والضيق تابعاً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الانقلاب هو التغيير في الحال وما بعده، بل انقلاب الماضي بواقعيته عمّا هو عليه، ولازمه انقلاب جميع إضافاته وتبعاته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أغمضنا في أصل الإشكال عن الدور، فالظاهر عدم إشكال آخر، وعدم وقوع شيء عجيب؛ فإنّ الكشف إذا اقتضى كون المال من الأوّل للمشتري، فلا عجب في احتياجه إلى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توقّف العقدين على إجازته لا عجب فيه، وكذا مالكية المشتري للثمن غير عجيب، بل العجب مقابلات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عجيب، وهو خروج مال المالك الأصلي عن ملكه بلا تسبيب منه، وبمجرّد تصرّف شخص أجنبيّ، والقائل لم يذكر هذا العجيب، وذكر ما لا عجب فيه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758960_2142443653"/>
      <w:bookmarkStart w:id="426" w:name="_Toc156"/>
      <w:bookmarkEnd w:id="425"/>
      <w:r>
        <w:rPr>
          <w:rtl w:val="true"/>
        </w:rPr>
        <w:t>الإشكال السادس</w:t>
      </w:r>
      <w:r>
        <w:rPr>
          <w:rtl w:val="true"/>
        </w:rPr>
        <w:t>:</w:t>
      </w:r>
      <w:bookmarkEnd w:id="42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بيع المالك الأصلي فسخ للمعاملة الفضولية، فلا تجدي الإجازة المتأخّرة بعد الفسخ، فعقد الفضولي قبل الإجازة كسائر العقود الجائزة، بل أولى منها، فكما أنّ التصرّف المنافي مبطل لها، كذلك للعقد الفضولي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ابتناء تمامية هذا الدليل على بعض الاُمور المتقدّمة، ومع الغضّ عنه لا يتمّ هذا، فلا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بنينا على جواز اجتماع المالكين على ملك واحد،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المشتري والمالك الأصلي بعد العقد الأوّل مالكان مستقلاّن، فلا وجه لكون نقل مالك ماله في بيع ردّاً لبيع آخر، صار لأجله شخص آخر مالكاً مستقلاًّ، فلا بدّ في تمامية هذا الدليل من البناء على عدم مالكيتهما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الأمر الخامس أنّ العقد وقع على ملك المشتري الأوّل، فلا يعقل أن يكون البيع على ماله فضولاً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 على صحّة العقد الأوّل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الردّ في باب الفضولي يغاير الفسخ في باب العقود؛ فإنّ اعتبار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العقد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يتمّ بحصول شرطه في محلّه متأخّراً، فلا يعقل أن يكون البيع من المالك فسخاً؛ للزوم البيع الأوّل، وعدم خيار فسخ للمالك الأجنبيّ عن العقد الأوّل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تماميته موقوفة على عدم تعقّبه بالردّ، فلا يكون الردّ فسخاً؛ لعدم تسلّط المالك على فعل الغير، أي إنشائه، وعدم كون الإنشاء تصرّفاً، بل له أن يقبل وأن لا يقبل، نظير قبول القابل؛ فإنّ عدم قبوله أو ردّه للإيجاب، ليس فسخاً لفعل الموجب؛ أي إنشاء المعاوضة بين السلعة والثمن، لعدم تسلّطه على فعل الغير، وإنّما له السلطنة على فعل نفسه، فله قبول الإيجاب، وله عدم القبول، والردّ لا يفيد شيئاً زائداً على عدم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سلطنة المالك على فسخ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إنشاء الفسخ يبطل العقد من حينه إجماعاً، ولعموم تسلّط الناس على أموالهم بقطع علاقة الغير عنها </w:t>
      </w:r>
      <w:r>
        <w:rPr>
          <w:rStyle w:val="FootnoteAnchor"/>
          <w:rtl w:val="true"/>
        </w:rPr>
        <w:footnoteReference w:id="717"/>
      </w:r>
      <w:r>
        <w:rPr>
          <w:rFonts w:ascii="Amiri" w:hAnsi="Amiri" w:eastAsia="Amiri" w:cs="Amiri"/>
          <w:color w:val="111111"/>
          <w:sz w:val="28"/>
          <w:sz w:val="28"/>
          <w:szCs w:val="28"/>
          <w:rtl w:val="true"/>
          <w:lang w:bidi="ar-SA"/>
        </w:rPr>
        <w:t>، قد مرّ سالفاً ما فيه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بيع الفضولي وإيقاع فسخه لا يوجبان انفساخه؛ لعدم الدليل عليه،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كون الردّ فسخاً، وكون الفسخ موجباً للانفساخ في الفضولي، لا نسلّم ذلك في المقام؛ فإنّ المفروض أنّ العقد الأوّل وقع لنفسه على أن يكون العوض لنفسه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فالمعاوضة الإنشائية من الموجب الأوّل هي إنشاء التبادل بين المالين على أن تخرج السلعة من ملكه، ويدخل الثمن في ملكه عوضاً، وبعد تصوّر هذا الإنشاء لا يكون للإنشاء والبيع الإنشائي مساس بالمالك حتّى يفسخه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تبادل الإضافة الخاصّة بين المالين وصاحبهما، فحينئذٍ بعد بيع المالك لا تصحّ إجازته؛ لقطع علاقته عن المال، ولا إجازة المالك الجديد؛ لعدم إضافة بينه وبين المال حين العقد</w:t>
      </w:r>
      <w:r>
        <w:rPr>
          <w:rStyle w:val="FootnoteAnchor"/>
          <w:rtl w:val="true"/>
        </w:rPr>
        <w:footnoteReference w:id="719"/>
      </w:r>
      <w:r>
        <w:rPr>
          <w:rFonts w:ascii="Amiri" w:hAnsi="Amiri" w:eastAsia="Amiri" w:cs="Amiri"/>
          <w:color w:val="111111"/>
          <w:sz w:val="28"/>
          <w:sz w:val="28"/>
          <w:szCs w:val="28"/>
          <w:rtl w:val="true"/>
          <w:lang w:bidi="ar-SA"/>
        </w:rPr>
        <w:t xml:space="preserve">، إن رجع إلى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لنفسه، فهو كما ترى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رجع إلى أنّ العقد وقع للمالك الأصلي، فهو خروج عن البحث والفرض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رجع إلى أنّ البيع موجب للردّ،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الواقع على عين شخصية، لا يضرّ تقيّده أو تقيّدها باُمور وقوعه عليها لو تخلّفت القيود، فإذا باع المال الخارجي لنفسه، فأجاز المالك الأصلي صحّ؛ لأنّ العقد واقع على ملكه، والقيد لا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فسخ العقد الواقع على ماله،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يوجب الانفساخ،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تفكيك في الفسخ؛ لكون العقد واحداً لا ينحلّ إلى عقدين، لكن قد عرفت الإشكال في المبنى</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التحقيق ما أفاده الشيخ الأعظم قدّس سرّه من الفرق بين الفسخ وإيجاد الفعل المنافي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بقي شيء، وهو أنّ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المالك لا يكون فسخاً، خصوصاً مع عدم التفاته إلى وقوع عقد الفضولي، إنّما يصحّ في غير المقام؛ أي فيما إذا باع الفضولي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باع الفضولي لنفسه، وجاء إلى صاحب السلعة وحكى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نّي بعت مالك لنفسي، وجئت لأن أشتري منك؛ لاُسلّمه إليه بعد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منه لذلك، فلا شبهة في أنّ هذا الفعل ليس ردّاً، بل تثبيت وتأييد لبيعه، كما هو واضح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المالك لا يكون فسخاً، خصوصاً مع التفاته إلى وقوع عقد الفضولي لنفسه</w:t>
      </w:r>
      <w:r>
        <w:rPr>
          <w:rFonts w:eastAsia="Amiri" w:cs="Amiri" w:ascii="Amiri" w:hAnsi="Amiri"/>
          <w:color w:val="111111"/>
          <w:sz w:val="28"/>
          <w:szCs w:val="28"/>
          <w:rtl w:val="true"/>
          <w:lang w:bidi="ar-SA"/>
        </w:rPr>
        <w:t xml:space="preserve">. </w:t>
      </w:r>
      <w:bookmarkStart w:id="427" w:name="pg15204_140550"/>
    </w:p>
    <w:p>
      <w:pPr>
        <w:pStyle w:val="Heading6"/>
        <w:numPr>
          <w:ilvl w:val="5"/>
          <w:numId w:val="1"/>
        </w:numPr>
        <w:rPr/>
      </w:pPr>
      <w:bookmarkStart w:id="428" w:name="__RefHeading___Toc2758962_2142443653"/>
      <w:bookmarkStart w:id="429" w:name="_Toc157"/>
      <w:bookmarkEnd w:id="427"/>
      <w:bookmarkEnd w:id="428"/>
      <w:r>
        <w:rPr>
          <w:rtl w:val="true"/>
        </w:rPr>
        <w:t>الإشكال السابع</w:t>
      </w:r>
      <w:r>
        <w:rPr>
          <w:rtl w:val="true"/>
        </w:rPr>
        <w:t>:</w:t>
      </w:r>
      <w:bookmarkEnd w:id="429"/>
    </w:p>
    <w:p>
      <w:pPr>
        <w:pStyle w:val="Heading6"/>
        <w:numPr>
          <w:ilvl w:val="5"/>
          <w:numId w:val="1"/>
        </w:numPr>
        <w:rPr/>
      </w:pPr>
      <w:bookmarkStart w:id="430" w:name="__RefHeading___Toc2758964_2142443653"/>
      <w:bookmarkStart w:id="431" w:name="_Toc158"/>
      <w:bookmarkEnd w:id="430"/>
      <w:r>
        <w:rPr>
          <w:rtl w:val="true"/>
        </w:rPr>
        <w:t>إشارة</w:t>
      </w:r>
      <w:bookmarkEnd w:id="431"/>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722"/>
      </w:r>
      <w:r>
        <w:rPr>
          <w:rFonts w:ascii="Amiri" w:hAnsi="Amiri" w:eastAsia="Amiri" w:cs="Amiri"/>
          <w:color w:val="111111"/>
          <w:sz w:val="28"/>
          <w:sz w:val="28"/>
          <w:szCs w:val="28"/>
          <w:rtl w:val="true"/>
          <w:lang w:bidi="ar-SA"/>
        </w:rPr>
        <w:t>، وهي على طوائف</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2758966_2142443653"/>
      <w:bookmarkStart w:id="433" w:name="_Toc159"/>
      <w:bookmarkEnd w:id="432"/>
      <w:r>
        <w:rPr>
          <w:rtl w:val="true"/>
        </w:rPr>
        <w:t>الأخبار الناهية عن بيع ما ليس عندك</w:t>
      </w:r>
      <w:bookmarkEnd w:id="4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طرقنا كرواية حكيم بن حزام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بيع ما ليس عندك</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وقد مرّ بعض الكلام فيه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الاحتمالات فيه كثيرة، مع قطع النظر عن صدر رواية حكيم وسائر القرائن، كاحتمال كون المراد بالموصول الأعيان الخارجية، أو الكلّي، أو الأعمّ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مملوكاً، أو تحت سلطته، أو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وكاحتمال أن يكون النهي للإرشاد إلى البطلان، أو للتحريم، أو التنزيه، أو الإرشاد بالنسبة إلى بعض مفاده، وللتنزيه بالنسبة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لا مانع منه عقلاً، لا لأجل جواز استعمال اللفظ في أكثر من معنىً واحد كما هو التحقيق</w:t>
      </w:r>
      <w:r>
        <w:rPr>
          <w:rStyle w:val="FootnoteAnchor"/>
          <w:rtl w:val="true"/>
        </w:rPr>
        <w:footnoteReference w:id="726"/>
      </w:r>
      <w:r>
        <w:rPr>
          <w:rFonts w:ascii="Amiri" w:hAnsi="Amiri" w:eastAsia="Amiri" w:cs="Amiri"/>
          <w:color w:val="111111"/>
          <w:sz w:val="28"/>
          <w:sz w:val="28"/>
          <w:szCs w:val="28"/>
          <w:rtl w:val="true"/>
          <w:lang w:bidi="ar-SA"/>
        </w:rPr>
        <w:t>، بل لأنّ النهي والأمر لا يستعملان في جميع الموارد إلاّ في المعنى الحقيقي، وهو الزجر والبعث، ولا دلالة لشيء منهما على الحرمة والوجوب كما قرّرنا في محلّه</w:t>
      </w:r>
      <w:r>
        <w:rPr>
          <w:rStyle w:val="FootnoteAnchor"/>
          <w:rtl w:val="true"/>
        </w:rPr>
        <w:footnoteReference w:id="727"/>
      </w:r>
      <w:r>
        <w:rPr>
          <w:rFonts w:ascii="Amiri" w:hAnsi="Amiri" w:eastAsia="Amiri" w:cs="Amiri"/>
          <w:color w:val="111111"/>
          <w:sz w:val="28"/>
          <w:sz w:val="28"/>
          <w:szCs w:val="28"/>
          <w:rtl w:val="true"/>
          <w:lang w:bidi="ar-SA"/>
        </w:rPr>
        <w:t>، وإنّما يستفاد الإرشاد وغيره منهما من المناسبات بين الموضوعات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يختلفان في استعمال هيئة الأمر في البعث الذي هو معناها حقيقة، وإنّما يستفاد عرفاً من الأوّل الشرطية؛ بمناسبة مغروسة في ذهنه، ومن الثاني الوجوب؛ لكون الوضوء شيئاً اُمر به لغيره، والصلاة اُمر بها 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 الإرشاد إلى الشرطية من الأوّل، والوجوب من الثاني، ليس لأجل الدلالة اللغوية، أو استعمال اللفظ في الإرشاد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والأشباه والنظائر، فاستعمال اللفظ في جميع الموارد استعمال فيما وضع 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معانيها الحقيقية، ولولا القرائن الخارجية، لكان المستفاد منه بطلان بيع ما ليس عندك، كلّياً كان المبيع، </w:t>
      </w:r>
    </w:p>
    <w:p>
      <w:pPr>
        <w:pStyle w:val="BookText"/>
        <w:rPr/>
      </w:pPr>
      <w:r>
        <w:rPr>
          <w:rFonts w:ascii="Amiri" w:hAnsi="Amiri" w:eastAsia="Amiri" w:cs="Amiri"/>
          <w:color w:val="111111"/>
          <w:sz w:val="28"/>
          <w:sz w:val="28"/>
          <w:szCs w:val="28"/>
          <w:rtl w:val="true"/>
          <w:lang w:bidi="ar-SA"/>
        </w:rPr>
        <w:t>أم جزئياً؛ لاستفادة ذلك من تعلّق النهي بالبيع الذي يتوقّع منه السببية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استعمل في الزجر، وبتلك المناسبة يستفاد منه الإرشاد إلى البطلان بحسب الجدّ، فلو قامت قرينة على عدم الإرشاد بالنسبة إلى الكلّيات، يقيّد الإطلاق إن لم يكن محذور التقييد البشع؛ لندرة بيع الأعيان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فرضت الندرة والمحذور في التقييد، يمكن حمل النهي في غير الأعيان على التنزيه، لا لاستعماله فيه وفي الإرشاد، بل لاستفادتهما بالمناسبة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المتكلّم المعنى المستعمل فيه كناية عن الإرشاد، ولا يجمع بين المعنى الكنائي والحقيقي، غير وجيه؛ فإنّ الإرشاد يستفاد من تعلّق النهي بالسبب، ومعه لا معنى لجعل المعنى كناية أو آلة، أو ما شئت فسمّه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فهم لازم المعنى؛ فإنّ اللازم مستفاد من الكلام، سواء أراد المتكلّم إفادته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أيضاً يستفاد الإرشاد من النهي، لكن لو نصب قرينة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متّبعة، فالتفرقة بين الموردين من الإطلاق إنّما هي في الجدّ لا الاستعمال، فلا مانع منها عقلاً لو فرض عدم صحّة استعمال اللفظ في معنيين، أو في المعنى الكنائي والحقيقي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الدلالة على المقصود إنّما هي على بعض احتمالاته، لا جميعها كما هو واضح، هذا بحسب مقام الاحتمال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مقام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صدر رواية حكيم</w:t>
      </w:r>
      <w:r>
        <w:rPr>
          <w:rStyle w:val="FootnoteAnchor"/>
          <w:rtl w:val="true"/>
        </w:rPr>
        <w:footnoteReference w:id="729"/>
      </w:r>
      <w:r>
        <w:rPr>
          <w:rFonts w:ascii="IRNazanin" w:hAnsi="IRNazanin" w:eastAsia="IRNazanin"/>
          <w:color w:val="111111"/>
          <w:sz w:val="28"/>
          <w:sz w:val="28"/>
          <w:szCs w:val="28"/>
          <w:rtl w:val="true"/>
          <w:lang w:bidi="fa-IR"/>
        </w:rPr>
        <w:t xml:space="preserve">وسائر </w:t>
      </w:r>
    </w:p>
    <w:p>
      <w:pPr>
        <w:pStyle w:val="BookText"/>
        <w:rPr/>
      </w:pPr>
      <w:r>
        <w:rPr>
          <w:rFonts w:ascii="Amiri" w:hAnsi="Amiri" w:eastAsia="Amiri" w:cs="Amiri"/>
          <w:color w:val="111111"/>
          <w:sz w:val="28"/>
          <w:sz w:val="28"/>
          <w:szCs w:val="28"/>
          <w:rtl w:val="true"/>
          <w:lang w:bidi="ar-SA"/>
        </w:rPr>
        <w:t xml:space="preserve">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النهي عن بيع الأعيان؛ لأنّ الظاهر أنّ ما تعلّق به النهي هو بيع ما لم يكن عنده، وفي بيع الكلّيات يتعلّق البيع بالكلّي، ولا يتّصف ذلك بكونه عنده أو ليس عنده، بل مصاديقه الخارجية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منّاً من الحنطة، ولم يكن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مسامحة؛ فإنّ المصداق لم يتعلّق به البيع، وما لم يكن عنده هو المصداق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تحت يده، وإرادة عدم المملوكية منه تحتاج إلى تأوّل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النهي عن بيع مملوك خارجي لم يكن تحت سلطته، فيدلّ على اشتراط القدرة على التسليم عند البيع أو عند وقت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الشائع في الروايات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الكلّيات غير المملوكة،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والثامن من أحكام العقود</w:t>
      </w:r>
      <w:r>
        <w:rPr>
          <w:rStyle w:val="FootnoteAnchor"/>
          <w:rtl w:val="true"/>
        </w:rPr>
        <w:footnoteReference w:id="730"/>
      </w:r>
      <w:r>
        <w:rPr>
          <w:rFonts w:ascii="Amiri" w:hAnsi="Amiri" w:eastAsia="Amiri" w:cs="Amiri"/>
          <w:color w:val="111111"/>
          <w:sz w:val="28"/>
          <w:sz w:val="28"/>
          <w:szCs w:val="28"/>
          <w:rtl w:val="true"/>
          <w:lang w:bidi="ar-SA"/>
        </w:rPr>
        <w:t>، يظهر منها أنّ الخلاف بين العامّة والخاصّة في بيع الكلّي حالاًّ إذا لم يكن عنده، كان معهوداً، ومعه لا يبقى اعتماد على ذلك الظاهر الابتدائي، خصوصاً مع عدم معهودية بيع مال الغير لنفسه، ثمّ الاشتراء كما هو مفروض المقام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تلك الروايات الضعيفة إمّا مختلقة، أو محمولة على التقيّة على فرض الصدور</w:t>
      </w:r>
      <w:r>
        <w:rPr>
          <w:rFonts w:eastAsia="Amiri" w:cs="Amiri" w:ascii="Amiri" w:hAnsi="Amiri"/>
          <w:color w:val="111111"/>
          <w:sz w:val="28"/>
          <w:szCs w:val="28"/>
          <w:rtl w:val="true"/>
          <w:lang w:bidi="ar-SA"/>
        </w:rPr>
        <w:t xml:space="preserve">. </w:t>
      </w:r>
      <w:bookmarkStart w:id="434" w:name="pg15204_140554"/>
    </w:p>
    <w:p>
      <w:pPr>
        <w:pStyle w:val="Heading6"/>
        <w:numPr>
          <w:ilvl w:val="5"/>
          <w:numId w:val="1"/>
        </w:numPr>
        <w:rPr/>
      </w:pPr>
      <w:bookmarkStart w:id="435" w:name="__RefHeading___Toc2758968_2142443653"/>
      <w:bookmarkStart w:id="436" w:name="_Toc160"/>
      <w:bookmarkEnd w:id="434"/>
      <w:bookmarkEnd w:id="435"/>
      <w:r>
        <w:rPr>
          <w:rtl w:val="true"/>
        </w:rPr>
        <w:t xml:space="preserve">الإشكال بروايات </w:t>
      </w:r>
      <w:r>
        <w:rPr>
          <w:rtl w:val="true"/>
        </w:rPr>
        <w:t>«</w:t>
      </w:r>
      <w:r>
        <w:rPr>
          <w:rtl w:val="true"/>
        </w:rPr>
        <w:t>لا بيع إلاّ فيما تملك</w:t>
      </w:r>
      <w:r>
        <w:rPr>
          <w:rtl w:val="true"/>
        </w:rPr>
        <w:t>»</w:t>
      </w:r>
      <w:bookmarkEnd w:id="43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تملك</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البيع وشروطه،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فيما تملك، ولا عتق إلاّ فيما تملك، ولا بيع إلاّ فيما تملك</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وقد تقدّم الكلام فيه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عرفت من أنّ نفي البيع من قبيل الحقائق الادّعائية ولو فرض أنّ الادّعاء بلحاظ جميع الآثار، فيمكن أن يدّعى أنّ بيع الفضولي خارج عن مصبّها إذا باع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بيع الوكيل والمأذون خارجان، مع كون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منشئ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المالك؛ وذلك لأنّ البيع للمالك، فإذا أجاز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فيما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المتفاهم منها أنّ المنفيّ هو بيع غير المالك لنفسه، كبيع السارق والغاصب، ويدخل فيه ما نحن فيه؛ فإنّ المفروض أنّ البيع لنفسه برجاء الاشتراء والتسليم، لا لصاحبه، فيشمله النفي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باع الغاصب والسارق وغيرهما المبيع لنفسه، كان داخلاً في النفي، فإذا ملك فأجاز لا يصحّ؛ لعدم بيع بحسب الادّعاء حتّى تلحقه الإجازة، </w:t>
      </w:r>
      <w:bookmarkStart w:id="437" w:name="pg15204_140555"/>
    </w:p>
    <w:p>
      <w:pPr>
        <w:pStyle w:val="BookText"/>
        <w:rPr/>
      </w:pPr>
      <w:bookmarkEnd w:id="437"/>
      <w:r>
        <w:rPr>
          <w:rFonts w:ascii="Amiri" w:hAnsi="Amiri" w:eastAsia="Amiri" w:cs="Amiri"/>
          <w:color w:val="111111"/>
          <w:sz w:val="28"/>
          <w:sz w:val="28"/>
          <w:szCs w:val="28"/>
          <w:rtl w:val="true"/>
          <w:lang w:bidi="ar-SA"/>
        </w:rPr>
        <w:t>ففي حال صدور البيع نفيت ماهيته ادّعاءً، وفي حال التملّك لا يكون بيع وعقد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وهي كثيرة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758970_2142443653"/>
      <w:bookmarkStart w:id="439" w:name="_Toc161"/>
      <w:bookmarkEnd w:id="438"/>
      <w:r>
        <w:rPr>
          <w:rtl w:val="true"/>
        </w:rPr>
        <w:t>الإشكال برواية خالد بن الحجّاج</w:t>
      </w:r>
      <w:bookmarkEnd w:id="43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هذا الثوب واُربحك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شاء ترك، وإن شاء 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كناية عن عدم تحقّق بيع ملزم عرفاً، وفي مقابله ما إذا سلب الاختيار منه، والمراد به تحقّق البيع الذي هو ملزم عرفاً، فتدلّ على أنّ بيع ما ليس عنده باطل</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هو الأمر باشتراء ثوب خاصّ وإعطاء ربح، وفيه احتمالات، كان الاستفصال لأجلها، كاحتمال أنّ الأمر بالاشتراء للآمر، وإعطاء الثمن من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بالاشتراء بثمن كلّي على الآمر، وأداء دينه بأمره قرضاً </w:t>
      </w:r>
    </w:p>
    <w:p>
      <w:pPr>
        <w:pStyle w:val="BookText"/>
        <w:rPr/>
      </w:pPr>
      <w:r>
        <w:rPr>
          <w:rFonts w:ascii="Amiri" w:hAnsi="Amiri" w:eastAsia="Amiri" w:cs="Amiri"/>
          <w:color w:val="111111"/>
          <w:sz w:val="28"/>
          <w:sz w:val="28"/>
          <w:szCs w:val="28"/>
          <w:rtl w:val="true"/>
          <w:lang w:bidi="ar-SA"/>
        </w:rPr>
        <w:t>عليه، أو بالاشتراء بثمن شخصي بعد الاقتراض له بواسطة أمره، والاحتمال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وكاحتمال أنّ الأمر بالاشتراء للدلاّل ليشتري منه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على الاحتمال الأوّل يحرم الربح؛ لأنّه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الأخير يكون البيع الثاني بيع مرابحة، وهو صحيح، والربح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استفصال عن أنّ البيع كان للآمر بأمره، فحينئذٍ ليس له الاختيار في الترك والأخذ، بل لا بدّ له من الأخذ، أو كان للدلاّل، فللآمر أن يأخذ ويترك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ذلك؛ أي كان البيع للدلاّل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وهو أنّ البيع للدلاّل، لكن لمّا أمره بالاشتراء ووعده بالربح، ألزمه الدلاّل بالاشتراء منه وإعطاء الربح، فكان البيع مكرهاً عليه باطلاً، وحرم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المتقدّم الذي يكون به محطّ الاستدلال، ففي غاية البعد والسقوط؛ لعدم شاهد له فيها، إلاّ أن يراد بالاشتراء البيع، وبالترك والأخذ الردّ والقبول، ولمّا كان ذلك في الأصيل، يكون كنايةً عن بطلان البيع رأساً ودليلاً على حلّية الربح في المعاملة بعد التملّك، وهو كما ترى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ذلك، لكن دلالتها في هذا الاحتمال على بطلان البيع قبل التملّك، تبتني على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اُربحك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الإرباح في البيع منه </w:t>
      </w:r>
    </w:p>
    <w:p>
      <w:pPr>
        <w:pStyle w:val="BookText"/>
        <w:rPr/>
      </w:pPr>
      <w:r>
        <w:rPr>
          <w:rFonts w:ascii="Amiri" w:hAnsi="Amiri" w:eastAsia="Amiri" w:cs="Amiri"/>
          <w:color w:val="111111"/>
          <w:sz w:val="28"/>
          <w:sz w:val="28"/>
          <w:szCs w:val="28"/>
          <w:rtl w:val="true"/>
          <w:lang w:bidi="ar-SA"/>
        </w:rPr>
        <w:t>بأكثر من قيمته السوقية؛ لتكون الزيادة ربحاً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 الدلاّل الثوب الخاصّ بعشرين، مع كون قيمته في السوق عشرة، فاشترى الدلاّل بعشرة من كيسه فسلّم إليه، فأخذ العشرين بعد وجدانه، ففي هذا الفرض لو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الربح، لم يكن لها وجه إلاّ بطلان البيع الأوّل، وعدم صحّة لحوق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الاحتمال بعيد؛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الإرباح بعد اشتراء الدلاّل، وعليه تكون حرمة الربح لأجل الربا، لا لبطلان البيع الأوّل، فلو اشترى من الدلاّل ثوباً معيّناً بعشرة، واشترى من السوق بعشرة من كيسه، ثمّ ردّ إليه وطالب بالربح، كان الربح لأجل تأخير ثمنه، وهو رباً، فالحكم بحرمة الربح التي هي محطّ السؤال لا يلازم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البطلان تبتني على خلاف ظاهر في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مرّ في المعاطاة شطر حول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بحسب ظاهر الرواية على ما تقدّم، أنّ البيع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الدلاّل ما اشترى لنفسه من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للربح؛ فإنّه بيع مرابحة، أي أنّ البيع يوجب الربح، لا تأخير الثمن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اندراج المقام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 </w:t>
      </w:r>
      <w:bookmarkStart w:id="440" w:name="pg15204_140558"/>
    </w:p>
    <w:p>
      <w:pPr>
        <w:pStyle w:val="BookText"/>
        <w:rPr/>
      </w:pPr>
      <w:bookmarkEnd w:id="440"/>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التوجيه بما ذكرنا سابقاً، ولا بما أفاده الشيخ الأعظم قدّس سرّه </w:t>
      </w:r>
      <w:r>
        <w:rPr>
          <w:rStyle w:val="FootnoteAnchor"/>
          <w:rtl w:val="true"/>
        </w:rPr>
        <w:footnoteReference w:id="737"/>
      </w:r>
      <w:r>
        <w:rPr>
          <w:rFonts w:ascii="Amiri" w:hAnsi="Amiri" w:eastAsia="Amiri" w:cs="Amiri"/>
          <w:color w:val="111111"/>
          <w:sz w:val="28"/>
          <w:sz w:val="28"/>
          <w:szCs w:val="28"/>
          <w:rtl w:val="true"/>
          <w:lang w:bidi="ar-SA"/>
        </w:rPr>
        <w:t>ممّا هو بعيد بجميع احتمالاته،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صحيحة معاوية بن عمّار</w:t>
      </w:r>
      <w:r>
        <w:rPr>
          <w:rStyle w:val="FootnoteAnchor"/>
          <w:rtl w:val="true"/>
        </w:rPr>
        <w:footnoteReference w:id="738"/>
      </w:r>
      <w:r>
        <w:rPr>
          <w:rFonts w:ascii="Amiri" w:hAnsi="Amiri" w:eastAsia="Amiri" w:cs="Amiri"/>
          <w:color w:val="111111"/>
          <w:sz w:val="28"/>
          <w:sz w:val="28"/>
          <w:szCs w:val="28"/>
          <w:rtl w:val="true"/>
          <w:lang w:bidi="ar-SA"/>
        </w:rPr>
        <w:t>أيضاً كرواية خالد بن الحجّاج، وأنّ الاستفصال فيها لأجل العلم بأنّه اشترى المتاع للآمر، فيكون الربح حراماً، أم اشتراه لنفسه، فيكون تحصيل الربح لا محالة ببيع المرابحة، فيكون حلالاً، ولعلّها أظهر فيما ذكر من رواية خالد، فراجعها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2758972_2142443653"/>
      <w:bookmarkStart w:id="442" w:name="_Toc162"/>
      <w:bookmarkEnd w:id="441"/>
      <w:r>
        <w:rPr>
          <w:rtl w:val="true"/>
        </w:rPr>
        <w:t>الإشكال بصحيحة يحيى بن الحجّاج</w:t>
      </w:r>
      <w:bookmarkEnd w:id="44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يحيى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هذا الثوب وهذه الدابّة وبعنيها، اُربحك فيها كذا وكذا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اشترها ولا تواجبه البيع قبل أن تستوجبها أو تشتريها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ببيع ما لا يملكه إرشاد إلى البطلان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السؤال إنّما هو عن الربح وحلّيته، لا عن اشتراء شيء وبيعه؛ فإنّ مجرّد الأمر باشتراء شيء من شخص، ثمّ بيعه من الآمر، لا شبهة فيه، ولا يوجب السؤال، فالسؤال عن حلّية الربح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الاشتراء بزيادة لأجل تأخير ثمنه، ولعلّ ذلك كالربا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الجواب والنهي عن البيع قبل تملّكه مناسب لسؤاله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فظاهر؛ فإنّ البيع الثاني بيع مرابحة،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البيع؛ فلأنّ البيع موجب لتملّك الثمن ولو بعد الاشتراء، أو تسليم المبيع الذي هو إجازة فعلية، فحينئذٍ يكون الربح لأجل تأخير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الدابّة الخاصّة بمائة، ولم يأخذ منه، واشتراها من صاحبها بثمنه، وردّه إلى المشتري الأوّل فطالب بالربح، كان الربح لأجل تأخير ثمنه الذي اشترى به الدابّة، وهو محرّم؛ لكونه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ادّعى أحد أنّ الرواية دالّة على صحّة البيع لم يكن ببعيد، ولا أقلّ من عدم الدلالة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ليس للإرشاد إلى البطلان، بل للإرشاد إلى التخلّص عن الربا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أنّ البيع الأوّل كان بيع مرابحة، فجعلا الربح المنظور، فيه؛ بأن باع منه شيئاً بعشرين نسيئة، مع كون قيمته عشرة، ثمّ اشترى ذلك الشيء </w:t>
      </w:r>
      <w:bookmarkStart w:id="443" w:name="pg15204_140560"/>
    </w:p>
    <w:p>
      <w:pPr>
        <w:pStyle w:val="BookText"/>
        <w:rPr/>
      </w:pPr>
      <w:bookmarkEnd w:id="443"/>
      <w:r>
        <w:rPr>
          <w:rFonts w:ascii="Amiri" w:hAnsi="Amiri" w:eastAsia="Amiri" w:cs="Amiri"/>
          <w:color w:val="111111"/>
          <w:sz w:val="28"/>
          <w:sz w:val="28"/>
          <w:szCs w:val="28"/>
          <w:rtl w:val="true"/>
          <w:lang w:bidi="ar-SA"/>
        </w:rPr>
        <w:t>بعشرة وسلّمها إليه، تخلّص عن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السؤال أنّ الربح بعد الشراء، فيكون النهي للإرشاد إلى التخلّص</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2758974_2142443653"/>
      <w:bookmarkStart w:id="445" w:name="_Toc163"/>
      <w:bookmarkEnd w:id="444"/>
      <w:r>
        <w:rPr>
          <w:rtl w:val="true"/>
        </w:rPr>
        <w:t>الإشكال بروايات ظاهرة في بيع الكلّي</w:t>
      </w:r>
      <w:bookmarkEnd w:id="44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اُخر كلّها ظاهرة في بيع الكلّي، أو أعمّ منه ومن الشخصي، كصحيحة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رجلاً يشتري له متاعاً فيشتريه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إنّما البيع بعد ما يشتريه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صحيحة محمّد بن مسلم</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العقود،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معاوية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السابقة، ليست الشبهة فيها في نفس البيع والشراء، بل في الربح الآتي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وما هي بمضمونها فواضح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منصور فكذلك أيضاً؛ ضرورة أنّ الأمر بأن يشتري له ليشتري منه، لا يكون إلاّ مع قرار الربح، فالدلاّل لا يعمل إلاّ للربح، فالسؤال عنه، </w:t>
      </w:r>
      <w:bookmarkStart w:id="446" w:name="pg15204_140561"/>
    </w:p>
    <w:p>
      <w:pPr>
        <w:pStyle w:val="BookText"/>
        <w:rPr/>
      </w:pPr>
      <w:bookmarkEnd w:id="446"/>
      <w:r>
        <w:rPr>
          <w:rFonts w:ascii="Amiri" w:hAnsi="Amiri" w:eastAsia="Amiri" w:cs="Amiri"/>
          <w:color w:val="111111"/>
          <w:sz w:val="28"/>
          <w:sz w:val="28"/>
          <w:szCs w:val="28"/>
          <w:rtl w:val="true"/>
          <w:lang w:bidi="ar-SA"/>
        </w:rPr>
        <w:t>ولم يذكر لمعلومية ذلك بحسب 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تلك الروايات على بيع الأعيان الشخصية</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كحملها على التنزيه</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الصواب، بل النهي للإرشاد إلى التخلّص من الربا، ولا فرق في ذلك بين بيع الأعيان أو الكلّيات،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بطلان بيع ما لا يملكه لولا الدلالة على الصحّة</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2758976_2142443653"/>
      <w:bookmarkStart w:id="448" w:name="_Toc164"/>
      <w:bookmarkEnd w:id="447"/>
      <w:r>
        <w:rPr>
          <w:rtl w:val="true"/>
        </w:rPr>
        <w:t>المسائل التي لا ينبغي الخلط بينها</w:t>
      </w:r>
      <w:bookmarkEnd w:id="448"/>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بيع ما ليس عنده، وفيها روايات عامّة قد مرّت</w:t>
      </w:r>
      <w:r>
        <w:rPr>
          <w:rStyle w:val="FootnoteAnchor"/>
          <w:rtl w:val="true"/>
        </w:rPr>
        <w:footnoteReference w:id="745"/>
      </w:r>
      <w:r>
        <w:rPr>
          <w:rFonts w:ascii="Amiri" w:hAnsi="Amiri" w:eastAsia="Amiri" w:cs="Amiri"/>
          <w:color w:val="111111"/>
          <w:sz w:val="28"/>
          <w:sz w:val="28"/>
          <w:szCs w:val="28"/>
          <w:rtl w:val="true"/>
          <w:lang w:bidi="ar-SA"/>
        </w:rPr>
        <w:t>، وروايات خاصّة، كصحيحة عبدالرحمان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الطعام من الرجل ليس عنده، فيشتري منه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يقولون في 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إلى أجل، فإذا كان إلى غير أجل وليس عند صاحبه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يكن إلى أجل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يشتري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وإلى أجل</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التجارة، أبواب أحكام العقود،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كانت مورد خلاف بين العامّة والخاصّة</w:t>
      </w:r>
      <w:r>
        <w:rPr>
          <w:rStyle w:val="FootnoteAnchor"/>
          <w:rtl w:val="true"/>
        </w:rPr>
        <w:footnoteReference w:id="747"/>
      </w:r>
      <w:r>
        <w:rPr>
          <w:rFonts w:ascii="Amiri" w:hAnsi="Amiri" w:eastAsia="Amiri" w:cs="Amiri"/>
          <w:color w:val="111111"/>
          <w:sz w:val="28"/>
          <w:sz w:val="28"/>
          <w:szCs w:val="28"/>
          <w:rtl w:val="true"/>
          <w:lang w:bidi="ar-SA"/>
        </w:rPr>
        <w:t xml:space="preserve">، ولولا بعض القرائن في الرواية التي توجب ظهورها في الكلّيات، لم استبعد استفادة صحّة بيع الأعيان الشخصية التي ليست عنده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يشتري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بمنزلة كبرى كلّية ألقاها لإفادة صحّة بيع ما ليس عنده، وإطلاقه يقتضي التعميم في الكلّيات والأعيان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حالاًّ وإلى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التعميم من ذيل صحيحة عبدالرحمان بن الحجّاج،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كنت تجده في الوقت الذي بعته فيه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المساومة على الربح والأجل، والأمر بالاشتراء بثمنه؛ ليشتري منه </w:t>
      </w:r>
      <w:bookmarkStart w:id="449" w:name="pg15204_140563"/>
    </w:p>
    <w:p>
      <w:pPr>
        <w:pStyle w:val="BookText"/>
        <w:rPr/>
      </w:pPr>
      <w:bookmarkEnd w:id="449"/>
      <w:r>
        <w:rPr>
          <w:rFonts w:ascii="Amiri" w:hAnsi="Amiri" w:eastAsia="Amiri" w:cs="Amiri"/>
          <w:color w:val="111111"/>
          <w:sz w:val="28"/>
          <w:sz w:val="28"/>
          <w:szCs w:val="28"/>
          <w:rtl w:val="true"/>
          <w:lang w:bidi="ar-SA"/>
        </w:rPr>
        <w:t xml:space="preserve">بأكثر إلى أجل، وفيها روايات تقدّم بعضها </w:t>
      </w:r>
      <w:r>
        <w:rPr>
          <w:rStyle w:val="FootnoteAnchor"/>
          <w:rtl w:val="true"/>
        </w:rPr>
        <w:footnoteReference w:id="749"/>
      </w:r>
      <w:r>
        <w:rPr>
          <w:rFonts w:ascii="Amiri" w:hAnsi="Amiri" w:eastAsia="Amiri" w:cs="Amiri"/>
          <w:color w:val="111111"/>
          <w:sz w:val="28"/>
          <w:sz w:val="28"/>
          <w:szCs w:val="28"/>
          <w:rtl w:val="true"/>
          <w:lang w:bidi="ar-SA"/>
        </w:rPr>
        <w:t xml:space="preserve">، وكان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متاع كلّي أو جزئي، ولمّا لم يكن عنده الثمن، أمر غيره ليشتري له ويبيع مرابحة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تحصيل نقد بربح، يحتال فيه ببيع شيء بثمن نقداً، وشرائه نسيئة بأكثر منه، وفيها أيضاً روايات دالّة على الجواز إذا لم يشترط ذلك، وفي بعض الروايات المنع عنه؛ للزوم الربا، كرواية يونس الشيباني</w:t>
      </w:r>
      <w:r>
        <w:rPr>
          <w:rStyle w:val="FootnoteAnchor"/>
          <w:rtl w:val="true"/>
        </w:rPr>
        <w:footnoteReference w:id="750"/>
      </w:r>
      <w:r>
        <w:rPr>
          <w:rFonts w:ascii="Amiri" w:hAnsi="Amiri" w:eastAsia="Amiri" w:cs="Amiri"/>
          <w:color w:val="111111"/>
          <w:sz w:val="28"/>
          <w:sz w:val="28"/>
          <w:szCs w:val="28"/>
          <w:rtl w:val="true"/>
          <w:lang w:bidi="ar-SA"/>
        </w:rPr>
        <w:t>، ولا ينبغي الخلط بينها</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2758978_2142443653"/>
      <w:bookmarkStart w:id="451" w:name="_Toc165"/>
      <w:bookmarkEnd w:id="450"/>
      <w:r>
        <w:rPr>
          <w:rtl w:val="true"/>
        </w:rPr>
        <w:t>تأييد الشيخ قدّس سرّه البطلان برواية الحسن بن زياد</w:t>
      </w:r>
      <w:bookmarkEnd w:id="451"/>
    </w:p>
    <w:p>
      <w:pPr>
        <w:pStyle w:val="BookText"/>
        <w:rPr/>
      </w:pPr>
      <w:r>
        <w:rPr>
          <w:rFonts w:ascii="Amiri" w:hAnsi="Amiri" w:eastAsia="Amiri" w:cs="Amiri"/>
          <w:color w:val="111111"/>
          <w:sz w:val="28"/>
          <w:sz w:val="28"/>
          <w:szCs w:val="28"/>
          <w:rtl w:val="true"/>
          <w:lang w:bidi="ar-SA"/>
        </w:rPr>
        <w:t>ثمّ إنّ الشيخ الأعظم قدّس سرّه، أيّد المنع عن بيع ما لا يملكه برواية الحسن بن زياد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مملوكاً، فتزوّجت بغير إذن مولاي، ثمّ أعتقني اللّه بعد، فاُجدّد النكاح؟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أنّك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وسكتوا، ولم يقولوا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إقرار منهم، أنت على نكاحك</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أنّها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علّة البقاء بعد العتق على ما فعله </w:t>
      </w:r>
      <w:bookmarkStart w:id="452" w:name="pg15204_140564"/>
    </w:p>
    <w:p>
      <w:pPr>
        <w:pStyle w:val="BookText"/>
        <w:rPr/>
      </w:pPr>
      <w:bookmarkEnd w:id="452"/>
      <w:r>
        <w:rPr>
          <w:rFonts w:ascii="Amiri" w:hAnsi="Amiri" w:eastAsia="Amiri" w:cs="Amiri"/>
          <w:color w:val="111111"/>
          <w:sz w:val="28"/>
          <w:sz w:val="28"/>
          <w:szCs w:val="28"/>
          <w:rtl w:val="true"/>
          <w:lang w:bidi="ar-SA"/>
        </w:rPr>
        <w:t>بغير إذن مولاه، هو إقراره المستفاد من سكوته، فلو كان صيرورته حرّاً مالكاً لنفسه مسوّغة للبقاء مع إجازته أو بدونها، لم يحتج إلى الاستفصال عن أنّ المولى سكت أم لا؛ للزوم العقد على كلّ تقدير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الاستفصال يمكن أن يكون لرفع احتمال ردّ الموالي العقد، ويمكن أن يكون لأجل أنّه لو لم يعلموا به صحّ العقد من حين العتق أو الإجازة، بناءً على النقل لا الكشف، بخلاف ما لو علموا وسكتوا، فلا يصحّ التأييد بها</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758980_2142443653"/>
      <w:bookmarkStart w:id="454" w:name="_Toc166"/>
      <w:bookmarkEnd w:id="453"/>
      <w:r>
        <w:rPr>
          <w:rtl w:val="true"/>
        </w:rPr>
        <w:t>تأييد الصحّة بصحيحة معاوية بن وهب</w:t>
      </w:r>
      <w:bookmarkEnd w:id="454"/>
    </w:p>
    <w:p>
      <w:pPr>
        <w:pStyle w:val="BookText"/>
        <w:rPr/>
      </w:pPr>
      <w:r>
        <w:rPr>
          <w:rFonts w:ascii="Amiri" w:hAnsi="Amiri" w:eastAsia="Amiri" w:cs="Amiri"/>
          <w:color w:val="111111"/>
          <w:sz w:val="28"/>
          <w:sz w:val="28"/>
          <w:szCs w:val="28"/>
          <w:rtl w:val="true"/>
          <w:lang w:bidi="ar-SA"/>
        </w:rPr>
        <w:t xml:space="preserve">بل يمكن تأييد الصحّة بذيل صحيحة معاوية بن وهب، الواردة في ذلك الباب،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يحدث في ماله إلاّ الأكلة من الطعام، ونكاحه فاسد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سيّده علم بنكاحه، ولم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حين يعلم ذلك فقد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المكاتب عتق، أفترى يجدّد نكاحه، أم يمضي على نكاحه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المكاتب عتق، سؤال عن أنّ المكاتب إذا تزوّج بغير إذن سيّده ثمّ عتق،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بالمضيّ على نكاحه، فيدلّ على أمرين</w:t>
      </w:r>
      <w:r>
        <w:rPr>
          <w:rFonts w:eastAsia="Amiri" w:cs="Amiri" w:ascii="Amiri" w:hAnsi="Amiri"/>
          <w:color w:val="111111"/>
          <w:sz w:val="28"/>
          <w:szCs w:val="28"/>
          <w:rtl w:val="true"/>
          <w:lang w:bidi="ar-SA"/>
        </w:rPr>
        <w:t xml:space="preserve">: </w:t>
      </w:r>
      <w:bookmarkStart w:id="455" w:name="pg15204_140565"/>
    </w:p>
    <w:p>
      <w:pPr>
        <w:pStyle w:val="BookText"/>
        <w:rPr/>
      </w:pPr>
      <w:bookmarkEnd w:id="455"/>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نكاحه بعد العتق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السؤال عن أنّ المكاتب الذي أقرّ سيّده نكاحه، إذا عتق فهل يجدّد النكاح؟ بعيد غايته؛ لعدم احتمال أنّ العتق أحد أسباب انفصال الزوجية كالطلاق</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758982_2142443653"/>
      <w:bookmarkStart w:id="457" w:name="_Toc167"/>
      <w:bookmarkEnd w:id="456"/>
      <w:r>
        <w:rPr>
          <w:rtl w:val="true"/>
        </w:rPr>
        <w:t>بيان مورد الروايات المانعة</w:t>
      </w:r>
      <w:bookmarkEnd w:id="457"/>
    </w:p>
    <w:p>
      <w:pPr>
        <w:pStyle w:val="BookText"/>
        <w:rPr/>
      </w:pPr>
      <w:r>
        <w:rPr>
          <w:rFonts w:ascii="Amiri" w:hAnsi="Amiri" w:eastAsia="Amiri" w:cs="Amiri"/>
          <w:color w:val="111111"/>
          <w:sz w:val="28"/>
          <w:sz w:val="28"/>
          <w:szCs w:val="28"/>
          <w:rtl w:val="true"/>
          <w:lang w:bidi="ar-SA"/>
        </w:rPr>
        <w:t xml:space="preserve">ثمّ إنّه على فرض دلالة الروايات على المنع، فهل يجب الاقتصار على موردها، وأنّ موردها ما لو باع البائع لنفسه، واشترى المشتري غير مترقّب لإجازة المالك، ولا لإجازة البائع إذا صار مالكاً، كما أفاده الشيخ قدّس سرّه </w:t>
      </w:r>
      <w:r>
        <w:rPr>
          <w:rStyle w:val="FootnoteAnchor"/>
          <w:rtl w:val="true"/>
        </w:rPr>
        <w:footnoteReference w:id="754"/>
      </w:r>
      <w:r>
        <w:rPr>
          <w:rFonts w:ascii="Amiri" w:hAnsi="Amiri" w:eastAsia="Amiri" w:cs="Amiri"/>
          <w:color w:val="111111"/>
          <w:sz w:val="28"/>
          <w:sz w:val="28"/>
          <w:szCs w:val="28"/>
          <w:rtl w:val="true"/>
          <w:lang w:bidi="ar-SA"/>
        </w:rPr>
        <w:t xml:space="preserve">، مستفيداً من كلام العلاّمة قدّس سرّه </w:t>
      </w:r>
      <w:r>
        <w:rPr>
          <w:rStyle w:val="FootnoteAnchor"/>
          <w:rtl w:val="true"/>
        </w:rPr>
        <w:footnoteReference w:id="7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مورد الروايات هو ما إذا ترقّب المشتري إجازة البائع إذا ملك، فإنّه بعد وضوح الواقعة عند 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يبيعه الدابّة الخاصّة التي لغيره؛ ليشتريها من صاحبها ويسلّمها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المشتري مترقّباً لاشتراء البائع وتسليمها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هذا التسليم إجازة عملية للبائع، كما لا شبهة في أنّ البائع والمشتري عالمان بأنّ الدابّة لم تصر ملكاً للمشتري بمجرّد العقد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تكون ملكاً له بالشراء، لكن مورد الرواية هو الترقّب للتسليم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الظاهر إلغاء الخصوصية عن المورد عرفاً؛ فإنّ العرف يرى أنّ النهي عن مال الغير الذي لا يملكه، إنّما هو لأجل أنّ غير المالك لا يجوز له بيع ماله لنفسه، من غير خصوصية للبائع، فكما لا يصحّ بيع مال الغير لنفسه، لا يصحّ بيع ماله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لثالث فأجاز بعد تملّكه، يفهم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لمالكه فلا شبهة في خروجه عن الروايات، فهل تصحّ إجازة البائع إذا ملكه؟</w:t>
      </w:r>
    </w:p>
    <w:p>
      <w:pPr>
        <w:pStyle w:val="BookText"/>
        <w:rPr/>
      </w:pPr>
      <w:r>
        <w:rPr>
          <w:rFonts w:ascii="Amiri" w:hAnsi="Amiri" w:eastAsia="Amiri" w:cs="Amiri"/>
          <w:color w:val="111111"/>
          <w:sz w:val="28"/>
          <w:sz w:val="28"/>
          <w:szCs w:val="28"/>
          <w:rtl w:val="true"/>
          <w:lang w:bidi="ar-SA"/>
        </w:rPr>
        <w:t>الظاهر عدم الصحّة؛ لعدم توافق المنشأ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يأتي فيه ما ذكرناه في تصحيح بيع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الإنشاء تعلّق بالجزئي الخارجي، والتقييد بكونه لنفسه لا يوجب عدم التعلّق به، فمع إجازة المالك يلغو القيد، نظير بيع الأعيان الخارجية موصوفة بصفة</w:t>
      </w:r>
      <w:r>
        <w:rPr>
          <w:rStyle w:val="FootnoteAnchor"/>
          <w:rtl w:val="true"/>
        </w:rPr>
        <w:footnoteReference w:id="756"/>
      </w:r>
      <w:r>
        <w:rPr>
          <w:rFonts w:ascii="Amiri" w:hAnsi="Amiri" w:eastAsia="Amiri" w:cs="Amiri"/>
          <w:color w:val="111111"/>
          <w:sz w:val="28"/>
          <w:sz w:val="28"/>
          <w:szCs w:val="28"/>
          <w:rtl w:val="true"/>
          <w:lang w:bidi="ar-SA"/>
        </w:rPr>
        <w:t>، لأنّه في المقام كان البيع للمالك الخاصّ، ومع إلغاء القيد لا يبقى إنشاء قابل للإجازة؛ ضرورة أنّه مع إلغاء القيد لا تصير النتيجة التعلّق بمقيّد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نفس المبادلة بلا قيد وبنحو الإبهام، صحّ بالإجازة، لكنّ المبنى باطل كما تقدّم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بيعه لمالكه ولنفسه ولثالث يصحّ بإجازة مالكه على التوجيه المتقدّم، ولو باع لنفسه لم يصحّ بإجازة الثالث، وكذا العكس</w:t>
      </w:r>
      <w:r>
        <w:rPr>
          <w:rFonts w:eastAsia="Amiri" w:cs="Amiri" w:ascii="Amiri" w:hAnsi="Amiri"/>
          <w:color w:val="111111"/>
          <w:sz w:val="28"/>
          <w:szCs w:val="28"/>
          <w:rtl w:val="true"/>
          <w:lang w:bidi="ar-SA"/>
        </w:rPr>
        <w:t xml:space="preserve">. </w:t>
      </w:r>
      <w:bookmarkStart w:id="458" w:name="pg15204_140567"/>
    </w:p>
    <w:p>
      <w:pPr>
        <w:pStyle w:val="BookText"/>
        <w:rPr/>
      </w:pPr>
      <w:bookmarkEnd w:id="458"/>
      <w:r>
        <w:rPr>
          <w:rFonts w:ascii="Amiri" w:hAnsi="Amiri" w:eastAsia="Amiri" w:cs="Amiri"/>
          <w:color w:val="111111"/>
          <w:sz w:val="28"/>
          <w:sz w:val="28"/>
          <w:szCs w:val="28"/>
          <w:rtl w:val="true"/>
          <w:lang w:bidi="ar-SA"/>
        </w:rPr>
        <w:t>ولو لم يجز البائع بعد تملّكه فالظاهر صحّة بيعه، سواء دخل تحت الأخبار المتقدّمة أم لا؛ لما عرفت من أنّها لا تدلّ على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هاهنا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يحتاج بيعه بعد تملّكه إلى الإجازة، أم ينتقل المبيع إلى المشتري بمجرّد تملّكه؟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الإجازة عليه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باحتياجه إليها</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2758984_2142443653"/>
      <w:bookmarkStart w:id="460" w:name="_Toc168"/>
      <w:bookmarkEnd w:id="459"/>
      <w:r>
        <w:rPr>
          <w:rtl w:val="true"/>
        </w:rPr>
        <w:t>حول اعتبار الإجازة بعد تملّك البائع في المقام</w:t>
      </w:r>
      <w:bookmarkEnd w:id="460"/>
    </w:p>
    <w:p>
      <w:pPr>
        <w:pStyle w:val="Heading6"/>
        <w:numPr>
          <w:ilvl w:val="5"/>
          <w:numId w:val="1"/>
        </w:numPr>
        <w:rPr/>
      </w:pPr>
      <w:bookmarkStart w:id="461" w:name="__RefHeading___Toc2758986_2142443653"/>
      <w:bookmarkStart w:id="462" w:name="_Toc169"/>
      <w:bookmarkEnd w:id="461"/>
      <w:r>
        <w:rPr>
          <w:rtl w:val="true"/>
        </w:rPr>
        <w:t>الأشبه بالقواعد عدم الاحتياج</w:t>
      </w:r>
      <w:bookmarkEnd w:id="462"/>
    </w:p>
    <w:p>
      <w:pPr>
        <w:pStyle w:val="BookText"/>
        <w:rPr/>
      </w:pPr>
      <w:r>
        <w:rPr>
          <w:rFonts w:ascii="Amiri" w:hAnsi="Amiri" w:eastAsia="Amiri" w:cs="Amiri"/>
          <w:color w:val="111111"/>
          <w:sz w:val="28"/>
          <w:sz w:val="28"/>
          <w:szCs w:val="28"/>
          <w:rtl w:val="true"/>
          <w:lang w:bidi="ar-SA"/>
        </w:rPr>
        <w:t xml:space="preserve">الأشبه بالقواعد عدم الاحتياج؛ لأنّ إنشاء البيع صدر من البائع لنفسه، وعدم التأثير إنّما هو من جهة عدم الملك، فإذا حصل 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وسائر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الشكّ في عدم الانتقال؛ لأجل الشكّ في اعتبار مقارنة الملكية لإنشاء البيع، وهو محصّل ما أفاده الشيخ الأعظم قدّس سرّه من أنّ البائع بعد ما صار مالكاً، لم تطب نفسه بكون ماله للمشتري الأوّل، والتزامه قبل تملّكه بكون هذا المال المعيّن للمشتري، ليس التزاماً إلاّ بكون مال غيره 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يرجع إلى اعتبار أمر زائد على ماهية العقد بشرائطه، وهو مالكية المنشئ للعقد لنفسه حال العقد، ومعلوم أنّ اعتبار ذلك ليس متيقّناً، بل مشكوك فيه، فيندفع بإطلاق الأدلّة كسائر الشكوك</w:t>
      </w:r>
      <w:r>
        <w:rPr>
          <w:rFonts w:eastAsia="Amiri" w:cs="Amiri" w:ascii="Amiri" w:hAnsi="Amiri"/>
          <w:color w:val="111111"/>
          <w:sz w:val="28"/>
          <w:szCs w:val="28"/>
          <w:rtl w:val="true"/>
          <w:lang w:bidi="ar-SA"/>
        </w:rPr>
        <w:t xml:space="preserve">. </w:t>
      </w:r>
      <w:bookmarkStart w:id="463" w:name="pg15204_140568"/>
    </w:p>
    <w:p>
      <w:pPr>
        <w:pStyle w:val="BookText"/>
        <w:rPr/>
      </w:pPr>
      <w:bookmarkEnd w:id="463"/>
      <w:r>
        <w:rPr>
          <w:rFonts w:ascii="Amiri" w:hAnsi="Amiri" w:eastAsia="Amiri" w:cs="Amiri"/>
          <w:color w:val="111111"/>
          <w:sz w:val="28"/>
          <w:sz w:val="28"/>
          <w:szCs w:val="28"/>
          <w:rtl w:val="true"/>
          <w:lang w:bidi="ar-SA"/>
        </w:rPr>
        <w:t>وهذا بوجه نظير ما إذا باع الراهن العين المرهونة، أو باع السفيه العين التي هي مورد حجره، ثمّ ارتفع المانع، فإنّهما أيضاً لا يحتاجان إلى الإجازة، بل يصحّان بمجرّد رفع الحجر، واحتمال مقارنة الإنشاء مع عدم المانع، يدفع بالإطلاق</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2758988_2142443653"/>
      <w:bookmarkStart w:id="465" w:name="_Toc170"/>
      <w:bookmarkEnd w:id="464"/>
      <w:r>
        <w:rPr>
          <w:rtl w:val="true"/>
        </w:rPr>
        <w:t>حول كلام الشيخ قدّس سرّه في المقام</w:t>
      </w:r>
      <w:bookmarkEnd w:id="465"/>
    </w:p>
    <w:p>
      <w:pPr>
        <w:pStyle w:val="BookText"/>
        <w:rPr/>
      </w:pPr>
      <w:r>
        <w:rPr>
          <w:rFonts w:ascii="Amiri" w:hAnsi="Amiri" w:eastAsia="Amiri" w:cs="Amiri"/>
          <w:color w:val="111111"/>
          <w:sz w:val="28"/>
          <w:sz w:val="28"/>
          <w:szCs w:val="28"/>
          <w:rtl w:val="true"/>
          <w:lang w:bidi="ar-SA"/>
        </w:rPr>
        <w:t>وعلى ما ذكر يسقط ما أفاده الشيخ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بقاعدة السلطنة، وعدم الحلّ إلاّ بطيب النفس</w:t>
      </w:r>
      <w:r>
        <w:rPr>
          <w:rStyle w:val="FootnoteAnchor"/>
          <w:rtl w:val="true"/>
        </w:rPr>
        <w:footnoteReference w:id="760"/>
      </w:r>
      <w:r>
        <w:rPr>
          <w:rFonts w:ascii="Amiri" w:hAnsi="Amiri" w:eastAsia="Amiri" w:cs="Amiri"/>
          <w:color w:val="111111"/>
          <w:sz w:val="28"/>
          <w:sz w:val="28"/>
          <w:szCs w:val="28"/>
          <w:rtl w:val="true"/>
          <w:lang w:bidi="ar-SA"/>
        </w:rPr>
        <w:t xml:space="preserve">، فإنّ المعاملة التي أوجد البائع سببها باختياره وطيب نفسه، لم يكن النقل فيها بعد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لقاعدة السلطنة وغيرها، نظير الأصيل في الفضولي من أحد الطرفين إذا أوجد سبب البيع باختياره وطيب نفسه، ثمّ أجاز المالك، وانتقل الثمن أو المثمن من الأصيل حال إجازة غيره، فإنّه لم يكن هذا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إيجاده أحد جزئي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لقاعدة السلطنة واحترام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القاعدتين مؤكّدتان للصحّة، لا معارضتان لها؛ فإنّ الانتقال لم يكن قهراً على البائع، بل بتسبيب منه، ومعلوم أنّ أسباب النقل بأجمعها ليست تحت اختيار أحد المتعاملين في المعاملات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معارضة القاعدتين لدليل وجوب الوفاء</w:t>
      </w:r>
      <w:r>
        <w:rPr>
          <w:rStyle w:val="FootnoteAnchor"/>
          <w:rtl w:val="true"/>
        </w:rPr>
        <w:footnoteReference w:id="761"/>
      </w:r>
      <w:r>
        <w:rPr>
          <w:rFonts w:ascii="Amiri" w:hAnsi="Amiri" w:eastAsia="Amiri" w:cs="Amiri"/>
          <w:color w:val="111111"/>
          <w:sz w:val="28"/>
          <w:sz w:val="28"/>
          <w:szCs w:val="28"/>
          <w:rtl w:val="true"/>
          <w:lang w:bidi="ar-SA"/>
        </w:rPr>
        <w:t>ليست متّجهة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شككنا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 البيع، لا يصحّ التمسّك بالقاعدتين؛ لاحتمال خروج المال بواسطته عن ملكه، فصارت الشبهة موضوعية، أو كالموضوعية، فإنّ حصول الملك للبائع الأوّل عند الاشتراء وإن كان معلوماً، ولكن مع احتمال كون الانتقال بتسبيب منه غير مخالف للقاعدتين كما مرّ</w:t>
      </w:r>
      <w:r>
        <w:rPr>
          <w:rStyle w:val="FootnoteAnchor"/>
          <w:rtl w:val="true"/>
        </w:rPr>
        <w:footnoteReference w:id="762"/>
      </w:r>
      <w:r>
        <w:rPr>
          <w:rFonts w:ascii="Amiri" w:hAnsi="Amiri" w:eastAsia="Amiri" w:cs="Amiri"/>
          <w:color w:val="111111"/>
          <w:sz w:val="28"/>
          <w:sz w:val="28"/>
          <w:szCs w:val="28"/>
          <w:rtl w:val="true"/>
          <w:lang w:bidi="ar-SA"/>
        </w:rPr>
        <w:t>لا يصحّ التمسّك بهما إلاّ بعد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إحرازه باستصحاب ملكهما، فحينئذٍ لا يصحّ البيع إلاّ بإجازته للقاعدتين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لا يصحّ التمسّك بالاستصحاب لإثبات كون إجازة المالك مؤثّرة في النقل، بناءً على أنّ السبب هو العقد المتعقّب أو المتقيّد بالإجازة أو العقد بسببيتها؛ فإنّ إحراز تلك العناوين بالأصل مثبت، إلاّ أن يكون الموضوع للنقل أو السبب له مركّباً من العقد والإجازة، وكان الحكم الشرعي مترتّباً على العقد وإجازة المالك، فيحرز بالوجدان والأصل، مع الغضّ عن الإشكال في الموضوع المركّب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قدّس سرّه بعد فرض أنّ مقتضى عموم وجوب الوفاء بالعقود على كلّ عاقد، هو اللزوم على البائع بمجرّد الانتقال إليه، وإن كان قبله أجنبيّاً لا حكم لوفائه ونقضه، ضعّفه بأنّ البائع غير مأمور بالوفاء قبل الملك، فيستصحب، والمقام مقام استصحاب حكم الخاصّ، لا مقام الرجوع إلى حكم العامّ، ثمّ أمر بالتأمّل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بظاهره واضح الإشكال؛ ضرورة أنّه من قبيل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عموم وجوب الوفاء، هو اللزوم بالنسبة إلى هذا الشخص الذي باع ملك الغير لنفسه، فيجب عليه الابتياع من الغير، والردّ إلى المشتري وإن لم يكن ملكاً له، كما مرّ منه نظيره في بيع الفضولي بالنسبة إلى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وجوب الوفاء بالعقد هو اللزوم بالنسبة إليه، فلا يصحّ الفسخ منه، وإن صحّ الردّ من المالك الأصلي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العقد الصادر من البائع، لمّا كان عقداً لنفسه، يجب عليه الوفاء من أوّل الأمر، فيجب عليه الاشتراء، وينتقل منه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خروج قطعة من الزمان عن لزوم الوفاء، وهو حال عدم كونه مالكاً؛ بإجماع أو تسلّم، فكان المقام من موارد اختلافهم في التمسّك باستصحاب حكم المخصّص، أو بالعموم، أو إطلاق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وإن كان مخالفاً لظاهر كلامه بدواً، لكنّه أولى من توهّم عدم تفريقه بين التخصيص والتخصّص، وتقديم أصالة عدم النقل على القواعد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أمره بالتأمّل</w:t>
      </w:r>
      <w:r>
        <w:rPr>
          <w:rStyle w:val="FootnoteAnchor"/>
          <w:rtl w:val="true"/>
        </w:rPr>
        <w:footnoteReference w:id="765"/>
      </w:r>
      <w:r>
        <w:rPr>
          <w:rFonts w:ascii="Amiri" w:hAnsi="Amiri" w:eastAsia="Amiri" w:cs="Amiri"/>
          <w:color w:val="111111"/>
          <w:sz w:val="28"/>
          <w:sz w:val="28"/>
          <w:szCs w:val="28"/>
          <w:rtl w:val="true"/>
          <w:lang w:bidi="ar-SA"/>
        </w:rPr>
        <w:t>لإنكار شمول العامّ لما قبل الملك، فيكون من قبيل التخصّص لا تخصيص العامّ، وهذا أمر يجب البحث عنه في مجال أوسع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يدّعي إطلاق دليل وجوب الوفاء والشرط لما قبل الملك، فيجب </w:t>
      </w:r>
    </w:p>
    <w:p>
      <w:pPr>
        <w:pStyle w:val="BookText"/>
        <w:rPr/>
      </w:pPr>
      <w:r>
        <w:rPr>
          <w:rFonts w:ascii="Amiri" w:hAnsi="Amiri" w:eastAsia="Amiri" w:cs="Amiri"/>
          <w:color w:val="111111"/>
          <w:sz w:val="28"/>
          <w:sz w:val="28"/>
          <w:szCs w:val="28"/>
          <w:rtl w:val="true"/>
          <w:lang w:bidi="ar-SA"/>
        </w:rPr>
        <w:t>عليه الاشتراء للعمل بمضمون العقد، وكذا لو باع ما لا يملكه أحد، كطير معيّن، ومقدار مشخّص من المعدن، فيجب عليه أخذ الطير واستخراج المعدن والتسليم إلى المشتري، ولا يبعد أن يكون ذلك عقلائياً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استفادة عدم الاحتياج إلى الإجازة من بعض الروايات المتقدّمة، كصحيحة يحيى بن الحجّاج</w:t>
      </w:r>
      <w:r>
        <w:rPr>
          <w:rStyle w:val="FootnoteAnchor"/>
          <w:rtl w:val="true"/>
        </w:rPr>
        <w:footnoteReference w:id="766"/>
      </w:r>
      <w:r>
        <w:rPr>
          <w:rFonts w:ascii="Amiri" w:hAnsi="Amiri" w:eastAsia="Amiri" w:cs="Amiri"/>
          <w:color w:val="111111"/>
          <w:sz w:val="28"/>
          <w:sz w:val="28"/>
          <w:szCs w:val="28"/>
          <w:rtl w:val="true"/>
          <w:lang w:bidi="ar-SA"/>
        </w:rPr>
        <w:t>بناءً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البيع قبل الاشتراء إنّما هو لأجل التخلّص عن الربا، لا للإرشاد إلى بطلان البيع</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لو توقّف بيعه قبل الاشتراء على الإجازة بعده، كان له التخلّص عن الربا بعدم الإجازة، فلا يكون البيع ثمّ الاشتراء موجباً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منها أنّ الموجب نفس البيع والاشتراء، وهو لا يتمّ إلاّ على فرض عدم الاحتياج إلى الإجازة، والأمر سهل بعد ما عرفت من أنّ مقتضى القاعدة الصحّة من غير احتياج إلى الإجازة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بعض ما ذكرناه يظهر الكلام في المقام الثاني، وهو وجوب الإجازة عليه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 العقد إليها؛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وجوب الوفاء عليه العمل على طبق مضمونه، وهو لا يحصل إلاّ بإجازته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العقد، لا من مقتضياته وجزء مضمونه، فتدبّر</w:t>
      </w:r>
      <w:r>
        <w:rPr>
          <w:rFonts w:eastAsia="Amiri" w:cs="Amiri" w:ascii="Amiri" w:hAnsi="Amiri"/>
          <w:color w:val="111111"/>
          <w:sz w:val="28"/>
          <w:szCs w:val="28"/>
          <w:rtl w:val="true"/>
          <w:lang w:bidi="ar-SA"/>
        </w:rPr>
        <w:t xml:space="preserve">. </w:t>
      </w:r>
      <w:bookmarkStart w:id="466" w:name="pg15204_140572"/>
    </w:p>
    <w:p>
      <w:pPr>
        <w:pStyle w:val="Heading6"/>
        <w:numPr>
          <w:ilvl w:val="5"/>
          <w:numId w:val="1"/>
        </w:numPr>
        <w:rPr/>
      </w:pPr>
      <w:bookmarkStart w:id="467" w:name="__RefHeading___Toc2758990_2142443653"/>
      <w:bookmarkStart w:id="468" w:name="_Toc171"/>
      <w:bookmarkEnd w:id="466"/>
      <w:bookmarkEnd w:id="467"/>
      <w:r>
        <w:rPr>
          <w:rtl w:val="true"/>
        </w:rPr>
        <w:t>حكم ما لو باع معتقداً بكونه غير جائز التصرّف فبان خلافه</w:t>
      </w:r>
      <w:bookmarkEnd w:id="468"/>
    </w:p>
    <w:p>
      <w:pPr>
        <w:pStyle w:val="Heading6"/>
        <w:numPr>
          <w:ilvl w:val="5"/>
          <w:numId w:val="1"/>
        </w:numPr>
        <w:rPr/>
      </w:pPr>
      <w:bookmarkStart w:id="469" w:name="__RefHeading___Toc2758992_2142443653"/>
      <w:bookmarkStart w:id="470" w:name="_Toc172"/>
      <w:bookmarkEnd w:id="469"/>
      <w:r>
        <w:rPr>
          <w:rtl w:val="true"/>
        </w:rPr>
        <w:t>إشارة</w:t>
      </w:r>
      <w:bookmarkEnd w:id="4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معتقداً بكونه غير جائز التصرّف فبان خلافه ففيه صور</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758994_2142443653"/>
      <w:bookmarkStart w:id="472" w:name="_Toc173"/>
      <w:bookmarkEnd w:id="471"/>
      <w:r>
        <w:rPr>
          <w:rtl w:val="true"/>
        </w:rPr>
        <w:t>الاُولى</w:t>
      </w:r>
      <w:r>
        <w:rPr>
          <w:rtl w:val="true"/>
        </w:rPr>
        <w:t xml:space="preserve">: </w:t>
      </w:r>
      <w:r>
        <w:rPr>
          <w:rtl w:val="true"/>
        </w:rPr>
        <w:t>أن يبيع عن المالك، فينكشف كونه وليّاً</w:t>
      </w:r>
      <w:r>
        <w:rPr>
          <w:rtl w:val="true"/>
        </w:rPr>
        <w:t>.</w:t>
      </w:r>
      <w:bookmarkEnd w:id="472"/>
    </w:p>
    <w:p>
      <w:pPr>
        <w:pStyle w:val="BookText"/>
        <w:rPr/>
      </w:pPr>
      <w:r>
        <w:rPr>
          <w:rFonts w:ascii="Amiri" w:hAnsi="Amiri" w:eastAsia="Amiri" w:cs="Amiri"/>
          <w:color w:val="111111"/>
          <w:sz w:val="28"/>
          <w:sz w:val="28"/>
          <w:szCs w:val="28"/>
          <w:rtl w:val="true"/>
          <w:lang w:bidi="ar-SA"/>
        </w:rPr>
        <w:t>والظاهر صحّته من غير توقّف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حتّى على القول بصحّة الفضولي؛ لكون الفضولي على خلاف القاعدة، فيقتصر على مورده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على خلافها، كما تقدّم</w:t>
      </w:r>
      <w:r>
        <w:rPr>
          <w:rStyle w:val="FootnoteAnchor"/>
          <w:rtl w:val="true"/>
        </w:rPr>
        <w:footnoteReference w:id="769"/>
      </w:r>
      <w:r>
        <w:rPr>
          <w:rFonts w:ascii="Amiri" w:hAnsi="Amiri" w:eastAsia="Amiri" w:cs="Amiri"/>
          <w:color w:val="111111"/>
          <w:sz w:val="28"/>
          <w:sz w:val="28"/>
          <w:szCs w:val="28"/>
          <w:rtl w:val="true"/>
          <w:lang w:bidi="ar-SA"/>
        </w:rPr>
        <w:t>، فلا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الاحتياج إلى الإجازة، فيمكن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ألفاظ العقود إيجادية، ولا بدّ في سببيتها للنقل من الجزم بحصول مضامينها، والفضولي لا يعقل منه ذلك، والجزء الآخر للعلّة هو الإجازة من المالك أو وليّ الأمر، وبها يحصل الجزم المعتبر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الإجازة ليست إنشاء مبادلة، بل إمضاء لما حصل ووجد، فلا يعقل أن ينقلب الواقع عمّا هو عليه بالإجازة، فلو اعتبر الجزم بحصول المضمون، فلا بدّ من اعتباره في الإنشاء، والفرض أنّه وجد غير مجزوم بمضمونه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النقض بالإيجاب في الأصيلين؛ إذ لا يترتّب الأثر على إنشائه بلا شبهة، فلا بدّ من القول ببطلان جملة المعاملات إلاّ ما وقعت بفعل الوكيل من </w:t>
      </w:r>
    </w:p>
    <w:p>
      <w:pPr>
        <w:pStyle w:val="BookText"/>
        <w:rPr/>
      </w:pPr>
      <w:r>
        <w:rPr>
          <w:rFonts w:ascii="Amiri" w:hAnsi="Amiri" w:eastAsia="Amiri" w:cs="Amiri"/>
          <w:color w:val="111111"/>
          <w:sz w:val="28"/>
          <w:sz w:val="28"/>
          <w:szCs w:val="28"/>
          <w:rtl w:val="true"/>
          <w:lang w:bidi="ar-SA"/>
        </w:rPr>
        <w:t>الطرفين أو الوليّ منهما،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عدم دليل على اعتبار الجزم، ولا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الفضولي مع فرض عدم الجزم بالمضمون، ومعه يدفع احتمال الاعتبار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الجزم حاصل في الفضولي كالأصيل، وكالوكيل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الجزم، ناشئ من الخلط بين معاني ألفاظ المعاملات؛ بزعم أنّها وضعت للنقل الواقعي العقلائي، ومعه لا يمكن الجزم بحصول أثر، بل الجزم حاصل بعدم حصوله، وإنّما يترتّب الأثر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 ذلك عدم صدق عناوين المعاملات على الفضولي كما لا يخفى، وهو خلاف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الهيئات سواء كانت إيجادية أو إخبارية، والإيجادية سواء كانت من قبيل ألفاظ العقود، أو الأوامر والنواهي، لم توضع للواقعيات، حقيقية كانت أو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الأوامر والنواهي فظاهر؛ ضرورة أنّ البعث والزجر الحقيقيين الملازمين للانبعاث والانزجار، أجنبيّان عن معناهما، ولا يترتّب عليهما في مورد من الموارد، فالأمر بعث إيقاعي إنشائي، والنهي زجر كذلك، والإطاعة والعصيان مترتّبان عليهما بعد استعمالهما في معناهما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الجمل الإنشائية في باب المعاملات، فإنّ هيئآتها إنّما وضعت لإيقاع المادّة وإنشائها، فالأثر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يترتّب عليها بعد استعمالها الإيجادي وتمامية معانيها، فالبيع إنّما يترتّب عليه الأثر، لا أنّه مستعمل في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الأثر لا واقعية له إلاّ في اعتبار العقلاء، وهذا لا يمكن أن يكون إيقاعاً إنشائياً،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فالفضولي كالأصيل يستعمل ألفاظ المعاملات في معانيها الحقيقية استعمالاً إيجادياً إنشائياً إيقاعياً، سواء رتّبت عليها الآثار فعلاً، أم يترقّب ترتّبها عليها بعد تحقّق شرائط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فالجزم حاصل بمضامين المعاملات، وإن لم يكن حاصلاً بترتّب الأثر الواقعي الاعتباري، كبيع الصرف والسلم المشروط بالقبض في ترتّب الأثر، وكالإيجاب في مطلق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تقريب التوقّف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صدر عمّن كان نافذ التصرّف، إلاّ أنّ المفروض عدم علمه بذلك، فلعلّه لو كان عالماً بأنّه وليّ، لم يكن راضياً بهذا البيع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المقام من القصد إلى النقل والرضا به بعنوان أنّه مال المولّى عليه، أو الموكّل، أو نحوهما، وكون البيع واجباً من جهة موافقته للمصلحة، لا يمنع من كون اختيار الخصوصيات منوطاً بنظره وبرضاه</w:t>
      </w:r>
      <w:r>
        <w:rPr>
          <w:rStyle w:val="FootnoteAnchor"/>
          <w:rtl w:val="true"/>
        </w:rPr>
        <w:footnoteReference w:id="7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لا يخفى؛ فإنّه بعد استجماع البيع لجميع الشرائط، لا يوجب مجرّد عدم علمه بنفوذ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علم لعلّه يختار مصداقاً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خللاً فيما فعل باختياره ومصادفته لمورد ولايته ونفوذ تصرّفه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القصد بعنوان أنّه مال المولّى عليه</w:t>
      </w:r>
      <w:r>
        <w:rPr>
          <w:rStyle w:val="FootnoteAnchor"/>
          <w:rtl w:val="true"/>
        </w:rPr>
        <w:footnoteReference w:id="771"/>
      </w:r>
      <w:r>
        <w:rPr>
          <w:rFonts w:ascii="Amiri" w:hAnsi="Amiri" w:eastAsia="Amiri" w:cs="Amiri"/>
          <w:color w:val="111111"/>
          <w:sz w:val="28"/>
          <w:sz w:val="28"/>
          <w:szCs w:val="28"/>
          <w:rtl w:val="true"/>
          <w:lang w:bidi="ar-SA"/>
        </w:rPr>
        <w:t xml:space="preserve">، مجرّدة عن </w:t>
      </w:r>
    </w:p>
    <w:p>
      <w:pPr>
        <w:pStyle w:val="BookText"/>
        <w:rPr/>
      </w:pPr>
      <w:r>
        <w:rPr>
          <w:rFonts w:ascii="Amiri" w:hAnsi="Amiri" w:eastAsia="Amiri" w:cs="Amiri"/>
          <w:color w:val="111111"/>
          <w:sz w:val="28"/>
          <w:sz w:val="28"/>
          <w:szCs w:val="28"/>
          <w:rtl w:val="true"/>
          <w:lang w:bidi="ar-SA"/>
        </w:rPr>
        <w:t>البرهان، بل احتمال اعتبار ذلك مدفوع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ولاية الأب والجدّ عن مثل المقام</w:t>
      </w:r>
      <w:r>
        <w:rPr>
          <w:rStyle w:val="FootnoteAnchor"/>
          <w:rtl w:val="true"/>
        </w:rPr>
        <w:footnoteReference w:id="772"/>
      </w:r>
      <w:r>
        <w:rPr>
          <w:rFonts w:ascii="Amiri" w:hAnsi="Amiri" w:eastAsia="Amiri" w:cs="Amiri"/>
          <w:color w:val="111111"/>
          <w:sz w:val="28"/>
          <w:sz w:val="28"/>
          <w:szCs w:val="28"/>
          <w:rtl w:val="true"/>
          <w:lang w:bidi="ar-SA"/>
        </w:rPr>
        <w:t>، غير وجيهة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القاضي في إذن السيّد لعبده في التجارة</w:t>
      </w:r>
      <w:r>
        <w:rPr>
          <w:rStyle w:val="FootnoteAnchor"/>
          <w:rtl w:val="true"/>
        </w:rPr>
        <w:footnoteReference w:id="773"/>
      </w:r>
      <w:r>
        <w:rPr>
          <w:rFonts w:ascii="Amiri" w:hAnsi="Amiri" w:eastAsia="Amiri" w:cs="Amiri"/>
          <w:color w:val="111111"/>
          <w:sz w:val="28"/>
          <w:sz w:val="28"/>
          <w:szCs w:val="28"/>
          <w:rtl w:val="true"/>
          <w:lang w:bidi="ar-SA"/>
        </w:rPr>
        <w:t xml:space="preserve">، فالظاهر هو عدم خلافه في هذه المسألة؛ لأنّ الظاهر منه أنّ الإذن إذا لم يطّلع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العبد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إذناً، فعدم صحّته على ذلك، لأجل عدم كونه مأذوناً نافذ التصرّف، وهو غير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أدلّة اعتبار التراضي وطيب النفس، اعتبار رضا المالك بنقل خصوص ماله بعنوان أنّه ماله، لا بنقل مال معيّن اتّفق كونه ملكاً له في الواقع؛ فإنّ حكم الرضا وطيب النفس لا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أذن في التصرّف في مال معتقداً أنّه لغيره، والمأذون يعلم أنّه له، لم يجز له التصرّف بذلك الإذن، ولو أعتق عبداً عن غيره، فبان أنّه له لم ينعتق، وكذا لو طلّق امرأة وكالة عن غيره، فبان 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غرّه الغاصب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عبدي أعتقه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عن نفسه، فبان كونه له، فالأقوى أيضاً عدم النفوذ</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نفوذ التجارة وغيرها من الإيقاعات، وحلّ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كون التجارة بماله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بماله بعنوان أنّه ماله، وكذا يعتبر في </w:t>
      </w:r>
    </w:p>
    <w:p>
      <w:pPr>
        <w:pStyle w:val="BookText"/>
        <w:rPr/>
      </w:pPr>
      <w:r>
        <w:rPr>
          <w:rFonts w:ascii="Amiri" w:hAnsi="Amiri" w:eastAsia="Amiri" w:cs="Amiri"/>
          <w:color w:val="111111"/>
          <w:sz w:val="28"/>
          <w:sz w:val="28"/>
          <w:szCs w:val="28"/>
          <w:rtl w:val="true"/>
          <w:lang w:bidi="ar-SA"/>
        </w:rPr>
        <w:t>حلّ المال رضاه بالتصرّف في ماله بعنوان أنّه ماله، هذا ما أفاده الشيخ قدّس سرّه في الصورة الثالثة، وقد أجرى حكمها بعضهم</w:t>
      </w:r>
      <w:r>
        <w:rPr>
          <w:rStyle w:val="FootnoteAnchor"/>
          <w:rtl w:val="true"/>
        </w:rPr>
        <w:footnoteReference w:id="775"/>
      </w:r>
      <w:r>
        <w:rPr>
          <w:rFonts w:ascii="Amiri" w:hAnsi="Amiri" w:eastAsia="Amiri" w:cs="Amiri"/>
          <w:color w:val="111111"/>
          <w:sz w:val="28"/>
          <w:sz w:val="28"/>
          <w:szCs w:val="28"/>
          <w:rtl w:val="true"/>
          <w:lang w:bidi="ar-SA"/>
        </w:rPr>
        <w:t>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في الثالثة والرابعة كما أفاده، جرى حكمه في الاُوليين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صحّته؛ فإنّه لو كان المدّعى أنّ الظاهر من الآية والرواية ما ذكر، فلا يخفى ما فيه؛ ضرورة أنّ الألفاظ موضوعة للمعاني الواقعية، ولا إشكال في أنّ التجارة إذا وقعت على مال واقعي شخصي برضاه، انطبق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شكّ في اعتبار أمر زائد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علمه بالواقعة، أو اعتبار التجارة بعنوان أنّه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دليل الحلّ؛ فإنّ صاحب المال لو رضي بالتصرّف في ماله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أنّه طيّب النفس بالتصرّف في ماله، واحتمال أنّه لو علم بأنّه ماله لم يرض، لا يضرّ بالرضا الفعلي، كالأشباه والنظائر، والأمر الزائد يدفع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المدّعى أنّ الدليل منصرف إليه بمناسبة الحكم والموضوع، فهي دعوى بلا شاهد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الشاهد على خلافها، فهل ترى عند العقلاء أنّه لو باع شخص ماله عن نفسه باعتقاد أنّه مال الغير، واشترى منه شخص، يكون هذا من الأكل بالباطل، </w:t>
      </w:r>
    </w:p>
    <w:p>
      <w:pPr>
        <w:pStyle w:val="BookText"/>
        <w:rPr/>
      </w:pPr>
      <w:r>
        <w:rPr>
          <w:rFonts w:ascii="Amiri" w:hAnsi="Amiri" w:eastAsia="Amiri" w:cs="Amiri"/>
          <w:color w:val="111111"/>
          <w:sz w:val="28"/>
          <w:sz w:val="28"/>
          <w:szCs w:val="28"/>
          <w:rtl w:val="true"/>
          <w:lang w:bidi="ar-SA"/>
        </w:rPr>
        <w:t>أو أذن في التصرّف في ماله، مع عدم علمه بأنّه ماله فتصرّف، يكون عادياً وغاصباً عند العقلاء، ويكون إتلافه بإذنه موجباً للضمان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يدفع 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إحراز كون التجارة عن تراضٍ في ماله بعنوان أنّه ماله، وإحراز طيب نفسه في التصرّف في ماله بعنوان أنّه ماله، ومع الشكّ في حصول ذلك يحكم ببطلان العقد، وحرمة التصرّف، مع أنّ المعلوم من سيرة العقلاء والمتشرّعة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العنوان يحرز بواسطة الأمارة القائمة على ملكيته من يد وغيرها؛ لأنّ الأمارات حجّة في اللوازم العقلية والعقلائية، وليس اعتقاد ذي اليد بأنّه ماله من لوازم الأمارة، بل ما هو من لوازمها أنّ العقد الواقع على هذا الذي بيده واقع على ماله الواقعي، وأنّ بيعه صحيح،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عالم بأنّ ما بيده لنفسه، أو أنّ بيعه إنّما هو بعنوان بيع ماله بما أنّه ماله، فليس من اللوازم، وكون أكثر المعاملات كذلك لا يوجب إلاّ الظنّ،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يُغْنِى مِنَ الْحَقِّ شَيْئاً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الأمثلة التي ذكرها، ففي مثل عتق عبده عن غيره، وطلاق زوجته عنه، يكون احتياجهما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الفضولي في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الاستئناف، ليس لما ذكر، بل لما قاله في الصورة الثانية، وسيأتي توضيحه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التصرّف بماله بإذن منه، أو عتق عبده بغرور من الغاصب، فالأشبه الجواز والنفوذ، وإن جاز له الرجوع إلى الغارّ في قيمة العبد؛ لقاعدة الغرور</w:t>
      </w:r>
      <w:r>
        <w:rPr>
          <w:rFonts w:eastAsia="Amiri" w:cs="Amiri" w:ascii="Amiri" w:hAnsi="Amiri"/>
          <w:color w:val="111111"/>
          <w:sz w:val="28"/>
          <w:szCs w:val="28"/>
          <w:rtl w:val="true"/>
          <w:lang w:bidi="ar-SA"/>
        </w:rPr>
        <w:t xml:space="preserve">. </w:t>
      </w:r>
      <w:bookmarkStart w:id="473" w:name="pg15204_140578"/>
    </w:p>
    <w:p>
      <w:pPr>
        <w:pStyle w:val="Heading6"/>
        <w:numPr>
          <w:ilvl w:val="5"/>
          <w:numId w:val="1"/>
        </w:numPr>
        <w:rPr/>
      </w:pPr>
      <w:bookmarkStart w:id="474" w:name="__RefHeading___Toc2758996_2142443653"/>
      <w:bookmarkStart w:id="475" w:name="_Toc174"/>
      <w:bookmarkEnd w:id="473"/>
      <w:bookmarkEnd w:id="474"/>
      <w:r>
        <w:rPr>
          <w:rtl w:val="true"/>
        </w:rPr>
        <w:t>الصورة الثانية</w:t>
      </w:r>
      <w:r>
        <w:rPr>
          <w:rtl w:val="true"/>
        </w:rPr>
        <w:t xml:space="preserve">: </w:t>
      </w:r>
      <w:r>
        <w:rPr>
          <w:rtl w:val="true"/>
        </w:rPr>
        <w:t>أن يبيع لنفسه، فينكشف كونه وليّاً</w:t>
      </w:r>
      <w:r>
        <w:rPr>
          <w:rtl w:val="true"/>
        </w:rPr>
        <w:t>.</w:t>
      </w:r>
      <w:bookmarkEnd w:id="475"/>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العقد؛ لما عرفت من أنّ قصد بيع مال الغير لنفسه لا ينفع ولا يقدح، وفي توقّفه على إجازته للمولّى عليه وجه؛ لأنّ قصد كونه لنفسه يوجب عدم وقوع البيع على الوجه المأذون، فتأمّل</w:t>
      </w:r>
      <w:r>
        <w:rPr>
          <w:rStyle w:val="FootnoteAnchor"/>
          <w:rtl w:val="true"/>
        </w:rPr>
        <w:footnoteReference w:id="7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وجه التأمّل ما يتراءى من التنافي بين صدر كلامه وذيله، حيث ظهر من صدره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وعليه لا بدّ وأن يقع لمالكه بلا احتياج إلى الإجازة، كما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ذيله كون العقد على وجه غير مأذون، وهو يلازم القيدية، ومعها لا تنفع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فلا يحتاج إلى الإجازة، أو لا، فلا يصحّ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الملحقة بالموجودات الخارجية لا تكون ملغاة؛ بمعنى أنّ وجودها وعدمها على السواء، ولا موجبةً لعدم الحكم على الذات مع فقد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شخص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وقع السّلام على الرجل العالم، وإن كان غير عالم وقع على الرجل، والقيد ملغىً، فيجب في الصورتين جواب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يجب عليه الردّ لو قلنا</w:t>
      </w:r>
      <w:r>
        <w:rPr>
          <w:rFonts w:eastAsia="Amiri" w:cs="Amiri" w:ascii="Amiri" w:hAnsi="Amiri"/>
          <w:color w:val="111111"/>
          <w:sz w:val="28"/>
          <w:szCs w:val="28"/>
          <w:rtl w:val="true"/>
          <w:lang w:bidi="ar-SA"/>
        </w:rPr>
        <w:t xml:space="preserve">: </w:t>
      </w:r>
      <w:bookmarkStart w:id="476" w:name="pg15204_140579"/>
    </w:p>
    <w:p>
      <w:pPr>
        <w:pStyle w:val="BookText"/>
        <w:rPr/>
      </w:pPr>
      <w:bookmarkEnd w:id="476"/>
      <w:r>
        <w:rPr>
          <w:rFonts w:ascii="Amiri" w:hAnsi="Amiri" w:eastAsia="Amiri" w:cs="Amiri"/>
          <w:color w:val="111111"/>
          <w:sz w:val="28"/>
          <w:sz w:val="28"/>
          <w:szCs w:val="28"/>
          <w:rtl w:val="true"/>
          <w:lang w:bidi="ar-SA"/>
        </w:rPr>
        <w:t>بوجوب الردّ في مثله، وإن كان غير عالم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بحيث وقع العقد على الذات بلا قيد، حتّى يقال إنّه كالصورة السابقة حيث وقع العقد لصاحبه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ملكه وقع العقد له، من غير احتياج إلى الإجازة كما مرّ</w:t>
      </w:r>
      <w:r>
        <w:rPr>
          <w:rStyle w:val="FootnoteAnchor"/>
          <w:rtl w:val="true"/>
        </w:rPr>
        <w:footnoteReference w:id="779"/>
      </w:r>
      <w:r>
        <w:rPr>
          <w:rFonts w:ascii="Amiri" w:hAnsi="Amiri" w:eastAsia="Amiri" w:cs="Amiri"/>
          <w:color w:val="111111"/>
          <w:sz w:val="28"/>
          <w:sz w:val="28"/>
          <w:szCs w:val="28"/>
          <w:rtl w:val="true"/>
          <w:lang w:bidi="ar-SA"/>
        </w:rPr>
        <w:t>، لكن لمّا كان العقد واقعاً على الموجود الذي هو ملك الغير، يمكن صرف العقد إليه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فالإجازة موجبة لإلغاء القيد، لا أنّ القيد بنفسه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بإ لغاء القيد، لكن وجوده يمنع عن انصراف العقد إلى صاحبه، فلا يقع للمقيّد ولا لصاحبه؛ لمانعية القيد عن الانصراف إليه، والإجازة تدفع المانع، فيقع صحيحاً</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2758998_2142443653"/>
      <w:bookmarkStart w:id="478" w:name="_Toc175"/>
      <w:bookmarkEnd w:id="477"/>
      <w:r>
        <w:rPr>
          <w:rtl w:val="true"/>
        </w:rPr>
        <w:t>الصورة الثالثة</w:t>
      </w:r>
      <w:r>
        <w:rPr>
          <w:rtl w:val="true"/>
        </w:rPr>
        <w:t xml:space="preserve">: </w:t>
      </w:r>
      <w:r>
        <w:rPr>
          <w:rtl w:val="true"/>
        </w:rPr>
        <w:t>أن يبيع عن المالك، ثمّ ينكشف كونه مالكاً</w:t>
      </w:r>
      <w:r>
        <w:rPr>
          <w:rtl w:val="true"/>
        </w:rPr>
        <w:t>.</w:t>
      </w:r>
      <w:bookmarkEnd w:id="478"/>
    </w:p>
    <w:p>
      <w:pPr>
        <w:pStyle w:val="BookText"/>
        <w:rPr/>
      </w:pPr>
      <w:r>
        <w:rPr>
          <w:rFonts w:ascii="Amiri" w:hAnsi="Amiri" w:eastAsia="Amiri" w:cs="Amiri"/>
          <w:color w:val="111111"/>
          <w:sz w:val="28"/>
          <w:sz w:val="28"/>
          <w:szCs w:val="28"/>
          <w:rtl w:val="true"/>
          <w:lang w:bidi="ar-SA"/>
        </w:rPr>
        <w:t>كما لو باع عن أبيه مع قطعه بحياته، فبان كونه ميّتاً، ويتصوّر البيع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للمالك مع اعتقاده حياته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لمالكه الذي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لأبي الذي هو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لأبي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منهم التسالم على صحّة الأوّل، كما قال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لا إشكال في صحّته؛ لأنّه قصد البيع عن مالك المال، وتطبيق المالك على الأب لا يضرّ بصحّته، وإنّما الإشكال فيما إذا باع لشخص أبيه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الشيخ الأعظم قدّس سرّه أيضاً عدم الإشكال في هذه الصورة، ولهذا تخلّص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نقل الملك عن الأب من حيث إنّه مالك باعتقاده، ففي الحقيقة إنّما قصد النقل عن المالك، لكن أخطأ في اعتقاده أنّ المالك أبوه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الإشكال مشترك بين هذه الصورة وغيرها؛ فإنّ المعتقد بأنّ المالك أبوه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من المالك إلاّ أباه، ويكون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قصده وإن كان قابلاً للصدق على أبيه وعليه وعلى غيرهما، لكن العقود تابعة للقصود، والعنوان بما أنّه مقصوده لا ينطبق على غير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كون المالك أباه أو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مقصوده مالكه الواقعي؛ أيّ شخص كان، لكنّ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بيع مال أبيه، وكان قصده ذلك، لا يعقل أن يقصد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أبيه، واللفظ في نفسه وإن كان قابلاً للصدق على كثيرين، لكن المقصود غير قابل للانطباق إلاّ على أبيه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أن يطلّق فاطمة عن زوجها، وكان الاسم مشتركاً بين بنت زيد </w:t>
      </w:r>
    </w:p>
    <w:p>
      <w:pPr>
        <w:pStyle w:val="BookText"/>
        <w:rPr/>
      </w:pPr>
      <w:r>
        <w:rPr>
          <w:rFonts w:ascii="Amiri" w:hAnsi="Amiri" w:eastAsia="Amiri" w:cs="Amiri"/>
          <w:color w:val="111111"/>
          <w:sz w:val="28"/>
          <w:sz w:val="28"/>
          <w:szCs w:val="28"/>
          <w:rtl w:val="true"/>
          <w:lang w:bidi="ar-SA"/>
        </w:rPr>
        <w:t xml:space="preserve">وعمرو، وأراد فاطمة بنت زيد، فإنّ ظاهر كلامه وإن كان قابلاً للصدق على بنت عمرو، لكن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إلاّ على بنت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فالفرق بين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الصورة يكون البيع للمالك، وهو مخطئ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كذلك، لكنّه مخطئ في تطبيقه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يكون البيع لشخص أبيه، والتوصيف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يكون لأبيه بعد اعتقاده أنّه المالك، وغالب المعاملات تقع على النحو الرابع، وفي هذا النحو لا يكون البيع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ولا وجه لتوهّم كون حيثية المالك طرف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الشيخ الأعظم قدّس سرّه إنّما يصحّ على الصورة الثالثة؛ فإنّ البيع فيها لأبيه بما أنّه مالك،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باع لحيث مالكه، والحكم على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الحيثية التقييدية لا يمكن الالتزام بها في الموضوعات الشخصية؛ لأنّ الفرد الخارجي غير قابل للتعدّد، فتقييده ممتنع، والحيثية تعليلية في الموضوعات الخارجية، فالنزاع في أنّ الحيثية تقييدية أو تعليلية، إنّما هو في الأحكام الكلّية المتعلّقة بالعناوين، كتعلّق الأمر بالصلاة، والنهي عن الغصب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ما لايخفى؛ فإنّ الإطلاق والتقييد كما يجريان في الكلّيات، يجريان في الأشخاص، ولا يتوقّفان على إمكان التعدّد، بل إمكان التضييق الحالي 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بالإطلاق في صحّة إكرامه بأيّ حال كان، ككونه عادلاً أو لا، عالماً أو لا،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التقييد يأتي في الحروف،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تقييد للهيئة على أقرب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تعلّق الأمر بالصلاة، والنهي عن الغصب، فأجنبيّة عن الحيثية التقييدية والتعليلية، كما قرّر في مقامه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عن الفخر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قيل بالبطلان أمكن؛ لأنّه إنّما قصد نقل المال عن الأب لا عنه، ولأنّه وإن كان منجّزاً في الصورة، إلاّ أنّه معلّق،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مورّثي فقد 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كالعابث عند مباشرة العقد؛ لاعتقاده أنّ المبيع لغيره</w:t>
      </w:r>
      <w:r>
        <w:rPr>
          <w:rStyle w:val="FootnoteAnchor"/>
          <w:rtl w:val="true"/>
        </w:rPr>
        <w:footnoteReference w:id="784"/>
      </w:r>
      <w:r>
        <w:rPr>
          <w:rFonts w:ascii="Amiri" w:hAnsi="Amiri" w:eastAsia="Amiri" w:cs="Amiri"/>
          <w:color w:val="111111"/>
          <w:sz w:val="28"/>
          <w:sz w:val="28"/>
          <w:szCs w:val="28"/>
          <w:rtl w:val="true"/>
          <w:lang w:bidi="ar-SA"/>
        </w:rPr>
        <w:t>انتهى، واضح الإشكال، ومن البعيد صدوره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أنّه أراد بيان بطلان العقد المذكور بجميع احتمالات وقوعه؛ فإنّه لا يخلو إمّا أن يقصد النقل عن أبيه، أو عن نفسه، أو لا ذا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الأوّل عدم موافقة المجاز للمقصود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 عدم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الثالث كونه عبثاً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وإن كان مخالفاً لظاهر كلامه، لكنّه أحسن من الالتزام بعدم </w:t>
      </w:r>
    </w:p>
    <w:p>
      <w:pPr>
        <w:pStyle w:val="BookText"/>
        <w:rPr/>
      </w:pPr>
      <w:r>
        <w:rPr>
          <w:rFonts w:ascii="Amiri" w:hAnsi="Amiri" w:eastAsia="Amiri" w:cs="Amiri"/>
          <w:color w:val="111111"/>
          <w:sz w:val="28"/>
          <w:sz w:val="28"/>
          <w:szCs w:val="28"/>
          <w:rtl w:val="true"/>
          <w:lang w:bidi="ar-SA"/>
        </w:rPr>
        <w:t>تشخيصه محطّ النزاع، والتدافع بين الدليلين، وعدم لزوم العبث، كما في مطلق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الشيخ قدّس سرّه وغيره غير وافٍ بالجواب عن الاحتمال الأوّل</w:t>
      </w:r>
      <w:r>
        <w:rPr>
          <w:rStyle w:val="FootnoteAnchor"/>
          <w:rtl w:val="true"/>
        </w:rPr>
        <w:footnoteReference w:id="785"/>
      </w:r>
      <w:r>
        <w:rPr>
          <w:rFonts w:ascii="Amiri" w:hAnsi="Amiri" w:eastAsia="Amiri" w:cs="Amiri"/>
          <w:color w:val="111111"/>
          <w:sz w:val="28"/>
          <w:sz w:val="28"/>
          <w:szCs w:val="28"/>
          <w:rtl w:val="true"/>
          <w:lang w:bidi="ar-SA"/>
        </w:rPr>
        <w:t>، فلا بدّ من التشبّث بما مرّ في باب بيع الشخصيات عن غير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صالح لإجازة بائعه إذا ملكه، ولإجازة مالكه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اُفيد من الجواب عن إشكال التعليق</w:t>
      </w:r>
      <w:r>
        <w:rPr>
          <w:rStyle w:val="FootnoteAnchor"/>
          <w:rtl w:val="true"/>
        </w:rPr>
        <w:footnoteReference w:id="787"/>
      </w:r>
      <w:r>
        <w:rPr>
          <w:rFonts w:ascii="Amiri" w:hAnsi="Amiri" w:eastAsia="Amiri" w:cs="Amiri"/>
          <w:color w:val="111111"/>
          <w:sz w:val="28"/>
          <w:sz w:val="28"/>
          <w:szCs w:val="28"/>
          <w:rtl w:val="true"/>
          <w:lang w:bidi="ar-SA"/>
        </w:rPr>
        <w:t>، غير تامّ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دعوى المالكية لا تصحّحه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البناء على أمر يعتقد خلافه بمكان من الإمكان</w:t>
      </w:r>
      <w:r>
        <w:rPr>
          <w:rStyle w:val="FootnoteAnchor"/>
          <w:rtl w:val="true"/>
        </w:rPr>
        <w:footnoteReference w:id="789"/>
      </w:r>
      <w:r>
        <w:rPr>
          <w:rFonts w:ascii="Amiri" w:hAnsi="Amiri" w:eastAsia="Amiri" w:cs="Amiri"/>
          <w:color w:val="111111"/>
          <w:sz w:val="28"/>
          <w:sz w:val="28"/>
          <w:szCs w:val="28"/>
          <w:rtl w:val="true"/>
          <w:lang w:bidi="ar-SA"/>
        </w:rPr>
        <w:t>، بمكان من الضعف؛ ضرورة امتناع البناء الجدّي على خلاف اعتقاده، فهل يمكن البناء على أنّ الإنسان حجر، والنور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والتجزّم الذي أفاده السيّد الفشاركي قدّس سرّه في القضايا الكاذبة</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كالتشريع الذي أفادوه في باب حرمة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من امتناعه في محلّه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ماهية البيع ليست إلاّ النقل الإنشائي بالعوض، وهو أمر مجزوم به في جميع أنحاء البيع، وما لا يمكن </w:t>
      </w:r>
    </w:p>
    <w:p>
      <w:pPr>
        <w:pStyle w:val="BookText"/>
        <w:rPr/>
      </w:pPr>
      <w:r>
        <w:rPr>
          <w:rFonts w:ascii="Amiri" w:hAnsi="Amiri" w:eastAsia="Amiri" w:cs="Amiri"/>
          <w:color w:val="111111"/>
          <w:sz w:val="28"/>
          <w:sz w:val="28"/>
          <w:szCs w:val="28"/>
          <w:rtl w:val="true"/>
          <w:lang w:bidi="ar-SA"/>
        </w:rPr>
        <w:t>الجزم به والتنجيز فيه هو النقل الواقعي شرعاً، أو عند العقلاء، وهو غير مربوط بمفهوم العقد، ولا بالعقد بالحمل الشائع، بل هو أثر العقد بالحمل الشائع</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الشيخ الأعظم قدّس سرّه قد أشار إلى ذلك بعد أسطر</w:t>
      </w:r>
      <w:r>
        <w:rPr>
          <w:rStyle w:val="FootnoteAnchor"/>
          <w:rtl w:val="true"/>
        </w:rPr>
        <w:footnoteReference w:id="793"/>
      </w:r>
      <w:r>
        <w:rPr>
          <w:rFonts w:ascii="Amiri" w:hAnsi="Amiri" w:eastAsia="Amiri" w:cs="Amiri"/>
          <w:color w:val="111111"/>
          <w:sz w:val="28"/>
          <w:sz w:val="28"/>
          <w:szCs w:val="28"/>
          <w:rtl w:val="true"/>
          <w:lang w:bidi="ar-SA"/>
        </w:rPr>
        <w:t xml:space="preserve">في توضيح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ومع ذلك قد تشبّث بالحقيقة الادّعائية، ودعوى السلطنة والاستقلال</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479" w:name="pg15204_140585"/>
    </w:p>
    <w:p>
      <w:pPr>
        <w:pStyle w:val="Heading4"/>
        <w:numPr>
          <w:ilvl w:val="3"/>
          <w:numId w:val="1"/>
        </w:numPr>
        <w:rPr/>
      </w:pPr>
      <w:bookmarkStart w:id="480" w:name="__RefHeading___Toc2759000_2142443653"/>
      <w:bookmarkStart w:id="481" w:name="_Toc176"/>
      <w:bookmarkEnd w:id="479"/>
      <w:bookmarkEnd w:id="480"/>
      <w:r>
        <w:rPr>
          <w:rtl w:val="true"/>
        </w:rPr>
        <w:t>القول في المُجاز</w:t>
      </w:r>
      <w:bookmarkEnd w:id="481"/>
    </w:p>
    <w:p>
      <w:pPr>
        <w:pStyle w:val="Heading5"/>
        <w:numPr>
          <w:ilvl w:val="4"/>
          <w:numId w:val="1"/>
        </w:numPr>
        <w:rPr/>
      </w:pPr>
      <w:bookmarkStart w:id="482" w:name="__RefHeading___Toc2759002_2142443653"/>
      <w:bookmarkStart w:id="483" w:name="_Toc177"/>
      <w:bookmarkEnd w:id="482"/>
      <w:r>
        <w:rPr>
          <w:rtl w:val="true"/>
        </w:rPr>
        <w:t>ويتمّ ببيان اُمور</w:t>
      </w:r>
      <w:r>
        <w:rPr>
          <w:rtl w:val="true"/>
        </w:rPr>
        <w:t>:</w:t>
      </w:r>
      <w:bookmarkEnd w:id="483"/>
    </w:p>
    <w:p>
      <w:pPr>
        <w:pStyle w:val="Heading6"/>
        <w:numPr>
          <w:ilvl w:val="5"/>
          <w:numId w:val="1"/>
        </w:numPr>
        <w:rPr/>
      </w:pPr>
      <w:bookmarkStart w:id="484" w:name="__RefHeading___Toc2759004_2142443653"/>
      <w:bookmarkStart w:id="485" w:name="_Toc178"/>
      <w:bookmarkEnd w:id="484"/>
      <w:r>
        <w:rPr>
          <w:rtl w:val="true"/>
        </w:rPr>
        <w:t>الأوّل</w:t>
      </w:r>
      <w:r>
        <w:rPr>
          <w:rtl w:val="true"/>
        </w:rPr>
        <w:t xml:space="preserve">: </w:t>
      </w:r>
      <w:r>
        <w:rPr>
          <w:rtl w:val="true"/>
        </w:rPr>
        <w:t>اعتبار كون العقد المجاز جامعاً لجميع الشروط</w:t>
      </w:r>
      <w:bookmarkEnd w:id="485"/>
    </w:p>
    <w:p>
      <w:pPr>
        <w:pStyle w:val="Heading6"/>
        <w:numPr>
          <w:ilvl w:val="5"/>
          <w:numId w:val="1"/>
        </w:numPr>
        <w:rPr/>
      </w:pPr>
      <w:bookmarkStart w:id="486" w:name="__RefHeading___Toc2759006_2142443653"/>
      <w:bookmarkStart w:id="487" w:name="_Toc179"/>
      <w:bookmarkEnd w:id="486"/>
      <w:r>
        <w:rPr>
          <w:rtl w:val="true"/>
        </w:rPr>
        <w:t>بيان التحقيق</w:t>
      </w:r>
      <w:bookmarkEnd w:id="487"/>
    </w:p>
    <w:p>
      <w:pPr>
        <w:pStyle w:val="BookText"/>
        <w:rPr/>
      </w:pPr>
      <w:r>
        <w:rPr>
          <w:rFonts w:ascii="Amiri" w:hAnsi="Amiri" w:eastAsia="Amiri" w:cs="Amiri"/>
          <w:color w:val="111111"/>
          <w:sz w:val="28"/>
          <w:sz w:val="28"/>
          <w:szCs w:val="28"/>
          <w:rtl w:val="true"/>
          <w:lang w:bidi="ar-SA"/>
        </w:rPr>
        <w:t>لا إشكال في أنّ عقد الفضولي كسائر العقود في أنّه يعتبر فيه ما يعتبر فيها، إنّما الكلام في أنّ الشرائط المعتبرة هل هي معتبرة عند العقد، أو عند الإجازة، أو عندهما، أو من زمان العقد إلى زمان الإجازة؟</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الشرائط ما هو دخيل في ماهية العقد؛ أي تتقوّم الماهية به، أو في تحقّقها، كالقصد، والعقل، والتميّز في المتعاقدين، وكالمالية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 في الإنشاء أو في ألفاظ العقود، كالتنجيز، والعربية، وكون المنشئ بالغاً على رأي معروف</w:t>
      </w:r>
      <w:r>
        <w:rPr>
          <w:rStyle w:val="FootnoteAnchor"/>
          <w:rtl w:val="true"/>
        </w:rPr>
        <w:footnoteReference w:id="796"/>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نحو تلك الشروط، إنّما الكلام في غيرها ممّا يعتبر في العقود شرعاً، ككون المعاملة غير غررية وغير ربوية، وكون العوضين غير الخمر والأعيان النجسة وآلات القمار واللهو ونحوها، وكالقدرة على التسليم، وكون مشتري المسلم والمصحف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488" w:name="pg15204_140586"/>
    </w:p>
    <w:p>
      <w:pPr>
        <w:pStyle w:val="BookText"/>
        <w:rPr/>
      </w:pPr>
      <w:bookmarkEnd w:id="488"/>
      <w:r>
        <w:rPr>
          <w:rFonts w:ascii="Amiri" w:hAnsi="Amiri" w:eastAsia="Amiri" w:cs="Amiri"/>
          <w:color w:val="111111"/>
          <w:sz w:val="28"/>
          <w:sz w:val="28"/>
          <w:szCs w:val="28"/>
          <w:rtl w:val="true"/>
          <w:lang w:bidi="ar-SA"/>
        </w:rPr>
        <w:t>فهل تعتبر تلك الشرائط حال العقد أو حال الإجازة، أو يكفي وجودها في أحد الحالين، أو تشترط في حالهما، أو من حال العقد مستمرّاً إلى حال الإجازة؟ وجوه</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2759008_2142443653"/>
      <w:bookmarkStart w:id="490" w:name="_Toc180"/>
      <w:bookmarkEnd w:id="489"/>
      <w:r>
        <w:rPr>
          <w:rtl w:val="true"/>
        </w:rPr>
        <w:t>حول مختار الشيخ قدّس سرّه</w:t>
      </w:r>
      <w:bookmarkEnd w:id="490"/>
    </w:p>
    <w:p>
      <w:pPr>
        <w:pStyle w:val="BookText"/>
        <w:rPr/>
      </w:pPr>
      <w:r>
        <w:rPr>
          <w:rFonts w:ascii="Amiri" w:hAnsi="Amiri" w:eastAsia="Amiri" w:cs="Amiri"/>
          <w:color w:val="111111"/>
          <w:sz w:val="28"/>
          <w:sz w:val="28"/>
          <w:szCs w:val="28"/>
          <w:rtl w:val="true"/>
          <w:lang w:bidi="ar-SA"/>
        </w:rPr>
        <w:t>اختار الشيخ الأعظم قدّس سرّه لزوم حصول الشرائط عند إنشاء النقل، إلاّ فيما دلّ الدليل على اعتبار الشرط في ترتّب الأثر الشرعي على العقد، من غير ظهور في اعتباره في أصل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كونه جامعاً لجميع الشروط المعتبرة في تأثيره، عدا رضا المالك؛ وذلك لأنّ العقد إمّا تمام السبب أو جزؤه، 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اجتماع الشروط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يجوز الإيجاب في حال جهل القابل بالعوضين،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ذلك، لم يلزم منه الجواز هنا؛ لأنّ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كونها جزءاً، فهي جزء للمؤثّر لا للعقد، فيكون جميع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الشروط في البيع، ظاهرة في اعتبارها في إنشاء النقل والانتقال بالعقد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دلّ دليل على اعتبار شرط في ترتّب الأثر الشرعي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في اعتباره في أصل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بكفاية وجوده حين الإجازة، ولعلّ من هذا القبيل القدرة على التسليم، وإسلام مشتري </w:t>
      </w:r>
    </w:p>
    <w:p>
      <w:pPr>
        <w:pStyle w:val="BookText"/>
        <w:rPr/>
      </w:pPr>
      <w:r>
        <w:rPr>
          <w:rFonts w:ascii="IRNazanin" w:hAnsi="IRNazanin" w:eastAsia="IRNazanin"/>
          <w:color w:val="111111"/>
          <w:sz w:val="28"/>
          <w:sz w:val="28"/>
          <w:szCs w:val="28"/>
          <w:rtl w:val="true"/>
          <w:lang w:bidi="fa-IR"/>
        </w:rPr>
        <w:t>المصحف والعبد المسلم</w:t>
      </w:r>
      <w:r>
        <w:rPr>
          <w:rStyle w:val="FootnoteAnchor"/>
          <w:rtl w:val="true"/>
        </w:rPr>
        <w:footnoteReference w:id="7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الظهور المذكور،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اختلاف لسان الأدلّة في إيفاء الشروط، ففرق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 الخمر والنبيذ والمسكر والربا بعد البيّنة سحت</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وبين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فرق بحسب مناسبات الحكم والموضوع بين الموارد، ففرق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بيعها وثمنها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مراجعة الأدلّة تفصيلاً، وملاحظة المناسبات العرفية بين الأحكام وموضوعاتها، فبمجرّد تعلّق النهي بعنوان البيع، لا يصحّ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w:t>
      </w:r>
    </w:p>
    <w:p>
      <w:pPr>
        <w:pStyle w:val="BookText"/>
        <w:rPr/>
      </w:pPr>
      <w:r>
        <w:rPr>
          <w:rFonts w:ascii="Amiri" w:hAnsi="Amiri" w:eastAsia="Amiri" w:cs="Amiri"/>
          <w:color w:val="111111"/>
          <w:sz w:val="28"/>
          <w:sz w:val="28"/>
          <w:szCs w:val="28"/>
          <w:rtl w:val="true"/>
          <w:lang w:bidi="ar-SA"/>
        </w:rPr>
        <w:t>اعتبار الشرط في إنشاء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الشرائط الشرعية كلّها ترجع إلى شرط تأثير العقود والبيوع؛ ضرورة عدم دخالتها في مفهومها، ولا في تحقّقها الإنشائي، بل ولا في ترتّب الأثر العقلائي؛ فإنّ كلّ ذلك خارج عن حيطة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الشرائط لا بدّ وأن ترجع إلى تأثيرها في ترتّب الأثر عند الشارع الأقدس، فالنهي عن بيع الخمر إرشاد إلى بطلان بيع الخمر، وعدم ترتّب الأثر عليه عند الشارع، كان الإيفاء بلفظ الشرط، أو بالنهي، أو الأمر الإرشادي إلى البطلان، أو بلسان نفي الموضوع،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تملك</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أنّ ألفاظ البيع وإنشائه ليست بيعاً عقلاً ولا عرفاً، بل البيع هو المنشأ بالألفاظ؛ أي المسبّب الذي يكون سبباً للنقل الحقيقي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وآلات للإنشاء، وما هو منشأ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الإنشائي، ترتّب عليه الأثر فعلاً، أو لا كبيع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مترتّب عليه وهو النقل العقلائي الواقعي مقابل الإنشائي، فقد يترتّب عليه بلا فصل، كبيع الأصيلين، وقد يترتّب بفصل، كبيع الفضولي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الأدلّة التي رتّب فيها الحكم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تأثير البيع المسبّبي بشرط كذائي؛ أي لا يترتّب عليه الأثر إلاّ بعد الشرط الكذائي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اشتراط صحّة البيع بكون المبيع عند بائعه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تملكه</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أي لا يترتّب عليه أثر فعلاً من غير دلالة على لزوم مقارنة الشرط لحدوث المنشأ وعدمه، فالاشتراط ثابت، فإذا شكّ في لزوم حصوله عند إنشاء البيع، يدفع بإطلاق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أفاده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دلّ على اعتبار الشروط في البيع ظاهر في اعتبارها في إنشاء النقل، خلاف الظاهر، بل ظاهر في اعتبارها في تأثير البيع، لا في إنشاء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الفضولي الذي لا يترتّب عليه الأثر إلاّ بعد الإجازة، لو فرض عدم وجود شرط التأثير إلى ما قبل الإجازة، فوجد فأجاز، لم تدلّ الأدلّة على عدم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أدلّة صحّة البيع وعمومها هو الصحّة، بل لعلّ مقتضى إطلاق أدلّة الاشتراط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الكفاية في بعض ما تقدّم أولى من إسلام مشتري المصحف والمسلم؛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البيع على المصحف والمسلم لغير المسلم مخالف لاحترامهما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البيع الغرري، فالمقصود من النهي عنه هو عدم إقدام المالكين على أمر غرري خطري، فإذا باع الفضولي ما هو مجهول عنده بحسب المقدار، وحال </w:t>
      </w:r>
    </w:p>
    <w:p>
      <w:pPr>
        <w:pStyle w:val="BookText"/>
        <w:rPr/>
      </w:pPr>
      <w:r>
        <w:rPr>
          <w:rFonts w:ascii="Amiri" w:hAnsi="Amiri" w:eastAsia="Amiri" w:cs="Amiri"/>
          <w:color w:val="111111"/>
          <w:sz w:val="28"/>
          <w:sz w:val="28"/>
          <w:szCs w:val="28"/>
          <w:rtl w:val="true"/>
          <w:lang w:bidi="ar-SA"/>
        </w:rPr>
        <w:t>إجازة المالكين كان معلوماً عندهما فأجازا، لم يقدما على غرر وخطر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كذلك في غالب الشرائط غير ما دلّ دليل خاصّ على اعتباره في حال الإنشاء، أو عند حدوث المنشأ، فلو باع الخمر فصارت خلاًّ عند الإجازة، أو باع ربويّاً فصار حين الإجازة غير ربوي، فالظاهر الصحّة؛ لما عرفت من أنّ الظاهر من الأدلّة، أنّ الشرائط لتأثير البيع المنشأ بالألفاظ أو بالأفعال، ومقتضى ذلك كفاية حصولها عند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الشرط حاصلاً حال العقد، وغير حاصل حال التأثير، فالتحقيق عدم الكفاية؛ للزوم مقارنة الشرط لحال التأثير، فلو باع عصير العنب فضولاً فصار خمراً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الإشكال في العلم بمقدار المثمن والثمن، فهل يكفي حصوله للفضولي حال العقد وإن جهل به المالك حال الإجازة، ومنشؤه أنّ الفضولي كالوكيل المفوّض، فإذا علم بالواقعة كفى، بل المناط علمه لا علم الموكّل؟</w:t>
      </w:r>
    </w:p>
    <w:p>
      <w:pPr>
        <w:pStyle w:val="BookText"/>
        <w:rPr/>
      </w:pPr>
      <w:r>
        <w:rPr>
          <w:rFonts w:ascii="Amiri" w:hAnsi="Amiri" w:eastAsia="Amiri" w:cs="Amiri"/>
          <w:color w:val="111111"/>
          <w:sz w:val="28"/>
          <w:sz w:val="28"/>
          <w:szCs w:val="28"/>
          <w:rtl w:val="true"/>
          <w:lang w:bidi="ar-SA"/>
        </w:rPr>
        <w:t>أو لا يكون كذلك، بل المناط علم المجيز حال الإجازة؛ فإنّ البيع مشروط بعدم كونه غررياً، والغرر إنّما هو عند إجازة المجيز المالك؟ والأصحّ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حصول الشرط عند العقد، أو عند الإجازة، أو عندهما، أو من حال العقد مستمرّاً إلى حال الإجازة، فإن اُحرز أحدها بالأدلّة اُخذ 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إحراز الاعتبار في حال، والشكّ في اعتبار زائد، يؤخذ بإطلاق الأدلّة، ويدفع به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 على النقل لكونه مقتضى القواعد كما مرّ</w:t>
      </w:r>
      <w:r>
        <w:rPr>
          <w:rStyle w:val="FootnoteAnchor"/>
          <w:rtl w:val="true"/>
        </w:rPr>
        <w:footnoteReference w:id="805"/>
      </w:r>
      <w:r>
        <w:rPr>
          <w:rFonts w:ascii="Amiri" w:hAnsi="Amiri" w:eastAsia="Amiri" w:cs="Amiri"/>
          <w:color w:val="111111"/>
          <w:sz w:val="28"/>
          <w:sz w:val="28"/>
          <w:szCs w:val="28"/>
          <w:rtl w:val="true"/>
          <w:lang w:bidi="ar-SA"/>
        </w:rPr>
        <w:t>، وأنّ الكشف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مقتضى القواعد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لمقتضاها، ولم يكن في دليل إثبات الكشف أيضاً إطلاق، كما أنّ الأمر كذلك، ففي كلّ مورد احتملت دخالة شرط في الكشف، لا بدّ من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اقتصر دليل الكشف على ثبوته في مورد، لا بدّ من القول بالنقل في ما عداه؛ لما تقدّم من أنّ جواز الخروج عن القواعد التي تقتضي النقل، إنّما هو في مورد ثبوت الكشف، وفي غيره يؤخذ بها، ويحكم بالنقل الذي هو موافق للقواعد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 جارٍ في الإيجاب أيضاً، إلاّ أن يدلّ دليل على لزوم جامعية القابل في حال الإيجاب لجميع شرائط الصحّة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الموجب واجداً للشرائط حال الإيجاب دون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محجوراً، أو جاهلاً، أو كان المبيع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الحجر والجهل، وانقلب الخمر خلاًّ حال القبول، فمقتضى القواعد الصحّة؛ لصدق العناوين وإطلاق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أوجب الموجب فصار نائماً أو مغمىً عليه فقبل القابل، صحّ على القواعد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المعاقدة مع الغير تقتضي أن يكون طرفاها أهلاً للمعاقدة والمعاهدة، فكما لا يمكن الالتزام الجدّي مع الميّت والمجنون والنائم ونحوه، </w:t>
      </w:r>
    </w:p>
    <w:p>
      <w:pPr>
        <w:pStyle w:val="BookText"/>
        <w:rPr/>
      </w:pPr>
      <w:r>
        <w:rPr>
          <w:rFonts w:ascii="Amiri" w:hAnsi="Amiri" w:eastAsia="Amiri" w:cs="Amiri"/>
          <w:color w:val="111111"/>
          <w:sz w:val="28"/>
          <w:sz w:val="28"/>
          <w:szCs w:val="28"/>
          <w:rtl w:val="true"/>
          <w:lang w:bidi="ar-SA"/>
        </w:rPr>
        <w:t>كذلك الالتزام الجدّي مع من هو كالجدار أو كالحمار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وغيره من التجارات لم يؤخذ في ماهيتها المعاقدة والمعاهدة، بل البيع تمليك العين بالعوض، أو مبادلة مال بمال، لا المعاهدة على أن يكون كذلك، ولا تبادل الالتزامات، وإعطاء التزام وأخذ التزام؛ ضرورة أنّ كلّ ما ذكر خارج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تحقّق المعاملة، يكون كلّ منهما بحكم العرف والشرع ملزماً بالوفاء، وهو من أحكامها، لا دخيل في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808"/>
      </w:r>
      <w:r>
        <w:rPr>
          <w:rFonts w:ascii="Amiri" w:hAnsi="Amiri" w:eastAsia="Amiri" w:cs="Amiri"/>
          <w:color w:val="111111"/>
          <w:sz w:val="28"/>
          <w:sz w:val="28"/>
          <w:szCs w:val="28"/>
          <w:rtl w:val="true"/>
          <w:lang w:bidi="ar-SA"/>
        </w:rPr>
        <w:t>في بعض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ونحوه، باعتبار العقدة الحاصلة من تبادل العوضين ادّعاءً، فعقدة البيع كعقدة النكاح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الَّذِى بِيَدِهِ عُقْدَةُ النِّكَاحِ</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التعاقد والتعاهد ونحوهما أجانب عن معاني المعاملات، وإنّما هي اُمور أبداها أهل التحقيق خارجاً عن محيط العرف والمفاهيم العرفية،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لزيد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غفلة زيد، فتنبّه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أحد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بيع الفضولي والإجازة شأن الإيجاب والقبول، فالقبول إجازة الفضولي في بيع الأصيلين، والإجازة قبول الإيجاب لا 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بأنّ الإجازة قبول للإيجاب سخيف جدّاً </w:t>
      </w:r>
      <w:r>
        <w:rPr>
          <w:rStyle w:val="FootnoteAnchor"/>
          <w:rtl w:val="true"/>
        </w:rPr>
        <w:footnoteReference w:id="811"/>
      </w:r>
      <w:r>
        <w:rPr>
          <w:rFonts w:ascii="Amiri" w:hAnsi="Amiri" w:eastAsia="Amiri" w:cs="Amiri"/>
          <w:color w:val="111111"/>
          <w:sz w:val="28"/>
          <w:sz w:val="28"/>
          <w:szCs w:val="28"/>
          <w:rtl w:val="true"/>
          <w:lang w:bidi="ar-SA"/>
        </w:rPr>
        <w:t xml:space="preserve">، قول صدر من غير تأمّل في ماهية البيع، والإيجاب والقبول، وبيع الفضولي والإجازة، فراجع ما مرّ منّا سالفاً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حصول جميع الشرائط حال الإيجاب بالنسبة إلى الطرفين وبالعكس، لم يدلّ عليه دليل، لكن تسالمهم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يمنعنا عن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لولا تسالمهم على لزوم اجتماع الشرائط مطلقاً حال إيقاع البيع في الأصيلين، لم استبعد عدم لزوم ما هو شرط للتأثير شرعاً حاله، فلو عقدا على خمر فصار خلاًّ، كان الأمر كما لو عقدا مكرهين فصارا راضيين، فكلّ منهما شرط التأثير، وكبيع غير المملوك إذا صار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القدرة على التسليم وبيع المصحف والمسلم من الكافر وبيع المجهول، فإنّ مفهوم البيع ووجوده الإنشائي محقّق، فإذا وجد شرط التأثير أثّر في النقل، لكن لا يساعدنا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عن مثله وعمّا تقدّم، والعهدة على مدّعيه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تقدّم حال الشكّ في اعتبار شرط حال العقد، أو حال الإجازة، أو مستمرّاً من حاله إلى حالها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491" w:name="pg15204_140594"/>
    </w:p>
    <w:p>
      <w:pPr>
        <w:pStyle w:val="Heading6"/>
        <w:numPr>
          <w:ilvl w:val="5"/>
          <w:numId w:val="1"/>
        </w:numPr>
        <w:rPr/>
      </w:pPr>
      <w:bookmarkStart w:id="492" w:name="__RefHeading___Toc2759010_2142443653"/>
      <w:bookmarkStart w:id="493" w:name="_Toc181"/>
      <w:bookmarkEnd w:id="491"/>
      <w:bookmarkEnd w:id="492"/>
      <w:r>
        <w:rPr>
          <w:rtl w:val="true"/>
        </w:rPr>
        <w:t>حكم صور العلم الإجمالي باعتبار شرائط المعاملة</w:t>
      </w:r>
      <w:bookmarkEnd w:id="493"/>
    </w:p>
    <w:p>
      <w:pPr>
        <w:pStyle w:val="BookText"/>
        <w:rPr/>
      </w:pPr>
      <w:r>
        <w:rPr>
          <w:rFonts w:ascii="Amiri" w:hAnsi="Amiri" w:eastAsia="Amiri" w:cs="Amiri"/>
          <w:color w:val="111111"/>
          <w:sz w:val="28"/>
          <w:sz w:val="28"/>
          <w:szCs w:val="28"/>
          <w:rtl w:val="true"/>
          <w:lang w:bidi="ar-SA"/>
        </w:rPr>
        <w:t>بقي حال العلم الإجمالي، ففيه صور لا إشكال في بعضها، كما لو علم بأنّه إمّا معتبر حال العقد أو حاله إلى زمان الإجازة، أو علم أنّه معتبر إمّا حال الإجازة أو حالها إلى زمان العقد، فإنّ العلم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هو الكلام في الأقلّ والأكثر، ففي الاُولى اعتباره حال العقد معلوم تفصيلاً، والزائد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اعتباره حال الإجازة معلوم، والزائد مشكوك فيه، ويؤخذ بالقواعد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وكالعلم الإجمالي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العقد، أو حال الإجازة، فيجب إحرازه في حالهما؛ عملاً بالعلم الإجمالي، وخروجاً عن أصالة عدم النقل، أو أصالة بقاء المبيع والثمن على ملك صاحبهما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بعضها، كالعلم إجمالاً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العقد، أو حال الإجازة، أو من حال العقد مستمرّاً إلى حال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ومنشؤه أنّ مثل هذا العلم الإجمالي هل هو صالح لتنجيز تمام الأطراف،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من حال العقد مستمرّاً إلى حال الإجازة؟</w:t>
      </w:r>
    </w:p>
    <w:p>
      <w:pPr>
        <w:pStyle w:val="BookText"/>
        <w:rPr/>
      </w:pPr>
      <w:r>
        <w:rPr>
          <w:rFonts w:ascii="Amiri" w:hAnsi="Amiri" w:eastAsia="Amiri" w:cs="Amiri"/>
          <w:color w:val="111111"/>
          <w:sz w:val="28"/>
          <w:sz w:val="28"/>
          <w:szCs w:val="28"/>
          <w:rtl w:val="true"/>
          <w:lang w:bidi="ar-SA"/>
        </w:rPr>
        <w:t>ونظيره في التكليف العلم إجمالاً بوجوب إكرام زيد، أو وجوب إكرام عمرو، أو إكرام زيد مستمرّاً إلى حال إكرام عمرو، فيجب إكرامه إلى زمان إكرام عمرو؛ خروجاً عن عهدة التكليف في البين؟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يصلح إلاّ لتنجيز الطرفين؛ أي زمان العقد وزمان الإجازة، لا بينهما، </w:t>
      </w:r>
    </w:p>
    <w:p>
      <w:pPr>
        <w:pStyle w:val="BookText"/>
        <w:rPr/>
      </w:pPr>
      <w:r>
        <w:rPr>
          <w:rFonts w:ascii="Amiri" w:hAnsi="Amiri" w:eastAsia="Amiri" w:cs="Amiri"/>
          <w:color w:val="111111"/>
          <w:sz w:val="28"/>
          <w:sz w:val="28"/>
          <w:szCs w:val="28"/>
          <w:rtl w:val="true"/>
          <w:lang w:bidi="ar-SA"/>
        </w:rPr>
        <w:t>وفي التكليف ينجّز وجوب إكرام زيد وإكرام عمرو، لا إكرام زيد مستمرّاً إلى زمان إكرام عمرو؟</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بحسب اللبّ دائر بين الأقلّ والأكثر؛ فإنّ اعتباره في أحد الطرفين معلوم على أيّ حال، سواء كان الاعتبار لهذا أو هذا، أو هما مع الاستمرار، فيرجع الأمر إلى العلم بأنّ اعتباره إمّا في أحدهما، أو أحدهما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فالتنجيز بالنسبة إلى أحدهما معلوم تفصيلاً، وبالنسبة إلى الزيادة مشكوك فيه، الراجع حقيقة إلى العلم بعدم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تنجيز أحد الطرفين مرّتين لا يعقل، ومع عدم إمكان تنجيز الطرف مع قيد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 تنجيز الطرف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تنجيز الطرفين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الثاني، يرجع الأمر إلى العلم بوجوب إكرام الشخص الواقعي في علم اللّه، أو إكرامه مع إكرام غيره، فيرجع إلى الأقلّ والأكثر واقعاً، فكما في باب الأقلّ والأكثر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الأقلّ واجب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أحدهما واجب الإكرام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الإجمالي بأحدهما منجّز تفصيلاً، 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فيه، فلا يعقل التنجيز 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مع الغضّ عن قيد الاستمرار، يبقى العلم الإجمالي بحاله، فضمّ القيد لا دخالة له في تنجيز العلم بالنسبة إلى الطرفين، فلا يكون القيد طرفاً للعلم، ولا المقيّد طرفاً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المقام وبين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قبيل الانحلال في التنجيز، وهناك من قبيل الانحلال في التكليف، بل ببعض التقارير يكون المقام أيضاً من قبيل الانحلال في التكليف، الموجب للانحلال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الفضولي هل هو كالوكيل المفوّض، أو كالمأذون كذلك، حتّى يكون اعتبار الشرائط عند إيقاعه العقد وإحرازها بنظره، إلاّ ما دلّ الدليل على لزوم اعتباره حال الإجازة، كشرائط الإجازة والمجيز، وبعض شرائط العوضين؟</w:t>
      </w:r>
    </w:p>
    <w:p>
      <w:pPr>
        <w:pStyle w:val="BookText"/>
        <w:rPr/>
      </w:pPr>
      <w:r>
        <w:rPr>
          <w:rFonts w:ascii="Amiri" w:hAnsi="Amiri" w:eastAsia="Amiri" w:cs="Amiri"/>
          <w:color w:val="111111"/>
          <w:sz w:val="28"/>
          <w:sz w:val="28"/>
          <w:szCs w:val="28"/>
          <w:rtl w:val="true"/>
          <w:lang w:bidi="ar-SA"/>
        </w:rPr>
        <w:t>أو كالوكيل في إجراء الصيغة، أو المأذون فيه، حتّى يكون الاعتبار بحال الإجازة، إلاّ ما دلّ الدليل على لزوم اعتباره في حال العقد، كشرائط العاقد والمجري للصيغة، وكمقوّمات ماهية المعاملة، وذلك من غير فرق بين الكشف والنقل، إلاّ إذا دلّ الدليل على الافتراق؟</w:t>
      </w:r>
    </w:p>
    <w:p>
      <w:pPr>
        <w:pStyle w:val="BookText"/>
        <w:rPr/>
      </w:pPr>
      <w:r>
        <w:rPr>
          <w:rFonts w:ascii="Amiri" w:hAnsi="Amiri" w:eastAsia="Amiri" w:cs="Amiri"/>
          <w:color w:val="111111"/>
          <w:sz w:val="28"/>
          <w:sz w:val="28"/>
          <w:szCs w:val="28"/>
          <w:rtl w:val="true"/>
          <w:lang w:bidi="ar-SA"/>
        </w:rPr>
        <w:t>أو أنّه كالوكيل المفوّض، أو المأذون كذلك على الكشف، وكالوكيل في إجراء</w:t>
      </w:r>
    </w:p>
    <w:p>
      <w:pPr>
        <w:pStyle w:val="BookText"/>
        <w:rPr/>
      </w:pPr>
      <w:r>
        <w:rPr>
          <w:rFonts w:ascii="Amiri" w:hAnsi="Amiri" w:eastAsia="Amiri" w:cs="Amiri"/>
          <w:color w:val="111111"/>
          <w:sz w:val="28"/>
          <w:sz w:val="28"/>
          <w:szCs w:val="28"/>
          <w:rtl w:val="true"/>
          <w:lang w:bidi="ar-SA"/>
        </w:rPr>
        <w:t>الصيغة على النقل؟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شيء ممّا ذكر؛ بحيث يكون قاعدة يرجع إليها في موارد الشكّ، فاللازم ملاحظة كلّ شرط على الكشف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اختلاف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النقل في بعض الشرائط، فلو باع خمراً أو شيئاً من آلات اللهو أو القمار، أو ما لا تكون له منفعة محلّلة، فعلى الكشف بأقسامه لا يصحّ؛ فإنّ في جميعها يكون التملّك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الكشف الحقيقي فمعلوم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الحكمي أيضاً كذلك؛ فإنّ النقل من الأوّل حال الإجازة، وعلى </w:t>
      </w:r>
    </w:p>
    <w:p>
      <w:pPr>
        <w:pStyle w:val="BookText"/>
        <w:rPr/>
      </w:pPr>
      <w:r>
        <w:rPr>
          <w:rFonts w:ascii="Amiri" w:hAnsi="Amiri" w:eastAsia="Amiri" w:cs="Amiri"/>
          <w:color w:val="111111"/>
          <w:sz w:val="28"/>
          <w:sz w:val="28"/>
          <w:szCs w:val="28"/>
          <w:rtl w:val="true"/>
          <w:lang w:bidi="ar-SA"/>
        </w:rPr>
        <w:t>التعبّدي يكون التعبّد بملكيته حال العقد ولو كان التعبّد حال الإجازة فيرجع كلّها إلى ملكية ما لا يجوز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النقل يصحّ لو صار الخمر خلاًّ، وخرجت الآلات المذكورة عن الآلية، فإنّه لا إشكال في الصحّة إذا اجتمعت الشرائط حال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اعتبار الشرائط حال العقد، أو من حاله إلى حال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الاشتراط حال الإجازة الذي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اجتمعت الشرائط حال العقد،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وأنّه على القواعد، وشكّ في اعتبارها حال الإجازة، أو من حال العقد إلى حال الإجازة، يدفع ذلك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الكشف على خلاف القواعد، فلا يصحّ الحكم بالكشف إلاّ مع اجتماع الشرائط المحتملة؛ فإنّه لا إطلاق لدليل إثبات الكشف حتّى تدفع به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بعض الشرائط حال العقد ووجد بعده،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الكشف على القواعد، كما لو كان المبيع خمراً حال العقد فصار خلاًّ بعده، فهل يحكم بالبطلان وعدم صلوح البيع للإجازة؟</w:t>
      </w:r>
    </w:p>
    <w:p>
      <w:pPr>
        <w:pStyle w:val="BookText"/>
        <w:rPr/>
      </w:pPr>
      <w:r>
        <w:rPr>
          <w:rFonts w:ascii="Amiri" w:hAnsi="Amiri" w:eastAsia="Amiri" w:cs="Amiri"/>
          <w:color w:val="111111"/>
          <w:sz w:val="28"/>
          <w:sz w:val="28"/>
          <w:szCs w:val="28"/>
          <w:rtl w:val="true"/>
          <w:lang w:bidi="ar-SA"/>
        </w:rPr>
        <w:t>أو يصحّ كشفاً، ويكون صحيحاً من حال إمكان الكشف، وهو حال تبدّل الخمر خلاًّ؟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عموماً أفرادياً </w:t>
      </w:r>
      <w:bookmarkStart w:id="494" w:name="pg15204_140598"/>
    </w:p>
    <w:p>
      <w:pPr>
        <w:pStyle w:val="BookText"/>
        <w:rPr/>
      </w:pPr>
      <w:bookmarkEnd w:id="494"/>
      <w:r>
        <w:rPr>
          <w:rFonts w:ascii="Amiri" w:hAnsi="Amiri" w:eastAsia="Amiri" w:cs="Amiri"/>
          <w:color w:val="111111"/>
          <w:sz w:val="28"/>
          <w:sz w:val="28"/>
          <w:szCs w:val="28"/>
          <w:rtl w:val="true"/>
          <w:lang w:bidi="ar-SA"/>
        </w:rPr>
        <w:t>وإطلاقاً يقتضي استمرار وجوب الوفاء، على نحو ما قرّرناه في محلّه</w:t>
      </w:r>
      <w:r>
        <w:rPr>
          <w:rStyle w:val="FootnoteAnchor"/>
          <w:rtl w:val="true"/>
        </w:rPr>
        <w:footnoteReference w:id="815"/>
      </w:r>
      <w:r>
        <w:rPr>
          <w:rFonts w:ascii="Amiri" w:hAnsi="Amiri" w:eastAsia="Amiri" w:cs="Amiri"/>
          <w:color w:val="111111"/>
          <w:sz w:val="28"/>
          <w:sz w:val="28"/>
          <w:szCs w:val="28"/>
          <w:rtl w:val="true"/>
          <w:lang w:bidi="ar-SA"/>
        </w:rPr>
        <w:t>، فيستكشف من وجوب الوفاء صحّة العقد ولزومه، وإذا خرج بعض الأفراد في زمان أو حال بقي الباقي، نظير ما قرّر في باب الخيارات،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كذلك ليس تخصيصاً للعموم، بل تقييد للإطلاق</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المقام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في المقام دخيل في الصحّة، وهناك في اللزوم، وهذا ليس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مقام التمسّك بالإطلاق في غير مورد الخروج، فيحكم بصحّته بعد حصول الشرط، كما يحكم باللزوم بعد زمان تيقّن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فقدان الشرط حال العقد لا يحكم بالبطلان،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أو الكشف، وسواء كان النقل على وفق القاعدة أو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الكشف إذا كان على خلاف القاعدة، ولم يحرز ما يحتمل دخالته فيه، يحكم بالنقل لا بالبطلان، وإن كان على وفقها يحكم بالصحّة من حال حصول الشرط، لا من حال العقد</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2759012_2142443653"/>
      <w:bookmarkStart w:id="496" w:name="_Toc182"/>
      <w:bookmarkEnd w:id="495"/>
      <w:r>
        <w:rPr>
          <w:rtl w:val="true"/>
        </w:rPr>
        <w:t>حول اشتراط بقاء الشرائط إلى زمان الإجازة</w:t>
      </w:r>
      <w:bookmarkEnd w:id="496"/>
    </w:p>
    <w:p>
      <w:pPr>
        <w:pStyle w:val="BookText"/>
        <w:rPr/>
      </w:pPr>
      <w:r>
        <w:rPr>
          <w:rFonts w:ascii="Amiri" w:hAnsi="Amiri" w:eastAsia="Amiri" w:cs="Amiri"/>
          <w:color w:val="111111"/>
          <w:sz w:val="28"/>
          <w:sz w:val="28"/>
          <w:szCs w:val="28"/>
          <w:rtl w:val="true"/>
          <w:lang w:bidi="ar-SA"/>
        </w:rPr>
        <w:t>ثمّ إنّه ممّا ذكر ظهر حال أمر آخر، وهو أنّه هل يشترط بقاء الشرائط المعتبرة حال العقد إلى زمان الإجازة أم لا؟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مع توسعة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العاقدين إمّا فضوليان، أو أحدهما </w:t>
      </w:r>
    </w:p>
    <w:p>
      <w:pPr>
        <w:pStyle w:val="BookText"/>
        <w:rPr/>
      </w:pPr>
      <w:r>
        <w:rPr>
          <w:rFonts w:ascii="Amiri" w:hAnsi="Amiri" w:eastAsia="Amiri" w:cs="Amiri"/>
          <w:color w:val="111111"/>
          <w:sz w:val="28"/>
          <w:sz w:val="28"/>
          <w:szCs w:val="28"/>
          <w:rtl w:val="true"/>
          <w:lang w:bidi="ar-SA"/>
        </w:rPr>
        <w:t>فضولي، وعلى أيّ حال قد يشكّ في لزوم بقاء شرائط العاقد الفضولي من زمان العقد إلى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 في لزوم كون الأصيلين في الفرض الأوّل والأصيل في الثاني، واجدين للشرائط المعتبرة في المجيز زائداً على زمان الإجازة؛ أي من حال العقد مستمرّاً إلى حال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الموارد إذا كان اعتبار الشرط متيقّناً في حال، ومشكوكاً فيه في غيره، يؤخذ بالمتيقّن، ويدفع المحتمل بالإطلاق بناءً على النقل؛ لما عرفت من أنّه موافق للقواعد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الكشف، فلا بدّ من اعتباره في جميع الحالات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شرائط الفضولي العاقد لا تعتبر في غير حال العقد، فلا يلزم أن يكون العاقد عاقلاً أو حيّاً بعده، بل لا يبعد ذلك في شرائط الأصيلين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 في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ينبغي الإشكال في عدم اشتراط بقاء المتعاقدين على شروطهما حتّى على النقل</w:t>
      </w:r>
      <w:r>
        <w:rPr>
          <w:rStyle w:val="FootnoteAnchor"/>
          <w:rtl w:val="true"/>
        </w:rPr>
        <w:footnoteReference w:id="818"/>
      </w:r>
      <w:r>
        <w:rPr>
          <w:rFonts w:ascii="Amiri" w:hAnsi="Amiri" w:eastAsia="Amiri" w:cs="Amiri"/>
          <w:color w:val="111111"/>
          <w:sz w:val="28"/>
          <w:sz w:val="28"/>
          <w:szCs w:val="28"/>
          <w:rtl w:val="true"/>
          <w:lang w:bidi="ar-SA"/>
        </w:rPr>
        <w:t>،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الكشف؛ لأنّه على النقل لا إشكال فيه من جهة إطلاق الدليل، وأمّا الكشف فعلى خلاف القاعدة، ولا إطلاق لدليله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كلام الشيخ قدّس سرّه أنّ حال الإجازة لمّا كان حال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بقاء الشرائط إلى حالها، لكن قد عرفت</w:t>
      </w:r>
      <w:r>
        <w:rPr>
          <w:rStyle w:val="FootnoteAnchor"/>
          <w:rtl w:val="true"/>
        </w:rPr>
        <w:footnoteReference w:id="819"/>
      </w:r>
      <w:r>
        <w:rPr>
          <w:rFonts w:ascii="Amiri" w:hAnsi="Amiri" w:eastAsia="Amiri" w:cs="Amiri"/>
          <w:color w:val="111111"/>
          <w:sz w:val="28"/>
          <w:sz w:val="28"/>
          <w:szCs w:val="28"/>
          <w:rtl w:val="true"/>
          <w:lang w:bidi="ar-SA"/>
        </w:rPr>
        <w:t>أنّ إطلاق الدليل محكّم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فرق في الرجوع إلى أصالة الإطلاق لرفع الشكّ،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بيع مستأنف؛ بمعنى كونها بمنزلة القبول، وبين غيره، بل يأتي الكلام في إيجاب الأصيل أيضاً كما مرّ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نلتزم به في إيجاب الأصيل لكونه خلاف تسالمهم، لا بأس بالالتزام في الفضولي وإن كانت الإجازة كالقبول، كما هو الحقّ الحقيق بالتصديق كما مرّ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شروط العوضين،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الأدلّة اعتبارها في حال العقد، ويفهم منها أو من غيرها أنّها معتبرة حال الإجازة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باع عصير العنب فضولاً، ثمّ صار خمراً عند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القول بالصحّة؛ لعدم تملّك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بناءً على ذلك، الاعتبار حال العقد وحال الإجازة، وأمّا ما بينهما فلا دليل عليه، فلو صار عصير العنب خمراً، ثمّ صار خلاًّ فأجاز، صحّ على النقل بلا إشكال؛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فالظاهر لزوم بقاء الشرط؛ لعدم إطلاق في دليله، فلا بدّ من مراعاة كلّ ما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اعتبارها بناءً على النقل</w:t>
      </w:r>
      <w:r>
        <w:rPr>
          <w:rStyle w:val="FootnoteAnchor"/>
          <w:rtl w:val="true"/>
        </w:rPr>
        <w:footnoteReference w:id="822"/>
      </w:r>
      <w:r>
        <w:rPr>
          <w:rFonts w:ascii="Amiri" w:hAnsi="Amiri" w:eastAsia="Amiri" w:cs="Amiri"/>
          <w:color w:val="111111"/>
          <w:sz w:val="28"/>
          <w:sz w:val="28"/>
          <w:szCs w:val="28"/>
          <w:rtl w:val="true"/>
          <w:lang w:bidi="ar-SA"/>
        </w:rPr>
        <w:t>، غير متّجه بناءً على التحقيق من أنّ النقل على القواعد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الكشف على القواعد، نحكم بالصحّة مع وجود الشرط </w:t>
      </w:r>
      <w:bookmarkStart w:id="497" w:name="pg15204_140601"/>
    </w:p>
    <w:p>
      <w:pPr>
        <w:pStyle w:val="BookText"/>
        <w:rPr/>
      </w:pPr>
      <w:bookmarkEnd w:id="497"/>
      <w:r>
        <w:rPr>
          <w:rFonts w:ascii="Amiri" w:hAnsi="Amiri" w:eastAsia="Amiri" w:cs="Amiri"/>
          <w:color w:val="111111"/>
          <w:sz w:val="28"/>
          <w:sz w:val="28"/>
          <w:szCs w:val="28"/>
          <w:rtl w:val="true"/>
          <w:lang w:bidi="ar-SA"/>
        </w:rPr>
        <w:t>في الحاشيتين دون الوسط، هذا على ما أفادوه من ظهور الأدلّة في اعتبار الشروط حال العقد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الظهور</w:t>
      </w:r>
      <w:r>
        <w:rPr>
          <w:rStyle w:val="FootnoteAnchor"/>
          <w:rtl w:val="true"/>
        </w:rPr>
        <w:footnoteReference w:id="824"/>
      </w:r>
      <w:r>
        <w:rPr>
          <w:rFonts w:ascii="Amiri" w:hAnsi="Amiri" w:eastAsia="Amiri" w:cs="Amiri"/>
          <w:color w:val="111111"/>
          <w:sz w:val="28"/>
          <w:sz w:val="28"/>
          <w:szCs w:val="28"/>
          <w:rtl w:val="true"/>
          <w:lang w:bidi="ar-SA"/>
        </w:rPr>
        <w:t>، فما كان معتبراً حال الإجازة، وشكّ في اعتباره في غير حالها، يؤخذ بالمتيقّن، ويحكم في غيره بعدم الاعتبار</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2759014_2142443653"/>
      <w:bookmarkStart w:id="499" w:name="_Toc183"/>
      <w:bookmarkEnd w:id="498"/>
      <w:r>
        <w:rPr>
          <w:rtl w:val="true"/>
        </w:rPr>
        <w:t>الأمر الثاني</w:t>
      </w:r>
      <w:r>
        <w:rPr>
          <w:rtl w:val="true"/>
        </w:rPr>
        <w:t xml:space="preserve">: </w:t>
      </w:r>
      <w:r>
        <w:rPr>
          <w:rtl w:val="true"/>
        </w:rPr>
        <w:t>اعتبار كون المجاز معلوماً بالتفصيل للمجيز</w:t>
      </w:r>
      <w:bookmarkEnd w:id="499"/>
    </w:p>
    <w:p>
      <w:pPr>
        <w:pStyle w:val="BookText"/>
        <w:rPr/>
      </w:pPr>
      <w:r>
        <w:rPr>
          <w:rFonts w:ascii="Amiri" w:hAnsi="Amiri" w:eastAsia="Amiri" w:cs="Amiri"/>
          <w:color w:val="111111"/>
          <w:sz w:val="28"/>
          <w:sz w:val="28"/>
          <w:szCs w:val="28"/>
          <w:rtl w:val="true"/>
          <w:lang w:bidi="ar-SA"/>
        </w:rPr>
        <w:t>ممّا ذكرناه يظهر حال الأمر الثاني الذي ذكره الشيخ الأعظم قدّس سرّه</w:t>
      </w:r>
      <w:r>
        <w:rPr>
          <w:rStyle w:val="FootnoteAnchor"/>
          <w:rtl w:val="true"/>
        </w:rPr>
        <w:footnoteReference w:id="825"/>
      </w:r>
      <w:r>
        <w:rPr>
          <w:rFonts w:ascii="Amiri" w:hAnsi="Amiri" w:eastAsia="Amiri" w:cs="Amiri"/>
          <w:color w:val="111111"/>
          <w:sz w:val="28"/>
          <w:sz w:val="28"/>
          <w:szCs w:val="28"/>
          <w:rtl w:val="true"/>
          <w:lang w:bidi="ar-SA"/>
        </w:rPr>
        <w:t>، فإنّ كفاية علم الفضولي في دفع الغرر، مبنيّة على كونه كالوكيل المفوّض أو المأذون بنحو الإطلاق؛ فإنّ إيكال الأمر إلى الغير، موجب لكون تشخيص خصوصيات المبيع ونوع المعاملة بعهدته، كما هو المتعارف عند العقلاء، ولا يعتبر علم الموكّل، وما ذكر من لزوم الغرر</w:t>
      </w:r>
      <w:r>
        <w:rPr>
          <w:rStyle w:val="FootnoteAnchor"/>
          <w:rtl w:val="true"/>
        </w:rPr>
        <w:footnoteReference w:id="826"/>
      </w:r>
      <w:r>
        <w:rPr>
          <w:rFonts w:ascii="Amiri" w:hAnsi="Amiri" w:eastAsia="Amiri" w:cs="Amiri"/>
          <w:color w:val="111111"/>
          <w:sz w:val="28"/>
          <w:sz w:val="28"/>
          <w:szCs w:val="28"/>
          <w:rtl w:val="true"/>
          <w:lang w:bidi="ar-SA"/>
        </w:rPr>
        <w:t>ليس كما ينبغي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كفاية علم الموكّل أيضاً أحياناً، وعدم تحقّق الغرر معه، فلو لم يعلم </w:t>
      </w:r>
    </w:p>
    <w:p>
      <w:pPr>
        <w:pStyle w:val="BookText"/>
        <w:rPr/>
      </w:pPr>
      <w:r>
        <w:rPr>
          <w:rFonts w:ascii="Amiri" w:hAnsi="Amiri" w:eastAsia="Amiri" w:cs="Amiri"/>
          <w:color w:val="111111"/>
          <w:sz w:val="28"/>
          <w:sz w:val="28"/>
          <w:szCs w:val="28"/>
          <w:rtl w:val="true"/>
          <w:lang w:bidi="ar-SA"/>
        </w:rPr>
        <w:t>الوكيل عدد المبيع في المعدود، أو وزنه في الموزون، فأجرى العقد بمحضر من الموكّل مع علم الموكّل، فالظاهر الصحّة، بل هو أولى بالصحّة من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الفضولي كالمفوّض، لكفى علمه في الصحّة، كما أنّه يكفي علم المجيز في بعض الصور، كما ذكرناه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لا دليل على كونه كذلك، بل الظاهر عدمه؛ للفرق الظاهر بين الوكالة والإذن قبل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الإيكال إليه يوجب أن يكون مستقلاًّ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الإجازة؛ ضرورة أنّها بعد تحقّق المعاملة ولا تصلح لأن تكون موجبة للإيكال إليه، ولا يدفع الغرر بعلم الأجنبيّ، فلا بدّ من علم المجيز لرفع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شمول دليل الغرر لمثله، واحتمال اعتبار علم الفضولي زائداً على علم المجيز، مدفوع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أحد ركني العقد</w:t>
      </w:r>
      <w:r>
        <w:rPr>
          <w:rStyle w:val="FootnoteAnchor"/>
          <w:rtl w:val="true"/>
        </w:rPr>
        <w:footnoteReference w:id="828"/>
      </w:r>
      <w:r>
        <w:rPr>
          <w:rFonts w:ascii="Amiri" w:hAnsi="Amiri" w:eastAsia="Amiri" w:cs="Amiri"/>
          <w:color w:val="111111"/>
          <w:sz w:val="28"/>
          <w:sz w:val="28"/>
          <w:szCs w:val="28"/>
          <w:rtl w:val="true"/>
          <w:lang w:bidi="ar-SA"/>
        </w:rPr>
        <w:t>، فهو مخالف لمبناهم؛ من أنّ بيع الفضولي مركّب من الإيجاب والقبول، والإجازة إنفاذ للبيع بعد تمامية أركانه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قبول لإيجاب الموجب، وقبول الفضولي لا دخالة له، لا في ماهية المعاملة، ولا في ترتّب الأثر</w:t>
      </w:r>
      <w:r>
        <w:rPr>
          <w:rStyle w:val="FootnoteAnchor"/>
          <w:rtl w:val="true"/>
        </w:rPr>
        <w:footnoteReference w:id="829"/>
      </w:r>
      <w:r>
        <w:rPr>
          <w:rFonts w:ascii="IRNazanin" w:hAnsi="IRNazanin" w:eastAsia="IRNazanin"/>
          <w:color w:val="111111"/>
          <w:sz w:val="28"/>
          <w:sz w:val="28"/>
          <w:szCs w:val="28"/>
          <w:rtl w:val="true"/>
          <w:lang w:bidi="fa-IR"/>
        </w:rPr>
        <w:t xml:space="preserve">، فالوجه </w:t>
      </w:r>
    </w:p>
    <w:p>
      <w:pPr>
        <w:pStyle w:val="BookText"/>
        <w:rPr/>
      </w:pPr>
      <w:r>
        <w:rPr>
          <w:rFonts w:ascii="Amiri" w:hAnsi="Amiri" w:eastAsia="Amiri" w:cs="Amiri"/>
          <w:color w:val="111111"/>
          <w:sz w:val="28"/>
          <w:sz w:val="28"/>
          <w:szCs w:val="28"/>
          <w:rtl w:val="true"/>
          <w:lang w:bidi="ar-SA"/>
        </w:rPr>
        <w:t>اعتبار علمه بالإيجاب؛ أي خصوصيات متعلّقه حتّى يدفع الغرر، فهي كالقبول، بل قبول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تأخّره عن الإيجاب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التوالي في عقد الأصيلين؛ لتسالمهم هناك دون المقام، وإن لم يكن دليل عليه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المجيز في تحقّق المعاملة، مع علمه بالخصوصيات بما يدفع الغرر على فرض وجودها، فالظاهر الصحّة حتّى مع التعليق ظاهراً؛ لعدم الدليل على اعتبار التنجيز في الإجازة، لعدم ثبوت الإجماع حتّى في نفس المعاملات، فضلاً عن الإجازة التي هي شرط للتأثير حتّى على مسلك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استلزام الإجازة للتعليق،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الجزم، لا بدّ من التعليق، لكن 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من الإيقاعات، وهي لا تقبل التعليق</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فإنّ عدم القبول إن كان عقلاً، فلا وجه له يعتمد عليه، والوجوه التي ذكروها في باب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الهيئة معنى حرفياً، لا يمكن أن تكون ملحوظة استقلالاً، ولا بدّ في التقييد والتعليق من لحاظ الموضوع استقلالاً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معنى الهيئة جزئي، على ما هو التحقيق في معاني الحروف من كونها جزئية، والوضع فيها عامّ، والموضوع له خاصّ، والجزئي لا يقبل التقييد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500" w:name="pg15204_140604"/>
    </w:p>
    <w:p>
      <w:pPr>
        <w:pStyle w:val="BookText"/>
        <w:rPr/>
      </w:pPr>
      <w:bookmarkEnd w:id="500"/>
      <w:r>
        <w:rPr>
          <w:rFonts w:ascii="Amiri" w:hAnsi="Amiri" w:eastAsia="Amiri" w:cs="Amiri"/>
          <w:color w:val="111111"/>
          <w:sz w:val="28"/>
          <w:sz w:val="28"/>
          <w:szCs w:val="28"/>
          <w:rtl w:val="true"/>
          <w:lang w:bidi="ar-SA"/>
        </w:rPr>
        <w:t xml:space="preserve">وأنّ الحروف إيجادية لا يعقل التعليق فيها؛ لأنّ التعليق مساوق لعدم إيجاديتها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فرغنا عن الجواب عنها في الاُصول</w:t>
      </w:r>
      <w:r>
        <w:rPr>
          <w:rStyle w:val="FootnoteAnchor"/>
          <w:rtl w:val="true"/>
        </w:rPr>
        <w:footnoteReference w:id="834"/>
      </w:r>
      <w:r>
        <w:rPr>
          <w:rFonts w:ascii="Amiri" w:hAnsi="Amiri" w:eastAsia="Amiri" w:cs="Amiri"/>
          <w:color w:val="111111"/>
          <w:sz w:val="28"/>
          <w:sz w:val="28"/>
          <w:szCs w:val="28"/>
          <w:rtl w:val="true"/>
          <w:lang w:bidi="ar-SA"/>
        </w:rPr>
        <w:t>، مع أنّ الإيقاعات والعقود مشتركة في الإشكال، فلا وجه لاختصاصه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شرعاً ليرجع إلى دعوى الإجماع، فهو أفسد</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2759016_2142443653"/>
      <w:bookmarkStart w:id="502" w:name="_Toc184"/>
      <w:bookmarkEnd w:id="501"/>
      <w:r>
        <w:rPr>
          <w:rtl w:val="true"/>
        </w:rPr>
        <w:t>الأمر الثالث</w:t>
      </w:r>
      <w:r>
        <w:rPr>
          <w:rtl w:val="true"/>
        </w:rPr>
        <w:t xml:space="preserve">: </w:t>
      </w:r>
      <w:r>
        <w:rPr>
          <w:rtl w:val="true"/>
        </w:rPr>
        <w:t>حكم العقود المتعدّدة</w:t>
      </w:r>
      <w:bookmarkEnd w:id="502"/>
    </w:p>
    <w:p>
      <w:pPr>
        <w:pStyle w:val="Heading6"/>
        <w:numPr>
          <w:ilvl w:val="5"/>
          <w:numId w:val="1"/>
        </w:numPr>
        <w:rPr/>
      </w:pPr>
      <w:bookmarkStart w:id="503" w:name="__RefHeading___Toc2759018_2142443653"/>
      <w:bookmarkStart w:id="504" w:name="_Toc185"/>
      <w:bookmarkEnd w:id="503"/>
      <w:r>
        <w:rPr>
          <w:rtl w:val="true"/>
        </w:rPr>
        <w:t>شقوق البحث</w:t>
      </w:r>
      <w:bookmarkEnd w:id="504"/>
    </w:p>
    <w:p>
      <w:pPr>
        <w:pStyle w:val="BookText"/>
        <w:rPr/>
      </w:pPr>
      <w:r>
        <w:rPr>
          <w:rFonts w:ascii="Amiri" w:hAnsi="Amiri" w:eastAsia="Amiri" w:cs="Amiri"/>
          <w:color w:val="111111"/>
          <w:sz w:val="28"/>
          <w:sz w:val="28"/>
          <w:szCs w:val="28"/>
          <w:rtl w:val="true"/>
          <w:lang w:bidi="ar-SA"/>
        </w:rPr>
        <w:t>لو وقعت عقود متعدّدة على مال الغير، فتارة تكون عرضية من شخص واحد، أو أشخاص متعدّدين، واُخرى تكون طولية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العاقد الفضولي شخصاً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 مال زيد من عمرو، ثمّ باعه من بكر، ثمّ من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الثاني هدم وفسخ للأوّل، والثالث للثاني وهكذا، فليس للمالك إلاّ إجازة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هدمه، وأنّه ليس للفضولي فسخ ما فعل، أو ليس العقد الثاني فسخاً، أو أنّه فسخ فضولي يحتاج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الفضولية في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إجازة أيّ عقد منها شاء، فإن أجاز مبدأ السلسلة كانت ردّاً للفسخ على الأخير، وإمضاءً وإجازة للعقد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أجاز غيره، كان إمضاءً للفسخ بالنسبة إلى السابق، وإمضاءً لما أجاز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البائع متعدّداً في زمان واحد أو غيره، فله إجازة أيّها شاء، فهل تكون إجازته ردّاً لغير المجاز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المبيع بعد الإجازة، فهل له إجازة إحدى العقود الواقعة قبل الإجازة؟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وقعت طولية مترتّبة؛ بأن باع المبيع، ثمّ باعه المشتري، ثمّ المشتري الثاني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على الكشف الحقيقي يصحّ المجاز وما بعده، ولا يكون ما بعده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تكون الإجازة ردّاً لما قبل المجاز، وموجبة لهدمه، فلو تملّكه لم يكن له إجازة ما قبله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النقل يصحّ المجاز وما بعده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ملكية المجيز حال العقد، وعدم لزوم الإجازة بعد ما باع لنفسه ثمّ ملك، وإلاّ فلا يصحّ على الأوّل، ولا يصحّ إلاّ بالإجازة على الثاني، فحينئذٍ كلّ مجاز يحقّق موضوع العقد الذي بعده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الكشف الحكمي ملحق بالحقيقي، أو بالنقل، أو يفصّل بين المباني في الكشف الحكمي،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بالانقلاب الحقيقي يكون ملحقاً بالحقيقي،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بالانقلاب العنواني يلحق بالنقل؟</w:t>
      </w:r>
    </w:p>
    <w:p>
      <w:pPr>
        <w:pStyle w:val="BookText"/>
        <w:rPr/>
      </w:pPr>
      <w:r>
        <w:rPr>
          <w:rFonts w:ascii="Amiri" w:hAnsi="Amiri" w:eastAsia="Amiri" w:cs="Amiri"/>
          <w:color w:val="111111"/>
          <w:sz w:val="28"/>
          <w:sz w:val="28"/>
          <w:szCs w:val="28"/>
          <w:rtl w:val="true"/>
          <w:lang w:bidi="ar-SA"/>
        </w:rPr>
        <w:t>الظاهر ذلك؛ فإنّ الحكمي بهذا المعنى، عبارة عن النقل حال الإجازة من أوّل الأمر، فقبل الإجازة لا يكون المبيع ملكاً للبائعين، فيأتي فيها ما تقدّم في النقل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الكشف التعبّدي،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التعبّد العقد المتعقّب بالإجازة، فيلحق بالكشف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موضوعه الإجازة، فحال الإجازة تعبّدنا بترتيب الآثار من الأوّل، فيلحق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الكشف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المقام، نظير الإشكال في الأخبار مع الواسطة</w:t>
      </w:r>
      <w:r>
        <w:rPr>
          <w:rStyle w:val="FootnoteAnchor"/>
          <w:rtl w:val="true"/>
        </w:rPr>
        <w:footnoteReference w:id="835"/>
      </w:r>
      <w:r>
        <w:rPr>
          <w:rFonts w:ascii="Amiri" w:hAnsi="Amiri" w:eastAsia="Amiri" w:cs="Amiri"/>
          <w:color w:val="111111"/>
          <w:sz w:val="28"/>
          <w:sz w:val="28"/>
          <w:szCs w:val="28"/>
          <w:rtl w:val="true"/>
          <w:lang w:bidi="ar-SA"/>
        </w:rPr>
        <w:t>، والإشكال الذي أبديناه في الاستصحاب بالنسبة إلى الآثار المترتّبة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أنّ التعبّد بترتيب أثر الصحّة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المعاملة التي هي في رأس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باقي السلسلة، فيوجب تحقّق موضوع الحكم بالحكم، فالتعبّد بترتيب آثار الصحّة، يوجب البناء على لزوم ترتيب آثار الملكية على المبيع، والصحّة في العقد المترتّب عليه تحتاج إلى تعبّد آخر، وكذا العقود اللاحقة، ولا يمكن تكفّل دليل التعبّد بذلك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في الجواب عن الإشكال في الاستصحاب</w:t>
      </w:r>
      <w:r>
        <w:rPr>
          <w:rStyle w:val="FootnoteAnchor"/>
          <w:rtl w:val="true"/>
        </w:rPr>
        <w:footnoteReference w:id="837"/>
      </w:r>
      <w:r>
        <w:rPr>
          <w:rFonts w:ascii="Amiri" w:hAnsi="Amiri" w:eastAsia="Amiri" w:cs="Amiri"/>
          <w:color w:val="111111"/>
          <w:sz w:val="28"/>
          <w:sz w:val="28"/>
          <w:szCs w:val="28"/>
          <w:rtl w:val="true"/>
          <w:lang w:bidi="ar-SA"/>
        </w:rPr>
        <w:t>، لا يجري هاهنا، وكذا ما أجابوا به عن الإشكال في الأخبار مع الواسطة</w:t>
      </w:r>
      <w:r>
        <w:rPr>
          <w:rStyle w:val="FootnoteAnchor"/>
          <w:rtl w:val="true"/>
        </w:rPr>
        <w:footnoteReference w:id="838"/>
      </w:r>
      <w:r>
        <w:rPr>
          <w:rFonts w:ascii="Amiri" w:hAnsi="Amiri" w:eastAsia="Amiri" w:cs="Amiri"/>
          <w:color w:val="111111"/>
          <w:sz w:val="28"/>
          <w:sz w:val="28"/>
          <w:szCs w:val="28"/>
          <w:rtl w:val="true"/>
          <w:lang w:bidi="ar-SA"/>
        </w:rPr>
        <w:t xml:space="preserve">لعدم دليل على التعبّد بكون المبيع ملكاً للمشتري، حتّى ينسلك في موضوع دليل السلطنة، ولا كبرى </w:t>
      </w:r>
      <w:bookmarkStart w:id="505" w:name="pg15204_140607"/>
    </w:p>
    <w:p>
      <w:pPr>
        <w:pStyle w:val="BookText"/>
        <w:rPr/>
      </w:pPr>
      <w:bookmarkEnd w:id="505"/>
      <w:r>
        <w:rPr>
          <w:rFonts w:ascii="Amiri" w:hAnsi="Amiri" w:eastAsia="Amiri" w:cs="Amiri"/>
          <w:color w:val="111111"/>
          <w:sz w:val="28"/>
          <w:sz w:val="28"/>
          <w:szCs w:val="28"/>
          <w:rtl w:val="true"/>
          <w:lang w:bidi="ar-SA"/>
        </w:rPr>
        <w:t>كلّية في المقام، حتّى يقال بما قيل في الإخبار مع الواسطة وإن كان ما ذكر فيها أيضاً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لسان لدليل التعبّد في المقام حتّى يحقّق موضوع الأدلّة الاجتهادية كما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بالصحّة هاهنا لازمه العرفي صحّة جميع ما في السلسلة، وهذا أيضاً لا يخلو من إشكال، والأمر سهل بعد عدم صحّة المبنى</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759020_2142443653"/>
      <w:bookmarkStart w:id="507" w:name="_Toc186"/>
      <w:bookmarkEnd w:id="506"/>
      <w:r>
        <w:rPr>
          <w:rtl w:val="true"/>
        </w:rPr>
        <w:t>حكم العقود المترتّبة على العوض</w:t>
      </w:r>
      <w:bookmarkEnd w:id="507"/>
    </w:p>
    <w:p>
      <w:pPr>
        <w:pStyle w:val="BookText"/>
        <w:rPr/>
      </w:pPr>
      <w:r>
        <w:rPr>
          <w:rFonts w:ascii="Amiri" w:hAnsi="Amiri" w:eastAsia="Amiri" w:cs="Amiri"/>
          <w:color w:val="111111"/>
          <w:sz w:val="28"/>
          <w:sz w:val="28"/>
          <w:szCs w:val="28"/>
          <w:rtl w:val="true"/>
          <w:lang w:bidi="ar-SA"/>
        </w:rPr>
        <w:t>ولو وقعت العقود المترتّبة على العوض؛ بأن باع الفرس الذي هو عوض المبيع بالحمار، والحمار بالبغل، والبغل بالجمل وهكذا،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الوسط صحّ وما قبله، عكس ترتّب العقود على المبيع</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إشكال بناءً على توقّف صحّة الفضولي على إجازة المالك، وأنّ إيقاع الإجازة وإنشاءها محتاج إليه، ليستند العقد إلى المجيز، كما قالوا </w:t>
      </w:r>
      <w:r>
        <w:rPr>
          <w:rStyle w:val="FootnoteAnchor"/>
          <w:rtl w:val="true"/>
        </w:rPr>
        <w:footnoteReference w:id="840"/>
      </w:r>
      <w:r>
        <w:rPr>
          <w:rFonts w:ascii="Amiri" w:hAnsi="Amiri" w:eastAsia="Amiri" w:cs="Amiri"/>
          <w:color w:val="111111"/>
          <w:sz w:val="28"/>
          <w:sz w:val="28"/>
          <w:szCs w:val="28"/>
          <w:rtl w:val="true"/>
          <w:lang w:bidi="ar-SA"/>
        </w:rPr>
        <w:t>ضرورة أنّ إجازة المتوسّط إجازة في غير ماله، ولا تؤثّر إلاّ إذا وقعت الإجازة على مبدأ السلسلة، ثمّ على ما بعده وهكذا، إلى أن تنتهي إلى العقد المذكور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والفرض أنّه لم تقع إجازة إلاّ على العقد المتوسّط، فلا بدّ في تصحيحه إمّا </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إجازة هذا إجازة لما سبقه، وهذا فاسد؛ لعدم إمكان دلالة لفظ إلاّ على ما وضع له، فإذا أجاز بيع البغل، لا يعقل أن تكون إجازة بيعه إجازة لبيع الحمار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إجازة المتوسّط مستلزمة لإجازة ما سبقه، وهذا أفسد؛ لأنّ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الأفعال الاختيارية للمجيز، ولها مبادئ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فإجازة بيع البغل بما أنّها فعل اختياري، لا بدّ فيها من حصول مبادئ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والتصديق بالفائدة وغيرهما، حتّى ينتهي الأمر إلى إرادة الإيجاد فيوجدها، ولا يعقل أن يكون ذاك الفعل الاختياري مستلزماً لفعل آخر من الفاعل؛ بحيث لا يحتاج إلى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تحقّق الإجازة في العقود المتقدّمة بلا حصول مبادئها، فالاستلزام بهذا المعنى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الاستلزام بمعنى لزوم تحقّق الإجازة منه بمبادئها الاختيارية، أيضاً فاسد، وهو واضح؛ ضرورة عدم حصول إجازة منه إلاّ بالنسبة إلى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إجازة الوسط تكشف عن رضاه بما سبقه مع فرض التفاته إليه، لكنّ المفروض أنّ الرضا غير كافٍ في صحّة الفضولي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إجازة الوسط إجازة لكلّ ما سبقه، أو مستلزمة لذلك،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يدفع الإشكال أيضاً؛ لأنّ إنشاء الإجازة لكلّ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مستقلاًّ، أو باستلزام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إجازات عرضية، فجميع العقود المترتّبة تصير مجازة في عرض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يعقل الانحلال طولاً؛ بمعنى انحلال الإنشاء إلى إنشاء لمبدأ السلسلة، ثمّ بعد تحقّق الملكية إلى إنشاء آخر مترتّب على الأوّل،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الاستلزام بهذا المعنى لا يكون عقلياً ولا عقلائياً، بل غير معقول، فالانحلال العرضي إجازة لملكه في مبدأ السلسلة، ولغير ملكه في غيره، والطولي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فرض استلزام هذه الإجازة لإجازات اُخر مترتّبة، لكن لا يعقل أن تكون هذه الإجازة مستلزمة لإجازة اُخرى، متعلّقة بما تعلّقت به نفس هذه الإجازة، فصحّته تتوقّف على إجازة مستأنفة بعد حصول الملكية بواسطة الإجازة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اعتبار إجازة إنشائية إيقاعية في صحّة الفضولي، لا يمكن تصحيح المتوسّط وما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إظهار الرضا ولو بقضيّة إخبارية؛ فإنّ الإظهار فعل اختياري، ولا يعقل أن يكون إظهار الرضا بشيء، إظهار الرضا بشيء آخر بلا حصول المبادئ الاختيارية، ولا مستلزماً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الوارد على الإجازة وارد عليه أيضاً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هو الرضا لا غير،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هو الرضا ولو بوجوده التقديري، فالظاهر الصحّة؛ لأنّ المجيز إذا التفت إلى مبدأ السلسلة، فلا محالة يرضى به مع بنائه على تصحيح هذه المعاملة، وبرضاه يصير مالكاً للثمن في مبدأ السلسلة، ومع الالتفات إلى المعاملة الثانية فكذلك، إلى أن ينتهي إلى ما أجاز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يمكن التصحيح مع اعتبار الرضا الفعلي، إذا التفت إلى حصول معاملات إجمالاً؛ فإنّ الرضا الفعلي في مبدأ السلسلة يصحّح تلك المعاملة، فيصير مالكاً للثمن، والرضا بوجوده البقائي حاصل بعد مالكيته، فيصحّح الثانية وهكذا، إلى أن ينتهي إلى ما أجاز، فيكون ما أجاز صحيحاً، لا بالإجازة، بل بالرضا الحاصل فعلاً بقاءً بعد صحّة 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كفاية الرضا كذلك، وكونه موجباً للصحّة في جميع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بن عبدالملك المتقدّمة في بعض المباحث، الواردة في باب الوديعة، فراجعها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سلسلتين، إحداهما في جانب المبيع، والاُخرى في جانب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السلسلتان مفترقتين لا تلاقي إحداهما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ملتقيتين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الإجازة في وسط سلسلة المبيع ردّ بالنسبة إلى السابق، وفي وسط سلسلة الثمن ردّ بالنسبة إلى اللاحق، فلو أجاز وسط السلسلة الاُولى، وأجاز وكيله أو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السلسلة الثانية، يتعارض الردّ مع الإجازة في مبدأ السلسلة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ولازمه عدم صحّة ما وقع على الثمن في طول السلسلة، وكذا ما وقع على المبيع إلى البيع المجاز، فيصحّ هو وما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ردّاً، بل سكوت عن السابق في الاُولى، وعن اللاحق في الثانية، كان اللازم صحّة سلسلة ما وقع على المبيع بجميعها، وصحّة سلسلة الثمن من مبدأ السلسلة إلى المجاز، وعدم صحّة ما بعده؛ لأنّ المفروض أنّ الإجازة الواقعة على الثمن تصحّح المعاملات إلى مبدأ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مبدأ السلسلة ولم يعارضه الردّ، صحّ ما بعده إلى المجاز في سلسلة المبيع؛ بإجازة ما وقع على الثمن، وصحّ المجاز وما بعده بإجازتين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وقعت بيوع على المبيع، ومعاملات على العوض بوجوده النوعي، ثمّ اشترى بالعوض مع الواسطة المبيع، ثمّ وقعت معاملات على المثمن والثمن، ثمّ باع المثمن بالثمن الذي هو عوض مع الواسطة،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فرد من التلاقي كالأوّل والثالث والخامس وهكذا، يكون اشتراء المبيع بالعوض، وفي كلّ زوج كالثاني والرابع والسادس وهكذا، يكون مورد المعاملة بيع المبيع بالثمن؛ أي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إجازة الأوّل أو الثالث أو الخامس وهكذا، صحّة جميع ما في السلسلتين صاعداً من مورد التلاقي إلى مبدأ السلسلة، ونازلاً من مبدئها إلى مورد التلاقي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بعد التلاقي، فلا يصحّ إلاّ بإجازة مستأنفة من المالك، ولازم إجازة الثاني والرابع والسادس وهكذا، صحّة مورد الإجازة وما بعده إلى التلاقي فيما ورد على المبيع، وأمّا ما وقع على الثمن، فحاله يظهر ممّا تقدّم</w:t>
      </w:r>
      <w:r>
        <w:rPr>
          <w:rFonts w:eastAsia="Amiri" w:cs="Amiri" w:ascii="Amiri" w:hAnsi="Amiri"/>
          <w:color w:val="111111"/>
          <w:sz w:val="28"/>
          <w:szCs w:val="28"/>
          <w:rtl w:val="true"/>
          <w:lang w:bidi="ar-SA"/>
        </w:rPr>
        <w:t xml:space="preserve">. </w:t>
      </w:r>
      <w:bookmarkStart w:id="508" w:name="pg15204_140612"/>
    </w:p>
    <w:p>
      <w:pPr>
        <w:pStyle w:val="Heading6"/>
        <w:numPr>
          <w:ilvl w:val="5"/>
          <w:numId w:val="1"/>
        </w:numPr>
        <w:rPr/>
      </w:pPr>
      <w:bookmarkStart w:id="509" w:name="__RefHeading___Toc2759022_2142443653"/>
      <w:bookmarkStart w:id="510" w:name="_Toc187"/>
      <w:bookmarkEnd w:id="508"/>
      <w:bookmarkEnd w:id="509"/>
      <w:r>
        <w:rPr>
          <w:rtl w:val="true"/>
        </w:rPr>
        <w:t>الإشكال على صحّة تتبّع العقود في صورة علم المشتري بالغصب</w:t>
      </w:r>
      <w:bookmarkEnd w:id="510"/>
    </w:p>
    <w:p>
      <w:pPr>
        <w:pStyle w:val="BookText"/>
        <w:rPr/>
      </w:pPr>
      <w:r>
        <w:rPr>
          <w:rFonts w:ascii="Amiri" w:hAnsi="Amiri" w:eastAsia="Amiri" w:cs="Amiri"/>
          <w:color w:val="111111"/>
          <w:sz w:val="28"/>
          <w:sz w:val="28"/>
          <w:szCs w:val="28"/>
          <w:rtl w:val="true"/>
          <w:lang w:bidi="ar-SA"/>
        </w:rPr>
        <w:t>ثمّ إنّ هاهنا إشكالاً على صحّة تتبّع العقود في صورة علم المشتري بالغصب، منشؤه 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الغاصب الثمن الذي سلّم إليه لو تلف عنده</w:t>
      </w:r>
      <w:r>
        <w:rPr>
          <w:rStyle w:val="FootnoteAnchor"/>
          <w:rtl w:val="true"/>
        </w:rPr>
        <w:footnoteReference w:id="842"/>
      </w:r>
      <w:r>
        <w:rPr>
          <w:rFonts w:ascii="Amiri" w:hAnsi="Amiri" w:eastAsia="Amiri" w:cs="Amiri"/>
          <w:color w:val="111111"/>
          <w:sz w:val="28"/>
          <w:sz w:val="28"/>
          <w:szCs w:val="28"/>
          <w:rtl w:val="true"/>
          <w:lang w:bidi="ar-SA"/>
        </w:rPr>
        <w:t>، بل عن الفخر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بالتسليم إلى الغاصب يكون قد ملّكه مجّاناً، وليس للمشتري استعادته من الغاصب بنصّ الأصحاب</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البحث أوّلاً عن المبنى، ثمّ البحث عمّا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منشأ 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العالم بالغصب لا يمكن له قصد المعاوضة حقيقة، وإنّما سلّم الثمن إلى الغاصب، لا بعنوان عوض المبيع، بل ملّكه مجّاناً لاستنقاذ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عدم إمكان تحقّق قصد المعاوضة لو صحّ مع علم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صحّة الإجازة من المغصوب منه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لجرى الحكم مع جهله أيضاً؛ فإنّ الغاصب على هذا المبنى، لا يعقل منه القصد إلى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لازم ذلك، عدم القصد إلى حقيقة المعاوضة في جميع العقود الفاسدة مع الالتفات إلى فسادها، ولازمه عدم حرمة ثمن الخمر، وأجر الفواحش، وأثمان القمار والربا وغيرها في هذا الفرض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ذلك مخالف لفتوى المحقّقين من الأصحاب؛ بصحّة بيع الغاصب إذا أجاز </w:t>
      </w:r>
    </w:p>
    <w:p>
      <w:pPr>
        <w:pStyle w:val="BookText"/>
        <w:rPr/>
      </w:pPr>
      <w:r>
        <w:rPr>
          <w:rFonts w:ascii="Amiri" w:hAnsi="Amiri" w:eastAsia="Amiri" w:cs="Amiri"/>
          <w:color w:val="111111"/>
          <w:sz w:val="28"/>
          <w:sz w:val="28"/>
          <w:szCs w:val="28"/>
          <w:rtl w:val="true"/>
          <w:lang w:bidi="ar-SA"/>
        </w:rPr>
        <w:t>المالك</w:t>
      </w:r>
      <w:r>
        <w:rPr>
          <w:rStyle w:val="FootnoteAnchor"/>
          <w:rtl w:val="true"/>
        </w:rPr>
        <w:footnoteReference w:id="844"/>
      </w:r>
      <w:r>
        <w:rPr>
          <w:rFonts w:ascii="Amiri" w:hAnsi="Amiri" w:eastAsia="Amiri" w:cs="Amiri"/>
          <w:color w:val="111111"/>
          <w:sz w:val="28"/>
          <w:sz w:val="28"/>
          <w:szCs w:val="28"/>
          <w:rtl w:val="true"/>
          <w:lang w:bidi="ar-SA"/>
        </w:rPr>
        <w:t>، بل مخالف لفتواهم بصحّة عقد الفضولي لنفسه</w:t>
      </w:r>
      <w:r>
        <w:rPr>
          <w:rStyle w:val="FootnoteAnchor"/>
          <w:rtl w:val="true"/>
        </w:rPr>
        <w:footnoteReference w:id="845"/>
      </w:r>
      <w:r>
        <w:rPr>
          <w:rFonts w:ascii="Amiri" w:hAnsi="Amiri" w:eastAsia="Amiri" w:cs="Amiri"/>
          <w:color w:val="111111"/>
          <w:sz w:val="28"/>
          <w:sz w:val="28"/>
          <w:szCs w:val="28"/>
          <w:rtl w:val="true"/>
          <w:lang w:bidi="ar-SA"/>
        </w:rPr>
        <w:t>،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لصحّة عقد الفضولي مطلقاً، ولعقد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مخالف للواقع أيضاً؛ ضرورة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البيوع، وقد مرّ في محلّه إمكان قصد المعاوضة ووقوعه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المنشأ أنّ تسليم الثمن ليس وفاءً بالمعاملة، بل هو تمليك مجّاناً، ولازمه عدم الضمان لو تلف أو أتلف، أو أنّ المشتري بعد علمه بأنّ البائع غاصب، ليس إقباضه الثمن إيّاه إقباضاً وفائياً، فهذا الإقباض تسليط منه للغاصب على ماله برضاه واختياره، فلا يكون ضامناً بإتلافه وتلفه، ويجوز استرداد الثمن مع بقائه، كما ذهب إليه بعض</w:t>
      </w:r>
      <w:r>
        <w:rPr>
          <w:rStyle w:val="FootnoteAnchor"/>
          <w:rtl w:val="true"/>
        </w:rPr>
        <w:footnoteReference w:id="847"/>
      </w:r>
      <w:r>
        <w:rPr>
          <w:rFonts w:ascii="IRNazanin" w:hAnsi="IRNazanin" w:eastAsia="IRNazanin"/>
          <w:color w:val="111111"/>
          <w:sz w:val="28"/>
          <w:sz w:val="28"/>
          <w:szCs w:val="28"/>
          <w:rtl w:val="true"/>
          <w:lang w:bidi="fa-IR"/>
        </w:rPr>
        <w:t xml:space="preserve">ونسبه إلى الفخر قدّس سرّه </w:t>
      </w:r>
      <w:r>
        <w:rPr>
          <w:rStyle w:val="FootnoteAnchor"/>
          <w:rtl w:val="true"/>
        </w:rPr>
        <w:footnoteReference w:id="84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المعهود والمتعارف في المعاملات الواقعة من الغاصب والسارق والخائن، ولازمه إسراء الحكم إلى كلّ عقد فاسد مع علم المشتري بالفساد، وهو كما ترى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أنّ التسليم إنّما هو بعنوان التسليم المعاوضي، ومعه لا وجه لعدم ضمان التلف، فضلاً عن الإتلاف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التسليم مبنيّ على المعاوضة؛ فإنّه بعد فرض المشتري، الغاصب مالكاً يملّكه الثمن، إلاّ أنّ هذه الجهة التعليلية مصحّحة للقصد المعاوضي لا للتسليم؛ وذلك لأنّ الجهات يمكن أن تكون موضوعات للاعتباريات كالإنشاءات المعاملية، دون الاُمور الخارجية، فإنّها لا تتغيّر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فتسليم المشتري الثمن إلى الغاصب لكونه مالكاً، لا يجعل المسلّم إليه هو المالك الحقيقي، فالتسليط الخارجي يرفع ضمان اليد، وإن لم يرفع ضمان الإتلاف</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أنّ الجهة إذا كانت تعليلية تنتج خلاف مقصوده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تغيير الواقع عمّا هو عليه، بل الكلام في أنّه مع التسليم إلى الغاصب، هل يرفع ضمان اليد أم لا؟</w:t>
      </w:r>
    </w:p>
    <w:p>
      <w:pPr>
        <w:pStyle w:val="BookText"/>
        <w:rPr/>
      </w:pPr>
      <w:r>
        <w:rPr>
          <w:rFonts w:ascii="Amiri" w:hAnsi="Amiri" w:eastAsia="Amiri" w:cs="Amiri"/>
          <w:color w:val="111111"/>
          <w:sz w:val="28"/>
          <w:sz w:val="28"/>
          <w:szCs w:val="28"/>
          <w:rtl w:val="true"/>
          <w:lang w:bidi="ar-SA"/>
        </w:rPr>
        <w:t>وبعد الاعتراف بأنّ التسليم معاوضي بلا إشكال، لا ينبغي الإشكال في الضمان تلفاً وإتلافاً؛ لأنّ اليد لم تخرج عن يد الضمان، بل لا يجوز للفضولي أخذ الثمن الذي سلّمه إيّاه بعنوان العوض بعد بطلان المعاملة، ولو أخذه لا يجوز له التصرّف، وضمن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هاهنا هو الكلام في المقبوض بالعقد الفاسد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تسليم المبنى،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المعاوضة الحقيقية لم تتحقّق، فلا إشكال في عدم جواز إمضاء الإنشاء الأوّل ولا التتبّع، وهو واضح، نقلاً قلنا، أو كشفاً بأقسامه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متحقّق وقابل للإمضاء، والإجازة قبل التسليم، لكنّ التسليم تمليك الثمن للغاصب، لا تسليم بعنوان المعاوضة، فعلى النقل لا تصحّ الإجازة؛ لعدم مورد لها بعد تمليك المشتري الثمن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الكشف الانقلابي العنواني الحكمي؛ لعدم مورد للنقل من أوّل الأمر مترتّباً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الكشف التعبّدي إذا كان موضوعه الإجازة؛ فإنّ الإجازة التي لم تقع في موقعها، ليست موضوعاً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الحقيقي، والانقلابي الحقيقي، والتعبّدي، إذا كان موضوع التعبّد هو العقد عند وجوده إذا كان متعقّباً بالإجازة، فتصحّ الإجازة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الحقيقي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الانقلابي؛ فلفرض انقلاب الواقع عمّا هو عليه، فانقلبت مالكية المشتري للثمن إلى لا مالكيته، وإلى مالكية المالك، فالتمليك للثمن انقلب إلى تمليك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التعبّدي فكذلك، لكن بحسب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التسليم إباحة للتصرّف،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في التصرّف الناقل لازمه الملكية للناقل آناً ما قبل النقل، تصحّ الإجازة للبيع الأوّل حتّى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الحكم بالنسبة إلى التتبّع بين الكشف الحقيقي وما يلحق به، وبين النقل وما يلحق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الملكية للناقل، بل هو باقٍ على ملك المالك، والإباحة المطلقة نتيجتها جواز الاشتراء للمالك والتصرّف فيما يشترى له، صحّت الإجازة والتتبّع</w:t>
      </w:r>
      <w:r>
        <w:rPr>
          <w:rFonts w:eastAsia="Amiri" w:cs="Amiri" w:ascii="Amiri" w:hAnsi="Amiri"/>
          <w:color w:val="111111"/>
          <w:sz w:val="28"/>
          <w:szCs w:val="28"/>
          <w:rtl w:val="true"/>
          <w:lang w:bidi="ar-SA"/>
        </w:rPr>
        <w:t xml:space="preserve">. </w:t>
      </w:r>
      <w:bookmarkStart w:id="511" w:name="pg15204_140616"/>
    </w:p>
    <w:p>
      <w:pPr>
        <w:pStyle w:val="Heading4"/>
        <w:numPr>
          <w:ilvl w:val="3"/>
          <w:numId w:val="1"/>
        </w:numPr>
        <w:rPr/>
      </w:pPr>
      <w:bookmarkStart w:id="512" w:name="__RefHeading___Toc2759024_2142443653"/>
      <w:bookmarkStart w:id="513" w:name="_Toc188"/>
      <w:bookmarkEnd w:id="511"/>
      <w:bookmarkEnd w:id="512"/>
      <w:r>
        <w:rPr>
          <w:rtl w:val="true"/>
        </w:rPr>
        <w:t>مسألة في أحكام الردّ</w:t>
      </w:r>
      <w:bookmarkEnd w:id="513"/>
    </w:p>
    <w:p>
      <w:pPr>
        <w:pStyle w:val="Heading5"/>
        <w:numPr>
          <w:ilvl w:val="4"/>
          <w:numId w:val="1"/>
        </w:numPr>
        <w:rPr/>
      </w:pPr>
      <w:bookmarkStart w:id="514" w:name="__RefHeading___Toc2759026_2142443653"/>
      <w:bookmarkStart w:id="515" w:name="_Toc189"/>
      <w:bookmarkEnd w:id="514"/>
      <w:r>
        <w:rPr>
          <w:rtl w:val="true"/>
        </w:rPr>
        <w:t>إشارة</w:t>
      </w:r>
      <w:bookmarkEnd w:id="515"/>
    </w:p>
    <w:p>
      <w:pPr>
        <w:pStyle w:val="BookText"/>
        <w:rPr/>
      </w:pPr>
      <w:r>
        <w:rPr>
          <w:rFonts w:ascii="Amiri" w:hAnsi="Amiri" w:eastAsia="Amiri" w:cs="Amiri"/>
          <w:color w:val="111111"/>
          <w:sz w:val="28"/>
          <w:sz w:val="28"/>
          <w:szCs w:val="28"/>
          <w:rtl w:val="true"/>
          <w:lang w:bidi="ar-SA"/>
        </w:rPr>
        <w:t>فرض هذه المسألة بعد البناء على أنّ الردّ هادم للعقد، وفسخ له في الجملة، وقد عرفت فيما سبق عدم دليل على الأصل</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759028_2142443653"/>
      <w:bookmarkStart w:id="517" w:name="_Toc190"/>
      <w:bookmarkEnd w:id="516"/>
      <w:r>
        <w:rPr>
          <w:rtl w:val="true"/>
        </w:rPr>
        <w:t>حكم الشكّ في تحقّق الفسخ</w:t>
      </w:r>
      <w:bookmarkEnd w:id="517"/>
    </w:p>
    <w:p>
      <w:pPr>
        <w:pStyle w:val="BookText"/>
        <w:rPr/>
      </w:pPr>
      <w:r>
        <w:rPr>
          <w:rFonts w:ascii="Amiri" w:hAnsi="Amiri" w:eastAsia="Amiri" w:cs="Amiri"/>
          <w:color w:val="111111"/>
          <w:sz w:val="28"/>
          <w:sz w:val="28"/>
          <w:szCs w:val="28"/>
          <w:rtl w:val="true"/>
          <w:lang w:bidi="ar-SA"/>
        </w:rPr>
        <w:t>ثمّ إنّه لمّا كانت موارد الشكّ في هذه المسألة كثيرة، لا بأس بالتعرّض لحالها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بغير الألفاظ الصريحة أو الظاهرة، أو بالفعل ونحوه، وشككنا في تأثيره وانفساخ العقد به، فلا إشكال في جريان استصحاب بقاء العقد؛ بمعنى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كان موجوداً أو محقّقاً، فالآن محقّق، فيحرز موضوع الأدلّة الاجتهادية،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ويثبت اللزوم بالنسبة إلى الأصيل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لازم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المجيز،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الأثر هو العقد إذا اُجيز، فلا إشكال فيه أيضاً؛ فإنّ العقد ثابت بالاستصحاب، والإجازة متعلّقة به وجداناً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المجاز بوصف كونه كذلك موضوع، فإثباته مشكل؛ لأنّ الإجازة المتعلّقة بالعقد لازمها العقلي هو كون العقد مجازاً، فإثبات </w:t>
      </w:r>
    </w:p>
    <w:p>
      <w:pPr>
        <w:pStyle w:val="BookText"/>
        <w:rPr/>
      </w:pPr>
      <w:r>
        <w:rPr>
          <w:rFonts w:ascii="Amiri" w:hAnsi="Amiri" w:eastAsia="Amiri" w:cs="Amiri"/>
          <w:color w:val="111111"/>
          <w:sz w:val="28"/>
          <w:sz w:val="28"/>
          <w:szCs w:val="28"/>
          <w:rtl w:val="true"/>
          <w:lang w:bidi="ar-SA"/>
        </w:rPr>
        <w:t>التقيّد والتوصيف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بأصالة بقاء اللزوم من طرف الأصيل، وأصالة بقاء قابلية اللزوم من طرف المجيز</w:t>
      </w:r>
      <w:r>
        <w:rPr>
          <w:rStyle w:val="FootnoteAnchor"/>
          <w:rtl w:val="true"/>
        </w:rPr>
        <w:footnoteReference w:id="852"/>
      </w:r>
      <w:r>
        <w:rPr>
          <w:rFonts w:ascii="Amiri" w:hAnsi="Amiri" w:eastAsia="Amiri" w:cs="Amiri"/>
          <w:color w:val="111111"/>
          <w:sz w:val="28"/>
          <w:sz w:val="28"/>
          <w:szCs w:val="28"/>
          <w:rtl w:val="true"/>
          <w:lang w:bidi="ar-SA"/>
        </w:rPr>
        <w:t>،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بقاء اللزوم، فلأنّ المحتمل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كلامه، فالقضيّة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اللزوم كان موجوداً، فالآن موجود إذا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التعبّد ببقاء اللزوم لا يثبت أنّ العقد لازم، وأنّه موجود، مع أ نّا شككنا في وجود العقد، وبقاء اللزوم لازمه العقلي وجود العقد، وكذا لازمه العقلي أنّ العقد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اللازم كان موجوداً، والآن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مثبت؛ لأنّ موجودية العقد اللازم لازمه العقلي كون العقد لازماً، والمقصود إثبات كون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قضيّتين،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العقد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العقد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القضيّة الاُولى ويحرز به موضوع القضيّة الثانية،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موجود تعبّداً بالاستصحاب الأوّل، والعقد المتحقّق كان</w:t>
      </w:r>
    </w:p>
    <w:p>
      <w:pPr>
        <w:pStyle w:val="BookText"/>
        <w:rPr/>
      </w:pPr>
      <w:r>
        <w:rPr>
          <w:rFonts w:ascii="Amiri" w:hAnsi="Amiri" w:eastAsia="Amiri" w:cs="Amiri"/>
          <w:color w:val="111111"/>
          <w:sz w:val="28"/>
          <w:sz w:val="28"/>
          <w:szCs w:val="28"/>
          <w:rtl w:val="true"/>
          <w:lang w:bidi="ar-SA"/>
        </w:rPr>
        <w:t>لازماً، والآن كذلك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استصحاب وجود العقد كافٍ للحكم باللزوم، وبانسلاك الموضوع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الغضّ عنه لا يمكن </w:t>
      </w:r>
    </w:p>
    <w:p>
      <w:pPr>
        <w:pStyle w:val="BookText"/>
        <w:rPr/>
      </w:pPr>
      <w:r>
        <w:rPr>
          <w:rFonts w:ascii="Amiri" w:hAnsi="Amiri" w:eastAsia="Amiri" w:cs="Amiri"/>
          <w:color w:val="111111"/>
          <w:sz w:val="28"/>
          <w:sz w:val="28"/>
          <w:szCs w:val="28"/>
          <w:rtl w:val="true"/>
          <w:lang w:bidi="ar-SA"/>
        </w:rPr>
        <w:t xml:space="preserve">إحراز وحدة القضيّة المتيقّنة والمشكوك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الأوّل؛ لأنّ الوحدة حكم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هو لازم قطعاً هو العقد بوجوده الواقعي، لا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المتحقّق كان لازماً، إن رجع إلى أنّ العقد المتحقّق تعبّداً كان لازماً،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العقد المتحقّق تعبّداً كان لازماً بوجوده الواقعي، فلا يرجع إلى محصّل،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قبيل الموضوعات المركّبة؛ حيث يحرز كلا جزئيها بالأصل، خلط؛ لأنّ موضوع الثاني هو العقد الموجود، وهو المشكوك فيه، والأصل الأوّل يحرز العقد، لكن لا يصحّ أن تحرز به وحدة القضيّة المتيقّنة والمشكوك فيها في القضيّة الثانية، كما فصّلناه في الاُصول</w:t>
      </w:r>
      <w:r>
        <w:rPr>
          <w:rStyle w:val="FootnoteAnchor"/>
          <w:rtl w:val="true"/>
        </w:rPr>
        <w:footnoteReference w:id="85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أصالة بقاء القابلية، فيرد عليها كلّ ما ورد على الأصل الأوّل مع زيادة، وهي أنّ استصحاب بقاء القابلية لا يثبت أنّه مع لحوق الإجازة يؤثّر العقد؛ فإنّه مثبت بلا شبهة،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مسائل لا ينبغي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بعد تسليم تأثيره في الفسخ، بم يحصل؟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المدرك هو الإجماع، فلا بدّ من الأخذ بالقدر المتيقّن، وهو اللفظ الصريح أو الظاهر، وحصوله بالكنايات والمجازات </w:t>
      </w:r>
    </w:p>
    <w:p>
      <w:pPr>
        <w:pStyle w:val="BookText"/>
        <w:rPr/>
      </w:pPr>
      <w:r>
        <w:rPr>
          <w:rFonts w:ascii="Amiri" w:hAnsi="Amiri" w:eastAsia="Amiri" w:cs="Amiri"/>
          <w:color w:val="111111"/>
          <w:sz w:val="28"/>
          <w:sz w:val="28"/>
          <w:szCs w:val="28"/>
          <w:rtl w:val="true"/>
          <w:lang w:bidi="ar-SA"/>
        </w:rPr>
        <w:t xml:space="preserve">والأفعال الدالّة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القرائن الموجبة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فضلاً عن الأفعال المنافية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المدرك ارتكاز العقلاء على أنّ الردّ يوجب هدم العقد، أو إطلاق دليل على فرضه، أو إطلاق معقد إجماع، فلا شبهة في عدم الفرق بين الألفاظ الصريحة أو الظاهرة، وبين الكنايات والمجازات الظاهرة بالقرائن في الردّ، وكذا الأفعال الظاهرة ولو بالقرائن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إيقاع الفعل المنافي للإجازة، أو حصول ما ينافيها فلا، فلو تلف المبيع أو أتلفه، لا يكون ذلك ردّاً وفسخاً للمعاملة، وإن لم يبق لها محلّ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نقله ببيع أو صلح أو آجره ونحو ذلك، فإنّ تلك المعاملات لا تكون ردّاً ولو مع الالتفات إلى عقد الفضولي، فضلاً عن عدمه، فلو باعه جاز للمشتري إجازة العقد الفضولي على النقل، وكذا على الكشف، على إشكال قد مرّ التفصيل فيه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يحتاج إلى الإنشاء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معاملة الفضولي لا تحتاج إليه، بل الرضا بها كافٍ؛ ضرورة أنّ البيع الفضولي تمّ فيه ما يحتاج إلى الإيقاع، وهو أصل المعاملة، وبقي ما يتوقّف عليه نفوذه، ورضا المالك الأصلي كافٍ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الرضا كافٍ عن القبول على الأشبه؛ فإنّ تمام المعاملة حصل بإنشاء الموجب، وتأثيره يحتاج إلى رضا القابل، ولو لم نقل في الأصيلين فلا ينبغي </w:t>
      </w:r>
    </w:p>
    <w:p>
      <w:pPr>
        <w:pStyle w:val="BookText"/>
        <w:rPr/>
      </w:pPr>
      <w:r>
        <w:rPr>
          <w:rFonts w:ascii="Amiri" w:hAnsi="Amiri" w:eastAsia="Amiri" w:cs="Amiri"/>
          <w:color w:val="111111"/>
          <w:sz w:val="28"/>
          <w:sz w:val="28"/>
          <w:szCs w:val="28"/>
          <w:rtl w:val="true"/>
          <w:lang w:bidi="ar-SA"/>
        </w:rPr>
        <w:t>الإشكال في كفاية الرضا بالمعاملة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هدم المعاملة وفسخها، فهو كنفس المعاملة يحتاج إلى الإيقاع والإنشاء، ولا يكفي الرضا في هدمه وفسخه، كالفسخ في المعاملة الخيارية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هل يوجب الفسخ والهدم؛ بحيث لا يصحّ لغير الرادّ الإجازة، أو لا يوجب إلاّ عدم صحّة لحوق إجازة الرادّ به، فلو ردّ بيع الفضولي ثمّ باع المبيع، صحّ بإجازة المالك الفعلي؟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كونه فسخاً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على فرضه، فالمتيقّن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ارتكاز العقلاء</w:t>
      </w:r>
      <w:r>
        <w:rPr>
          <w:rStyle w:val="FootnoteAnchor"/>
          <w:rtl w:val="true"/>
        </w:rPr>
        <w:footnoteReference w:id="855"/>
      </w:r>
      <w:r>
        <w:rPr>
          <w:rFonts w:ascii="Amiri" w:hAnsi="Amiri" w:eastAsia="Amiri" w:cs="Amiri"/>
          <w:color w:val="111111"/>
          <w:sz w:val="28"/>
          <w:sz w:val="28"/>
          <w:szCs w:val="28"/>
          <w:rtl w:val="true"/>
          <w:lang w:bidi="ar-SA"/>
        </w:rPr>
        <w:t>، فالعهدة على مدّعيها، والإنصاف أنّها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التي أشار إليها الشيخ قدّس سرّه</w:t>
      </w:r>
      <w:r>
        <w:rPr>
          <w:rStyle w:val="FootnoteAnchor"/>
          <w:rtl w:val="true"/>
        </w:rPr>
        <w:footnoteReference w:id="856"/>
      </w:r>
      <w:r>
        <w:rPr>
          <w:rFonts w:ascii="Amiri" w:hAnsi="Amiri" w:eastAsia="Amiri" w:cs="Amiri"/>
          <w:color w:val="111111"/>
          <w:sz w:val="28"/>
          <w:sz w:val="28"/>
          <w:szCs w:val="28"/>
          <w:rtl w:val="true"/>
          <w:lang w:bidi="ar-SA"/>
        </w:rPr>
        <w:t>، ففي دلالتها على أنّ الرادّ لا تجوز له الإجازة بعده إشكال، فضلاً عن الدلالة على الفسخ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مولاه، إن شاء فرّق بينهما، وإن شاء أجاز</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غاية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شيئين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الإجازة، وإمّا التفريق، والإجازة بعد التفريق، والتفريق بعد الإجازة ليسا 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دلالته على الهدم والفسخ، بحيث لو أسرينا الحكم إلى باب المعاملات </w:t>
      </w:r>
    </w:p>
    <w:p>
      <w:pPr>
        <w:pStyle w:val="BookText"/>
        <w:rPr/>
      </w:pPr>
      <w:r>
        <w:rPr>
          <w:rFonts w:ascii="Amiri" w:hAnsi="Amiri" w:eastAsia="Amiri" w:cs="Amiri"/>
          <w:color w:val="111111"/>
          <w:sz w:val="28"/>
          <w:sz w:val="28"/>
          <w:szCs w:val="28"/>
          <w:rtl w:val="true"/>
          <w:lang w:bidi="ar-SA"/>
        </w:rPr>
        <w:t>لم تكن لغيره الإجازة إذا تملّكه،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الفسخ في العقود، إنّما هو بعد تمامية العقد، وصيرورته مؤثّراً موجباً لنقل العوضين، فإرجاع العوضين إلى صاحبيهما لا يمكن إلاّ بفسخ العقد، أو إقالته، أو 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للموجب أن يقول بعد تمامية المعاملة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عن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للقابل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عن قبولي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الموجب لرجوع العوضين هو فسخ العقد وحلّه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تماميته ومؤثّريته، فالاعتبار هو قبول الإيجاب، أو إجازة العقد الفضولي، وعدم القبول وعدم الإجازة، والردّ يرجع إليه، ولا تأثير له زائداً على ذلك؛ إذ العقد لم ينسب إليه بوجه، ولم يكن مؤثّراً، ولم يتمّ نصاب مؤثّريته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للقابل والمجيز هو القبول وعدم القبول؛ بمقتضى سلطنتهما على مالهما، وأمّا فسخ العقد الذي لا مساس له بهما ولا تأثير له، فلا وجه له، ولا سلطنة للمجيز والقابل على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التصرّفات التي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موجبة لفوات محلّ الإجازة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مسألة استطرادية مناسبة لعقد البحث؛ لأنّ عقد البحث إنّما هو في أحكام الردّ، لا في مفوّت محلّ الإجازة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المالك ما عقد عليه الفضولي عن ملكه ببيع أو عتق أو هبة أو صلح ونحوها،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وقوعه صحيحاً، </w:t>
      </w:r>
    </w:p>
    <w:p>
      <w:pPr>
        <w:pStyle w:val="BookText"/>
        <w:rPr/>
      </w:pPr>
      <w:r>
        <w:rPr>
          <w:rFonts w:ascii="Amiri" w:hAnsi="Amiri" w:eastAsia="Amiri" w:cs="Amiri"/>
          <w:color w:val="111111"/>
          <w:sz w:val="28"/>
          <w:sz w:val="28"/>
          <w:szCs w:val="28"/>
          <w:rtl w:val="true"/>
          <w:lang w:bidi="ar-SA"/>
        </w:rPr>
        <w:t>وعدم نفوذ إجازته؛ لصيرورته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العقد عن قابلية تأثير الإجازة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ففيه مسامحة؛ لأنّ العقد باقٍ على قابليته، والإجازة من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للتنفيذ، فلو أجاز المالك الجديد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تملّكه البائع صحّت إجازته على الأشبه، ومع الشكّ قد عرفت حكمه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لا إشكال على الكشف الحقيقي في عدم وقوعه صحيحاً، بناءً على كون الكشف موافقاً للقواعد؛ لأنّ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وغيره، رفع جميع الشكوك الطارئة، ومنها احتمال دخالة عدم تصرّف المالك في الصحّة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القواعد، وعدم إطلاق في الأدلّة الخاصّة كما هو الحقّ</w:t>
      </w:r>
      <w:r>
        <w:rPr>
          <w:rStyle w:val="FootnoteAnchor"/>
          <w:rtl w:val="true"/>
        </w:rPr>
        <w:footnoteReference w:id="862"/>
      </w:r>
      <w:r>
        <w:rPr>
          <w:rFonts w:ascii="Amiri" w:hAnsi="Amiri" w:eastAsia="Amiri" w:cs="Amiri"/>
          <w:color w:val="111111"/>
          <w:sz w:val="28"/>
          <w:sz w:val="28"/>
          <w:szCs w:val="28"/>
          <w:rtl w:val="true"/>
          <w:lang w:bidi="ar-SA"/>
        </w:rPr>
        <w:t>، صحّ عقد المالك؛ لعدم الدليل على انتقال ماله، فمقتضى الأصل المحرز لموضوع دليل السلطنة والعمومات، الصحّة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ملكية المجيز إلى زمان الإجازة غير معقول؛ للزوم الخلف أو الانقلاب</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الإطلاق، لا دليل على صحّة الكشف في فرض تصرّف المالك، لا أنّه يعتبر في الكشف ملكية المجيز إلى زمان الإجازة، فالكشف إنّما يثبت في عقد لم يتعقّبه تصرّف المالك، فالإجازة المتأخّرة عنه غير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اعتبار عدم تصرّف من المالك الأوّل، وبين اعتبار مالكيته إلى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بالكشف الحقيقي الكشف الحكمي الانقلابي الواقعي،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انقلاب الواقع من الأوّل عمّا هو عليه، فينقلب الملك إلى اللا ملك، ولازمه صيرورة تصرّفه تصرّفاً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يلحق بالنقل الكشف التعبّدي إذا لم يكن لدليله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الكشف الحكمي؛ أي الانقلابي العنواني، فعلى فرض الإطلاق لدليله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الثاني وبطلان الفضولي، وعكسه، وصحّة الفضولي والعقد الثاني معاً، فصحّ الأوّل إلى تحقّق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النماء والمنافع للعين من زمان تحقّق الأوّل إلى تحقّق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الثاني؛ فلأنّه عقد واقع من أهله، ولا مزاحم له؛ لأنّ مقتضى الكشف الحكمي المذكور هو النقل حال الإجازة من الأوّل، وهو إنّما يصحّ إذا بقي على ملك المجيز، والفرض أنّه على ملكه إلى زمان الثاني، فلا مانع من صحّة الأوّل إلى زمانه، ولا من صحّة الثاني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لازم صحّة الأوّل إلى الثاني، كون التمليك محدوداً،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التمليك في قطعة من الزمان ليس ببيع، بل العقد الأوّل وقع بلا قيد، والإجازة تعلّقت به كذلك، لكنّ التأثير لا يصحّ إلاّ فيما لا مانع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والإجازة وقعا على نحو الإطلاق؛ أي بلا قيد، والتملّك كذلك، لكن لبقاء الملكية إلى ما بعد الثاني مانع، فلم تبق، ولازم ذلك رجوع المشتري إلى البدل، كما أنّ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التي يحتمل شمولها للمقام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تخلو صحّتهما من إشكال، ولعلّ الأقوى بطلان الفضولي، وصحّة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مجرّد فرض، وإلاّ فليس لدليل الكشف كذلك إطلاق، كما أنّه ليس على القواعد على ما مرّ في محلّه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الإشكال في العقد الأوّل؛ من ناحية عدم القدرة على التسليم ولو فرض كونه على القواعد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مورد الإخراج عن الملك كالبيع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يبقى محلّ للإجازة حتّى على الكشف الحقيقي؛ لأنّ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والكاشفية حكم شرعي مترتّب على إجازة المالك حال الإجازة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لا يخلو من غرابة؛ لأنّ اعتبار الملكية إلى حال الإجازة ينافي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المجيز أجنبيّاً، غير صحيح حتّى على فرض صحّة البيع؛ لأنّ الإجازة متعلّقة بحال العقد، فهي من المالك لا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الصحّة فرع بطلان الكشف، ومع صحّة الكشف لا تعقل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تصريحه باعتبار مالكيته حال الإجازة، لأمكن توجيه كلامه بما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الكشف على خلاف القواعد</w:t>
      </w:r>
      <w:r>
        <w:rPr>
          <w:rStyle w:val="FootnoteAnchor"/>
          <w:rtl w:val="true"/>
        </w:rPr>
        <w:footnoteReference w:id="867"/>
      </w:r>
      <w:r>
        <w:rPr>
          <w:rFonts w:ascii="Amiri" w:hAnsi="Amiri" w:eastAsia="Amiri" w:cs="Amiri"/>
          <w:color w:val="111111"/>
          <w:sz w:val="28"/>
          <w:sz w:val="28"/>
          <w:szCs w:val="28"/>
          <w:rtl w:val="true"/>
          <w:lang w:bidi="ar-SA"/>
        </w:rPr>
        <w:t>، فيقتصر على مورد اليقين، وهو غير المورد، وإن كان يرد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صحّة الكشف مع التصرّف غير الناقل كالإجارة،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مرّ ظهر الحال في التصرّفات غير الناقلة كالإجارة ونحوها، فإنّها على الكشف الحقيقي وما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كالانقلاب الحقيقي، والكشف التعبّدي من أوّل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باطلة، وعلى النقل وما يلحق به 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الرهن فعلى النقل وما في حكمه، يصحّ وتبطل الإجازة؛ لأنّ الرهن ينافي البيع، بخلاف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الكشف الحقيقي وما في حكمه، يبطل الرهن بناءً على كون الكشف على القواعد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النظر في كلام بعض الأعاظم قدّس سرّه في الدورة الاُولى، حيث جعل الرهن كالإجارة</w:t>
      </w:r>
      <w:r>
        <w:rPr>
          <w:rStyle w:val="FootnoteAnchor"/>
          <w:rtl w:val="true"/>
        </w:rPr>
        <w:footnoteReference w:id="868"/>
      </w:r>
      <w:r>
        <w:rPr>
          <w:rFonts w:ascii="Amiri" w:hAnsi="Amiri" w:eastAsia="Amiri" w:cs="Amiri"/>
          <w:color w:val="111111"/>
          <w:sz w:val="28"/>
          <w:sz w:val="28"/>
          <w:szCs w:val="28"/>
          <w:rtl w:val="true"/>
          <w:lang w:bidi="ar-SA"/>
        </w:rPr>
        <w:t xml:space="preserve">، وفي الدورة الثانية، حيث ذهب إلى بطلان الإجازة حتّى </w:t>
      </w:r>
    </w:p>
    <w:p>
      <w:pPr>
        <w:pStyle w:val="BookText"/>
        <w:rPr/>
      </w:pPr>
      <w:r>
        <w:rPr>
          <w:rFonts w:ascii="Amiri" w:hAnsi="Amiri" w:eastAsia="Amiri" w:cs="Amiri"/>
          <w:color w:val="111111"/>
          <w:sz w:val="28"/>
          <w:sz w:val="28"/>
          <w:szCs w:val="28"/>
          <w:rtl w:val="true"/>
          <w:lang w:bidi="ar-SA"/>
        </w:rPr>
        <w:t>على الكشف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صحّة الرهن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الصحّة من قبيل أخذ القضيّة بشرط المحمول، وعليه لو صحّت الإجارة أيضاً بطلت الإجازة؛ إذ معنى صحّتها أنّها صدرت من مالكها، والكشف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فرض صحّة الكشف بطلت الإجارة والرهن، فلا بدّ من البحث في الصحّة والفساد مع عدم فرض الصحّة لأحد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الكشف على القواعد، تصحّ الإجازة وتبطل التصرّفات؛ لدفع احتمال اعتبار عدمها بالإطلاق، ومع عدم كونها على القواعد لا يمكن إثبات الكشف إلاّ في المورد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غير المعاملية كاستيفاء المنفعة، فعلى الكشف الحقيقي توجب الضمان، كما أنّ التلف تحت يد غير المالك كذلك؛ لقاعدة الإتلاف في الأوّل، وقاعدة اليد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أمانة شرعية فلا ضمان</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مرضيّ؛ لأنّ الأمانة الشرعية هي ما إذا أذن الشارع أو أوجب حفظ مال الغير، كما في اللقطة بعد التعريف ونحوها، وفي المقام لا دليل على ذلك، بل مقتضى وجوب الوفاء بالعقد هو لزوم الردّ واقعاً وإن جهل به المستولي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عدم وجوب الوفاء إلاّ بعد استناد العقد إليه بالإجازة، فلا شبهة </w:t>
      </w:r>
    </w:p>
    <w:p>
      <w:pPr>
        <w:pStyle w:val="BookText"/>
        <w:rPr/>
      </w:pPr>
      <w:r>
        <w:rPr>
          <w:rFonts w:ascii="Amiri" w:hAnsi="Amiri" w:eastAsia="Amiri" w:cs="Amiri"/>
          <w:color w:val="111111"/>
          <w:sz w:val="28"/>
          <w:sz w:val="28"/>
          <w:szCs w:val="28"/>
          <w:rtl w:val="true"/>
          <w:lang w:bidi="ar-SA"/>
        </w:rPr>
        <w:t xml:space="preserve">في أنّ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المشتري، ويجب ردّها، ولا يجوز إدامة الاستيلاء عليها إلاّ بإذن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الظاهري كاستصحاب بقاء العين على ملكه، لا تستفاد منه الأمانة الشرعية، بل لسان هذا الاستصحاب ينافيها؛ فإنّ الحكم بكون المال مالك، غير مناسب للأمانة الشرعية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يحكم بملكيته، وهو حاكم على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عدم الضمان مع الإتلاف أيضاً، ولا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موجبة للضمان، من غير فرق بين العلم والجهل، ووجود حكم ظاهري وعدمه، كما هو المتسالم عندهم في تعاقب الأيادي وغيره، فالأشبه الضمان على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الأشبه عدم الضمان حتّى مع الإتلاف على الكشف الحكمي المعروف؛ أي بناءً على الانقلاب في العنوان، لا الانقلاب الحقيقي؛ فإنّ مقتضى ذلك أنّ كلّ تصرّف وقع قبل الإجازة كان في ملكه، وكلّ ما وقع بعدها كان في ملك صاحبه، ولا يعقل انقلاب ما قبل الإجازة بما بعدها بالإجازة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كان إتلاف المنافع قبلها إتلافاً لمال نفسه، والإجازة بعد تحقّقها تنقل العين بعد إتلاف المنفعة بيد مالكها، فلا وجه لضمان الإتلاف، فضلاً عن ضمان التلف</w:t>
      </w:r>
      <w:r>
        <w:rPr>
          <w:rFonts w:eastAsia="Amiri" w:cs="Amiri" w:ascii="Amiri" w:hAnsi="Amiri"/>
          <w:color w:val="111111"/>
          <w:sz w:val="28"/>
          <w:szCs w:val="28"/>
          <w:rtl w:val="true"/>
          <w:lang w:bidi="ar-SA"/>
        </w:rPr>
        <w:t xml:space="preserve">. </w:t>
      </w:r>
      <w:bookmarkStart w:id="518" w:name="pg15204_140628"/>
    </w:p>
    <w:p>
      <w:pPr>
        <w:pStyle w:val="Heading4"/>
        <w:numPr>
          <w:ilvl w:val="3"/>
          <w:numId w:val="1"/>
        </w:numPr>
        <w:rPr/>
      </w:pPr>
      <w:bookmarkStart w:id="519" w:name="__RefHeading___Toc2759030_2142443653"/>
      <w:bookmarkStart w:id="520" w:name="_Toc191"/>
      <w:bookmarkEnd w:id="518"/>
      <w:bookmarkEnd w:id="519"/>
      <w:r>
        <w:rPr>
          <w:rtl w:val="true"/>
        </w:rPr>
        <w:t>مسألة</w:t>
      </w:r>
      <w:r>
        <w:rPr>
          <w:rtl w:val="true"/>
        </w:rPr>
        <w:t xml:space="preserve">: </w:t>
      </w:r>
      <w:r>
        <w:rPr>
          <w:rtl w:val="true"/>
        </w:rPr>
        <w:t>في الأيادي المتعاقبة</w:t>
      </w:r>
      <w:bookmarkEnd w:id="520"/>
    </w:p>
    <w:p>
      <w:pPr>
        <w:pStyle w:val="Heading5"/>
        <w:numPr>
          <w:ilvl w:val="4"/>
          <w:numId w:val="1"/>
        </w:numPr>
        <w:rPr/>
      </w:pPr>
      <w:bookmarkStart w:id="521" w:name="__RefHeading___Toc2759032_2142443653"/>
      <w:bookmarkStart w:id="522" w:name="_Toc192"/>
      <w:bookmarkEnd w:id="521"/>
      <w:r>
        <w:rPr>
          <w:rtl w:val="true"/>
        </w:rPr>
        <w:t>إشارة</w:t>
      </w:r>
      <w:bookmarkEnd w:id="522"/>
    </w:p>
    <w:p>
      <w:pPr>
        <w:pStyle w:val="BookText"/>
        <w:rPr/>
      </w:pPr>
      <w:r>
        <w:rPr>
          <w:rFonts w:ascii="Amiri" w:hAnsi="Amiri" w:eastAsia="Amiri" w:cs="Amiri"/>
          <w:color w:val="111111"/>
          <w:sz w:val="28"/>
          <w:sz w:val="28"/>
          <w:szCs w:val="28"/>
          <w:rtl w:val="true"/>
          <w:lang w:bidi="ar-SA"/>
        </w:rPr>
        <w:t>لو لم يجز المالك، وكان المبيع في يد البائع الفضولي، فله انتزاعه منه مع منافعه المستوفاة وغيرها ممّا تلفت تحت يده، وقد مرّ الكلام فيه مستقصىً في المقبوض بالبيع الفاسد</w:t>
      </w:r>
      <w:r>
        <w:rPr>
          <w:rStyle w:val="FootnoteAnchor"/>
          <w:rtl w:val="true"/>
        </w:rPr>
        <w:footnoteReference w:id="871"/>
      </w:r>
      <w:r>
        <w:rPr>
          <w:rFonts w:ascii="Amiri" w:hAnsi="Amiri" w:eastAsia="Amiri" w:cs="Amiri"/>
          <w:color w:val="111111"/>
          <w:sz w:val="28"/>
          <w:sz w:val="28"/>
          <w:szCs w:val="28"/>
          <w:rtl w:val="true"/>
          <w:lang w:bidi="ar-SA"/>
        </w:rPr>
        <w:t>، فلا نطيل، والمناسب هاهنا البحث عن الأيادي المتعاقبة، فنقول</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759034_2142443653"/>
      <w:bookmarkStart w:id="524" w:name="_Toc193"/>
      <w:bookmarkEnd w:id="523"/>
      <w:r>
        <w:rPr>
          <w:rtl w:val="true"/>
        </w:rPr>
        <w:t>حكم المالك مع من وقعت العين تحت يده</w:t>
      </w:r>
      <w:bookmarkEnd w:id="524"/>
    </w:p>
    <w:p>
      <w:pPr>
        <w:pStyle w:val="BookText"/>
        <w:rPr/>
      </w:pPr>
      <w:r>
        <w:rPr>
          <w:rFonts w:ascii="Amiri" w:hAnsi="Amiri" w:eastAsia="Amiri" w:cs="Amiri"/>
          <w:color w:val="111111"/>
          <w:sz w:val="28"/>
          <w:sz w:val="28"/>
          <w:szCs w:val="28"/>
          <w:rtl w:val="true"/>
          <w:lang w:bidi="ar-SA"/>
        </w:rPr>
        <w:t>لو تعاقبت الأيادي على عين، وكانت العين موجودة في يد أحد من في السلسلة، فهل يجب على كلّ منهم ردّ العين إلى صاحبها، فإن كانت موجودة عنده يردّها، وإلاّ يأخذها ممّن كانت عنده ويردّها؟</w:t>
      </w:r>
    </w:p>
    <w:p>
      <w:pPr>
        <w:pStyle w:val="BookText"/>
        <w:rPr/>
      </w:pPr>
      <w:r>
        <w:rPr>
          <w:rFonts w:ascii="Amiri" w:hAnsi="Amiri" w:eastAsia="Amiri" w:cs="Amiri"/>
          <w:color w:val="111111"/>
          <w:sz w:val="28"/>
          <w:sz w:val="28"/>
          <w:szCs w:val="28"/>
          <w:rtl w:val="true"/>
          <w:lang w:bidi="ar-SA"/>
        </w:rPr>
        <w:t>وهل يجوز لصاحب العين الرجوع إلى كلّ من في السلسلة، كانت العين عنده أم لا؟</w:t>
      </w:r>
    </w:p>
    <w:p>
      <w:pPr>
        <w:pStyle w:val="BookText"/>
        <w:rPr/>
      </w:pPr>
      <w:r>
        <w:rPr>
          <w:rFonts w:ascii="Amiri" w:hAnsi="Amiri" w:eastAsia="Amiri" w:cs="Amiri"/>
          <w:color w:val="111111"/>
          <w:sz w:val="28"/>
          <w:sz w:val="28"/>
          <w:szCs w:val="28"/>
          <w:rtl w:val="true"/>
          <w:lang w:bidi="ar-SA"/>
        </w:rPr>
        <w:t>حكم المسألة مختلف بحسب اختلاف المباني المتقدّمة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العين على عهدة الآخذ، ولازمه العرفي أداؤها عند وجودها، وضمانها عند التلف،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عهدة العين عليه، ولازمه العرفي ما ذكر، فيجوز له الرجوع إلى كلّ واحد وإلى الجميع، كما يجب عليهم 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الثاني لم تعتبر العين على العهدة كما في الدين، بل العين الخارجية بخارجيتها يكون الآخذ متعهّداً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باب الكفالة من هذا القبيل؛ فإنّ اعتبار كون الشخص على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عقلائي، بخلاف اعتبار كونه مورد تعهّده، وهذا الاحتمال أقرب ممّا ذكره السيّد الطباطبائي قدّس سرّه</w:t>
      </w:r>
      <w:r>
        <w:rPr>
          <w:rStyle w:val="FootnoteAnchor"/>
          <w:rtl w:val="true"/>
        </w:rPr>
        <w:footnoteReference w:id="872"/>
      </w:r>
      <w:r>
        <w:rPr>
          <w:rFonts w:ascii="Amiri" w:hAnsi="Amiri" w:eastAsia="Amiri" w:cs="Amiri"/>
          <w:color w:val="111111"/>
          <w:sz w:val="28"/>
          <w:sz w:val="28"/>
          <w:szCs w:val="28"/>
          <w:rtl w:val="true"/>
          <w:lang w:bidi="ar-SA"/>
        </w:rPr>
        <w:t>وتبعه غيره</w:t>
      </w:r>
      <w:r>
        <w:rPr>
          <w:rStyle w:val="FootnoteAnchor"/>
          <w:rtl w:val="true"/>
        </w:rPr>
        <w:footnoteReference w:id="873"/>
      </w:r>
      <w:r>
        <w:rPr>
          <w:rFonts w:ascii="Amiri" w:hAnsi="Amiri" w:eastAsia="Amiri" w:cs="Amiri"/>
          <w:color w:val="111111"/>
          <w:sz w:val="28"/>
          <w:sz w:val="28"/>
          <w:szCs w:val="28"/>
          <w:rtl w:val="true"/>
          <w:lang w:bidi="ar-SA"/>
        </w:rPr>
        <w:t>، وأسلم من الإشكالات السابقة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هو الضمان عند التلف؛ بمعنى تحقّق ماهية الضمان على عهدته، وهي ماهية تعليقية، ولا يبعد أن يكون ذلك مراد المشهور على ما نسب إليهم</w:t>
      </w:r>
      <w:r>
        <w:rPr>
          <w:rStyle w:val="FootnoteAnchor"/>
          <w:rtl w:val="true"/>
        </w:rPr>
        <w:footnoteReference w:id="875"/>
      </w:r>
      <w:r>
        <w:rPr>
          <w:rFonts w:ascii="Amiri" w:hAnsi="Amiri" w:eastAsia="Amiri" w:cs="Amiri"/>
          <w:color w:val="111111"/>
          <w:sz w:val="28"/>
          <w:sz w:val="28"/>
          <w:szCs w:val="28"/>
          <w:rtl w:val="true"/>
          <w:lang w:bidi="ar-SA"/>
        </w:rPr>
        <w:t>، فعليه لا يجب ردّها على غير من هي في يده، وليس للمالك الرجوع إلى غيره ممّن في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الاستظهار من لفظ القاعدة، وأنّ المختار هو الأخير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المنافع المستوفاة وغيرها، فلا شبهة في ضمان المستوفي، بل في ضمان من تلفت تحت يده، وقد مرّ الكلام فيها وفي دفع الإشكالات عنها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كلّ من كان قبله في السلسلة دون المتأخّر؛ </w:t>
      </w:r>
    </w:p>
    <w:p>
      <w:pPr>
        <w:pStyle w:val="BookText"/>
        <w:rPr/>
      </w:pPr>
      <w:r>
        <w:rPr>
          <w:rFonts w:ascii="Amiri" w:hAnsi="Amiri" w:eastAsia="Amiri" w:cs="Amiri"/>
          <w:color w:val="111111"/>
          <w:sz w:val="28"/>
          <w:sz w:val="28"/>
          <w:szCs w:val="28"/>
          <w:rtl w:val="true"/>
          <w:lang w:bidi="ar-SA"/>
        </w:rPr>
        <w:t xml:space="preserve">بدعوى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ضمان العين مع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منافعها، وصفاتها الموجودة، والمتجدّدة ولو عند من تأخّر عن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آخذها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 الضمان على الفرض ضمان اليد، فإن كان المدّعى أنّ في ضمان المنافع والصفات لا تعتبر اليد حتّى تبعاً، وتكفي اليد على العين، فهو لا يستأهل الجواب؛ ضرورة أنّ الضمان بلا وجه، ومعه لا فرق بين المتقدّم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أنّ وقوع اليد على العين، وقوع على المنافع والصفات تبعاً، ولا يلزم الاستيلاء الاستقلالي، فهو صحيح، لكن لازمه عدم ضمان غير من استولى على المنافع والصفات بتبع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تحقّق الوصف والمنافع إلاّ عند أحد من في السلسلة، لا وجه لضمان غيره، فلو صارت الشاة سمينة عند أحدهم، ثمّ صارت هزيلة عنده، فوصف السمن لم يكن موجوداً عند السابق، ولا تحت يده؛ ضرورة عدم كون المعدوم تحت اليد، فلا مقتضى للضمان بالنسبة إلى غيره، سابقاً كان أو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الضمان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العين المأخوذة على العهدة، يكون ما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والمنافع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للخارج، فلو صار الخارج ذا صفة، اعتبرت الصفة في العين المعتبرة في الذمّة، فتشتغل الذمّة بها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تعلّق العهدة بالعين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الفرض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العين الموجودة متعلّقة للعهدة، فكلّما حصل التغيّر فيها، حصل فيما هو متعلّق العهدة، فيجب أداؤه لرفع الضمان والعهدة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مخدوش بتقريريه؛ لأنّ اعتبار العهدة أو التعهّد بالعين، تبع لقاعدة اليد، ولا يمكن تخلّفه سعةً وضيقاً عنها، ومقتضى القاعدة أنّ ما وقعت اليد عليه وكان مأخوذاً، صار مضموناً بأيّ نحو فرض، والأوصاف أو المنافع الحاصلة بعد خروج العين عن تحت استيلاء الآخذ، لا يعقل أن تصير مضمونة؛ لعدم وقوع اليد عليها، لا تبعاً ولا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ويتلوهما في الضعف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والأوصاف لا يلزم أن تقع تحت اليد، بل اليد على العين كافية في الضمان، وخروج عهدة العين لا يكون إلاّ بأدائها، وأداء منافعها، وقيم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ثبوت العهدة بالنسبة إلى المنافع والأوصاف التي لم تكن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وقوع العين تحت اليد، ولا بعده ما دام كونها تحت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على العين كافية للضمان بالنسبة إلى المنافع؛ إذ خروج العهدة بأداء قيم المنافع إنّما هو فيما ثبت الضمان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المبنى أيضاً مخدوش؛ ضرورة أنّ الدليل الوحيد للضمان هو اليد، من غير فرق بين ضمان الأعيان والمنافع، كما أنّ خروج العهدة بالنسبة إلى المنافع غير خروجها بالنسبة إلى الأعيان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عهدة العين متوقّف على أداء المنافع</w:t>
      </w:r>
      <w:r>
        <w:rPr>
          <w:rStyle w:val="FootnoteAnchor"/>
          <w:rtl w:val="true"/>
        </w:rPr>
        <w:footnoteReference w:id="879"/>
      </w:r>
      <w:r>
        <w:rPr>
          <w:rFonts w:ascii="Amiri" w:hAnsi="Amiri" w:eastAsia="Amiri" w:cs="Amiri"/>
          <w:color w:val="111111"/>
          <w:sz w:val="28"/>
          <w:sz w:val="28"/>
          <w:szCs w:val="28"/>
          <w:rtl w:val="true"/>
          <w:lang w:bidi="ar-SA"/>
        </w:rPr>
        <w:t xml:space="preserve">، خالية عن </w:t>
      </w:r>
    </w:p>
    <w:p>
      <w:pPr>
        <w:pStyle w:val="BookText"/>
        <w:rPr/>
      </w:pPr>
      <w:r>
        <w:rPr>
          <w:rFonts w:ascii="IRNazanin" w:hAnsi="IRNazanin" w:eastAsia="IRNazanin"/>
          <w:color w:val="111111"/>
          <w:sz w:val="28"/>
          <w:sz w:val="28"/>
          <w:szCs w:val="28"/>
          <w:rtl w:val="true"/>
          <w:lang w:bidi="fa-IR"/>
        </w:rPr>
        <w:t>الشاهد، بل الشاهد على خلافها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دعوى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جعل العين تحت يد الغير</w:t>
      </w:r>
      <w:r>
        <w:rPr>
          <w:rStyle w:val="FootnoteAnchor"/>
          <w:rtl w:val="true"/>
        </w:rPr>
        <w:footnoteReference w:id="880"/>
      </w:r>
      <w:r>
        <w:rPr>
          <w:rFonts w:ascii="Amiri" w:hAnsi="Amiri" w:eastAsia="Amiri" w:cs="Amiri"/>
          <w:color w:val="111111"/>
          <w:sz w:val="28"/>
          <w:sz w:val="28"/>
          <w:szCs w:val="28"/>
          <w:rtl w:val="true"/>
          <w:lang w:bidi="ar-SA"/>
        </w:rPr>
        <w:t xml:space="preserve">، ممنوعة، وعلى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ضمان المتقدّم، سواء بقيت العين وتلفت المنافع الحاصلة تحت يد المتأخّر، أو تلفت العين أيضاً، وسواء في ذلك الأوصاف والمنافع والقيم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فيها أيضاً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المالك مع من وقعت العين تحت يده، وقد بقي حكم قرار الضمان، وسيأتي الكلام فيه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525" w:name="pg15204_140633"/>
    </w:p>
    <w:p>
      <w:pPr>
        <w:pStyle w:val="Heading5"/>
        <w:numPr>
          <w:ilvl w:val="4"/>
          <w:numId w:val="1"/>
        </w:numPr>
        <w:rPr/>
      </w:pPr>
      <w:bookmarkStart w:id="526" w:name="__RefHeading___Toc2759036_2142443653"/>
      <w:bookmarkStart w:id="527" w:name="_Toc194"/>
      <w:bookmarkEnd w:id="525"/>
      <w:bookmarkEnd w:id="526"/>
      <w:r>
        <w:rPr>
          <w:rtl w:val="true"/>
        </w:rPr>
        <w:t>حكم المشتري مع الفضولي</w:t>
      </w:r>
      <w:bookmarkEnd w:id="527"/>
    </w:p>
    <w:p>
      <w:pPr>
        <w:pStyle w:val="Heading6"/>
        <w:numPr>
          <w:ilvl w:val="5"/>
          <w:numId w:val="1"/>
        </w:numPr>
        <w:rPr/>
      </w:pPr>
      <w:bookmarkStart w:id="528" w:name="__RefHeading___Toc2759038_2142443653"/>
      <w:bookmarkStart w:id="529" w:name="_Toc195"/>
      <w:bookmarkEnd w:id="528"/>
      <w:r>
        <w:rPr>
          <w:rtl w:val="true"/>
        </w:rPr>
        <w:t>إشارة</w:t>
      </w:r>
      <w:bookmarkEnd w:id="529"/>
    </w:p>
    <w:p>
      <w:pPr>
        <w:pStyle w:val="BookText"/>
        <w:rPr/>
      </w:pPr>
      <w:r>
        <w:rPr>
          <w:rFonts w:ascii="Amiri" w:hAnsi="Amiri" w:eastAsia="Amiri" w:cs="Amiri"/>
          <w:color w:val="111111"/>
          <w:sz w:val="28"/>
          <w:sz w:val="28"/>
          <w:szCs w:val="28"/>
          <w:rtl w:val="true"/>
          <w:lang w:bidi="ar-SA"/>
        </w:rPr>
        <w:t>وأمّا حكم المشتري مع الفضولي، فيقع الكلام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للمالك زائداً على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مسألتان</w:t>
      </w:r>
      <w:r>
        <w:rPr>
          <w:rFonts w:eastAsia="IRNazanin" w:cs="IRNazanin"/>
          <w:color w:val="111111"/>
          <w:sz w:val="28"/>
          <w:szCs w:val="28"/>
          <w:rtl w:val="true"/>
          <w:lang w:bidi="fa-IR"/>
        </w:rPr>
        <w:t>:</w:t>
      </w:r>
    </w:p>
    <w:p>
      <w:pPr>
        <w:pStyle w:val="Heading6"/>
        <w:numPr>
          <w:ilvl w:val="5"/>
          <w:numId w:val="1"/>
        </w:numPr>
        <w:rPr/>
      </w:pPr>
      <w:bookmarkStart w:id="530" w:name="__RefHeading___Toc2759040_2142443653"/>
      <w:bookmarkStart w:id="531" w:name="_Toc196"/>
      <w:bookmarkEnd w:id="530"/>
      <w:r>
        <w:rPr>
          <w:rtl w:val="true"/>
        </w:rPr>
        <w:t>المسألة الاُولى حول رجوع المشتري إلى الفضولي بالثمن</w:t>
      </w:r>
      <w:bookmarkEnd w:id="531"/>
    </w:p>
    <w:p>
      <w:pPr>
        <w:pStyle w:val="BookText"/>
        <w:rPr/>
      </w:pPr>
      <w:r>
        <w:rPr>
          <w:rFonts w:ascii="Amiri" w:hAnsi="Amiri" w:eastAsia="Amiri" w:cs="Amiri"/>
          <w:color w:val="111111"/>
          <w:sz w:val="28"/>
          <w:sz w:val="28"/>
          <w:szCs w:val="28"/>
          <w:rtl w:val="true"/>
          <w:lang w:bidi="ar-SA"/>
        </w:rPr>
        <w:t>لا إشكال في جواز رجوعه إلى الفضولي بالثمن مع جهله بكونه فضولياً، سواء كان موجوداً أو تالفاً، بإتلاف منه أو لا، هذا بحسب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الظاهر ومقام الترافع، فإن كان المشتري شاكّاً في كونه فضولياً وبقي على شكّه، واحتمل كون البائع مالكاً، يجب عليه ترتيب آثار الملكية، فلا يجوز له أخذ الثمن أو التصرّف فيه، ويجوز التصرّف المالكي في المبيع، كلّ ذلك لقاعدة اليد الكاشفة عن الملكية، إلاّ أن تقوم البيّنة على ملكية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ولمدّعي الملكية إقامة الدعوى على البائع وعلى المشتري، فإن أقام على المشتري، فحكم الحاكم بملكية المدّعي متّكلاً على البيّنة العادلة، فللمشتري الرجوع إلى الثمن، إلاّ إذا أصرّ على الإقرار بعد البيّنة، أو ادّعى العلم وعدم الاتّكال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اتّكل الحاكم على اليمين المردودة، لا يجوز له الرجوع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حكم الحاكم بعلمه لا يجوز له الرجوع؛ لعدم حجّية علمه بالنسبة </w:t>
      </w:r>
    </w:p>
    <w:p>
      <w:pPr>
        <w:pStyle w:val="BookText"/>
        <w:rPr/>
      </w:pPr>
      <w:r>
        <w:rPr>
          <w:rFonts w:ascii="Amiri" w:hAnsi="Amiri" w:eastAsia="Amiri" w:cs="Amiri"/>
          <w:color w:val="111111"/>
          <w:sz w:val="28"/>
          <w:sz w:val="28"/>
          <w:szCs w:val="28"/>
          <w:rtl w:val="true"/>
          <w:lang w:bidi="ar-SA"/>
        </w:rPr>
        <w:t>إلى غيره، وعدم كون الحكم حجّة على الواقع، بل هو فاصل للخصومة، ولو أقام الدعوى على البائع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اتّكل الحاكم في الدعويين على البيّنة، وكانت عند المشتري فاسقة، فلا يجوز له النقض ظاهراً، فهل يجوز باطناً؟</w:t>
      </w:r>
    </w:p>
    <w:p>
      <w:pPr>
        <w:pStyle w:val="BookText"/>
        <w:rPr/>
      </w:pPr>
      <w:r>
        <w:rPr>
          <w:rFonts w:ascii="Amiri" w:hAnsi="Amiri" w:eastAsia="Amiri" w:cs="Amiri"/>
          <w:color w:val="111111"/>
          <w:sz w:val="28"/>
          <w:sz w:val="28"/>
          <w:szCs w:val="28"/>
          <w:rtl w:val="true"/>
          <w:lang w:bidi="ar-SA"/>
        </w:rPr>
        <w:t>الظاهر ذلك، كما لو ظهر فساد اجتهاده عنده قطعاً لا اجتهاداً، وفروع المسألة موكولة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المشتري عالماً بالفضولية، فإن كان الثمن موجوداً، استردّه بلا إشكال حتّى مع تمليكه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الفرض خارج عن محطّ البحث؛ إذ محطّه ما إذا باع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واشترى المشتري منه، وتبادلا بحسب الخارج بين المثمن والثمن بعنوان أداء كلّ منهما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تمليكه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ارتباط بالمعاملة، كفرض عدم تحقّق المعاملة، وفرض تسليمه النقد وإجازة تصرّفه فيه من غير نظر إلى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تخصيص البحث في هذا الفرع والفرع اللاحق، بما إذا وقع البيع والشراء ممّن لا يعتني بالقوانين العرفية والشرعية، كما هو الحال في الظلمة والسرقة، فإنّهم يبيعون أموال الناس كأموالهم، كما هو الحال في المقبوض بالبيع الفاسد مع علمهما بالفساد، فالخمّار يبيع الخمر كالخلّ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المعتني بأحكام الشرع فلا يمكن له الجدّ بالمعاملة والتسليم بعنوان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فيقع الكلام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التبادل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عدم جواز الاسترداد مع وجود الثمن، وعدم الضمان مع الإتلاف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وجوده، فلا ينبغي الإشكال في جوازه، بل في عدم جواز أخذ البائع الثمن والتصرّف فيه؛ لأنّ الأداء إنّما هو بعنوان لا ينطبق على الواقع، ولا يكون الأداء مجّاناً وابتداءً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إنّما هو بعنوان عوض المبيع، فلا يجوز له الأخذ والتصرّف، ولم يحصل مجوّز له؛ من ملك، أو إجازة تصرّف، والرضا المعاملي والعمل على طبقه ليس مجوّزاً ولا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الأعظم قدّس سرّه أصاب فيما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تصرّف البائع في الثمن، وأنّه أكل مال بالباطل</w:t>
      </w:r>
      <w:r>
        <w:rPr>
          <w:rStyle w:val="FootnoteAnchor"/>
          <w:rtl w:val="true"/>
        </w:rPr>
        <w:footnoteReference w:id="882"/>
      </w:r>
      <w:r>
        <w:rPr>
          <w:rFonts w:ascii="Amiri" w:hAnsi="Amiri" w:eastAsia="Amiri" w:cs="Amiri"/>
          <w:color w:val="111111"/>
          <w:sz w:val="28"/>
          <w:sz w:val="28"/>
          <w:szCs w:val="28"/>
          <w:rtl w:val="true"/>
          <w:lang w:bidi="ar-SA"/>
        </w:rPr>
        <w:t>، لكن ذلك مخالف لما أفاده في الفرع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سلّطه على الثمن للتصرّف والإتلاف</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مراده في المقام التصرّف المعاملي، وفي الفرع الآتي التصرّف غير المعاملي، وهو أيضاً غير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 في المقام أنّ جواز الاسترداد؛ لعدم حصول الملكية، الظاهر منه أنّه لو حصلت الملكية لم يجز الاسترداد، مع أنّه تمليك مجّان، يجوز معه الرجوع والاسترداد مع بقائه على ما هو عليه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يكون مراده أنّ التمليك من المشتري، إذا كان في مقابل </w:t>
      </w:r>
    </w:p>
    <w:p>
      <w:pPr>
        <w:pStyle w:val="BookText"/>
        <w:rPr/>
      </w:pPr>
      <w:r>
        <w:rPr>
          <w:rFonts w:ascii="Amiri" w:hAnsi="Amiri" w:eastAsia="Amiri" w:cs="Amiri"/>
          <w:color w:val="111111"/>
          <w:sz w:val="28"/>
          <w:sz w:val="28"/>
          <w:szCs w:val="28"/>
          <w:rtl w:val="true"/>
          <w:lang w:bidi="ar-SA"/>
        </w:rPr>
        <w:t xml:space="preserve">تمليك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التمليك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الرجوع؛ لأنّ المقابلة ليست بين المالين، بل بين تمليك الأصيل وتمليك الفضولي بالمعنى المصدري، مقطوع الخلاف، بل غير صحيح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تلف الثمن فالمعروف عدم الضمان، بل هو المنسوب إلى المشهور</w:t>
      </w:r>
      <w:r>
        <w:rPr>
          <w:rStyle w:val="FootnoteAnchor"/>
          <w:rtl w:val="true"/>
        </w:rPr>
        <w:footnoteReference w:id="884"/>
      </w:r>
      <w:r>
        <w:rPr>
          <w:rFonts w:ascii="Amiri" w:hAnsi="Amiri" w:eastAsia="Amiri" w:cs="Amiri"/>
          <w:color w:val="111111"/>
          <w:sz w:val="28"/>
          <w:sz w:val="28"/>
          <w:szCs w:val="28"/>
          <w:rtl w:val="true"/>
          <w:lang w:bidi="ar-SA"/>
        </w:rPr>
        <w:t>، بل ادّعي الاتّفاق عليه</w:t>
      </w:r>
      <w:r>
        <w:rPr>
          <w:rStyle w:val="FootnoteAnchor"/>
          <w:rtl w:val="true"/>
        </w:rPr>
        <w:footnoteReference w:id="885"/>
      </w:r>
      <w:r>
        <w:rPr>
          <w:rFonts w:ascii="Amiri" w:hAnsi="Amiri" w:eastAsia="Amiri" w:cs="Amiri"/>
          <w:color w:val="111111"/>
          <w:sz w:val="28"/>
          <w:sz w:val="28"/>
          <w:szCs w:val="28"/>
          <w:rtl w:val="true"/>
          <w:lang w:bidi="ar-SA"/>
        </w:rPr>
        <w:t>، وقد تقدّم الكلام فيه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الضمان هو قاعدة اليد، وليس شيء مخصّصاً أو مقيّداً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الأعلام 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مجّاني، أو أنّ الادّعاء يصحّح التمليك الاعتباري، لا التسليم الخارجي، قد مرّ الكلام فيه</w:t>
      </w:r>
      <w:r>
        <w:rPr>
          <w:rStyle w:val="FootnoteAnchor"/>
          <w:rtl w:val="true"/>
        </w:rPr>
        <w:footnoteReference w:id="887"/>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التسليط ليس مجّانياً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سلّطه على الثمن، ولم يؤدّ البائع السلعة، يرجع إلى الثمن، وكذا لو لم يؤدّ البائع المثمن وظهر عنده تناكله، لم يؤدّ الثمن إليه بلا إشكال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تقع المماكسة في القيمة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سلّطه مقابل ملك غيره، فلم يضمّنه شيئاً من كيسه، فهو كالهبة الفاسدة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اليد لا يتوقّف على تضمينه، بل اليد تمام الموضوع له، إلاّ أن يسلّطه عليه مجّاناً، ولا شباهة لذلك بالهبة الفاسدة، بل هو عمل على طبق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اُغمض عن قاعدة اليد، فلا دليل على الضمان؛ لما مرّ في باب 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الدليل الوحيد هو اليد مع التلف، وقاعدة الإتلاف معه، لا قاعدة الإقدام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كلّ ذلك فيما إذا باع الفضولي لنفسه، وأمّا إذا باع لمالكه، ودفع المشتري الثمن إليه ليردّه إلى المالك، فالظاهر عدم الرجوع إذا تلف في يد الفضولي بلا إفراط وتفريط؛ ضرورة أنّ يده أمانية كيد الوكيل، بل هو الوكيل في الردّ إلى المالك، فلا وجه للضمان إلاّ إذا أفرط أو أتلف، ولم يتّضح ما أفاده الشيخ قدّس سرّه من ثبوت الرجوع إليه مطلقاً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ممّا مرّ حكم ما إذا كان الثمن كلّياً، فدفع المشتري بعض أفراده،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ويجوز الرجوع إليه في التلف والإتلاف</w:t>
      </w:r>
      <w:r>
        <w:rPr>
          <w:rFonts w:eastAsia="Amiri" w:cs="Amiri" w:ascii="Amiri" w:hAnsi="Amiri"/>
          <w:color w:val="111111"/>
          <w:sz w:val="28"/>
          <w:szCs w:val="28"/>
          <w:rtl w:val="true"/>
          <w:lang w:bidi="ar-SA"/>
        </w:rPr>
        <w:t xml:space="preserve">. </w:t>
      </w:r>
      <w:bookmarkStart w:id="532" w:name="pg15204_140638"/>
    </w:p>
    <w:p>
      <w:pPr>
        <w:pStyle w:val="Heading6"/>
        <w:numPr>
          <w:ilvl w:val="5"/>
          <w:numId w:val="1"/>
        </w:numPr>
        <w:rPr/>
      </w:pPr>
      <w:bookmarkStart w:id="533" w:name="__RefHeading___Toc2759042_2142443653"/>
      <w:bookmarkStart w:id="534" w:name="_Toc197"/>
      <w:bookmarkEnd w:id="532"/>
      <w:bookmarkEnd w:id="533"/>
      <w:r>
        <w:rPr>
          <w:rtl w:val="true"/>
        </w:rPr>
        <w:t>المسألة الثانية</w:t>
      </w:r>
      <w:r>
        <w:rPr>
          <w:rtl w:val="true"/>
        </w:rPr>
        <w:t xml:space="preserve">: </w:t>
      </w:r>
      <w:r>
        <w:rPr>
          <w:rtl w:val="true"/>
        </w:rPr>
        <w:t>حكم ما يغترمه المشتري زائداً على الثمن</w:t>
      </w:r>
      <w:bookmarkEnd w:id="534"/>
    </w:p>
    <w:p>
      <w:pPr>
        <w:pStyle w:val="Heading6"/>
        <w:numPr>
          <w:ilvl w:val="5"/>
          <w:numId w:val="1"/>
        </w:numPr>
        <w:rPr/>
      </w:pPr>
      <w:bookmarkStart w:id="535" w:name="__RefHeading___Toc2759044_2142443653"/>
      <w:bookmarkStart w:id="536" w:name="_Toc198"/>
      <w:bookmarkEnd w:id="535"/>
      <w:r>
        <w:rPr>
          <w:rtl w:val="true"/>
        </w:rPr>
        <w:t>انحاء الغرامات</w:t>
      </w:r>
      <w:bookmarkEnd w:id="536"/>
    </w:p>
    <w:p>
      <w:pPr>
        <w:pStyle w:val="BookText"/>
        <w:rPr/>
      </w:pPr>
      <w:r>
        <w:rPr>
          <w:rFonts w:ascii="Amiri" w:hAnsi="Amiri" w:eastAsia="Amiri" w:cs="Amiri"/>
          <w:color w:val="111111"/>
          <w:sz w:val="28"/>
          <w:sz w:val="28"/>
          <w:szCs w:val="28"/>
          <w:rtl w:val="true"/>
          <w:lang w:bidi="ar-SA"/>
        </w:rPr>
        <w:t>الغرامات التي يتحمّلها المشتري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في مقابل العين، كزيادة القيمة على الثمن، كما إذا تلفت العين ورجع إليه المالك، وكانت القيمة المأخوذة منه أكثر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في مقابل ما استوفاه، كسكنى الدار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في مقابل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من جهة حفر نهر، أو غرس، أو نفقة، أو نقص وصف، ونحو ذلك</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759046_2142443653"/>
      <w:bookmarkStart w:id="538" w:name="_Toc199"/>
      <w:bookmarkEnd w:id="537"/>
      <w:r>
        <w:rPr>
          <w:rtl w:val="true"/>
        </w:rPr>
        <w:t>الاستدلال بقاعدة الغرور على رجوع المشتري إلى الغارّ</w:t>
      </w:r>
      <w:bookmarkEnd w:id="538"/>
    </w:p>
    <w:p>
      <w:pPr>
        <w:pStyle w:val="Heading6"/>
        <w:numPr>
          <w:ilvl w:val="5"/>
          <w:numId w:val="1"/>
        </w:numPr>
        <w:rPr/>
      </w:pPr>
      <w:bookmarkStart w:id="539" w:name="__RefHeading___Toc2759048_2142443653"/>
      <w:bookmarkStart w:id="540" w:name="_Toc200"/>
      <w:bookmarkEnd w:id="539"/>
      <w:r>
        <w:rPr>
          <w:rtl w:val="true"/>
        </w:rPr>
        <w:t>إشارة</w:t>
      </w:r>
      <w:bookmarkEnd w:id="540"/>
    </w:p>
    <w:p>
      <w:pPr>
        <w:pStyle w:val="BookText"/>
        <w:rPr/>
      </w:pPr>
      <w:r>
        <w:rPr>
          <w:rFonts w:ascii="Amiri" w:hAnsi="Amiri" w:eastAsia="Amiri" w:cs="Amiri"/>
          <w:color w:val="111111"/>
          <w:sz w:val="28"/>
          <w:sz w:val="28"/>
          <w:szCs w:val="28"/>
          <w:rtl w:val="true"/>
          <w:lang w:bidi="ar-SA"/>
        </w:rPr>
        <w:t>ثمّ لو كان المشتري عالماً فلا رجوع في شيء ممّا ذكر؛ إذ لا دليل عليه، وأمّا إذا كان جاهلاً فالظاهر الرجوع في الجميع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الأخير منها، فقد ادّعي الإجماع عليه</w:t>
      </w:r>
      <w:r>
        <w:rPr>
          <w:rStyle w:val="FootnoteAnchor"/>
          <w:rtl w:val="true"/>
        </w:rPr>
        <w:footnoteReference w:id="891"/>
      </w:r>
      <w:r>
        <w:rPr>
          <w:rFonts w:ascii="Amiri" w:hAnsi="Amiri" w:eastAsia="Amiri" w:cs="Amiri"/>
          <w:color w:val="111111"/>
          <w:sz w:val="28"/>
          <w:sz w:val="28"/>
          <w:szCs w:val="28"/>
          <w:rtl w:val="true"/>
          <w:lang w:bidi="ar-SA"/>
        </w:rPr>
        <w:t>، وتدلّ عليه قاعدة الغرور</w:t>
      </w:r>
      <w:r>
        <w:rPr>
          <w:rFonts w:eastAsia="Amiri" w:cs="Amiri" w:ascii="Amiri" w:hAnsi="Amiri"/>
          <w:color w:val="111111"/>
          <w:sz w:val="28"/>
          <w:szCs w:val="28"/>
          <w:rtl w:val="true"/>
          <w:lang w:bidi="ar-SA"/>
        </w:rPr>
        <w:t xml:space="preserve">. </w:t>
      </w:r>
      <w:bookmarkStart w:id="541" w:name="pg15204_140639"/>
    </w:p>
    <w:p>
      <w:pPr>
        <w:pStyle w:val="Heading6"/>
        <w:numPr>
          <w:ilvl w:val="5"/>
          <w:numId w:val="1"/>
        </w:numPr>
        <w:rPr/>
      </w:pPr>
      <w:bookmarkStart w:id="542" w:name="__RefHeading___Toc2759050_2142443653"/>
      <w:bookmarkStart w:id="543" w:name="_Toc201"/>
      <w:bookmarkEnd w:id="541"/>
      <w:bookmarkEnd w:id="542"/>
      <w:r>
        <w:rPr>
          <w:rtl w:val="true"/>
        </w:rPr>
        <w:t>بيان قاعدة الغرور ومدركها</w:t>
      </w:r>
      <w:bookmarkEnd w:id="543"/>
    </w:p>
    <w:p>
      <w:pPr>
        <w:pStyle w:val="BookText"/>
        <w:rPr/>
      </w:pPr>
      <w:r>
        <w:rPr>
          <w:rFonts w:ascii="Amiri" w:hAnsi="Amiri" w:eastAsia="Amiri" w:cs="Amiri"/>
          <w:color w:val="111111"/>
          <w:sz w:val="28"/>
          <w:sz w:val="28"/>
          <w:szCs w:val="28"/>
          <w:rtl w:val="true"/>
          <w:lang w:bidi="ar-SA"/>
        </w:rPr>
        <w:t>وهي قاعدة مسلّمة، لها دليل مستقلّ بعنوانها، ولا يكون مستندها قاعدة الإتلاف، ولا 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يمكن أن يكون المستند ذلك؛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حيثية تباين حيثية الإتلاف والإضرار، ضرورة أنّه صادق في المقام على بيع مال الغير خدعة وتدليساً، فالعنوان صادق قبل الإتلاف والضرر رتبةً بل وزماناً، وقاعدتا الإتلاف والضرر لا تنطبقان إلاّ بعد الإتلاف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فالعنوانان متباينان، ولا يعقل كون دليل قاعدة، ما دلّ على قاعدة مباينة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سومح فلا أقلّ من كونهما معها من قبيل العامّين من وجه، وفي مثله أيضاً لا يمكن أن يكون الدليل على قاعدة الغرور ما هو نسبته إليهما كذلك، فلا بدّ إمّا من إنكار قاعدة الغرور، أو إثباتها بغير دليل الإتلاف والإضرار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قاعدة برأسها وعنوانها، لا لما 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يرجع إلى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استناد الأصحاب في الحكم إليه، وقرب احتمال استنادهم إلى الروايات الآتية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بعض الأجلّة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ينسب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يرجع إلى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عن المحقّق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الإرشاد</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 xml:space="preserve">ويمكن دعوى انجبار ضعفها بالشهرة؛ فإنّ هذه القضيّة بهذا </w:t>
      </w:r>
    </w:p>
    <w:p>
      <w:pPr>
        <w:pStyle w:val="BookText"/>
        <w:rPr/>
      </w:pPr>
      <w:r>
        <w:rPr>
          <w:rFonts w:ascii="Amiri" w:hAnsi="Amiri" w:eastAsia="Amiri" w:cs="Amiri"/>
          <w:color w:val="111111"/>
          <w:sz w:val="28"/>
          <w:sz w:val="28"/>
          <w:szCs w:val="28"/>
          <w:rtl w:val="true"/>
          <w:lang w:bidi="ar-SA"/>
        </w:rPr>
        <w:t>اللفظ متداولة في ألسنتهم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المرسلة بهذا الإرسال لا يمكن دعوى جبرها مع عدم استنادهم إليها، وقرب احتمال اصطيادها من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صحيحة أو كالصحيحة؛ إذ ليس في سندها إلاّ محمّد بن سنان، وهو ثقة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بعد أنّها غير ابنته، وأنّها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الوليدة على مواليها، والولد للرجل، 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عرفاً أنّ غرور الرجل وخدعته علّة للرجوع، فيفهم منه أنّ المغرور يرجع إلى من غرّه وخدعه، وتستفاد منه قاعدة كلّية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أخذ العنوان هو موضوعيته، فالغرور موجب للرجوع في الخسارات، سواء كان إتلافاً أو لا، وضرراً أو لا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 والعرف ودلالة الأخبار، ترجع إلى شيء واحد، وقد فسّر في اللغة كلّ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غرّ الرجل وخدعه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أنّهما بمعنى واحد، لا أنّ الغرور قاعدة، والخدعة قاعدة اُخرى، أو كلّ من العنوانين جزء موضوع،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باب تدليس الجارية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القرن والجذام ونحوهما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بالمهر على من غرّه بها، وإن كانت هي التي غرّته رجع به عليها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منها أنّ التدليس والغرور أمر واحد، فيصحّ الاستدلال لقاعدة الغرور بروايات باب التدليس، كمعتبرة رفاعة بن موسى</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البرصاء</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زوّجها وليّها وهي برصاء، أنّ لها المهر بما استحلّ من فرجها، وأنّ المهر على الذي زوّجها، وإنّما صار عليه المهر؛ لأنّه دلّسها، ولو أنّ رجلاً تزوّج امرأة، وزوّجه إيّاها رجل لا يعرف </w:t>
      </w:r>
    </w:p>
    <w:p>
      <w:pPr>
        <w:pStyle w:val="BookText"/>
        <w:rPr/>
      </w:pPr>
      <w:r>
        <w:rPr>
          <w:rFonts w:ascii="Amiri" w:hAnsi="Amiri" w:eastAsia="Amiri" w:cs="Amiri"/>
          <w:color w:val="111111"/>
          <w:sz w:val="28"/>
          <w:sz w:val="28"/>
          <w:szCs w:val="28"/>
          <w:rtl w:val="true"/>
          <w:lang w:bidi="ar-SA"/>
        </w:rPr>
        <w:t>دخيلة أمرها، لم يكن عليه شيء، وكان المهر يأخذه منها</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ذيلها ومن بعض روايات اُخر التفصيل بين العالم والجاهل</w:t>
      </w:r>
      <w:r>
        <w:rPr>
          <w:rStyle w:val="FootnoteAnchor"/>
          <w:rtl w:val="true"/>
        </w:rPr>
        <w:footnoteReference w:id="899"/>
      </w:r>
      <w:r>
        <w:rPr>
          <w:rFonts w:ascii="Amiri" w:hAnsi="Amiri" w:eastAsia="Amiri" w:cs="Amiri"/>
          <w:color w:val="111111"/>
          <w:sz w:val="28"/>
          <w:sz w:val="28"/>
          <w:szCs w:val="28"/>
          <w:rtl w:val="true"/>
          <w:lang w:bidi="ar-SA"/>
        </w:rPr>
        <w:t>، والظاهر أنّ الجاهل خارج موضوعاً، لا أنّه مدلّس ولا حكم له، واعتبار العلم في مادّة الخديعة والتدليس ظاهر من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كتمان عيب السلعة عن المشتري، 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90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خدعه وأطمعه بالباطل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أظهر له خلاف ما يخفيه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الشيء</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كان الغرور بمعنى الخدعة وقد اُخذ فيها العلم، يتّضح حال الغرور أيضاً، مع أنّ عدم الإحراز والشكّ كافٍ في عدم جواز التمسّك بقاعدة الغرور في مورد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التفصيل المستفاد من الرواية المتقدّمة وغيرها، سارٍ في قاعدة الغرور أيضاً، بعد كونهما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الضمان بقاعدة الغرور في الجاهل بالواقعة، في غاية الإشكال، بل غير ممكن؛ لأنّه متوقّف على إثبات كون الغرور غير التدليس والخديعة، وإثبات أعمّيته من حال العلم والجهل، وهما في معرض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الظاهر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يرجع إلى من غرّه</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وكذا موارد سائر الروايات، أنّ الحكم بالرجوع ثابت فيما إذا كان الغرور والخديعة دخيلاً بنحو من الدخالة في إقدام المغرور، كما لو دعاه إلى ارتكابه، وزيّنه في نظره وأغراه به، أو أخفى العيب؛ بحيث لو كان ظاهراً لما أقدم عليه، كموارد روايات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للفاعل داعٍ إلى الإقدام؛ بحيث لم تؤثّر دعوته ولا إغراؤه فيه، وكان ممّن يرتكب حتّى مع علمه بالواقعة، فهو خارج عن القاعدة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 الرجوع إنّما هو في الخسارات الواردة عليه لأجل </w:t>
      </w:r>
    </w:p>
    <w:p>
      <w:pPr>
        <w:pStyle w:val="BookText"/>
        <w:rPr/>
      </w:pPr>
      <w:r>
        <w:rPr>
          <w:rFonts w:ascii="Amiri" w:hAnsi="Amiri" w:eastAsia="Amiri" w:cs="Amiri"/>
          <w:color w:val="111111"/>
          <w:sz w:val="28"/>
          <w:sz w:val="28"/>
          <w:szCs w:val="28"/>
          <w:rtl w:val="true"/>
          <w:lang w:bidi="ar-SA"/>
        </w:rPr>
        <w:t>غروره، فلو لم تحصل له خسارة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كان الرجل عازماً على اشتراء الطعام لأكله وأكل عائلته، فقدّم إليه طعام الغير أو طعام نفسه فأكله، وكانت قيمته مساوية لما عزم على اشترائه أو أقلّ منه، لم يقع في خسارة وضرر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أراد استئجار محلّ لسكناه بقيمة، فسلّم إليه داراً ليسكنها، فاتّضح أنّها لنفسه أو لغيره، لم يكن واقعاً في خسارة عرفاً، وفي المنافع المستوفاة أيضاً كذلك إذا كان محتاجاً إليها؛ بحيث لو لم تكن حاصلة له لحصّلها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تلك الموارد لم يقع في خسارة، وهو خارج عن مفاد القاعدة، فما هو المعروف من الضمان ليس على إطلاقه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روايات التدليس</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حكمت بالضمان مع حصول النفع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ذكرناه؛ لأنّ حصول النفع شيء، وعدم تحقّق الخسارة شيء آخر، فالمهر في تلك الروايات الحاكمة بضمانه، خسارة على الزوج، وليس الدخول بها مقابلاً 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الخسارة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عدّة من الروايات وصريح بعضها أنّ الغارّ ضامن، واحتمال أن يكون الحكم بالجبر تكليفياً، أو أنّ للمغرور حقّ الرجوع، وليس من قبيل الضمان، ساقط، ففي رواية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 زوّجه قيمة ثمن الولد</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ويستفاد منها قاعدة كلّية</w:t>
      </w:r>
      <w:r>
        <w:rPr>
          <w:rFonts w:eastAsia="Amiri" w:cs="Amiri" w:ascii="Amiri" w:hAnsi="Amiri"/>
          <w:color w:val="111111"/>
          <w:sz w:val="28"/>
          <w:szCs w:val="28"/>
          <w:rtl w:val="true"/>
          <w:lang w:bidi="ar-SA"/>
        </w:rPr>
        <w:t xml:space="preserve">. </w:t>
      </w:r>
      <w:bookmarkStart w:id="544" w:name="pg15204_140645"/>
    </w:p>
    <w:p>
      <w:pPr>
        <w:pStyle w:val="BookText"/>
        <w:rPr/>
      </w:pPr>
      <w:bookmarkEnd w:id="544"/>
      <w:r>
        <w:rPr>
          <w:rFonts w:ascii="Amiri" w:hAnsi="Amiri" w:eastAsia="Amiri" w:cs="Amiri"/>
          <w:color w:val="111111"/>
          <w:sz w:val="28"/>
          <w:sz w:val="28"/>
          <w:szCs w:val="28"/>
          <w:rtl w:val="true"/>
          <w:lang w:bidi="ar-SA"/>
        </w:rPr>
        <w:t>وكذا تستفاد القاعدة والضمان من رواية رفاعة بن موسى المتقدّمة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شاهد الزور في أبواب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يضمنان الصداق</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وليس في الروايات ما يخالف الضمان؛ فإنّ رجوع المغرور إلى الغارّ يؤيّد الضمان، وهذا لا إشكال فيه</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759052_2142443653"/>
      <w:bookmarkStart w:id="546" w:name="_Toc202"/>
      <w:bookmarkEnd w:id="545"/>
      <w:r>
        <w:rPr>
          <w:rtl w:val="true"/>
        </w:rPr>
        <w:t>بيان كون ضمان الغارّ والمتلف في عرض واحد</w:t>
      </w:r>
      <w:bookmarkEnd w:id="546"/>
    </w:p>
    <w:p>
      <w:pPr>
        <w:pStyle w:val="BookText"/>
        <w:rPr/>
      </w:pPr>
      <w:r>
        <w:rPr>
          <w:rFonts w:ascii="Amiri" w:hAnsi="Amiri" w:eastAsia="Amiri" w:cs="Amiri"/>
          <w:color w:val="111111"/>
          <w:sz w:val="28"/>
          <w:sz w:val="28"/>
          <w:szCs w:val="28"/>
          <w:rtl w:val="true"/>
          <w:lang w:bidi="ar-SA"/>
        </w:rPr>
        <w:t>إنّما الإشكال في أنّ الغارّ ضامن لصاحب المال المتلف في عرض المتلف، ولصاحب المال الرجوع إلى أيّهما شاء، فلو رجع إلى الغارّ لا يرجع الغارّ إلى المتلف، ولو رجع إلى المتلف يرجع هو إلى الغارّ، نظير ضمان اليد في الأيادي المتعاقبة، بناءً على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الضمان على من تلف عنده أو بيده</w:t>
      </w:r>
      <w:r>
        <w:rPr>
          <w:rStyle w:val="FootnoteAnchor"/>
          <w:rtl w:val="true"/>
        </w:rPr>
        <w:footnoteReference w:id="9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الضمان على المتلف، وليس للمالك الرجوع إلى الغارّ، بل له أخذ ماله من المتلف، وبعد أخذه منه يرجع هو إلى الغارّ؟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الضمان على الغارّ دون المتلف، فمن أتلف مال الغير وهو مغرور، لا يضمن شيئاً، بل الغرور موجب لتوجّه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بحسب القواعد على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الغارّ، وسلبه عن المغرور؟ </w:t>
      </w:r>
    </w:p>
    <w:p>
      <w:pPr>
        <w:pStyle w:val="BookText"/>
        <w:rPr/>
      </w:pPr>
      <w:r>
        <w:rPr>
          <w:rFonts w:ascii="Amiri" w:hAnsi="Amiri" w:eastAsia="Amiri" w:cs="Amiri"/>
          <w:color w:val="111111"/>
          <w:sz w:val="28"/>
          <w:sz w:val="28"/>
          <w:szCs w:val="28"/>
          <w:rtl w:val="true"/>
          <w:lang w:bidi="ar-SA"/>
        </w:rPr>
        <w:t>وجوه، أوجهها بحسب جمع الروايات أوّلها؛ فإنّها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أنّ الضمان على الغارّ ابتداءً، كرواية إسماعيل بن جابر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الوليدة على مواليها، والولد للرجل، 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منها أنّ القيمة على الغارّ، ولا بدّ من إعطائها الموالي، فللموالي مطالبة القيمة منه، فيكون الغارّ ضامناً لهم، لا أنّ الزوج ضامن قيمة الولد للموالي، وبعد إعطائها يجوز له الرجوع إلى الغارّ، فلو كان الحكم كذلك، كان عليه البيان بعد كونه في مقام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ذيلها أنّ القاعدة الكلّية كذلك، فكلّ من غرّ الرجل وخدعه في كلّ مورد، يكون ضامناً للمضمون له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رفاعة بن موسى المتقدّمة</w:t>
      </w:r>
      <w:r>
        <w:rPr>
          <w:rStyle w:val="FootnoteAnchor"/>
          <w:rtl w:val="true"/>
        </w:rPr>
        <w:footnoteReference w:id="916"/>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المهر على الذي زوّجها، وإنّما صار عليه المهر؛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منها أنّ كلّ مدلّس يتوجّه الضمان إليه، فللزوجة مطالبة مهرها من الوليّ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المتفاهم منها ومن السابقة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الذي كان على المغرور لولا الغرور، يتعلّق بالغارّ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أنّ الضمان على المغرور، وله الرجوع إلى الغارّ بعد أداء الغرامة، كرواية جميل المتقدّمة</w:t>
      </w:r>
      <w:r>
        <w:rPr>
          <w:rStyle w:val="FootnoteAnchor"/>
          <w:rtl w:val="true"/>
        </w:rPr>
        <w:footnoteReference w:id="917"/>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الجارية المستحقّ، ويدفع </w:t>
      </w:r>
    </w:p>
    <w:p>
      <w:pPr>
        <w:pStyle w:val="BookText"/>
        <w:rPr/>
      </w:pPr>
      <w:r>
        <w:rPr>
          <w:rFonts w:ascii="Amiri" w:hAnsi="Amiri" w:eastAsia="Amiri" w:cs="Amiri"/>
          <w:color w:val="111111"/>
          <w:sz w:val="28"/>
          <w:sz w:val="28"/>
          <w:szCs w:val="28"/>
          <w:rtl w:val="true"/>
          <w:lang w:bidi="ar-SA"/>
        </w:rPr>
        <w:t>إليه المبتاع قيمة الولد، ويرجع على من باعه بثمن الجارية وقيمة الولد التي اُخذت منه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زرارة،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جاريته، ويعوّضه بما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معناه قيمة الولد</w:t>
      </w:r>
      <w:r>
        <w:rPr>
          <w:rStyle w:val="FootnoteAnchor"/>
          <w:rtl w:val="true"/>
        </w:rPr>
        <w:footnoteReference w:id="919"/>
      </w:r>
      <w:r>
        <w:rPr>
          <w:rFonts w:ascii="Amiri" w:hAnsi="Amiri" w:eastAsia="Amiri" w:cs="Amiri"/>
          <w:color w:val="111111"/>
          <w:sz w:val="28"/>
          <w:sz w:val="28"/>
          <w:szCs w:val="28"/>
          <w:rtl w:val="true"/>
          <w:lang w:bidi="ar-SA"/>
        </w:rPr>
        <w:t>وروايته الاُخرى</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 الطائفتين، والجمع بينهما أنّ الضمان على المغرور وعلى الغارّ جميعاً، كما في ضمان الأيادي المتعاقبة، ولصاحب المال الرجوع إلى أيّ منهما، لكن لو رجع إلى المغرور يرجع هو إلى الغارّ، ويستقرّ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عبدالحميد،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شاهدين شهدا على امرأة بأنّ زوجها طلّقها فتزوّجت، ثمّ جاء زوجها فأنكر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يضربان الحدّ، ويضمنان الصداق للزوج، ثمّ تعتدّ، ثمّ ترجع إلى زوجها الأوّل</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وبمناسبة الحكم يعلم ثبوت كونهما كاذبين، وأنّ شهادتهما زور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بالموت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ويضرب </w:t>
      </w:r>
    </w:p>
    <w:p>
      <w:pPr>
        <w:pStyle w:val="BookText"/>
        <w:rPr/>
      </w:pPr>
      <w:r>
        <w:rPr>
          <w:rFonts w:ascii="Amiri" w:hAnsi="Amiri" w:eastAsia="Amiri" w:cs="Amiri"/>
          <w:color w:val="111111"/>
          <w:sz w:val="28"/>
          <w:sz w:val="28"/>
          <w:szCs w:val="28"/>
          <w:rtl w:val="true"/>
          <w:lang w:bidi="ar-SA"/>
        </w:rPr>
        <w:t>الشاهدان الحدّ، ويضمنان المهر لها عن الرجل</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بينهما وبين ما تقدّمت؛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يضمنان الصداق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فرض أداء الزوج الصداق، كما لعلّه المتعارف في تلك الأزمنة والظاهر من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رواية أبي بصير أنّهما ضمنا المهر، ويجوز للمرأة الرجوع إليهما، وكان الصداق الذي ترجع به إليهما هو من قبل الرجل، فلا يجوز لها بعد الأخذ منهما الرجوع إلى الرجل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جميع الروايات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الغارّ والمغرور، وجواز الرجوع إليهما، ورجوع المغرور بعد الأداء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 أنّه لو أبرأ المضمون له المغرور المتلف، ليس له الرجوع إلى الغارّ، فلو أبرأت المرأة الزوج من المهر، ليس لها الرجوع به إلى الغارّ؛ لأنّ الضمان 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ضامن للزوجة، والغارّ ضامن لها عن الزوج؛ أي ضامن لها ما هو ضامن لها، فعليه ضمان ما هو ضامن، فإذا سقط ضمان الزوج سقط ضمانه، نظير الضمان بمعنى ضمّ ذمّة إلى ذمّة بوجه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أبرأت المرأة الغارّ، لم يكن له تأثير إلاّ في عدم جواز رجوعها إليه، فلها أخذ المهر من الزوج بعد إبراء الغارّ، وللزوج الرجوع إليه بعد الأداء</w:t>
      </w:r>
      <w:r>
        <w:rPr>
          <w:rFonts w:eastAsia="Amiri" w:cs="Amiri" w:ascii="Amiri" w:hAnsi="Amiri"/>
          <w:color w:val="111111"/>
          <w:sz w:val="28"/>
          <w:szCs w:val="28"/>
          <w:rtl w:val="true"/>
          <w:lang w:bidi="ar-SA"/>
        </w:rPr>
        <w:t xml:space="preserve">. </w:t>
      </w:r>
      <w:bookmarkStart w:id="547" w:name="pg15204_140649"/>
    </w:p>
    <w:p>
      <w:pPr>
        <w:pStyle w:val="Heading6"/>
        <w:numPr>
          <w:ilvl w:val="5"/>
          <w:numId w:val="1"/>
        </w:numPr>
        <w:rPr/>
      </w:pPr>
      <w:bookmarkStart w:id="548" w:name="__RefHeading___Toc2759054_2142443653"/>
      <w:bookmarkStart w:id="549" w:name="_Toc203"/>
      <w:bookmarkEnd w:id="547"/>
      <w:bookmarkEnd w:id="548"/>
      <w:r>
        <w:rPr>
          <w:rtl w:val="true"/>
        </w:rPr>
        <w:t>الاستدلال بقاعدة الإتلاف على رجوع المشتري إلى الغارّ</w:t>
      </w:r>
      <w:bookmarkEnd w:id="549"/>
    </w:p>
    <w:p>
      <w:pPr>
        <w:pStyle w:val="Heading6"/>
        <w:numPr>
          <w:ilvl w:val="5"/>
          <w:numId w:val="1"/>
        </w:numPr>
        <w:rPr/>
      </w:pPr>
      <w:bookmarkStart w:id="550" w:name="__RefHeading___Toc2759056_2142443653"/>
      <w:bookmarkStart w:id="551" w:name="_Toc204"/>
      <w:bookmarkEnd w:id="550"/>
      <w:r>
        <w:rPr>
          <w:rtl w:val="true"/>
        </w:rPr>
        <w:t>إشارة</w:t>
      </w:r>
      <w:bookmarkEnd w:id="551"/>
    </w:p>
    <w:p>
      <w:pPr>
        <w:pStyle w:val="BookText"/>
        <w:rPr/>
      </w:pPr>
      <w:r>
        <w:rPr>
          <w:rFonts w:ascii="Amiri" w:hAnsi="Amiri" w:eastAsia="Amiri" w:cs="Amiri"/>
          <w:color w:val="111111"/>
          <w:sz w:val="28"/>
          <w:sz w:val="28"/>
          <w:szCs w:val="28"/>
          <w:rtl w:val="true"/>
          <w:lang w:bidi="ar-SA"/>
        </w:rPr>
        <w:t>واستدلّ على رجوع المشتري إلى البائع في المقام بقاعدة الإتلاف،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البائع متلف، عليه ما يغرمه، فهو كشاهد الزور الذي يرجع إليه إذا رجع عن شهادته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بالتعرّض لقاعدة الإتلاف وحدودها عرفاً وشرعاً، ثمّ النظر في أنّ المقام مشمول لها، وإن تعرّضنا لأصل القاعدة فيما سبق</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2" w:name="__RefHeading___Toc2759058_2142443653"/>
      <w:bookmarkStart w:id="553" w:name="_Toc205"/>
      <w:bookmarkEnd w:id="552"/>
      <w:r>
        <w:rPr>
          <w:rtl w:val="true"/>
        </w:rPr>
        <w:t>بيان قاعدة الإتلاف ومدركها</w:t>
      </w:r>
      <w:bookmarkEnd w:id="553"/>
    </w:p>
    <w:p>
      <w:pPr>
        <w:pStyle w:val="BookText"/>
        <w:rPr/>
      </w:pPr>
      <w:r>
        <w:rPr>
          <w:rFonts w:ascii="Amiri" w:hAnsi="Amiri" w:eastAsia="Amiri" w:cs="Amiri"/>
          <w:color w:val="111111"/>
          <w:sz w:val="28"/>
          <w:sz w:val="28"/>
          <w:szCs w:val="28"/>
          <w:rtl w:val="true"/>
          <w:lang w:bidi="ar-SA"/>
        </w:rPr>
        <w:t xml:space="preserve">فالظاهر أنّ قاعدة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بنطاق أوسع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عقلائي، فلو أتلف مال الغير، أو أفسده، أو أكله، أو عيّبه، أو أفسده على صاحب المال ولو لم يفسده في نفسه، كمن سلّم مال الغير إلى غاصب لا يمكن أخذه منه، أو أخرج الطير من قفصه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التضييع والإفساد، فهو ضامن عند العقلاء، يرجع بعضهم إلى بعض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روايات في أبواب متفرّقة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Style w:val="FootnoteAnchor"/>
          <w:rtl w:val="true"/>
        </w:rPr>
        <w:footnoteReference w:id="9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بين شركاء، فيعتق أحدهم نصيبه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فساد على أصحابه، يقوّم قيمة، ثمّ يضمن الثمن الذي أعتقه؛ لأنّه أفسده على أصحابه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بين شركاء، فيعتق أحدهم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فساد على أصحابه، فلا يستطيعون بيعه ولا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قيمة، فيجعل على الذي أعتقه عقوبة، وإنّما جعل ذلك لما أفسده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منهما ومن غيرهما أنّ الإفساد على المالك موجب للضمان، سواء كان في نفسه فساداً أم لا، فالعلّة للضمان هو الفساد على المالك؛ بنحو لا يمكن له الانتفاع المتوقّع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فالحيلولة بين المالك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 لقائه في البحر، أو إخراج طيره من القفص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على المالك، وموجب للضمان، ويستفاد من ذلك قاعدة الإتلاف وأوسع منها، فيفهم العرف منه أنّ الإفساد بالتعييب أو بالحرق ونحوهما، موجب للضمان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قاعدة الإتلاف هو ضمان النقص الحاصل للمال، لا التقويم بما ذكر في تلك الطائفة، ولعلّ التقويم لأجل عدم إمكان الاستفادة من العبد الذي اُعتق شقص منه، فهو بحكم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بالمقصود؛ من استفادة الضمان للإتلاف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وط‌ء أحد الشركاء الجارية المشتراة،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الجارية، ويغرم ثمنها للشركاء، فإن كانت القيمة في اليوم الذي وطأ أقلّ ممّا اشتريت به، فإنّه يلزمه أكثر الثمن؛ لأنّه أفسدها على شركائه، وإن كانت القيمة في اليوم الذي وطأ أكثر ممّا اشتريت به، يلزمه الأكثر؛ لاستفسادها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الإفساد لأجل احتمال الحبل، كما يشعر به أو يدلّ عليه بعض روايات الباب</w:t>
      </w:r>
      <w:r>
        <w:rPr>
          <w:rStyle w:val="FootnoteAnchor"/>
          <w:rtl w:val="true"/>
        </w:rPr>
        <w:footnoteReference w:id="929"/>
      </w:r>
      <w:r>
        <w:rPr>
          <w:rFonts w:ascii="Amiri" w:hAnsi="Amiri" w:eastAsia="Amiri" w:cs="Amiri"/>
          <w:color w:val="111111"/>
          <w:sz w:val="28"/>
          <w:sz w:val="28"/>
          <w:szCs w:val="28"/>
          <w:rtl w:val="true"/>
          <w:lang w:bidi="ar-SA"/>
        </w:rPr>
        <w:t>، أو يقيّد بحصول الحبل، كما يدلّ عليه بعض آخر</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قاعدة الإتلاف وأزيد منها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ضمان الأجير إذا أفسد، كصحيحة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يفسد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أجير يعطى الاُجرة على أن يصلح فيفسد، فهو ضامن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ومعلوم أنّ الضمان لأجل الإفساد من غير دخالة للأجير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يستفاد من نحوها أنّ المصلح من غير أخذ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من غير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ضامن؛ لقاعدة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إسماعيل بن أبي الصباح، أو إسماعيل بن صباح، أو إسماعيل عن أبي الصباح،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يسلّم إليه المتاع فيخرقه أو يحرقه، أيغرمه؟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غرمه بما جنت يده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منها أنّ الجناية مطلقاً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سدير</w:t>
      </w:r>
      <w:r>
        <w:rPr>
          <w:rStyle w:val="FootnoteAnchor"/>
          <w:rtl w:val="true"/>
        </w:rPr>
        <w:footnoteReference w:id="933"/>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دون الحدّ، ويغرم قيمة البهيمة لصاحبها؛ لأنّه أفسدها عليه، وتذبح وتحرق وتدفن إن كانت ممّا يؤكل لحمه، وإن كانت ممّا يركب ظهره اُغرم قيمتها، وجلد دون الحدّ، وأخرجها من المدينة التي فعل بها فيها إلى بلاد اُخرى؛ حيث لا تعرف، فيبيعها فيها؛ كي لا يعيّر بها صاحبها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منها أنّ الإفساد على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تمتنع عليه التصرّفات المطلوبة ولو بحكم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للضمان، فمن جعل عصير </w:t>
      </w:r>
    </w:p>
    <w:p>
      <w:pPr>
        <w:pStyle w:val="BookText"/>
        <w:rPr/>
      </w:pPr>
      <w:r>
        <w:rPr>
          <w:rFonts w:ascii="Amiri" w:hAnsi="Amiri" w:eastAsia="Amiri" w:cs="Amiri"/>
          <w:color w:val="111111"/>
          <w:sz w:val="28"/>
          <w:sz w:val="28"/>
          <w:szCs w:val="28"/>
          <w:rtl w:val="true"/>
          <w:lang w:bidi="ar-SA"/>
        </w:rPr>
        <w:t>عنب الغير خمراً، أو أراق على كرّ من الخلّ قطرة من خمر، يكون ضامناً؛ لأنّه أفسده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المناط في الضمان هو الإفساد على صاحب المال، لا إفساد نفس المال، وإفساد المال أيضاً لأجل الإفساد على صاحبه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الإفساد على الصاحب، جعله بحيث يمتنع عليه التصرّف شرعاً، كالمذكور في الرواية، أو عقلاً كما لو ألقاه في البحر؛ بحيث لا يرجى عوده، فإنّه إتلاف على صاحبه وإفساد عليه، بل لو سلّم مال الغير إلى ظالم لا يمكن استرجاعه، شملته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فمضمون الرواية أعمّ من قاعدة الإتلاف؛ لأنّ إتلاف المال إفساد على صاحبه، كما أنّ الموارد المتقدّمة إفساد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ذيل الرواية أنّه بعد الاغترام يكون ما أدّى غرامته للضامن؛ فإنّ الظاهر أنّ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الضامن، ويفهم عرفاً منه أنّ الثمن له كما هو واضح، ويستفاد ذلك من بعض الروايات المتقدّمة</w:t>
      </w:r>
      <w:r>
        <w:rPr>
          <w:rStyle w:val="FootnoteAnchor"/>
          <w:rtl w:val="true"/>
        </w:rPr>
        <w:footnoteReference w:id="9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الاعتبار العرفي مساعد لذلك، فمن كسر زجاج الغير وأدّى غرامته تامّة، يتملّك بأداء الغرامة الأجزاء المكسورة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لشيء مادّة وصورة ذات قيمة، وأتلف صورته، وأدّى غرامتها، كانت المادّة لمالكه، والمسألة محلّ كلام وإشكال، ولها محلّ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يرهن الرهن بمائة درهم، وهو يساوي ثلاثمائة درهم فيهلكه، أ على الرجل أن يردّ على صاحبه مائتي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أخذه رهناً فيه فضل وضيّعه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التعليل أنّ كلّ من ضيّع مال الغير وأهلكه،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الضمان لليد؛ فإنّه إذا همّ بالإهلاك تتبدّل يده الأمانية إلى الضمان، فلو هلك أيضاً يكون ضامناً، بعيد جدّاً؛ لظهورها في أنّ التضييع والإهلاك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مثلاً لو أتلف المال المغصوب، يكون ضمانه ضمان إتلاف، لا ضمان يد؛ لقوّة سببية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رواية الكليني قدّس سرّه </w:t>
      </w:r>
      <w:r>
        <w:rPr>
          <w:rStyle w:val="FootnoteAnchor"/>
          <w:rtl w:val="true"/>
        </w:rPr>
        <w:footnoteReference w:id="938"/>
      </w:r>
      <w:r>
        <w:rPr>
          <w:rFonts w:ascii="Amiri" w:hAnsi="Amiri" w:eastAsia="Amiri" w:cs="Amiri"/>
          <w:color w:val="111111"/>
          <w:sz w:val="28"/>
          <w:sz w:val="28"/>
          <w:szCs w:val="28"/>
          <w:rtl w:val="true"/>
          <w:lang w:bidi="ar-SA"/>
        </w:rPr>
        <w:t>يكون الضمان لليد؛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الهلاك 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الكليني، محمول على الإهمال والتفريط؛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الرهن إذا ضاع من عند المرتهن من غير أن يستهلكه، رجع بحقّه على الراهن فأخذه، </w:t>
      </w:r>
      <w:bookmarkStart w:id="554" w:name="pg15204_140655"/>
    </w:p>
    <w:p>
      <w:pPr>
        <w:pStyle w:val="BookText"/>
        <w:rPr/>
      </w:pPr>
      <w:bookmarkEnd w:id="554"/>
      <w:r>
        <w:rPr>
          <w:rFonts w:ascii="Amiri" w:hAnsi="Amiri" w:eastAsia="Amiri" w:cs="Amiri"/>
          <w:color w:val="111111"/>
          <w:sz w:val="28"/>
          <w:sz w:val="28"/>
          <w:szCs w:val="28"/>
          <w:rtl w:val="true"/>
          <w:lang w:bidi="ar-SA"/>
        </w:rPr>
        <w:t>وإن استهلكه ترادّا الفضل بينهما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كموثّقة إسحاق على رواية الصدوق قدّس سرّه، وإن كان المراد منه جعله في معرض الهلاك فكأنّه طلب هلاكه،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رواية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الأدلّة المتقدّمة على قاعدة الإتلاف بنطاق أوسع على ما مرّ</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2759060_2142443653"/>
      <w:bookmarkStart w:id="556" w:name="_Toc206"/>
      <w:bookmarkEnd w:id="555"/>
      <w:r>
        <w:rPr>
          <w:rtl w:val="true"/>
        </w:rPr>
        <w:t>بيان قاعدة التسبيب ومدركها</w:t>
      </w:r>
      <w:bookmarkEnd w:id="556"/>
    </w:p>
    <w:p>
      <w:pPr>
        <w:pStyle w:val="BookText"/>
        <w:rPr/>
      </w:pPr>
      <w:r>
        <w:rPr>
          <w:rFonts w:ascii="Amiri" w:hAnsi="Amiri" w:eastAsia="Amiri" w:cs="Amiri"/>
          <w:color w:val="111111"/>
          <w:sz w:val="28"/>
          <w:sz w:val="28"/>
          <w:szCs w:val="28"/>
          <w:rtl w:val="true"/>
          <w:lang w:bidi="ar-SA"/>
        </w:rPr>
        <w:t>وهل هنا قاعدة اُخرى، وهي قاعدة التسبيب؟</w:t>
      </w:r>
    </w:p>
    <w:p>
      <w:pPr>
        <w:pStyle w:val="BookText"/>
        <w:rPr/>
      </w:pPr>
      <w:r>
        <w:rPr>
          <w:rFonts w:ascii="Amiri" w:hAnsi="Amiri" w:eastAsia="Amiri" w:cs="Amiri"/>
          <w:color w:val="111111"/>
          <w:sz w:val="28"/>
          <w:sz w:val="28"/>
          <w:szCs w:val="28"/>
          <w:rtl w:val="true"/>
          <w:lang w:bidi="ar-SA"/>
        </w:rPr>
        <w:t xml:space="preserve">ومحلّ الكلام ما إذا لم يكن التسبيب موجباً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كالإلقاء في النار، أو في البحر، أو عند حيوان مفترس؛ فإنّ الضمان في مثله للإتلاف،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الملقي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عليها بأخبار كثيرة في أبواب متفرّقة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ضمان من رجع عن شهادته، كمرسلة جميل، عن أحدهما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في الشهود إذا شهدوا على رجل، ثمّ رجعوا عن شهادتهم وقد قضي على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ضمنوا ما شهدوا به وغرموا، وإن لم يكن قضي طرحت شهادتهم ولم يغرموا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عليه رجلان بأنّه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وليس الذي قطعت يده، وإنّما شبّهنا ذلك بهذا، فقضى عليهما أن غرّمهما نصف الدية، ولم يجز شهادتهما على الآخر</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شاهد الزور كصحيحة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 ما توبته؟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من المال الذي شهد عليه بقدر ما ذهب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 على صاحبه، وإن لم يكن قائماً ضمن بقدر ما أتلف من مال الرجل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الطائفة الاُولى على أنّ الشاهد لمّا صار سبباً أو جزء سبب للزوم حكم </w:t>
      </w:r>
    </w:p>
    <w:p>
      <w:pPr>
        <w:pStyle w:val="BookText"/>
        <w:rPr/>
      </w:pPr>
      <w:r>
        <w:rPr>
          <w:rFonts w:ascii="Amiri" w:hAnsi="Amiri" w:eastAsia="Amiri" w:cs="Amiri"/>
          <w:color w:val="111111"/>
          <w:sz w:val="28"/>
          <w:sz w:val="28"/>
          <w:szCs w:val="28"/>
          <w:rtl w:val="true"/>
          <w:lang w:bidi="ar-SA"/>
        </w:rPr>
        <w:t>القاضي، وكان القاضي ملزماً شرعاً بالحكم بعد تمامية ميزان القضاء، كان الغرم عليه، لا على القاضي الملزم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حال شهادته وإن كان معذوراً، لكنّ العذر موجب لرفع العقوبة والتكليف، لا لرفع الحكم الوضعي والضمان، فشهادتهما موجبة لانقطاع يد المالك عن ماله بنحو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الشاهدين أيضاً تجب عليهما الشهادة، وهما محسنان، ولا سبيل على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الشهادة لا يرفع الضمان، والإحسان بالنسبة إلى المحكوم عليه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نقل بضمان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بحكمه انقطعت يد المالك عن ماله، لا بصرف 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شهادة الشهود سبب أصيل في انقطاع يده وذهاب ماله،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إسراء الحكم من موردهما إلى غيرهما مشكل، إلاّ بدعوى إلغاء الخصوصية، وهي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وهي العمدة، فدلالتها على المطلوب لأجل أنّ الإتلاف هاهنا غير المعنى المعهود؛ أي إفناء المال وإهلاكه، ضرورة أنّ المدّعي الكاذب الذي شهد الشاهدان زوراً بنفعه، لو أخذ المال وأتلفه، أو تلف عنده، ضمن بضمان الإتلاف أو اليد، والمتلف هو المدّعي حقيقة لا الشاهدان، ولا يعقل أن يكون لشيء واحد إتلافان وتلفان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فإتلاف المدّعي غير إتلاف الشاهد، فالمدّعي متلف ومفنٍ للمال، وضامن </w:t>
      </w:r>
    </w:p>
    <w:p>
      <w:pPr>
        <w:pStyle w:val="BookText"/>
        <w:rPr/>
      </w:pPr>
      <w:r>
        <w:rPr>
          <w:rFonts w:ascii="Amiri" w:hAnsi="Amiri" w:eastAsia="Amiri" w:cs="Amiri"/>
          <w:color w:val="111111"/>
          <w:sz w:val="28"/>
          <w:sz w:val="28"/>
          <w:szCs w:val="28"/>
          <w:rtl w:val="true"/>
          <w:lang w:bidi="ar-SA"/>
        </w:rPr>
        <w:t xml:space="preserve">بضمان الإتلاف، والشاهد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يد المالك عن ماله، وامتناع 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الشاهد سبباً لذهاب المال من يد مالكه، فيكون قد أتلف المال على المالك؛ أي أذهبه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ضمان اليد، وغير ضمان الإتلاف، بل ضمان لأجل التسبيب لخروج المال من يد مالكه، لا التسبيب الابتدائي وبلا وسط، كإخراج الطير من قفصه، أو تسليم المال إلى الظالم الذي لا يرجى الأخذ منه، أو تخمير العصير العنبي ونحوها؛ ممّا قدّمنا أنّها يستفاد حكمها من أدلّة ضمان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المقام من قبيل التسبيب مع الوسط؛ فإنّ الشهادة موضوعة لوجوب حكم الحاكم، وحكمه فاصل للخصومة، وموجب لانقطاع يد المالك عن ماله في ظاهر الشرع، فشاهد الزور موجب لذهاب ماله من يده، كما عبّر به في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ذهاب ماله فيها، وإتلاف مال الرجل في صحيحة جميل، أمر واحد، وهو انقطاع يده عن ماله؛ بنحو لا يرجى العود، وإن كان المتلف الحقيقي شخصاً آخر، كما هو المفروض في المقام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ذهب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أتلف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الموضوع للضمان هو الإتلاف على مالكه والإذهاب من يده، فيستفاد من التعبيرين اللذين هما بمنزلة التعليل عرفاً، أنّ كلّ فعل يوجب ذهاب المال من يد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أو شرعاً، بلا وسط، أو مع الوسط بنحو 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مع ذلك فالمسألة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لاحتمال أن يكون الضمان في شاهد الزور جعلياً لتأديبه؛ ضرورة أ نّه مخالف للظاهر،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بقدر ما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الضمان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الروايات التي بصدد بيان مجازاته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التعزير، والحبس، والطواف به حتّى يعرفه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ساكتة عن التضمين، فيعلم أنّ الضمان أمر، والتأديب والسياسة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الإتلاف على المالك، كما مرّ احتماله وكان مبنى الاستدلال لضمان التسبيب، وإنّما نسب إليه الإتلاف عناية؛ لكون الوسائط كأنّهم مسلوبوا الاختيار؛ فإنّ القاضي والمجري لحكمه ملزمان شرعاً بالحكم والإجراء، فلا يمكن استفادة قاعدة التسبيب بنحو الإطلاق؛ لأنّ نسبة الإتلاف إليه بالعناية إنّما تصحّ إذا كانت الوسائط جميعاً مسلوبة الاختيار كالقاضي، وأمّا مع كون المتلف الحقيقي غير مسلوب الاختيار كما في المقام، فلا تصحّ العناية والانتساب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الإسراء من المورد إلى سائر الموارد، لا بدّ وأن يكون لأجل فهم العلّية وتمامية الموضوع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لظهور اللفظ في ذلك، وهو في المقام ممنوع؛ للفرق بين ذكر الحكم وتعقيبه بما تفهم منه علّته، ولو لم تذكر فيه أداة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الذي زوّجه قيمة ثمن الولد، يعطيه موالي الوليدة، </w:t>
      </w:r>
    </w:p>
    <w:p>
      <w:pPr>
        <w:pStyle w:val="BookText"/>
        <w:rPr/>
      </w:pPr>
      <w:r>
        <w:rPr>
          <w:rFonts w:ascii="Amiri" w:hAnsi="Amiri" w:eastAsia="Amiri" w:cs="Amiri"/>
          <w:color w:val="111111"/>
          <w:sz w:val="28"/>
          <w:sz w:val="28"/>
          <w:szCs w:val="28"/>
          <w:rtl w:val="true"/>
          <w:lang w:bidi="ar-SA"/>
        </w:rPr>
        <w:t>كما غرّ الرجل وخدعه</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ذكره مجرّداً عنه،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بقدر ما أتلف</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حيث إنّه بصدد بيان الحكم، ويشكل فهم العلّية منه بحيث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لإلغاء الخصوصية عرفاً، وهو أيضاً مشكل بعد كون المورد ذا خصوصية ظاهرة، ولهذا يضرب الحدّ بما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ويطاف ويحبس، مضافاً إلى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دخالة الإتلاف بالمعنى الذي تقدّم، في الحكم، وأمّا كونه تمام الموضوع والعلّة التامّة، فغير ظاهر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روايات كثيرة، مثل ما دلّت على ضمان من أضرّ بطريق المسلمين</w:t>
      </w:r>
      <w:r>
        <w:rPr>
          <w:rStyle w:val="FootnoteAnchor"/>
          <w:rtl w:val="true"/>
        </w:rPr>
        <w:footnoteReference w:id="947"/>
      </w:r>
      <w:r>
        <w:rPr>
          <w:rFonts w:ascii="Amiri" w:hAnsi="Amiri" w:eastAsia="Amiri" w:cs="Amiri"/>
          <w:color w:val="111111"/>
          <w:sz w:val="28"/>
          <w:sz w:val="28"/>
          <w:szCs w:val="28"/>
          <w:rtl w:val="true"/>
          <w:lang w:bidi="ar-SA"/>
        </w:rPr>
        <w:t>وضمان خطأ القاضي على بيت المال</w:t>
      </w:r>
      <w:r>
        <w:rPr>
          <w:rStyle w:val="FootnoteAnchor"/>
          <w:rtl w:val="true"/>
        </w:rPr>
        <w:footnoteReference w:id="948"/>
      </w:r>
      <w:r>
        <w:rPr>
          <w:rFonts w:ascii="Amiri" w:hAnsi="Amiri" w:eastAsia="Amiri" w:cs="Amiri"/>
          <w:color w:val="111111"/>
          <w:sz w:val="28"/>
          <w:sz w:val="28"/>
          <w:szCs w:val="28"/>
          <w:rtl w:val="true"/>
          <w:lang w:bidi="ar-SA"/>
        </w:rPr>
        <w:t>وضمان المفتي</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وضمان الطبيب والبيطار</w:t>
      </w:r>
      <w:r>
        <w:rPr>
          <w:rStyle w:val="FootnoteAnchor"/>
          <w:rtl w:val="true"/>
        </w:rPr>
        <w:footnoteReference w:id="950"/>
      </w:r>
      <w:r>
        <w:rPr>
          <w:rFonts w:ascii="Amiri" w:hAnsi="Amiri" w:eastAsia="Amiri" w:cs="Amiri"/>
          <w:color w:val="111111"/>
          <w:sz w:val="28"/>
          <w:sz w:val="28"/>
          <w:szCs w:val="28"/>
          <w:rtl w:val="true"/>
          <w:lang w:bidi="ar-SA"/>
        </w:rPr>
        <w:t>وضمان صاحب البختي المغتلم</w:t>
      </w:r>
      <w:r>
        <w:rPr>
          <w:rStyle w:val="FootnoteAnchor"/>
          <w:rtl w:val="true"/>
        </w:rPr>
        <w:footnoteReference w:id="951"/>
      </w:r>
      <w:r>
        <w:rPr>
          <w:rFonts w:ascii="Amiri" w:hAnsi="Amiri" w:eastAsia="Amiri" w:cs="Amiri"/>
          <w:color w:val="111111"/>
          <w:sz w:val="28"/>
          <w:sz w:val="28"/>
          <w:szCs w:val="28"/>
          <w:rtl w:val="true"/>
          <w:lang w:bidi="ar-SA"/>
        </w:rPr>
        <w:t>وضمان صاحب الدابّة إذا أفسدت بالليل</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منها أو من أكثرها كون الضمان تسبيبياً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مجال للمناقشة فيها؛ لأنّ أوضحها روايات الإضرار بطريق المسلمين، ويقرب فيها احتمال أن يكون جعل الضمان؛ لأجل صلاح المارّة لا للتسبيب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الإضرار ليس تسبيبياً بمعناه الواقعي، وإن كانت له دخالة في حصول الضرر، وعدّوه من الأسباب؛ أي أطلقوا عليه ذلك</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الإسراء إلى موارد اُخر، واستفادة قاعدة التسبيب بنحو ما 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الإسراء إلى بعض الموارد التي تكون نظير ما في الروايات، على ما أفتى به الفقهاء</w:t>
      </w:r>
      <w:r>
        <w:rPr>
          <w:rStyle w:val="FootnoteAnchor"/>
          <w:rtl w:val="true"/>
        </w:rPr>
        <w:footnoteReference w:id="954"/>
      </w:r>
      <w:r>
        <w:rPr>
          <w:rFonts w:ascii="Amiri" w:hAnsi="Amiri" w:eastAsia="Amiri" w:cs="Amiri"/>
          <w:color w:val="111111"/>
          <w:sz w:val="28"/>
          <w:sz w:val="28"/>
          <w:szCs w:val="28"/>
          <w:rtl w:val="true"/>
          <w:lang w:bidi="ar-SA"/>
        </w:rPr>
        <w:t>في باب الضمان وموجباته، والكلام فيها موكول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المورد 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ضمان البائع ما غرمه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الإتلاف، ولو بنطاقه الواسع على ما مرّ </w:t>
      </w:r>
      <w:r>
        <w:rPr>
          <w:rStyle w:val="FootnoteAnchor"/>
          <w:rtl w:val="true"/>
        </w:rPr>
        <w:footnoteReference w:id="955"/>
      </w:r>
      <w:r>
        <w:rPr>
          <w:rFonts w:ascii="Amiri" w:hAnsi="Amiri" w:eastAsia="Amiri" w:cs="Amiri"/>
          <w:color w:val="111111"/>
          <w:sz w:val="28"/>
          <w:sz w:val="28"/>
          <w:szCs w:val="28"/>
          <w:rtl w:val="true"/>
          <w:lang w:bidi="ar-SA"/>
        </w:rPr>
        <w:t>لأنّ البيع أو تسليم المبيع إلى المشتري، ليس إفساداً لمال المشتري المغترم، ولا إتلافاً 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دلّت على الضمان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بعضها </w:t>
      </w:r>
      <w:r>
        <w:rPr>
          <w:rStyle w:val="FootnoteAnchor"/>
          <w:rtl w:val="true"/>
        </w:rPr>
        <w:footnoteReference w:id="956"/>
      </w:r>
      <w:r>
        <w:rPr>
          <w:rFonts w:ascii="IRNazanin" w:hAnsi="IRNazanin" w:eastAsia="IRNazanin"/>
          <w:color w:val="111111"/>
          <w:sz w:val="28"/>
          <w:sz w:val="28"/>
          <w:szCs w:val="28"/>
          <w:rtl w:val="true"/>
          <w:lang w:bidi="fa-IR"/>
        </w:rPr>
        <w:t>، وأشرنا إلى بعض</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طوائف</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يتوسّط فيه بين السبب والتلف فعل اختياري رأساً، كضمان من أضرّ بطريق المسلمين، فينفّر الدابّة، ويوجب التلف، بل مع عثر المارّة؛ فإنّ </w:t>
      </w:r>
    </w:p>
    <w:p>
      <w:pPr>
        <w:pStyle w:val="BookText"/>
        <w:rPr/>
      </w:pPr>
      <w:r>
        <w:rPr>
          <w:rFonts w:ascii="Amiri" w:hAnsi="Amiri" w:eastAsia="Amiri" w:cs="Amiri"/>
          <w:color w:val="111111"/>
          <w:sz w:val="28"/>
          <w:sz w:val="28"/>
          <w:szCs w:val="28"/>
          <w:rtl w:val="true"/>
          <w:lang w:bidi="ar-SA"/>
        </w:rPr>
        <w:t>وضع القدم وإن كان فعلاً اختيارياً، لكن العثر الذي هو موجب للإتلاف والتلف، ليس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يتوسّط فيه بينهما فعل اختياري، لكن فاعله كان ملزماً عقلاً أو شرعاً، كموارد ضمان الشاهد إذا رجع، أو كان زوراً في موارد القطع</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يتوسّط فيه بينهما فعل فاعل مختار غير ملزم، كالشاهد الراجع، وشاهد الزور في الأموال</w:t>
      </w:r>
      <w:r>
        <w:rPr>
          <w:rStyle w:val="FootnoteAnchor"/>
          <w:rtl w:val="true"/>
        </w:rPr>
        <w:footnoteReference w:id="959"/>
      </w:r>
      <w:r>
        <w:rPr>
          <w:rFonts w:ascii="Amiri" w:hAnsi="Amiri" w:eastAsia="Amiri" w:cs="Amiri"/>
          <w:color w:val="111111"/>
          <w:sz w:val="28"/>
          <w:sz w:val="28"/>
          <w:szCs w:val="28"/>
          <w:rtl w:val="true"/>
          <w:lang w:bidi="ar-SA"/>
        </w:rPr>
        <w:t>، فإنّ المتلف هو المحكوم له، وهو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الواسطة فيه كالآلة عرفاً، كضمان الطبيب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المتعارف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للرواية بإطلاقها، وأمّا لو كان الطبيب مباشراً كالبيطار، فالضمان للإتلاف</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الضمان فيه لأجل ترك الحفظ اللازم، كضمان صاحب البختي المغتلم</w:t>
      </w:r>
      <w:r>
        <w:rPr>
          <w:rStyle w:val="FootnoteAnchor"/>
          <w:rtl w:val="true"/>
        </w:rPr>
        <w:footnoteReference w:id="960"/>
      </w:r>
      <w:r>
        <w:rPr>
          <w:rFonts w:ascii="Amiri" w:hAnsi="Amiri" w:eastAsia="Amiri" w:cs="Amiri"/>
          <w:color w:val="111111"/>
          <w:sz w:val="28"/>
          <w:sz w:val="28"/>
          <w:szCs w:val="28"/>
          <w:rtl w:val="true"/>
          <w:lang w:bidi="ar-SA"/>
        </w:rPr>
        <w:t>، وضمان ما أفسدت الدابّة بالليل</w:t>
      </w:r>
      <w:r>
        <w:rPr>
          <w:rStyle w:val="FootnoteAnchor"/>
          <w:rtl w:val="true"/>
        </w:rPr>
        <w:footnoteReference w:id="961"/>
      </w:r>
      <w:r>
        <w:rPr>
          <w:rFonts w:ascii="Amiri" w:hAnsi="Amiri" w:eastAsia="Amiri" w:cs="Amiri"/>
          <w:color w:val="111111"/>
          <w:sz w:val="28"/>
          <w:sz w:val="28"/>
          <w:szCs w:val="28"/>
          <w:rtl w:val="true"/>
          <w:lang w:bidi="ar-SA"/>
        </w:rPr>
        <w:t>، والدابّة الداخلة على مستراح دابّة اُخرى</w:t>
      </w:r>
      <w:r>
        <w:rPr>
          <w:rStyle w:val="FootnoteAnchor"/>
          <w:rtl w:val="true"/>
        </w:rPr>
        <w:footnoteReference w:id="962"/>
      </w:r>
      <w:r>
        <w:rPr>
          <w:rFonts w:ascii="Amiri" w:hAnsi="Amiri" w:eastAsia="Amiri" w:cs="Amiri"/>
          <w:color w:val="111111"/>
          <w:sz w:val="28"/>
          <w:sz w:val="28"/>
          <w:szCs w:val="28"/>
          <w:rtl w:val="true"/>
          <w:lang w:bidi="ar-SA"/>
        </w:rPr>
        <w:t>وضمان صاحب الكلب إذا عقر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557" w:name="pg15204_140664"/>
    </w:p>
    <w:p>
      <w:pPr>
        <w:pStyle w:val="BookText"/>
        <w:rPr/>
      </w:pPr>
      <w:bookmarkEnd w:id="557"/>
      <w:r>
        <w:rPr>
          <w:rFonts w:ascii="Amiri" w:hAnsi="Amiri" w:eastAsia="Amiri" w:cs="Amiri"/>
          <w:color w:val="111111"/>
          <w:sz w:val="28"/>
          <w:sz w:val="28"/>
          <w:szCs w:val="28"/>
          <w:rtl w:val="true"/>
          <w:lang w:bidi="ar-SA"/>
        </w:rPr>
        <w:t>وما نحن بصدده ليس مشمولاً لمورد من تلك الموارد؛ لعدم سببية البيع، ولا تسليم المبيع بنحو من الأسباب المتقدّمة في تلف ماله أو غرامته، من غير فرق بين ما لا ينتفع به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البيع لما وقع في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البيع ليس سبباً، بل حصول المبيع في يده موضوع لحصول الغرامات، وهو غير السبب، كما أنّه لولا وجود المقتول لما وقع القتل، لكنّه ليس مستنداً إليه، وهو واضح</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2759062_2142443653"/>
      <w:bookmarkStart w:id="559" w:name="_Toc207"/>
      <w:bookmarkEnd w:id="558"/>
      <w:r>
        <w:rPr>
          <w:rtl w:val="true"/>
        </w:rPr>
        <w:t>الاستدلال بقاعدة الضرر على رجوع المشتري إلى الغارّ</w:t>
      </w:r>
      <w:bookmarkEnd w:id="559"/>
    </w:p>
    <w:p>
      <w:pPr>
        <w:pStyle w:val="BookText"/>
        <w:rPr/>
      </w:pPr>
      <w:r>
        <w:rPr>
          <w:rFonts w:ascii="Amiri" w:hAnsi="Amiri" w:eastAsia="Amiri" w:cs="Amiri"/>
          <w:color w:val="111111"/>
          <w:sz w:val="28"/>
          <w:sz w:val="28"/>
          <w:szCs w:val="28"/>
          <w:rtl w:val="true"/>
          <w:lang w:bidi="ar-SA"/>
        </w:rPr>
        <w:t xml:space="preserve">واستدلّ الشيخ قدّس سرّه على الضمان بقاعدة الضرر، بل عدّ التغريم في مورد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رجوع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 عظيماً،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إضرار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المدّعى تتوقّف على كون القاعدة مشرّعة للضمان، وعلى كون مطلق الغرامة ضرراً، وعلى كون الغارّ سبباً للضرر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الجميع نظر؛ لما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من النواهي السلطانية السياسية، لا مشرّعة للضمان، ولا حاكمة على أدلّة الأحكام الشرعية</w:t>
      </w:r>
      <w:r>
        <w:rPr>
          <w:rStyle w:val="FootnoteAnchor"/>
          <w:rtl w:val="true"/>
        </w:rPr>
        <w:footnoteReference w:id="965"/>
      </w:r>
      <w:r>
        <w:rPr>
          <w:rFonts w:ascii="Amiri" w:hAnsi="Amiri" w:eastAsia="Amiri" w:cs="Amiri"/>
          <w:color w:val="111111"/>
          <w:sz w:val="28"/>
          <w:sz w:val="28"/>
          <w:szCs w:val="28"/>
          <w:rtl w:val="true"/>
          <w:lang w:bidi="ar-SA"/>
        </w:rPr>
        <w:t>، ومع الغضّ عنه لا مانع من كونها مشرّعة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استفادة نفي الأحكام الضررية وإثبات الضمان من لفظ واحد واستعمال فارد، فاسد؛ لأنّه مع بقاء النفي بحاله، لا إشكال في أنّ نفي 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وجودهما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الادّعائية، لا المجاز في الكلمة، ولا في الحذف، ولا بدّ في ادّعاء نفي الحقيقة في الخارج من مصحّح، وهو في المقام سدّ جميع أنحاء الضرر في حيطة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أجاز الشارع الأقدس إيقاع الضرر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دعواه، كما أنّه لو شرّع الأحكام الضررية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أوقع شخص ضرراً على الغير؛ نفساً كالقتل والجرح، أو مالاً، ولم يحكم بجبره، لم تصحّ دعواه، فمصحّح الدعوى هو سدّ جميع أنحاء الضرر، فيستفاد منها القصاص والديات والتقاصّ والضمانات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ادّعاء نفي الضرر شامل لجميع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أوردنا على صحّة هذه الدعوى في محلّها </w:t>
      </w:r>
      <w:r>
        <w:rPr>
          <w:rStyle w:val="FootnoteAnchor"/>
          <w:rtl w:val="true"/>
        </w:rPr>
        <w:footnoteReference w:id="966"/>
      </w:r>
      <w:r>
        <w:rPr>
          <w:rFonts w:ascii="Amiri" w:hAnsi="Amiri" w:eastAsia="Amiri" w:cs="Amiri"/>
          <w:color w:val="111111"/>
          <w:sz w:val="28"/>
          <w:sz w:val="28"/>
          <w:szCs w:val="28"/>
          <w:rtl w:val="true"/>
          <w:lang w:bidi="ar-SA"/>
        </w:rPr>
        <w:t>، لكنّ الكلام مع الغضّ عنه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لو كانت مثبتة للحكم لما استقام حجر على حجر، ولزم تدارك كلّ خسارة من بيت المال أو من الأغنياء</w:t>
      </w:r>
      <w:r>
        <w:rPr>
          <w:rStyle w:val="FootnoteAnchor"/>
          <w:rtl w:val="true"/>
        </w:rPr>
        <w:footnoteReference w:id="967"/>
      </w:r>
      <w:r>
        <w:rPr>
          <w:rFonts w:ascii="Amiri" w:hAnsi="Amiri" w:eastAsia="Amiri" w:cs="Amiri"/>
          <w:color w:val="111111"/>
          <w:sz w:val="28"/>
          <w:sz w:val="28"/>
          <w:szCs w:val="28"/>
          <w:rtl w:val="true"/>
          <w:lang w:bidi="ar-SA"/>
        </w:rPr>
        <w:t xml:space="preserve">، غير ظاهر؛ لأنّ الخسارات الواقعة على الأشخاص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المعاملات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مربوطة بشرع الإسلام وقوانينه، وتحمّل الضارّ الخسارة السوقية لا يوجب إشكالاً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فإثبات الضمان والقصاص والدية بها، لا مانع منه، بل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تمامية هذا المدّعى، يمكن المناقشة في كون كلّ غرامة ضرراً عرفاً، فلو ذهب لاستئجار دار بمائة دينار، فأشار إليه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يسكن في دار إجارتها مائة دينار أو أقلّ، فسكن فاتّضح أنّها للغير، فأخذ الإجارة منه ليس ضرراً عليه عرفاً؛ فإنّه كان يستأجرها لسكناه، ولم تكن زائدة على قيمتها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قيمة ما يحتاج إليه الإنسان، لا يعدّ ضرراً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يمكن المناقشة في المقدّمة الأخيرة؛ فإنّ البائع وإن كان غارّاً، لكنّه ليس سبباً للضرر بوجه، فلو قلع المالك الشجر من أرضه، يكون الضارّ هو القالع بلا إشكال، وإن كان إضراره لا حكم له وضعاً ولا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كونه متلفاً وضارّاً، لا يعقل أن يكون البائع أيضاً متلفاً وضارّاً، بل البائع ليس سبباً للإضرار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لولا البيع وحصول العين بيده، لم يتوجّه إليه ضرر، لكن مجرّد ذلك لا يوجب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لولا المظلوم لما وقع ظلم، ومع ذلك لا يكون المظلوم سبباً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فالبائع محقق لموضوع البناء في الملك، لا سبب بنائه أو هدمه، كما أنّ باني البناء أيضاً ليس سبباً لهدمه، وإن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لولا البناء لما وقع الهدم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فالمعتمد في المقام قاعدة الغرور، وشمولها لجميع موارد المقام محلّ مناقشة</w:t>
      </w:r>
      <w:r>
        <w:rPr>
          <w:rFonts w:eastAsia="Amiri" w:cs="Amiri" w:ascii="Amiri" w:hAnsi="Amiri"/>
          <w:color w:val="111111"/>
          <w:sz w:val="28"/>
          <w:szCs w:val="28"/>
          <w:rtl w:val="true"/>
          <w:lang w:bidi="ar-SA"/>
        </w:rPr>
        <w:t xml:space="preserve">. </w:t>
      </w:r>
      <w:bookmarkStart w:id="560" w:name="pg15204_140667"/>
    </w:p>
    <w:p>
      <w:pPr>
        <w:pStyle w:val="Heading5"/>
        <w:numPr>
          <w:ilvl w:val="4"/>
          <w:numId w:val="1"/>
        </w:numPr>
        <w:rPr/>
      </w:pPr>
      <w:bookmarkStart w:id="561" w:name="__RefHeading___Toc2759064_2142443653"/>
      <w:bookmarkStart w:id="562" w:name="_Toc208"/>
      <w:bookmarkEnd w:id="560"/>
      <w:bookmarkEnd w:id="561"/>
      <w:r>
        <w:rPr>
          <w:rtl w:val="true"/>
        </w:rPr>
        <w:t>ثبوت الضمان على الغارّ والمغرور وجميع الأيادي المتعاقبة</w:t>
      </w:r>
      <w:bookmarkEnd w:id="562"/>
    </w:p>
    <w:p>
      <w:pPr>
        <w:pStyle w:val="Heading6"/>
        <w:numPr>
          <w:ilvl w:val="5"/>
          <w:numId w:val="1"/>
        </w:numPr>
        <w:rPr/>
      </w:pPr>
      <w:bookmarkStart w:id="563" w:name="__RefHeading___Toc2759066_2142443653"/>
      <w:bookmarkStart w:id="564" w:name="_Toc209"/>
      <w:bookmarkEnd w:id="563"/>
      <w:r>
        <w:rPr>
          <w:rtl w:val="true"/>
        </w:rPr>
        <w:t>إشارة</w:t>
      </w:r>
      <w:bookmarkEnd w:id="564"/>
    </w:p>
    <w:p>
      <w:pPr>
        <w:pStyle w:val="BookText"/>
        <w:rPr/>
      </w:pPr>
      <w:r>
        <w:rPr>
          <w:rFonts w:ascii="Amiri" w:hAnsi="Amiri" w:eastAsia="Amiri" w:cs="Amiri"/>
          <w:color w:val="111111"/>
          <w:sz w:val="28"/>
          <w:sz w:val="28"/>
          <w:szCs w:val="28"/>
          <w:rtl w:val="true"/>
          <w:lang w:bidi="ar-SA"/>
        </w:rPr>
        <w:t>ثمّ إنّ الظاهر من الأخبار المتقدّمة التي تستفاد منها 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الغارّ والمغرور كليهما ضامنان، وأنّ لصاحب المال الرجوع إلى أيّ منهما شاء، وإن استقرّ الضمان على الغارّ، كما مرّ الكلام فيه مستقصىً</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الظاهر من دليل اليد ضمان الأيادي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السابق يرجع إلى اللاحق، ويستقرّ الضمان على من تلف في يده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2759068_2142443653"/>
      <w:bookmarkStart w:id="566" w:name="_Toc210"/>
      <w:bookmarkEnd w:id="565"/>
      <w:r>
        <w:rPr>
          <w:rtl w:val="true"/>
        </w:rPr>
        <w:t>فيقع الإشكال في مقامين</w:t>
      </w:r>
      <w:r>
        <w:rPr>
          <w:rtl w:val="true"/>
        </w:rPr>
        <w:t>:</w:t>
      </w:r>
      <w:bookmarkEnd w:id="566"/>
    </w:p>
    <w:p>
      <w:pPr>
        <w:pStyle w:val="Heading6"/>
        <w:numPr>
          <w:ilvl w:val="5"/>
          <w:numId w:val="1"/>
        </w:numPr>
        <w:rPr/>
      </w:pPr>
      <w:bookmarkStart w:id="567" w:name="__RefHeading___Toc2759070_2142443653"/>
      <w:bookmarkStart w:id="568" w:name="_Toc211"/>
      <w:bookmarkEnd w:id="567"/>
      <w:r>
        <w:rPr>
          <w:rtl w:val="true"/>
        </w:rPr>
        <w:t>المقام الأوّل</w:t>
      </w:r>
      <w:r>
        <w:rPr>
          <w:rtl w:val="true"/>
        </w:rPr>
        <w:t xml:space="preserve">: </w:t>
      </w:r>
      <w:r>
        <w:rPr>
          <w:rtl w:val="true"/>
        </w:rPr>
        <w:t>كيفية اشتغال ذمم متعدّدة بمال واحد</w:t>
      </w:r>
      <w:bookmarkEnd w:id="568"/>
    </w:p>
    <w:p>
      <w:pPr>
        <w:pStyle w:val="BookText"/>
        <w:rPr/>
      </w:pPr>
      <w:r>
        <w:rPr>
          <w:rFonts w:ascii="Amiri" w:hAnsi="Amiri" w:eastAsia="Amiri" w:cs="Amiri"/>
          <w:color w:val="111111"/>
          <w:sz w:val="28"/>
          <w:sz w:val="28"/>
          <w:szCs w:val="28"/>
          <w:rtl w:val="true"/>
          <w:lang w:bidi="ar-SA"/>
        </w:rPr>
        <w:t>أنّ مقتضى وحدة التالف وحدة الضمان، فكيف يمكن تحقّق ضمانات كثيرة لشيء واحد، وكيف يمكن أن يكون المهر على الزوج وعلى الغارّ، كما هو مقتضى الروايات</w:t>
      </w:r>
      <w:r>
        <w:rPr>
          <w:rStyle w:val="FootnoteAnchor"/>
          <w:rtl w:val="true"/>
        </w:rPr>
        <w:footnoteReference w:id="9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اشتغال الذمم ينافي البدلية المقتضية للوحدة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والغرامة وجبر الخسارة والبدلية والعوضية، ماهيات </w:t>
      </w:r>
    </w:p>
    <w:p>
      <w:pPr>
        <w:pStyle w:val="BookText"/>
        <w:rPr/>
      </w:pPr>
      <w:r>
        <w:rPr>
          <w:rFonts w:ascii="Amiri" w:hAnsi="Amiri" w:eastAsia="Amiri" w:cs="Amiri"/>
          <w:color w:val="111111"/>
          <w:sz w:val="28"/>
          <w:sz w:val="28"/>
          <w:szCs w:val="28"/>
          <w:rtl w:val="true"/>
          <w:lang w:bidi="ar-SA"/>
        </w:rPr>
        <w:t>لا تقبل التكرار، لا عرضاً، ولا طولاً، فالغرامة لا يعقل أن تتكرّر؛ بحيث يقع لها مصداقان بصفة الغرامة، فإذا كان عليه عشرة فأدّى عشرين، لا يعقل وقوع تمام العشرين بصفة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أدّى العشرة، لا يعقل أن تقع العشرة الثانية غرامة وجبراناً وعوضاً وبدلاً، بل في المثال الأوّل تقع العشرة المشاعة غرامة، وفي الثاني يقع أوّل مصداق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ضمن الاثنان أو الأكثر مال الغير بضمان اليد مثلاً، يقع على عهدة كلٍّ المال بعنوان الغرامة، فتشتغل ذمّة كلّ منهما أو منهم بضمان البدل أو ضمان الخسارة،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تعقّل التكرار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 ضمن ما ضمن الآخر؛ أي المال بعنوان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لازم ذلك، هو أنّ كلاًّ منهم مكلّف بأداء الغرامة، لكن إذا اغترم أحدهم، سقط باغترامه عنوان الغرامة، والمفروض أنّ ما تعلّق بذمم الباقين، هو المال بعنوان الغرامة والبدلية لا غير، فإذا سقطت البدلية والغرامة، ينتفي موضوع الضمان والغرامة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ليس من ناحية اشتغال الذمم، بل من ناحية أنّ اللازم وجوب اغترامات كثيرة لشيء واحد، وقد علم أنّ ذلك غير لازم من اشتغالات الذمم؛ لأنّ كلّ ذمّة مشتغلة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واحد لا يعقل التكرار فيه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كفالة أزيد من واحد عن شخص واحد، فإنّ كلاًّ كفيل مستقلاًّ، وعلى عهدة كلّ إحضار المكفول، ولكن عنوان الإحضار أمر غير قابل للتكرار، ولا يعقل إحضاران بعد كون المطلوب والمضمون صرف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أمر موافق لاعتبار العقلاء وللأدلّة؛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أنّ كلّ أخذ سبب للضمان إذا تلف، فإذا تلف يضمن كلّ آخذ بضمان مستقلّ تعييناً، لكن ماهية الضمان تأبى عن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ضامن لما ضمنه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ضمان المهر؛ فإنّ المهر أيضاً أمر لا يقبل التكرار، فالزوج ضامن لما ضمنه الغارّ، والغارّ كذلك، وإذا أدّى كلّ منهما في عرض الآخر، لا يقع تمام ما أدّيا مهراً،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الذي يعتبر في محالّ متعدّدة،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شخصياً،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كطبيعي البدل واحداً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تتبدّل وحدته بفرضها في محالّ متعدّدة اعتبارية، بخلاف الثاني، فإنّ طبيعي البدل يتحصّص بكلّ ذمّة، ومورد الإشكال هو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البدلية يقتضي الوحدة، وفرض تعدّد الذمم المقتضي لتعدّد الحصص مناف للبدلية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الذمم، لا يوجب تحصّص الطبيعي بعد فرض عدم إمكان التكرار فيه، وما يوجب التحصّص هو القيود اللاحقة بالطبيعي، لا اعتباره في </w:t>
      </w:r>
    </w:p>
    <w:p>
      <w:pPr>
        <w:pStyle w:val="BookText"/>
        <w:rPr/>
      </w:pPr>
      <w:r>
        <w:rPr>
          <w:rFonts w:ascii="Amiri" w:hAnsi="Amiri" w:eastAsia="Amiri" w:cs="Amiri"/>
          <w:color w:val="111111"/>
          <w:sz w:val="28"/>
          <w:sz w:val="28"/>
          <w:szCs w:val="28"/>
          <w:rtl w:val="true"/>
          <w:lang w:bidi="ar-SA"/>
        </w:rPr>
        <w:t xml:space="preserve">الذمم؛ إذ ليس الاعتبار فيها كالوجود الذهني الموجب للتكثّر، ولا برهان على أنّ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للتحصّص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الواقع على خلافه؛ لأنّ الماهية غير القابلة للتكرار إذا اعتبرت في الذمم، تكون ما اعتبرت في ذمّة عين ما اعتبرت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الخلط بين الوجود الذهني والاعتباري في الذمم، موجب للاشتباه، فلا فرق بين الواحد الشخصي والنوعي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الوجود الذهني إذا تعلّق اللحاظ بنفس الماهية، أيضاً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في ظاهر كلامه، وتبعه السيّد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الكلّ على البدل</w:t>
      </w:r>
      <w:r>
        <w:rPr>
          <w:rStyle w:val="FootnoteAnchor"/>
          <w:rtl w:val="true"/>
        </w:rPr>
        <w:footnoteReference w:id="973"/>
      </w:r>
      <w:r>
        <w:rPr>
          <w:rFonts w:ascii="Amiri" w:hAnsi="Amiri" w:eastAsia="Amiri" w:cs="Amiri"/>
          <w:color w:val="111111"/>
          <w:sz w:val="28"/>
          <w:sz w:val="28"/>
          <w:szCs w:val="28"/>
          <w:rtl w:val="true"/>
          <w:lang w:bidi="ar-SA"/>
        </w:rPr>
        <w:t xml:space="preserve">، فهو كالفرار من المطر إلى الميزاب؛ لأنّه تخلّص من إشكال عقلائي بإشكال عقلي مخالف لظاهر الأدلّة؛ فإنّه لا وجود للذمّة على البدل، كما أنّه لا يعقل وقوع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فالأيادي المتعيّنة وقعت على المال، ولازمه ضمان الأيادي المتعيّنة، فالذمّة على نحو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 متحقّقة بل ممتنعة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ضمانها بهذا النحو، ويمكن إرجاع كلامه إلى ما ذكرنا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أفاده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كون المال الواحد في عهدة شخصين، على نحو الاستقلال، في عرض واحد، ويمكن ذلك إذا كان ضمان أحدهم في طول ضمان الآخر رتبة، وإن كان في عرض الآخر زماناً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تعاقب الأيادي يكون الغاصب الأوّل ضامناً لما يكون مخرجه في ذمّة </w:t>
      </w:r>
    </w:p>
    <w:p>
      <w:pPr>
        <w:pStyle w:val="BookText"/>
        <w:rPr/>
      </w:pPr>
      <w:r>
        <w:rPr>
          <w:rFonts w:ascii="Amiri" w:hAnsi="Amiri" w:eastAsia="Amiri" w:cs="Amiri"/>
          <w:color w:val="111111"/>
          <w:sz w:val="28"/>
          <w:sz w:val="28"/>
          <w:szCs w:val="28"/>
          <w:rtl w:val="true"/>
          <w:lang w:bidi="ar-SA"/>
        </w:rPr>
        <w:t>الثاني، والثاني ضامناً لما يضمنه الأوّل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كرّر هذه الدعوى، ولم يأت بشيء مقنع، ولم يبرهن على عدم إمكان العرضية، ولا على إمكان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عرضاً لا امتناع فيه؛ إذ غاية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 الواحد واحد، ومقتضى الضمان المتعدّد تعدّد البدل، فيكون الواحد متكثّراً، أو المتكثّر واحداً،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الواحد الكذائي في الذمم المتعدّدة، لا يوجب تكرّر البدل،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مهر الزوجة على الزوج وعلى الغارّ، ويجوز للزوجة الرجوع إلى كلّ منهما، وهما ضامنان في عرض واحد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اعتبر في عهدة الزوج، هو الذي اعتبر في عهدة الوليّ؛ فإنّ المهر كالأعيان الشخصية غير قابل للتكرّر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اُغمض عن ذلك، فالطولية التي ادّعاها لا ترجع إلى محصّل، ولا يدفع بها الإشكال، فإنّه إن كان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ضامن لما في ذمّة الثاني، والثاني ضامن لما يضمنه الأوّل، أنّ كل واحد منهما ضامن لما يضمنه الآخر، فلا تعقل الطولية؛ للزوم تقدّم كلّ على الآخر رتبة،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الإشكال بحاله مع الغضّ عمّا ذكرناه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أنّ كلاًّ ضامن لما تعلّق في ذمّة الآخر، فهو أفسد؛ لأنّه مع ورود الإشكال المتقدّم عليه،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لضمان ما في العهدة؛ </w:t>
      </w:r>
    </w:p>
    <w:p>
      <w:pPr>
        <w:pStyle w:val="BookText"/>
        <w:rPr/>
      </w:pPr>
      <w:r>
        <w:rPr>
          <w:rFonts w:ascii="Amiri" w:hAnsi="Amiri" w:eastAsia="Amiri" w:cs="Amiri"/>
          <w:color w:val="111111"/>
          <w:sz w:val="28"/>
          <w:sz w:val="28"/>
          <w:szCs w:val="28"/>
          <w:rtl w:val="true"/>
          <w:lang w:bidi="ar-SA"/>
        </w:rPr>
        <w:t>لعدم وقوع اليد عليه، ولا سبب آخر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الأوّل ضامن للعين، والثاني ضامن لها بوصف كونها مضمونة، فالضمان تعلّق بها موصوفة بوصف الضمان، فالطولية لأجل أنّ موضوع الضمان في الثاني هو شيء متقيّد بضمان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السبب للضمان هو اليد على المال لا غير؛ لظهور دليله، وكونه على نسق واحد في الجميع، ولأنّه لو كان القيد دخيلاً في الضمان لا يعقل ضمان الأوّل؛ لفقد القيد، فلا يعقل ضمان الثاني أيضاً؛ لأنّ موضوعه متقيّد بضمان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يدفع به الإشكال أيضاً؛ لأنّ المهمّ في الإشكال كون بدل الواحد أزيد من واحد، ولازم ضمان الأوّل العين، وضمان الثاني العين المتقيّدة بضمان الأوّل، أنّ كليهما ضامنان للمالك فعلاً، وعلى كلّ واحد منهما بدل، وللمالك الرجوع إلى أيّ منهما شاء، ومجرّد كون ضمان الثاني متأخّراً رتبة عن ضمان الأوّل، لا يوجب نفي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التأخّر بمعنى عدم اجتماع الضمانين، وعدم تعدّد البدلين، كان له وجه، كضمان الغارم للمغترم، وضمان الثاني للأوّل في تعاقب الأيادي، لكنّ الواقع غير ذلك كما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أتعب به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صحّته في نفسه، وعدم دفع الإشكال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للمسافة، فالتحقيق ما تقدّم، من غير لزوم التزام الطولية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المأخوذ ثابت في عهدة كلّ </w:t>
      </w:r>
    </w:p>
    <w:p>
      <w:pPr>
        <w:pStyle w:val="BookText"/>
        <w:rPr/>
      </w:pPr>
      <w:r>
        <w:rPr>
          <w:rFonts w:ascii="Amiri" w:hAnsi="Amiri" w:eastAsia="Amiri" w:cs="Amiri"/>
          <w:color w:val="111111"/>
          <w:sz w:val="28"/>
          <w:sz w:val="28"/>
          <w:szCs w:val="28"/>
          <w:rtl w:val="true"/>
          <w:lang w:bidi="ar-SA"/>
        </w:rPr>
        <w:t>واحد عيناً، وهي ليست إلاّ اعتباراً خاصّاً عقلائياً، له منشأ مخصوص، وله آثار خاصّة؛ من وجوب ردّ العين عيناً لو كانت اليد واحدة، وكفائياً لو كانت متعدّدة، ووجوب التدارك عند التلف، من دون اشتغال الذمّة به أصلاً حتّى زمان التلف؛ لبقاء ضمان العين مع عدم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رجع التالف على خلاف العادة، يجب ردّه، فلا اشتغال للذمّة، كي يلزم اشتغال ذمّة المتعدّد ببدل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الواحد في عهدة المتعدّد؛ بحيث يجب على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فهو بمكان من الإمكان</w:t>
      </w:r>
      <w:r>
        <w:rPr>
          <w:rStyle w:val="FootnoteAnchor"/>
          <w:rtl w:val="true"/>
        </w:rPr>
        <w:footnoteReference w:id="975"/>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 كونه فراراً عن الإشكال، والمقصود دفعه على مذهب المشهور، ومع عدم صحّته في نفسه إن أراد أنّ ضمان اليد عقلائي؛ لأنّ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عقلائياً، ولا سيّما مع تعاقب الأيادي على الوجه المطلوب والمفتى به، فلا بدّ من الرجوع إلى قاعدة اليد التعبّدية، وقد مرّ في محلّه أنّ الأظهر فيها هو المذهب المشهور</w:t>
      </w:r>
      <w:r>
        <w:rPr>
          <w:rStyle w:val="FootnoteAnchor"/>
          <w:rtl w:val="true"/>
        </w:rPr>
        <w:footnoteReference w:id="976"/>
      </w:r>
      <w:r>
        <w:rPr>
          <w:rFonts w:ascii="Amiri" w:hAnsi="Amiri" w:eastAsia="Amiri" w:cs="Amiri"/>
          <w:color w:val="111111"/>
          <w:sz w:val="28"/>
          <w:sz w:val="28"/>
          <w:szCs w:val="28"/>
          <w:rtl w:val="true"/>
          <w:lang w:bidi="ar-SA"/>
        </w:rPr>
        <w:t>، كما هو الأمر في سائر أبواب الضمان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الإشكال لا يدفع بذلك، ولا سيّما على مسلكه في الواجب الكفائي؛ من أنّه سنخ وجوب متعلّق بالكلّ، ولو أتى الجميع به يكون الكلّ ممتثلاً</w:t>
      </w:r>
      <w:r>
        <w:rPr>
          <w:rStyle w:val="FootnoteAnchor"/>
          <w:rtl w:val="true"/>
        </w:rPr>
        <w:footnoteReference w:id="977"/>
      </w:r>
      <w:r>
        <w:rPr>
          <w:rFonts w:ascii="Amiri" w:hAnsi="Amiri" w:eastAsia="Amiri" w:cs="Amiri"/>
          <w:color w:val="111111"/>
          <w:sz w:val="28"/>
          <w:sz w:val="28"/>
          <w:szCs w:val="28"/>
          <w:rtl w:val="true"/>
          <w:lang w:bidi="ar-SA"/>
        </w:rPr>
        <w:t>فإنّ تعلّق التكليف على كلّ واحد بأداء البدل عرضاً، يلزم منه تعدّد البدل لشيء واحد، مع الغضّ عمّا ذكرناه؛ من أنّ سنخ البدل أمر لا يقبل التكرار</w:t>
      </w:r>
      <w:r>
        <w:rPr>
          <w:rFonts w:eastAsia="Amiri" w:cs="Amiri" w:ascii="Amiri" w:hAnsi="Amiri"/>
          <w:color w:val="111111"/>
          <w:sz w:val="28"/>
          <w:szCs w:val="28"/>
          <w:rtl w:val="true"/>
          <w:lang w:bidi="ar-SA"/>
        </w:rPr>
        <w:t xml:space="preserve">. </w:t>
      </w:r>
      <w:bookmarkStart w:id="569" w:name="pg15204_140674"/>
    </w:p>
    <w:p>
      <w:pPr>
        <w:pStyle w:val="BookText"/>
        <w:rPr/>
      </w:pPr>
      <w:bookmarkEnd w:id="569"/>
      <w:r>
        <w:rPr>
          <w:rFonts w:ascii="Amiri" w:hAnsi="Amiri" w:eastAsia="Amiri" w:cs="Amiri"/>
          <w:color w:val="111111"/>
          <w:sz w:val="28"/>
          <w:sz w:val="28"/>
          <w:szCs w:val="28"/>
          <w:rtl w:val="true"/>
          <w:lang w:bidi="ar-SA"/>
        </w:rPr>
        <w:t>فعلى ما سلكناه لا إشكال مع اشتغال الذمم، وعلى ما ذكره يرد الإشكال حتّى مع عدم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أفاده لو سلّم في ضمان اليد، لا يتمّ في باب الغارّ والمغرور، الظاهر من الأدلّة أنّ كليهما ضامنان، فراجع</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لازم عدم اشتغال الذمّة، وكون عهدة العين تستتبع أحكاماً تكليفية، أنّه لو مات الضامن لا يجوز الرجوع إلى تركته، ولا أظنّ التزامه به، إلاّ أن يلتزم بأنّه أيضاً حكم عقلائي، لم يردع عنه الشارع،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وجّهه بوجه غير مرضيّ في تعليقته</w:t>
      </w:r>
      <w:r>
        <w:rPr>
          <w:rStyle w:val="FootnoteAnchor"/>
          <w:rtl w:val="true"/>
        </w:rPr>
        <w:footnoteReference w:id="97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570" w:name="__RefHeading___Toc2759072_2142443653"/>
      <w:bookmarkStart w:id="571" w:name="_Toc212"/>
      <w:bookmarkEnd w:id="570"/>
      <w:r>
        <w:rPr>
          <w:rtl w:val="true"/>
        </w:rPr>
        <w:t>المقام الثاني</w:t>
      </w:r>
      <w:r>
        <w:rPr>
          <w:rtl w:val="true"/>
        </w:rPr>
        <w:t xml:space="preserve">: </w:t>
      </w:r>
      <w:r>
        <w:rPr>
          <w:rtl w:val="true"/>
        </w:rPr>
        <w:t>توجيه رجوع الضامن السابق إلى اللاحق</w:t>
      </w:r>
      <w:bookmarkEnd w:id="571"/>
    </w:p>
    <w:p>
      <w:pPr>
        <w:pStyle w:val="Heading6"/>
        <w:numPr>
          <w:ilvl w:val="5"/>
          <w:numId w:val="1"/>
        </w:numPr>
        <w:rPr/>
      </w:pPr>
      <w:bookmarkStart w:id="572" w:name="__RefHeading___Toc2759074_2142443653"/>
      <w:bookmarkStart w:id="573" w:name="_Toc213"/>
      <w:bookmarkEnd w:id="572"/>
      <w:r>
        <w:rPr>
          <w:rtl w:val="true"/>
        </w:rPr>
        <w:t>إشارة</w:t>
      </w:r>
      <w:bookmarkEnd w:id="573"/>
    </w:p>
    <w:p>
      <w:pPr>
        <w:pStyle w:val="BookText"/>
        <w:rPr/>
      </w:pPr>
      <w:r>
        <w:rPr>
          <w:rFonts w:ascii="Amiri" w:hAnsi="Amiri" w:eastAsia="Amiri" w:cs="Amiri"/>
          <w:color w:val="111111"/>
          <w:sz w:val="28"/>
          <w:sz w:val="28"/>
          <w:szCs w:val="28"/>
          <w:rtl w:val="true"/>
          <w:lang w:bidi="ar-SA"/>
        </w:rPr>
        <w:t xml:space="preserve">المعروف أنّ المالك إذا رجع إلى أحد من في السلسلة في الأيادي المتعاقبة، وأخذ منه العوض، فله الرجوع إلى اللاحق ممّن في السلسلة، دون السابق، فكلّ سابق له الرجوع إلى لاحقه بلا وسط أو معه، دون العكس، ويستقرّ الضمان على آخر من فيها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ومفروض الكلام فيما إذا لم يكن غرور في البين، ولا إتلاف، بل فيما إذا تلف بآفة سماوية ما في يد الأخير، ولم يكن أحد من في السلسلة مغروراً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من المشكلات، وإقامة البرهان عليها في </w:t>
      </w:r>
      <w:bookmarkStart w:id="574" w:name="pg15204_140675"/>
    </w:p>
    <w:p>
      <w:pPr>
        <w:pStyle w:val="BookText"/>
        <w:rPr/>
      </w:pPr>
      <w:bookmarkEnd w:id="574"/>
      <w:r>
        <w:rPr>
          <w:rFonts w:ascii="Amiri" w:hAnsi="Amiri" w:eastAsia="Amiri" w:cs="Amiri"/>
          <w:color w:val="111111"/>
          <w:sz w:val="28"/>
          <w:sz w:val="28"/>
          <w:szCs w:val="28"/>
          <w:rtl w:val="true"/>
          <w:lang w:bidi="ar-SA"/>
        </w:rPr>
        <w:t>غاية الإشكال، ولهذا تراهم يتشبّثون باُمور غير مرضيّة، وكلاًّ يذهب يميناً وشمالاً، ولم يأتوا بشيء يمكن الاتّكال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التعرّض لما أفادوا رحمهم اللّه تعالى من تقديم اُمور</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2759076_2142443653"/>
      <w:bookmarkStart w:id="576" w:name="_Toc214"/>
      <w:bookmarkEnd w:id="575"/>
      <w:r>
        <w:rPr>
          <w:rtl w:val="true"/>
        </w:rPr>
        <w:t>الأمر الأوّل</w:t>
      </w:r>
      <w:r>
        <w:rPr>
          <w:rtl w:val="true"/>
        </w:rPr>
        <w:t xml:space="preserve">: </w:t>
      </w:r>
      <w:r>
        <w:rPr>
          <w:rtl w:val="true"/>
        </w:rPr>
        <w:t xml:space="preserve">ظاهر </w:t>
      </w:r>
      <w:r>
        <w:rPr>
          <w:rtl w:val="true"/>
        </w:rPr>
        <w:t>«</w:t>
      </w:r>
      <w:r>
        <w:rPr>
          <w:rtl w:val="true"/>
        </w:rPr>
        <w:t>على اليد</w:t>
      </w:r>
      <w:r>
        <w:rPr>
          <w:rtl w:val="true"/>
        </w:rPr>
        <w:t xml:space="preserve">» </w:t>
      </w:r>
      <w:r>
        <w:rPr>
          <w:rtl w:val="true"/>
        </w:rPr>
        <w:t>الضمان لخصوص ما وقع تحت اليد</w:t>
      </w:r>
      <w:bookmarkEnd w:id="576"/>
    </w:p>
    <w:p>
      <w:pPr>
        <w:pStyle w:val="BookText"/>
        <w:rPr/>
      </w:pPr>
      <w:r>
        <w:rPr>
          <w:rFonts w:ascii="Amiri" w:hAnsi="Amiri" w:eastAsia="Amiri" w:cs="Amiri"/>
          <w:color w:val="111111"/>
          <w:sz w:val="28"/>
          <w:sz w:val="28"/>
          <w:szCs w:val="28"/>
          <w:rtl w:val="true"/>
          <w:lang w:bidi="ar-SA"/>
        </w:rPr>
        <w:t xml:space="preserve">قد مرّ غير مرّة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لما وقع تحت اليد من الأعيان وأوصافها ومنافعها ولو كانت على بعضها تبعاً، دون ما لم يقع تحت اليد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غصب العين التي لها منافع تدريجية، وخرجت عن تحت يده بغصب آخر قبل فوات المنافع، وفاتت تحت يد الثاني، يكون الأوّل ضامناً لنفس العين، والثاني لها وللمنفعة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لها وصف مرغوب فيه لدى ثالث، وفات في يد رابع، ضمنا الوصف؛ لوقوعه تحت يدهما، وأمّا الأوّلان فلا يضمنان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اليد موجبة لنقل كلّ خسارة من المالك إلى الأخير؛ بمعنى أنّ الخسارات الواقعة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الضامن بواسطة أخذه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مرضيّ لو أراد بذلك أنّ الخسارات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اليد واقعة على منشئها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ضرورة أنّه لا دليل في الباب إلاّ قاعدة اليد، وظاهرها أنّ ما وقع تحت اليد فهو عليها</w:t>
      </w:r>
      <w:r>
        <w:rPr>
          <w:rFonts w:eastAsia="Amiri" w:cs="Amiri" w:ascii="Amiri" w:hAnsi="Amiri"/>
          <w:color w:val="111111"/>
          <w:sz w:val="28"/>
          <w:szCs w:val="28"/>
          <w:rtl w:val="true"/>
          <w:lang w:bidi="ar-SA"/>
        </w:rPr>
        <w:t xml:space="preserve">. </w:t>
      </w:r>
      <w:bookmarkStart w:id="577" w:name="pg15204_140676"/>
    </w:p>
    <w:p>
      <w:pPr>
        <w:pStyle w:val="BookText"/>
        <w:rPr/>
      </w:pPr>
      <w:bookmarkEnd w:id="577"/>
      <w:r>
        <w:rPr>
          <w:rFonts w:ascii="Amiri" w:hAnsi="Amiri" w:eastAsia="Amiri" w:cs="Amiri"/>
          <w:color w:val="111111"/>
          <w:sz w:val="28"/>
          <w:sz w:val="28"/>
          <w:szCs w:val="28"/>
          <w:rtl w:val="true"/>
          <w:lang w:bidi="ar-SA"/>
        </w:rPr>
        <w:t>ومعنى كونه عليها في العرف، أنّه لو تلف يكون على عهدته، فما لم تقع اليد عليه لا دليل على كونه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الخسارات إلى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تعبيراً غير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كون المضمون نفس العين، لا المنافع والأوصاف، غير مرضيّ؛ لمنع الظهور في اليد الاستقلالية غير التبعية، بل مقتضى الإطلاق أعمّ</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2759078_2142443653"/>
      <w:bookmarkStart w:id="579" w:name="_Toc215"/>
      <w:bookmarkEnd w:id="578"/>
      <w:r>
        <w:rPr>
          <w:rtl w:val="true"/>
        </w:rPr>
        <w:t>الأمر الثاني</w:t>
      </w:r>
      <w:r>
        <w:rPr>
          <w:rtl w:val="true"/>
        </w:rPr>
        <w:t xml:space="preserve">: </w:t>
      </w:r>
      <w:r>
        <w:rPr>
          <w:rtl w:val="true"/>
        </w:rPr>
        <w:t>الغرامات عند العقلاء</w:t>
      </w:r>
      <w:bookmarkEnd w:id="579"/>
    </w:p>
    <w:p>
      <w:pPr>
        <w:pStyle w:val="BookText"/>
        <w:rPr/>
      </w:pPr>
      <w:r>
        <w:rPr>
          <w:rFonts w:ascii="Amiri" w:hAnsi="Amiri" w:eastAsia="Amiri" w:cs="Amiri"/>
          <w:color w:val="111111"/>
          <w:sz w:val="28"/>
          <w:sz w:val="28"/>
          <w:szCs w:val="28"/>
          <w:rtl w:val="true"/>
          <w:lang w:bidi="ar-SA"/>
        </w:rPr>
        <w:t>لا ينبغي الإشكال في أنّ باب الغرامات والضمانات عند العقلاء غير باب المعاوضات، فمن أتلف مال الغير ألزمه العرف بالغرامة، من غير اعتبار التالف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أحياناً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أنّ المعاوضة وقعت بحكم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على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المعدوم والموجود، بل باب الغرامات باب جبر الخسارة، ولا يخطر ببال أحد من العرف المعاوضة والمبادلة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يخطر ببالهم أنّ جبر الخسارة عوض موجب لكون التالف المعدوم ملكاً للغارم، أو أنّ المعدوم حال عدمه ملك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احتمال أحدثه بعض المحقّقين قدّس أسرارهم</w:t>
      </w:r>
      <w:r>
        <w:rPr>
          <w:rStyle w:val="FootnoteAnchor"/>
          <w:rtl w:val="true"/>
        </w:rPr>
        <w:footnoteReference w:id="983"/>
      </w:r>
      <w:r>
        <w:rPr>
          <w:rFonts w:ascii="IRNazanin" w:hAnsi="IRNazanin" w:eastAsia="IRNazanin"/>
          <w:color w:val="111111"/>
          <w:sz w:val="28"/>
          <w:sz w:val="28"/>
          <w:szCs w:val="28"/>
          <w:rtl w:val="true"/>
          <w:lang w:bidi="fa-IR"/>
        </w:rPr>
        <w:t>، هذا حال العرف</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الضمان في الشرع، فليس أمراً مغايراً لما في العرف، والدليل عليه أنّ </w:t>
      </w:r>
    </w:p>
    <w:p>
      <w:pPr>
        <w:pStyle w:val="BookText"/>
        <w:rPr/>
      </w:pPr>
      <w:r>
        <w:rPr>
          <w:rFonts w:ascii="Amiri" w:hAnsi="Amiri" w:eastAsia="Amiri" w:cs="Amiri"/>
          <w:color w:val="111111"/>
          <w:sz w:val="28"/>
          <w:sz w:val="28"/>
          <w:szCs w:val="28"/>
          <w:rtl w:val="true"/>
          <w:lang w:bidi="ar-SA"/>
        </w:rPr>
        <w:t>الأدلّة الواردة في باب الضمانات، لم تتعرّض لكيفية الضمان، بل أوكلها الشارع الأقدس إلى العرف، وإنّما حكم بالضمان في الموارد الكثيرة من غير استشمام اعتبار المعاوضة بين التالف والغرامة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باب الغرامة باب المعاوضة الشرعية القهرية</w:t>
      </w:r>
      <w:r>
        <w:rPr>
          <w:rStyle w:val="FootnoteAnchor"/>
          <w:rtl w:val="true"/>
        </w:rPr>
        <w:footnoteReference w:id="984"/>
      </w:r>
      <w:r>
        <w:rPr>
          <w:rFonts w:ascii="Amiri" w:hAnsi="Amiri" w:eastAsia="Amiri" w:cs="Amiri"/>
          <w:color w:val="111111"/>
          <w:sz w:val="28"/>
          <w:sz w:val="28"/>
          <w:szCs w:val="28"/>
          <w:rtl w:val="true"/>
          <w:lang w:bidi="ar-SA"/>
        </w:rPr>
        <w:t>، لا دليل عليه، بل ظواهر الأدلّة التي أوكلت باب كيفية الضمان إلى العرف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الضرورة قاضية بأنّ الضمان في أبوابه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يملك الختّان شيئاً إذا كان المختون عبداً، وكذا البيطار الذي عيّب عضواً من الحيوان، وكذا لو زالت صفة الصحّة تحت يده فأغرمه، لم يملك الغارم شيئاً، فما ادّعى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العوضية</w:t>
      </w:r>
      <w:r>
        <w:rPr>
          <w:rStyle w:val="FootnoteAnchor"/>
          <w:rtl w:val="true"/>
        </w:rPr>
        <w:footnoteReference w:id="985"/>
      </w:r>
      <w:r>
        <w:rPr>
          <w:rFonts w:ascii="Amiri" w:hAnsi="Amiri" w:eastAsia="Amiri" w:cs="Amiri"/>
          <w:color w:val="111111"/>
          <w:sz w:val="28"/>
          <w:sz w:val="28"/>
          <w:szCs w:val="28"/>
          <w:rtl w:val="true"/>
          <w:lang w:bidi="ar-SA"/>
        </w:rPr>
        <w:t>، لا ينبغي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وقوع الخلط بين عوضية موجود مملوك لموجود مملوك، وبين باب الغرامة؛ بمجرّد التعبير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أنّ عوض التالف ليس معناه إلاّ جبر الخسارة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باب غرامة وط‌ء البهيمة</w:t>
      </w:r>
      <w:r>
        <w:rPr>
          <w:rStyle w:val="FootnoteAnchor"/>
          <w:rtl w:val="true"/>
        </w:rPr>
        <w:footnoteReference w:id="986"/>
      </w:r>
      <w:r>
        <w:rPr>
          <w:rFonts w:ascii="Amiri" w:hAnsi="Amiri" w:eastAsia="Amiri" w:cs="Amiri"/>
          <w:color w:val="111111"/>
          <w:sz w:val="28"/>
          <w:sz w:val="28"/>
          <w:szCs w:val="28"/>
          <w:rtl w:val="true"/>
          <w:lang w:bidi="ar-SA"/>
        </w:rPr>
        <w:t>، فالتعويض الشرعي غير بعيد فيه، لكن لا يقاس المعدوم بالموجود</w:t>
      </w:r>
      <w:r>
        <w:rPr>
          <w:rFonts w:eastAsia="Amiri" w:cs="Amiri" w:ascii="Amiri" w:hAnsi="Amiri"/>
          <w:color w:val="111111"/>
          <w:sz w:val="28"/>
          <w:szCs w:val="28"/>
          <w:rtl w:val="true"/>
          <w:lang w:bidi="ar-SA"/>
        </w:rPr>
        <w:t xml:space="preserve">. </w:t>
      </w:r>
      <w:bookmarkStart w:id="580" w:name="pg15204_140678"/>
    </w:p>
    <w:p>
      <w:pPr>
        <w:pStyle w:val="BookText"/>
        <w:rPr/>
      </w:pPr>
      <w:bookmarkEnd w:id="580"/>
      <w:r>
        <w:rPr>
          <w:rFonts w:ascii="Amiri" w:hAnsi="Amiri" w:eastAsia="Amiri" w:cs="Amiri"/>
          <w:color w:val="111111"/>
          <w:sz w:val="28"/>
          <w:sz w:val="28"/>
          <w:szCs w:val="28"/>
          <w:rtl w:val="true"/>
          <w:lang w:bidi="ar-SA"/>
        </w:rPr>
        <w:t xml:space="preserve">كما أنّ بعض الأمثلة التي ذكرت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بدل الحيلولة، والأجزاء المكسورة للتالف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غير مسلّمة، قياس المعدوم بها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أهل التحقيق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الضمان إلى انتقال الخسارة من المضمون له إلى الضامن، فيملك المضمون له على عهدة الضامن بدله ملكاً متزلزلاً، ولازم ذلك كون العين ملكاً للضامن متزلزلاً، ووقوع المعاوضة القهرية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رحمه الله علیه بعد ما 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للتالي الفاسد له، ذهب إلى أنّ المضمون له يملك شأناً البدل على عهدة الضامن، وكذا الضامن يملك شأناً العين، وإنّما يصير فعلياً بالتلف ورجوع المالك</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الملكية المتزلزلة للعين المغصوبة، ففي غاية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ذلك، لا يبعد حكم العرف بالمعاوضة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 الشأنية التي ترجع إلى عدم الملكية فعلاً، بل إذا تلفت تصير ملكاً، ويصير البدل ملكاً لصاحب العين، فلا تنتج ما رامه؛ من حصول المعاوضة القهرية، ولو رجع كلامه إلى المعاوضة بعد التلف، فقد مرّ الكلام فيها</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2759080_2142443653"/>
      <w:bookmarkStart w:id="582" w:name="_Toc216"/>
      <w:bookmarkEnd w:id="581"/>
      <w:r>
        <w:rPr>
          <w:rtl w:val="true"/>
        </w:rPr>
        <w:t>الأمر الثالث</w:t>
      </w:r>
      <w:r>
        <w:rPr>
          <w:rtl w:val="true"/>
        </w:rPr>
        <w:t xml:space="preserve">: </w:t>
      </w:r>
      <w:r>
        <w:rPr>
          <w:rtl w:val="true"/>
        </w:rPr>
        <w:t>بيان محتملات مفاد قاعدة اليد</w:t>
      </w:r>
      <w:bookmarkEnd w:id="58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في بادئ النظر أن يكون مفاد قاعدة اليد ضمان كلّ الأيادي المستولية على مال بالنسبة إلى شخص المالك فقط، فله الرجوع إلى كلّ منهم جمعاً أو </w:t>
      </w:r>
    </w:p>
    <w:p>
      <w:pPr>
        <w:pStyle w:val="BookText"/>
        <w:rPr/>
      </w:pPr>
      <w:r>
        <w:rPr>
          <w:rFonts w:ascii="Amiri" w:hAnsi="Amiri" w:eastAsia="Amiri" w:cs="Amiri"/>
          <w:color w:val="111111"/>
          <w:sz w:val="28"/>
          <w:sz w:val="28"/>
          <w:szCs w:val="28"/>
          <w:rtl w:val="true"/>
          <w:lang w:bidi="ar-SA"/>
        </w:rPr>
        <w:t>تفريقاً، وليس لأحد منهم الرجوع إلى غيره؛ لعدم الدليل عليه سوى القاعدة التي فرض كون مفادها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مفادها ضمان من أخذ المال من المالك وتلقّاه منه، دون غيره، فله الرجوع إلى الأوّل دون غيره ممّن في السلسلة، ولا رجوع للثاني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مفادها هو ضمان كلّ آخذ للمأخوذ منه، فللمالك الرجوع إلى مبدأ السلسلة فقط، فلو رجع إليه رجع هو إلى تاليه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مفادها ضمان كلّ لصاحب المال ولمن سبقه بضمان مستقلّ، ومضمونات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المفاد ضمان كلّ من في السلسلة لصاحب المال على ما تقدّم؛ من الضمانات المتعدّدة، لكنّ المضمون واحد غير قابل للتكرار، وضمان كلّ سابق للاحقه؛ بمعنى أنّه ضامن للضامن بما هو كذلك، فيرجع إلى أنّه ضامن لما يضمنه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فالثاني ضامن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يده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ضمنه غيره، وضامن للأوّل بما هو ضامن؛ أي ضامن للضامن، فيجب عليه جبران دركه الذي يؤدّيه إلى المالك، والثالث ضامن للضامن الثاني، الذي هو ضامن للضامن الأوّل؛ أي ضامن ضامن الضامن، وهكذا، فيرجع إلى ضمّ ذمم متعدّدة إلى ذمم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محتملات القضيّة، ولا تنحصر بها، لكن الشأن في الاستفادة منها بحسب فهم العرف والعقلاء الذي هو المرجع في مثل المقام، لا الاحتمالات </w:t>
      </w:r>
    </w:p>
    <w:p>
      <w:pPr>
        <w:pStyle w:val="BookText"/>
        <w:rPr/>
      </w:pPr>
      <w:r>
        <w:rPr>
          <w:rFonts w:ascii="Amiri" w:hAnsi="Amiri" w:eastAsia="Amiri" w:cs="Amiri"/>
          <w:color w:val="111111"/>
          <w:sz w:val="28"/>
          <w:sz w:val="28"/>
          <w:szCs w:val="28"/>
          <w:rtl w:val="true"/>
          <w:lang w:bidi="ar-SA"/>
        </w:rPr>
        <w:t>الدقيقة العلمية التي لا يوافقها العرف والعقلاء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بصدد بيان اليد الآخذة، فإطلاقه يقتضي أن يكون الاستيلاء بأيّ نحو حصل، والآخذ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إشكال بحسب الإطلاق، في شمول الأيادي المتعاقبة، فكلٌّ أخذ موضوعاً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وسط أو مع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له إطلاقاً بالنسبة إلى تضمين غير المالك، حتّى ينتج ما هو المعروف بينهم في ضمان الأيادي المتعاقبة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ورود دليل بأنّ الآخذ الثاني ضامن للمالك وللضامن الأوّل، يكون المتفاهم عرفاً أنّه ضامن للمالك قيمة ماله مثلاً، وضامن للضامن ما ضمنه للمالك، فعليه جبران ضمان الضامن لو وقعت الخسارة عليه، والثالث ضامن للثاني ما ضمنه للأوّل الذي هو ضامن للمالك،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فرض إطلاق لدليل اليد، يكون مقتضى الإطلاق ضمان الجميع للمالك، وضمان كلّ لاحق للسابق بما أ نّه 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العين منه بلا وسط أو مع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إطلاق كذائي، بل هو خارج عن متفاهم العرف والعقلاء</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اليد ناظر إلى اليد الآخذة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يقتضي أنّ الأخذ والاستيلاء بأيّ نحو كان، والآخذ أيّ شخص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المأخوذ، ومقتضى </w:t>
      </w:r>
      <w:bookmarkStart w:id="583" w:name="pg15204_140681"/>
    </w:p>
    <w:p>
      <w:pPr>
        <w:pStyle w:val="BookText"/>
        <w:rPr/>
      </w:pPr>
      <w:bookmarkEnd w:id="583"/>
      <w:r>
        <w:rPr>
          <w:rFonts w:ascii="Amiri" w:hAnsi="Amiri" w:eastAsia="Amiri" w:cs="Amiri"/>
          <w:color w:val="111111"/>
          <w:sz w:val="28"/>
          <w:sz w:val="28"/>
          <w:szCs w:val="28"/>
          <w:rtl w:val="true"/>
          <w:lang w:bidi="ar-SA"/>
        </w:rPr>
        <w:t>الإطلاق عدم الفرق بين أنحاء الماليات والمأخوذات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المأخوذ منه فليس الدليل بصدد بيانه، ولا إطلاق فيه من هذه الجهة، والمتيقّن هو الضمان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بصدد بيانه أيضاً، كان منصرفاً عرفاً إلى الضمان بالنسبة إلى المالك لا الضامن، ولا سيّما في مورد يكون تحقّق موضوع الدليل بنفسه؛ فإنّه وإن أمكن عقلاً، لكن لا يستفاد من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وجه آخر</w:t>
      </w:r>
      <w:r>
        <w:rPr>
          <w:rStyle w:val="FootnoteAnchor"/>
          <w:rtl w:val="true"/>
        </w:rPr>
        <w:footnoteReference w:id="991"/>
      </w:r>
      <w:r>
        <w:rPr>
          <w:rFonts w:ascii="Amiri" w:hAnsi="Amiri" w:eastAsia="Amiri" w:cs="Amiri"/>
          <w:color w:val="111111"/>
          <w:sz w:val="28"/>
          <w:sz w:val="28"/>
          <w:szCs w:val="28"/>
          <w:rtl w:val="true"/>
          <w:lang w:bidi="ar-SA"/>
        </w:rPr>
        <w:t>لعلّه أحسن من هذا الوجه، وأسلم من الإشكال الذي</w:t>
      </w:r>
    </w:p>
    <w:p>
      <w:pPr>
        <w:pStyle w:val="BookText"/>
        <w:rPr/>
      </w:pPr>
      <w:r>
        <w:rPr>
          <w:rFonts w:ascii="Amiri" w:hAnsi="Amiri" w:eastAsia="Amiri" w:cs="Amiri"/>
          <w:color w:val="111111"/>
          <w:sz w:val="28"/>
          <w:sz w:val="28"/>
          <w:szCs w:val="28"/>
          <w:rtl w:val="true"/>
          <w:lang w:bidi="ar-SA"/>
        </w:rPr>
        <w:t>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2759082_2142443653"/>
      <w:bookmarkStart w:id="585" w:name="_Toc217"/>
      <w:bookmarkEnd w:id="584"/>
      <w:r>
        <w:rPr>
          <w:rtl w:val="true"/>
        </w:rPr>
        <w:t>توجيه كلام الشيخ الأنصاري في تصحيح الضمان</w:t>
      </w:r>
      <w:bookmarkEnd w:id="585"/>
    </w:p>
    <w:p>
      <w:pPr>
        <w:pStyle w:val="BookText"/>
        <w:rPr/>
      </w:pPr>
      <w:r>
        <w:rPr>
          <w:rFonts w:ascii="Amiri" w:hAnsi="Amiri" w:eastAsia="Amiri" w:cs="Amiri"/>
          <w:color w:val="111111"/>
          <w:sz w:val="28"/>
          <w:sz w:val="28"/>
          <w:szCs w:val="28"/>
          <w:rtl w:val="true"/>
          <w:lang w:bidi="ar-SA"/>
        </w:rPr>
        <w:t xml:space="preserve">فيمكن إرجاع كلام الشيخ الأعظم قدّس سرّه إلى دعوى إطلاق دليل اليد بالنسبة إلى الضامن، فأراد تصحيح ضمان الأيادي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الإطلاق في دليل اليد بنحو ما ذكرناه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اشتغلت ذمّته بالبدل قبل اللاحق</w:t>
      </w:r>
      <w:r>
        <w:rPr>
          <w:rFonts w:eastAsia="IRNazanin" w:cs="IRNazanin"/>
          <w:color w:val="111111"/>
          <w:sz w:val="28"/>
          <w:szCs w:val="28"/>
          <w:rtl w:val="true"/>
          <w:lang w:bidi="fa-IR"/>
        </w:rPr>
        <w:t>»</w:t>
      </w:r>
      <w:r>
        <w:rPr>
          <w:rStyle w:val="FootnoteAnchor"/>
          <w:rtl w:val="true"/>
        </w:rPr>
        <w:footnoteReference w:id="992"/>
      </w:r>
      <w:r>
        <w:rPr>
          <w:rFonts w:ascii="Amiri" w:hAnsi="Amiri" w:eastAsia="Amiri" w:cs="Amiri"/>
          <w:color w:val="111111"/>
          <w:sz w:val="28"/>
          <w:sz w:val="28"/>
          <w:szCs w:val="28"/>
          <w:rtl w:val="true"/>
          <w:lang w:bidi="ar-SA"/>
        </w:rPr>
        <w:t>، ليس المراد منه الاشتغال بالبدل حال وجود العين، بل المراد الاشتغال بالأمر التعليقي؛ أي ضمان المبدل إذا تلف، ضرورة عدم اجتماع البدل والمبدل، فعبّر عن الضمان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حصل المال في يد اللاحق، فقد ضمن شيئاً له بدل</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يراد منه أنّه ضمن شيئاً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الضمان يرجع إلى ضمان واحد من البدل والمبدل على سبيل البدل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يراد به أنّه إذا حصل المال في يد الثاني، ضمن المبدل للمالك بالمعنى التعليقي؛ أي عليه دركه إذا تلف بمقتضى دليل اليد، وضمن البدل؛ أي ضمان اليد الاُولى للضامن بمعنى تعليقي أيضاً، أي إذا تدارك فعليه ضمان التدارك، وذلك أيضاً بدليل اليد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الثاني يده على العين، حصلت قضيّتان تعليقيتان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تلفت فعليك جبرها للمالك؛ لوقوع يدك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تدارك الضامن الأوّل، فعليك ضمان التدارك؛ لوقوع العين التي ضمنها في يدك من يده، أو بعد وقوعها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تلفت العين خرجت القضيّة الاُولى من التعليقية إلى التنجيزية، وتبقى الثانية على تعليقيتها إلى أن يؤدّي الدرك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والحاصل أنّ من تلف المال في يده ضامن لأحد الشخصين على البدل من المالك ومن سبقه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اشتغال شخص واحد بشيئين لشخصين على البدل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يؤكّد ما ذكرناه؛ من أنّ الاستناد إلى دليل اليد </w:t>
      </w:r>
    </w:p>
    <w:p>
      <w:pPr>
        <w:pStyle w:val="BookText"/>
        <w:rPr/>
      </w:pPr>
      <w:r>
        <w:rPr>
          <w:rFonts w:ascii="Amiri" w:hAnsi="Amiri" w:eastAsia="Amiri" w:cs="Amiri"/>
          <w:color w:val="111111"/>
          <w:sz w:val="28"/>
          <w:sz w:val="28"/>
          <w:szCs w:val="28"/>
          <w:rtl w:val="true"/>
          <w:lang w:bidi="ar-SA"/>
        </w:rPr>
        <w:t>في الضمان للمالك، وهو واضح، وفي الضمان للضامن بتلقّيه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إطلاق لدليل اليد يشمل الأمرين، ويكون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من المالك بوسط أو بلا وسط، وعليها ما أخذت من الضامن بوسط وبلا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المالك والضامن كلاهما مضموناً لهما، لكان لازمه العرفي هو ما ذكره القوم في ضمان الأيادي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يرد إشكال على الشيخ قدّس سرّه، لا ما أورده المحقّق الخراساني قدّس سرّه</w:t>
      </w:r>
      <w:r>
        <w:rPr>
          <w:rStyle w:val="FootnoteAnchor"/>
          <w:rtl w:val="true"/>
        </w:rPr>
        <w:footnoteReference w:id="996"/>
      </w:r>
      <w:r>
        <w:rPr>
          <w:rFonts w:ascii="Amiri" w:hAnsi="Amiri" w:eastAsia="Amiri" w:cs="Amiri"/>
          <w:color w:val="111111"/>
          <w:sz w:val="28"/>
          <w:sz w:val="28"/>
          <w:szCs w:val="28"/>
          <w:rtl w:val="true"/>
          <w:lang w:bidi="ar-SA"/>
        </w:rPr>
        <w:t>، ولا ما أورده السيّد الطباطبائي قدّس سرّه</w:t>
      </w:r>
      <w:r>
        <w:rPr>
          <w:rStyle w:val="FootnoteAnchor"/>
          <w:rtl w:val="true"/>
        </w:rPr>
        <w:footnoteReference w:id="997"/>
      </w:r>
      <w:r>
        <w:rPr>
          <w:rFonts w:ascii="Amiri" w:hAnsi="Amiri" w:eastAsia="Amiri" w:cs="Amiri"/>
          <w:color w:val="111111"/>
          <w:sz w:val="28"/>
          <w:sz w:val="28"/>
          <w:szCs w:val="28"/>
          <w:rtl w:val="true"/>
          <w:lang w:bidi="ar-SA"/>
        </w:rPr>
        <w:t xml:space="preserve">، ولا غيرهما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يرد عليه إشكال واحد، وهو عدم الإطلاق لدليل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الإطلاق أمر يمكن صدوره من الشيخ الأعظم قدّس سرّه، دون ما احتمله المحقّقون؛ ممّا يرد عليه ما أوردوه، بل وزائد عليه ممّا لا داعي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احتملناه، تكون الغاية في دليل اليد غاية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بالنسبة إلى المالك، فأداء المأخوذ إليه غاية لرفعه، وبه يرتفع موضوع الضمانات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الضامن، غايته رجوعه إلى الغاصب السابق، فبإرجاع المال إليه يرتفع ضمانه لدركه وإن فعل حراماً، وليس دليل اليد متعرّضاً للزوم أداء المال إلى صاحبه، بل مفاده بيان الضمان وغايته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في توجيه كلامه وإن كان مخالفاً في الجملة </w:t>
      </w:r>
      <w:bookmarkStart w:id="586" w:name="pg15204_140684"/>
    </w:p>
    <w:p>
      <w:pPr>
        <w:pStyle w:val="BookText"/>
        <w:rPr/>
      </w:pPr>
      <w:bookmarkEnd w:id="586"/>
      <w:r>
        <w:rPr>
          <w:rFonts w:ascii="Amiri" w:hAnsi="Amiri" w:eastAsia="Amiri" w:cs="Amiri"/>
          <w:color w:val="111111"/>
          <w:sz w:val="28"/>
          <w:sz w:val="28"/>
          <w:szCs w:val="28"/>
          <w:rtl w:val="true"/>
          <w:lang w:bidi="ar-SA"/>
        </w:rPr>
        <w:t>لظاهره، لكنّه أولى ممّا ذكروه ممّا لا ينبغي صدوره من مثله،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لبيان ضمان الأيادي بما ذكروه، نذكره في آخر البحث</w:t>
      </w:r>
      <w:r>
        <w:rPr>
          <w:rStyle w:val="FootnoteAnchor"/>
          <w:rtl w:val="true"/>
        </w:rPr>
        <w:footnoteReference w:id="999"/>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Heading6"/>
        <w:numPr>
          <w:ilvl w:val="5"/>
          <w:numId w:val="1"/>
        </w:numPr>
        <w:rPr/>
      </w:pPr>
      <w:bookmarkStart w:id="587" w:name="__RefHeading___Toc2759084_2142443653"/>
      <w:bookmarkStart w:id="588" w:name="_Toc218"/>
      <w:bookmarkEnd w:id="587"/>
      <w:r>
        <w:rPr>
          <w:rtl w:val="true"/>
        </w:rPr>
        <w:t>تبيين المحقّق النائيني مراد الشيخ قدّس سرّه</w:t>
      </w:r>
      <w:bookmarkEnd w:id="588"/>
    </w:p>
    <w:p>
      <w:pPr>
        <w:pStyle w:val="BookText"/>
        <w:rPr/>
      </w:pPr>
      <w:r>
        <w:rPr>
          <w:rFonts w:ascii="Amiri" w:hAnsi="Amiri" w:eastAsia="Amiri" w:cs="Amiri"/>
          <w:color w:val="111111"/>
          <w:sz w:val="28"/>
          <w:sz w:val="28"/>
          <w:szCs w:val="28"/>
          <w:rtl w:val="true"/>
          <w:lang w:bidi="ar-SA"/>
        </w:rPr>
        <w:t>وأمّا ما أفاده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غرض المصنّف إثبات الضمان الطولي، وبيان عدم اجتماع الضمانين عرضاً، وأنّ يد اللاحق ليست كيد السابق، ضامنةً للمال مجرّداً عن خصوصية كونه في ذمّة غيره</w:t>
      </w:r>
      <w:r>
        <w:rPr>
          <w:rStyle w:val="FootnoteAnchor"/>
          <w:rtl w:val="true"/>
        </w:rPr>
        <w:footnoteReference w:id="1000"/>
      </w:r>
      <w:r>
        <w:rPr>
          <w:rFonts w:ascii="Amiri" w:hAnsi="Amiri" w:eastAsia="Amiri" w:cs="Amiri"/>
          <w:color w:val="111111"/>
          <w:sz w:val="28"/>
          <w:sz w:val="28"/>
          <w:szCs w:val="28"/>
          <w:rtl w:val="true"/>
          <w:lang w:bidi="ar-SA"/>
        </w:rPr>
        <w:t>، ثمّ أطال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السابق تعلّقت بالعين مجرّدة عن خصوصية كونها مضمونة، بخلاف يد اللاحق، فإنّها تعلّقت بها مع هذه الخصوصية، ولازم هذه الطولية هو ما ذكروه في تعاقب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خلال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ضامن لما يكون مخرجه في ذمّة الثاني، والثاني ضامن لما يضمنه الأوّل</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أراد تصحيح الطولية ولوازمها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خبير بما فيه، وقد تقدّم بعض الكلام معه</w:t>
      </w:r>
      <w:r>
        <w:rPr>
          <w:rStyle w:val="FootnoteAnchor"/>
          <w:rtl w:val="true"/>
        </w:rPr>
        <w:footnoteReference w:id="1002"/>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تقرير الطولية، هي أنّ خصوصية كونها مضمونة، مأخوذة في موضوع الضمان بالنسبة إلى يد اللاحق، فيد السابق تعلّقت بنفس العين، ويد اللاحق تعلّقت بها متقيّدة بضمان </w:t>
      </w:r>
    </w:p>
    <w:p>
      <w:pPr>
        <w:pStyle w:val="BookText"/>
        <w:rPr/>
      </w:pPr>
      <w:r>
        <w:rPr>
          <w:rFonts w:ascii="Amiri" w:hAnsi="Amiri" w:eastAsia="Amiri" w:cs="Amiri"/>
          <w:color w:val="111111"/>
          <w:sz w:val="28"/>
          <w:sz w:val="28"/>
          <w:szCs w:val="28"/>
          <w:rtl w:val="true"/>
          <w:lang w:bidi="ar-SA"/>
        </w:rPr>
        <w:t>الأوّل، فيكون ضمانه قيداً للموضوع الثاني، فيكون الثاني في طول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أنّ القيد دخيل في الموضوع؛ بحيث يكون أخذ نفس العين تمام الموضوع بالنسبة إلى يد السابق، وبعض الموضوع بالنسبة إلى اللاحق، فهو واضح الإشكال؛ ضرورة عدم إمكان التفكيك في دليل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أخذ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هو الموضوع في الأوّل هو الموضوع في الثاني، فلا قيد لموضوع الضمان،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في الموضوع بما هو موضوع وإن كان مقارناً له، فهو كسائر المقارنات، ككونه في يوم الجمعة أمام فلان، ونحو ذلك ممّا هي من مقارنات الموضوع، لا دخيلة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 هو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ضمان الأوّل، وكذا ضمان الثاني،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كون الأوّل هو نفس أخذ العين بخلاف الثاني،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إثبات الطولية،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مع المتقدّم متقدّم، وما مع المتأخّر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هذه الكلّية؛ فإنّ للتقدّم الرتبي وتأخّره ملاكاً خاصّاً، لو فقده ما معه لم يكن متقدّماً، فلو فرض شيء في رتبة علّة شيء، لا يكون مقدّماً على المعلول؛ لأنّ مناط التقدّم الرتبي هو العلّية لا غير، وهي مفقودة في المقارن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وصف المضمون متأخّر عن الموضوع، فتدبّر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 يكون المراد أنّ الخصوصية مضمونة كالعين، كما في سائر </w:t>
      </w:r>
    </w:p>
    <w:p>
      <w:pPr>
        <w:pStyle w:val="BookText"/>
        <w:rPr/>
      </w:pPr>
      <w:r>
        <w:rPr>
          <w:rFonts w:ascii="Amiri" w:hAnsi="Amiri" w:eastAsia="Amiri" w:cs="Amiri"/>
          <w:color w:val="111111"/>
          <w:sz w:val="28"/>
          <w:sz w:val="28"/>
          <w:szCs w:val="28"/>
          <w:rtl w:val="true"/>
          <w:lang w:bidi="ar-SA"/>
        </w:rPr>
        <w:t>الخصوصيات الواقعة تحت اليد، ففي غاية البعد والفساد؛ لأنّه يهدم الطولية التي رامها،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الطولية لا توجب رفع إشكال اجتماع الضمانات؛ لأنّ يد الأوّل أوجبت الضمان، ويد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قيد كون المأخوذ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الضمان أيضاً وهكذا، فكلّ يد ضامنة فعلاً ومعاً ولو كانت أسباب الضمان متفاوتة، أو متقدّماً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الكلام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ضامن لعنوان لا يعقل التكرار فيه</w:t>
      </w:r>
      <w:r>
        <w:rPr>
          <w:rStyle w:val="FootnoteAnchor"/>
          <w:rtl w:val="true"/>
        </w:rPr>
        <w:footnoteReference w:id="1003"/>
      </w:r>
      <w:r>
        <w:rPr>
          <w:rFonts w:ascii="Amiri" w:hAnsi="Amiri" w:eastAsia="Amiri" w:cs="Amiri"/>
          <w:color w:val="111111"/>
          <w:sz w:val="28"/>
          <w:sz w:val="28"/>
          <w:szCs w:val="28"/>
          <w:rtl w:val="true"/>
          <w:lang w:bidi="ar-SA"/>
        </w:rPr>
        <w:t>، وهو مع كونه مخالفاً لظاهر كلامه أو صريحه، يدفع الإشكال ولو لم تكن الضمانات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فالطولية لا تدفع الإشكال، وما ذكرناه دافع بلا لزوم التزام بالطولية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الأوّل والثاني، ليس ضامناً مطلقاً وعلى أيّ تقدير</w:t>
      </w:r>
      <w:r>
        <w:rPr>
          <w:rStyle w:val="FootnoteAnchor"/>
          <w:rtl w:val="true"/>
        </w:rPr>
        <w:footnoteReference w:id="1004"/>
      </w:r>
      <w:r>
        <w:rPr>
          <w:rFonts w:ascii="Amiri" w:hAnsi="Amiri" w:eastAsia="Amiri" w:cs="Amiri"/>
          <w:color w:val="111111"/>
          <w:sz w:val="28"/>
          <w:sz w:val="28"/>
          <w:szCs w:val="28"/>
          <w:rtl w:val="true"/>
          <w:lang w:bidi="ar-SA"/>
        </w:rPr>
        <w:t>، وهذا كما ترى مخالف لدليل اليد، ومناقض لجملة من كلامه، وغير صحيح في نفسه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فرّع على الطولية؛ من رجوع السابق إلى اللاحق دون العكس</w:t>
      </w:r>
      <w:r>
        <w:rPr>
          <w:rStyle w:val="FootnoteAnchor"/>
          <w:rtl w:val="true"/>
        </w:rPr>
        <w:footnoteReference w:id="1005"/>
      </w:r>
      <w:r>
        <w:rPr>
          <w:rFonts w:ascii="Amiri" w:hAnsi="Amiri" w:eastAsia="Amiri" w:cs="Amiri"/>
          <w:color w:val="111111"/>
          <w:sz w:val="28"/>
          <w:sz w:val="28"/>
          <w:szCs w:val="28"/>
          <w:rtl w:val="true"/>
          <w:lang w:bidi="ar-SA"/>
        </w:rPr>
        <w:t>، غير صحيح؛ لأنّ الطولية التي أصرّ عليها هي ضمان الثاني للمالك ما ضمنه الأوّل، فإن رجع ذلك إلى أنّ الثاني ضامن للعين التي ضمنها الأوّل، فلا يلزم من ذلك رجوع الأوّل إلى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رجع إلى أنّه ضامن لضمانه، فإن كان المراد أنّه ضامن للمالك كذلك؛ أي أنّه ضامن الأوّل للمالك وهكذا، بحيث يكون المالك مضموناً له، والضامن مضموناً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دليل عليه، ودليل اليد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الضمان إمّا نقل الذمّة على ما هو المذهب في الضمان العقدي، أو ضمّ ذمّة إلى ذمّة، وكلاهما في المقام غير صحيح، ومخالف لما رامه القائل؛ إذ لازمه عدم حقّ للمالك بالنسبة إلى كلّ سابق، أو عدم حقّ المطالبة إلاّ بعد إهمال السابق،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فرضت صحّة ذلك، فلا دليل على الرجوع إلى المضمون عنه؛ فإنّ في الضمان العقدي لو كان بلا إذنه، لا يجوز له الرجوع، فجواز الرجوع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كلامه موارد من الإشكال والتنافي لا مجال لسردها،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تفريعه أمرين آخرين على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صحّة رجوع المالك إلى كلّ، وإذا رجع إلى أحدهم وأخذ الغرامة، ليس له الرجوع إلى غيره</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فإن ذلك غير مربوط بالطولية، بل هو من لوازم عدم إمكان التكرّر في ماهية الضمان كما تقدّم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رحمه الله علیه بعد تفصيل، وكرّ وفرّ، وتكرار، وتناقض صدر وذيل، لم يأت بشيء</w:t>
      </w:r>
      <w:r>
        <w:rPr>
          <w:rFonts w:eastAsia="IRNazanin" w:cs="IRNazanin"/>
          <w:color w:val="111111"/>
          <w:sz w:val="28"/>
          <w:szCs w:val="28"/>
          <w:rtl w:val="true"/>
          <w:lang w:bidi="fa-IR"/>
        </w:rPr>
        <w:t xml:space="preserve">. </w:t>
      </w:r>
      <w:bookmarkStart w:id="589" w:name="pg15204_140688"/>
    </w:p>
    <w:p>
      <w:pPr>
        <w:pStyle w:val="Heading6"/>
        <w:numPr>
          <w:ilvl w:val="5"/>
          <w:numId w:val="1"/>
        </w:numPr>
        <w:rPr/>
      </w:pPr>
      <w:bookmarkStart w:id="590" w:name="__RefHeading___Toc2759086_2142443653"/>
      <w:bookmarkStart w:id="591" w:name="_Toc219"/>
      <w:bookmarkEnd w:id="589"/>
      <w:bookmarkEnd w:id="590"/>
      <w:r>
        <w:rPr>
          <w:rtl w:val="true"/>
        </w:rPr>
        <w:t>توجيه السيّد الطباطبائي رجوع السابقين إلى اللاحقين</w:t>
      </w:r>
      <w:bookmarkEnd w:id="591"/>
    </w:p>
    <w:p>
      <w:pPr>
        <w:pStyle w:val="BookText"/>
        <w:rPr/>
      </w:pPr>
      <w:r>
        <w:rPr>
          <w:rFonts w:ascii="Amiri" w:hAnsi="Amiri" w:eastAsia="Amiri" w:cs="Amiri"/>
          <w:color w:val="111111"/>
          <w:sz w:val="28"/>
          <w:sz w:val="28"/>
          <w:szCs w:val="28"/>
          <w:rtl w:val="true"/>
          <w:lang w:bidi="ar-SA"/>
        </w:rPr>
        <w:t xml:space="preserve">وأمّا ما أفاده السيّد الطباطبائي قدّس سرّه في وجه رجوع السابقين إلى اللاحقين، وجعله أحسن ممّا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والشيخ</w:t>
      </w:r>
      <w:r>
        <w:rPr>
          <w:rStyle w:val="FootnoteAnchor"/>
          <w:rtl w:val="true"/>
        </w:rPr>
        <w:footnoteReference w:id="1008"/>
      </w:r>
      <w:r>
        <w:rPr>
          <w:rFonts w:ascii="Amiri" w:hAnsi="Amiri" w:eastAsia="Amiri" w:cs="Amiri"/>
          <w:color w:val="111111"/>
          <w:sz w:val="28"/>
          <w:sz w:val="28"/>
          <w:szCs w:val="28"/>
          <w:rtl w:val="true"/>
          <w:lang w:bidi="ar-SA"/>
        </w:rPr>
        <w:t>، فالظاهر عدم صحّته في نفسه، وعدم وفقه لمبناه في باب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العوض فقد ملك العين التالفة، فيقوم مقام المالك في جواز الرجوع إلى المتأخّر، وذكر في توضيحه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المالك إذا تصالح على العين التالفة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 وجودها في ذمّة ذوي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غيرهم أو مع أحدهم، يقوم المصالح مقامه في جواز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دخول المعوّض في ملك من خرج عنه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الغرامات يكون المدفوع عوضاً عن العين التالفة، ولازمه اعتبار كون العين ملكاً للدافع؛ فإنّ ذلك مقتضى العوضية، فلو كان للعين التالفة اعتبار عقلائي يكون للدافع</w:t>
      </w:r>
      <w:r>
        <w:rPr>
          <w:rStyle w:val="FootnoteAnchor"/>
          <w:rtl w:val="true"/>
        </w:rPr>
        <w:footnoteReference w:id="1009"/>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اعتبار المعدوم ملكاً، يحتاج إلى دليل قويّ لا مفرّ منه إلاّ بذلك، كما لو ثبت حكم شرعي قاطع موقوفة صحّته على نحو هذا الاعتبار،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اعتبر المعدوم ملكاً، وهو في المقام مفقود؛ لأنّ صحّة رجوع </w:t>
      </w:r>
    </w:p>
    <w:p>
      <w:pPr>
        <w:pStyle w:val="BookText"/>
        <w:rPr/>
      </w:pPr>
      <w:r>
        <w:rPr>
          <w:rFonts w:ascii="Amiri" w:hAnsi="Amiri" w:eastAsia="Amiri" w:cs="Amiri"/>
          <w:color w:val="111111"/>
          <w:sz w:val="28"/>
          <w:sz w:val="28"/>
          <w:szCs w:val="28"/>
          <w:rtl w:val="true"/>
          <w:lang w:bidi="ar-SA"/>
        </w:rPr>
        <w:t>السابق إلى اللاحق أوّل الكلام، وتوقّف صحّته على الاعتبار الكذائي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ذيل كلامه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مسلّمية الخيار بعد التلف، فيرجع إلى المثل أو القيمة مع أنّ الفسخ من حينه، فليس ذلك إلاّ اعتبار كون العين التالفة ملكاً لمالكها الأوّل</w:t>
      </w:r>
      <w:r>
        <w:rPr>
          <w:rStyle w:val="FootnoteAnchor"/>
          <w:rtl w:val="true"/>
        </w:rPr>
        <w:footnoteReference w:id="10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ثبوت الخيار عرفاً أو شرعاً بعد التلف، وتسليم الرجوع إلى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لاعتبار المعدوم ملكاً؛ فإنّ الفسخ ليس معاملة بل فسخ عقد، ولازمه العرفي الرجوع إلى العين مع وجودها، وإلى العوض مع عدمها، من غير اعتبار العدم ملكاً للطرف ثمّ للمالك؛ فإنّه 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أو العقلائي بالرجوع إلى المثل، ليس معلولاً لاعتبار العدم ملكاً، بل هو أمر خارج عن بناء العقلاء، ولا دليل على الاعتبار المذكور، بل الدليل على خلافه، كما يظهر بالرجوع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في أبواب الضمانات مطلقاً، ليس الأمر كذلك عند العقلاء والشارع الأقدس؛ لأنّ المضمون له بعد ما تلف ماله وخرج بالتلف عن ملكه، ملك في ذمّة الضامن مثله أو قيمته جبراً، من غير اعتبار ملكية الضامن أو المالك للتالف، وضمان اليد أيضاً لا يقصر عن سائر الضمانات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معنى استقرار العوض بعد التلف على ذمّتهم كما في كلامه</w:t>
      </w:r>
      <w:r>
        <w:rPr>
          <w:rStyle w:val="FootnoteAnchor"/>
          <w:rtl w:val="true"/>
        </w:rPr>
        <w:footnoteReference w:id="1011"/>
      </w:r>
      <w:r>
        <w:rPr>
          <w:rFonts w:ascii="Amiri" w:hAnsi="Amiri" w:eastAsia="Amiri" w:cs="Amiri"/>
          <w:color w:val="111111"/>
          <w:sz w:val="28"/>
          <w:sz w:val="28"/>
          <w:szCs w:val="28"/>
          <w:rtl w:val="true"/>
          <w:lang w:bidi="ar-SA"/>
        </w:rPr>
        <w:t xml:space="preserve">، أنّ العين بماليتها ونوعيتها تصير ملكاً مستقرّاً للمضمون له، ولا شبهة في أنّ ذلك التضمين </w:t>
      </w:r>
    </w:p>
    <w:p>
      <w:pPr>
        <w:pStyle w:val="BookText"/>
        <w:rPr/>
      </w:pPr>
      <w:r>
        <w:rPr>
          <w:rFonts w:ascii="Amiri" w:hAnsi="Amiri" w:eastAsia="Amiri" w:cs="Amiri"/>
          <w:color w:val="111111"/>
          <w:sz w:val="28"/>
          <w:sz w:val="28"/>
          <w:szCs w:val="28"/>
          <w:rtl w:val="true"/>
          <w:lang w:bidi="ar-SA"/>
        </w:rPr>
        <w:t>بدل عن التالف، ومعه كيف يجوز على مبناه أن يملك المضمون له البدل على ذمّة الضامن والمبدل التالف، فهل هذا إلاّ جمع بين البدل والمبدل، والعوض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بالأداء عوضاً، فاسد جدّاً؛ لأنّه يؤدّي العوض الذي على عهدته، لا أنّه عوض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بعد تلف العين إلاّ العين التي على عهدة الضامن؛ بماليتها، ونوعيتها، وجهاتها الاُخر، والعين التالفة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ملكاً للضامن بمجرّد استقرار الضمان، وفي تعاقب الأيادي تصير ملكاً لكلّ منهم، وهو كما ترى، فلا ملك له حتّى يصالح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الأيادي المتعاقبة على مبنى اعتبار العين على جميع الذمم، واستقرار الضمان بالتلف، لا 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 ضامن، ويجب على كلّ منهم الدفع، حتّى تكون لشيء واحد غرامات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الالتزام بالضمان بنحو البدلية كما أفاده الشيخ قدّس سرّه</w:t>
      </w:r>
      <w:r>
        <w:rPr>
          <w:rStyle w:val="FootnoteAnchor"/>
          <w:rtl w:val="true"/>
        </w:rPr>
        <w:footnoteReference w:id="1012"/>
      </w:r>
      <w:r>
        <w:rPr>
          <w:rFonts w:ascii="IRNazanin" w:hAnsi="IRNazanin" w:eastAsia="IRNazanin"/>
          <w:color w:val="111111"/>
          <w:sz w:val="28"/>
          <w:sz w:val="28"/>
          <w:szCs w:val="28"/>
          <w:rtl w:val="true"/>
          <w:lang w:bidi="fa-IR"/>
        </w:rPr>
        <w:t>وتبعه القائل المعظّم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الالتزام بأنّ ما اعتبر في ذمّة كلّ، عين ما اعتبر في ذمّة الباقين، نظير ما ذكرناه في تصوير اشتغالات الذمم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كلا القولين، لو تصالح مع أحدهم سقط الضمان عن الكلّ، فمالكية </w:t>
      </w:r>
    </w:p>
    <w:p>
      <w:pPr>
        <w:pStyle w:val="BookText"/>
        <w:rPr/>
      </w:pPr>
      <w:r>
        <w:rPr>
          <w:rFonts w:ascii="Amiri" w:hAnsi="Amiri" w:eastAsia="Amiri" w:cs="Amiri"/>
          <w:color w:val="111111"/>
          <w:sz w:val="28"/>
          <w:sz w:val="28"/>
          <w:szCs w:val="28"/>
          <w:rtl w:val="true"/>
          <w:lang w:bidi="ar-SA"/>
        </w:rPr>
        <w:t>الضامن للتالف لا تثمر جواز الرجوع إلى الباقين،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جواز مصالحة المالك على العين التالفة، موقوف على مالكيته لها، واعتبار ملكية المعدوم بما هو معدوم محال؛ لأنّ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ولا يشار إليه، فلا بدّ من اعتباره موجوداً، واعتبار الوجود الذهني لا يفيد، بل</w:t>
      </w:r>
    </w:p>
    <w:p>
      <w:pPr>
        <w:pStyle w:val="BookText"/>
        <w:rPr/>
      </w:pPr>
      <w:r>
        <w:rPr>
          <w:rFonts w:ascii="Amiri" w:hAnsi="Amiri" w:eastAsia="Amiri" w:cs="Amiri"/>
          <w:color w:val="111111"/>
          <w:sz w:val="28"/>
          <w:sz w:val="28"/>
          <w:szCs w:val="28"/>
          <w:rtl w:val="true"/>
          <w:lang w:bidi="ar-SA"/>
        </w:rPr>
        <w:t>لا بدّ من اعتبار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ملكية الملحوظ خارجاً تصديقاً، يوجب الاعتبار التصديقي للوجود؛ ضرورة أنّ القيود التصوّرية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على الموضوع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تصديقية، ولازم ذلك التعبّد بوجود العين في الخارج مملوكة لمالكها، إن كان الشارع هو الملاحظ أو المؤيّد للحاظ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التعبّد الشرعي تعبّد بسقوط الضمان إن كان بنحو الإطلاق؛ فإنّه تعبّد حينئذٍ بعدم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التعبّد من حيث أثر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العين مضمونة على الضامنين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كون ضمانهم بلحاظ وجود العين مملوكة ولو اعتباراً، مع أنّ وجودها يدفعه ولو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فالتعبّد بوجود العين مملوكة، لا يعقل أن يكون بلحاظ ترتّب أثر الضمان عليه، مع أنّ الضمان مترتّب على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بالوجود لأثر آخر، وهو جواز رجوعه إلى الضامن، وجواز مصالحته مع الغير؛ لأن يرجع إليهم ويقوم مقام المالك في ذلك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الرجوع مترتّب على الضمان المترتّب على التلف، لا على وجود العين مملوكة؛ فإنّه يدفع الضمان الدافع للجواز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إمكان اعتبار مملوكية التالف بما هو تالف ومعدوم، لا تصحّح مصالحته مع من في السلسلة أو غيره، قيامه مقام المالك في جواز المطالبة والأخذ من الضامنين؛ لأنّ مملوكية التالف ليست دخيلة في ضمانهم بوجه، فإنّ موضوع الضمان في الإتلاف ليس إلاّ ذلك، وفي اليد هو اليد، أو التلف بعد مرور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المملوكية دخيل، لكان أقرب، فتلف ماله وسلب مملوكيته عنه موجب للضمان، لا مملوكية التالف،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التالف إلى غير من في السلسلة أيضاً، لا يوجب قيامه مقامه في المطالبة والاستحقاق، بعد عدم استحقاق المالك لذلك، فضلاً عمّن في السلسلة، فإنّه مضافاً إلى ذلك، يرد 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المالك بعد الاستيفاء ليس له استحقاق بالنسبة إلى من في السلسلة، حتّى يقوم غيره مقامه فيه؛ لأنّه بالاستيفاء يسقط المأخوذ عن الذمم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مسلّم في المعاوضات، دون باب الخسارات، وقد تقدّم ما في المقدّمة الثالثة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مخالف لمبناه في ضمان اليد؛ من أنّ نفس العين تقع على العهدة، وهي باقية إلى زمان الأداء وحصول الغاية</w:t>
      </w:r>
      <w:r>
        <w:rPr>
          <w:rStyle w:val="FootnoteAnchor"/>
          <w:rtl w:val="true"/>
        </w:rPr>
        <w:footnoteReference w:id="1017"/>
      </w:r>
      <w:r>
        <w:rPr>
          <w:rFonts w:ascii="Amiri" w:hAnsi="Amiri" w:eastAsia="Amiri" w:cs="Amiri"/>
          <w:color w:val="111111"/>
          <w:sz w:val="28"/>
          <w:sz w:val="28"/>
          <w:szCs w:val="28"/>
          <w:rtl w:val="true"/>
          <w:lang w:bidi="ar-SA"/>
        </w:rPr>
        <w:t>، فإنّ لازمه أن يكون أداء المثل أو القيمة، نحو أداء للعين، حتّى يسقط الضمان بحصول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أداء المثل أو القيمة عوضاً من التالف، بل أداء للعين، وبه تحصل غاية الضمان، والعوضية إنّما تناسب مذهب المشهور في باب ضمان اليد</w:t>
      </w:r>
      <w:r>
        <w:rPr>
          <w:rStyle w:val="FootnoteAnchor"/>
          <w:rtl w:val="true"/>
        </w:rPr>
        <w:footnoteReference w:id="1018"/>
      </w:r>
      <w:r>
        <w:rPr>
          <w:rFonts w:ascii="Amiri" w:hAnsi="Amiri" w:eastAsia="Amiri" w:cs="Amiri"/>
          <w:color w:val="111111"/>
          <w:sz w:val="28"/>
          <w:sz w:val="28"/>
          <w:szCs w:val="28"/>
          <w:rtl w:val="true"/>
          <w:lang w:bidi="ar-SA"/>
        </w:rPr>
        <w:t>، كما تناسب ضمان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القائل المعظّم قدّس سرّه مختلفة في الباب، فقد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الأداء لما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مذهبه عدم العوضية، فحينئذٍ مع تسليم جميع المقدّمات لا تنتج ما 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الوجوه التي استند إليها في التعويض القهري العرفي 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المحقق الرشتي، أو السيّد الطباطبائي قدّس سرّه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الاستناد إليها، وبطل المبنى والبناء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الكلام فيما جعله السيّد الطباطبائي قدّس سرّه موافقاً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اللاحق صار سبباً لاستقرار الضمان والعوض في عهدته، من غير فرق بين الإتلاف والتلف، وأنّ حال اللاحق بالنسبة إلى السابق، كحال الغارّ بالنسبة إلى المغرور؛ فإنّ الوجه في رجوعه إلى الغارّ كونه سبباً لاستقرار العوض في ذمّته، فاللاحق بحيلولته بين السابق وبين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له الردّ لولا حيلولته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لاستقرار العوض</w:t>
      </w:r>
      <w:r>
        <w:rPr>
          <w:rStyle w:val="FootnoteAnchor"/>
          <w:rtl w:val="true"/>
        </w:rPr>
        <w:footnoteReference w:id="102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مذهبه في باب ضمان اليد أنّ نفس العين على العهدة، ولا تتبدّل إلى </w:t>
      </w:r>
    </w:p>
    <w:p>
      <w:pPr>
        <w:pStyle w:val="BookText"/>
        <w:rPr/>
      </w:pPr>
      <w:r>
        <w:rPr>
          <w:rFonts w:ascii="Amiri" w:hAnsi="Amiri" w:eastAsia="Amiri" w:cs="Amiri"/>
          <w:color w:val="111111"/>
          <w:sz w:val="28"/>
          <w:sz w:val="28"/>
          <w:szCs w:val="28"/>
          <w:rtl w:val="true"/>
          <w:lang w:bidi="ar-SA"/>
        </w:rPr>
        <w:t>المثل أو القيمة بالتلف أو الإتلاف، فهي باقية عليها إلى زمان الأداء ولو بمثلها أو قيمتها، فإنّهما أيضاً نحو أداء عند تعذّر العين</w:t>
      </w:r>
      <w:r>
        <w:rPr>
          <w:rStyle w:val="FootnoteAnchor"/>
          <w:rtl w:val="true"/>
        </w:rPr>
        <w:footnoteReference w:id="1021"/>
      </w:r>
      <w:r>
        <w:rPr>
          <w:rFonts w:ascii="Amiri" w:hAnsi="Amiri" w:eastAsia="Amiri" w:cs="Amiri"/>
          <w:color w:val="111111"/>
          <w:sz w:val="28"/>
          <w:sz w:val="28"/>
          <w:szCs w:val="28"/>
          <w:rtl w:val="true"/>
          <w:lang w:bidi="ar-SA"/>
        </w:rPr>
        <w:t>، فلا وجه حينئذٍ لما ذكره؛ من سببية اللاحق لاستقرار الضمان أو العوض على العهدة،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معنى على هذا المبنى لاستقرار الضمان، بعد كون العين على العهدة من غير تغيير فيها، ومن غير دخالة شيء آخر في الضمان إلاّ اليد، فعليه لا يصحّ رجوع السابق إلى اللاحق وإن كان متلفاً؛ فإنّ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في الضمان واستقراره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المشهور يصحّ الفرق بين الإتلاف والتلف؛ لأنّ اليد لا توجب إلاّ حصول معنى تعليقي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 نّه لو تلف عليك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أتلف اللاحق المال، صار إتلافه سبباً لتعلّق المثل أو القيمة على عهدته، فله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تلف سماوياً فلا رجوع؛ لعدم دخالة يد اللاحق ولا حيلولته في تحقّق الضمان، وتعلّق العوض بعهدته؛ لأنّ تمام الموضوع للضمان هو اليد والتلف، والحيلولة كالحجر جنب الإنسان في باب الضمان أو استقراره، فوجود الحيلولة وعدمه على السواء في ذلك، وهو واضح</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على فرض التسليم، لا يتمّ المدّعى على النحو الكلّي؛ للفرق الواضح بين أخذ اللاحق عن السابق قهراً عليه، أو أخذه باستدعاء منه والتماس أو بمعاملة؛ فإنّ سبب الحيلولة في غير القهر هو السابق، ولا سيّما إذا استدعى </w:t>
      </w:r>
      <w:bookmarkStart w:id="592" w:name="pg15204_140695"/>
    </w:p>
    <w:p>
      <w:pPr>
        <w:pStyle w:val="BookText"/>
        <w:rPr/>
      </w:pPr>
      <w:bookmarkEnd w:id="592"/>
      <w:r>
        <w:rPr>
          <w:rFonts w:ascii="Amiri" w:hAnsi="Amiri" w:eastAsia="Amiri" w:cs="Amiri"/>
          <w:color w:val="111111"/>
          <w:sz w:val="28"/>
          <w:sz w:val="28"/>
          <w:szCs w:val="28"/>
          <w:rtl w:val="true"/>
          <w:lang w:bidi="ar-SA"/>
        </w:rPr>
        <w:t>منه الأخذ والردّ إلى مالكه، ولم يقبل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الحيلولة إنّما تؤثّر، إذا كان السابق عازماً على ردّ المال إلى المالك، ومنعته الحيلولة، وأمّا إذا لم يردّه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المال بيده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بسببية الحيلولة، ومجرّد إمكان الردّ لا دخل له في الضمان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مقايسة المقام بباب الغرور، فغير مرضيّة؛ لأنّ قاعدة الغرور قاعدة برأسها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 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دليل برأسه، غير مربوط بباب التسبيب، وقد مرّ في السابق الإشارة إليها وإلى دليلها </w:t>
      </w:r>
      <w:r>
        <w:rPr>
          <w:rStyle w:val="FootnoteAnchor"/>
          <w:rtl w:val="true"/>
        </w:rPr>
        <w:footnoteReference w:id="1022"/>
      </w:r>
      <w:r>
        <w:rPr>
          <w:rFonts w:ascii="Amiri" w:hAnsi="Amiri" w:eastAsia="Amiri" w:cs="Amiri"/>
          <w:color w:val="111111"/>
          <w:sz w:val="28"/>
          <w:sz w:val="28"/>
          <w:szCs w:val="28"/>
          <w:rtl w:val="true"/>
          <w:lang w:bidi="ar-SA"/>
        </w:rPr>
        <w:t>، والغارّ كثيراً ما لا يكون سبباً للضمان، كما إذا أتلف المغرور المال، فإنّه متلف، وعلى المتلف الضمان، وإن كان له الرجوع إلى الغارّ،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 اليد ورجوع السابق إلى اللاحق حكم عرفي، لم يردع عنه الشرع</w:t>
      </w:r>
      <w:r>
        <w:rPr>
          <w:rStyle w:val="FootnoteAnchor"/>
          <w:rtl w:val="true"/>
        </w:rPr>
        <w:footnoteReference w:id="1023"/>
      </w:r>
      <w:r>
        <w:rPr>
          <w:rFonts w:ascii="Amiri" w:hAnsi="Amiri" w:eastAsia="Amiri" w:cs="Amiri"/>
          <w:color w:val="111111"/>
          <w:sz w:val="28"/>
          <w:sz w:val="28"/>
          <w:szCs w:val="28"/>
          <w:rtl w:val="true"/>
          <w:lang w:bidi="ar-SA"/>
        </w:rPr>
        <w:t>، فقد مرّ ما فيه؛ من أنّ أصل ضمان اليد بما ذكره الفقهاء ليس عرفياً عقلائياً، فضلاً عن أحكام تعاقب الأيادي</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2759088_2142443653"/>
      <w:bookmarkStart w:id="594" w:name="_Toc220"/>
      <w:bookmarkEnd w:id="593"/>
      <w:r>
        <w:rPr>
          <w:rtl w:val="true"/>
        </w:rPr>
        <w:t>التحقيق في التوجيه لرجوع السابق إلى اللاحق</w:t>
      </w:r>
      <w:bookmarkEnd w:id="59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يقال في تقريب فتوى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قاعدة اليد إلاّ اعتبار كون المأخوذ على الآخذ، فما لم تتحقّق فيه العهدة، ولم يعتبره العقلاء أو الشارع في عهدة، لا تشمله القاعدة، كأخذ المباحات التي لا مالك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لزوم كون المأخوذ ملكاً أو حقّاً أو سلطنة ونحوها، فلا، فكما أنّ أخذ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عيناً، أو منفعة،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للضمان؛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المأخوذ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غصب المساجد والضرائح المطهّرة والأوقاف العامّة ممّا لا مالك لها، موجب لضمان اليد؛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الأخماس والزكوات بناءً على عدم ملكيتها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والأداء بحسب الظهور العرفي وفهم العقلاء، في كلّ مورد بنحو، ففي الأملاك والحقوق والمنافع هو الردّ إلى صاحبها، وفي الأوقاف العامّة إذا كانت لها متولٍّ، هو الردّ إليه، وفي الضرائح هو الإيصال إلى محالّها، وفي المساجد هو التخلية ووضعها تحت اختيار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قصور لدليل اليد صدراً وذيلاً عن شمول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الأداء أيضاً غير معتبر في ضمان اليد، وذكر الغاية لتحديد الموضوع، كذكر الغاية في قاعدتي الطهارة والحلّية، فإن اتّفق عدم إمكان الأداء في مورد، لا يوجب ذلك عدم الشمول</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قابل لوقوع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للعين، وتصحّ فيه العهدة، وكونه على الآخذ</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وعهدة وصف المضمون على الضامن الثاني للضامن الأوّل، ترجع عرفاً إلى ضمان الخسارة الواقعة عليه من قبل ضمانه، وليس معنى ذلك أنّ المضمون له هو المالك، بل المضمون له هو الضامن لما ضمنه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شموله لكلّ ما يصدق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والمضمون له غير مذكور ومحوّل إلى فهم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الضامن مضموناً له بالنسبة إلى ضمانه، ولا يوجب ذلك الضمان رفع ضمان الضامن الأوّل، ونقله إلى الضامن الثاني؛ لأنّ موضوع ضمان الثاني هو ضمان الأوّل، ولا يعقل رفع الموضوع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الضمان بالنسبة إلى المالك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النقل أو الأداء عند عدم أداء الأوّل، بل لازم ضمان الثاني للأوّل ليس إلاّ جبر خسارته، وغاية هذا الضمان إرجاع المال المضمون إلى الضامن الأوّل؛ فإنّه أداء للوصف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كلام الشيخ الأعظم قدّس سرّه يرجع إلى ذلك، وإن كان بعيداً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القائم بالعين، لا بدّ وأن يكون مضموناً للمالك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أنّ قاعدة اليد لا تتكفّل لبيان المضمون له</w:t>
      </w:r>
      <w:r>
        <w:rPr>
          <w:rStyle w:val="FootnoteAnchor"/>
          <w:rtl w:val="true"/>
        </w:rPr>
        <w:footnoteReference w:id="1026"/>
      </w:r>
      <w:r>
        <w:rPr>
          <w:rFonts w:ascii="Amiri" w:hAnsi="Amiri" w:eastAsia="Amiri" w:cs="Amiri"/>
          <w:color w:val="111111"/>
          <w:sz w:val="28"/>
          <w:sz w:val="28"/>
          <w:szCs w:val="28"/>
          <w:rtl w:val="true"/>
          <w:lang w:bidi="ar-SA"/>
        </w:rPr>
        <w:t>، فحينئذٍ لو كان المأخوذ قابلاً لكونه على الضامن الثاني للضامن الأوّل، وللمالك أيضاً، نأخذ بهما،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للمالك إمّا بمعنى أنّه لو لم يؤدّ الضامن فأنا ضامن، على النحو الذي عليه العامّة في الضمان العقدي، فهو لا معنى له في المقام؛ لأنّ الثاني ضامن للمالك مطلقاً بدليل اليد، فلا معنى لضمانه ثانياً عن الضامن بهذا المعنى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بمعنى نقل الضمان إليه؛ أي نقل هذا المعنى التعليقي إليه، ولازمه سلب ضمان الأوّل بالنسبة إلى المالك، وثبوت الضمان بالنسبة إلى الثاني</w:t>
      </w:r>
      <w:r>
        <w:rPr>
          <w:rFonts w:eastAsia="Amiri" w:cs="Amiri" w:ascii="Amiri" w:hAnsi="Amiri"/>
          <w:color w:val="111111"/>
          <w:sz w:val="28"/>
          <w:szCs w:val="28"/>
          <w:rtl w:val="true"/>
          <w:lang w:bidi="ar-SA"/>
        </w:rPr>
        <w:t xml:space="preserve">. </w:t>
      </w:r>
      <w:bookmarkStart w:id="595" w:name="pg15204_140698"/>
    </w:p>
    <w:p>
      <w:pPr>
        <w:pStyle w:val="BookText"/>
        <w:rPr/>
      </w:pPr>
      <w:bookmarkEnd w:id="595"/>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الثاني ضامن للمالك لأخذه العين، ولا معنى للضمان فوق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الضمان غير عقلائي، وإنّما ذهبنا إليه في الضمان العقدي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موضوع ضمان الثاني هو ضمان الأوّل، فلا بدّ من بقاء ضمان الأوّل حال بقاء الحكم، وهو ينافي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للمالك لا وجه له، وأمّا الضمان للضامن فله وجه؛ لتصوّر العهدة، وإطلاق الدليل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فلا تخلو المسألة عن الغموض والإشكال، وإن كان هذا الوجه لا يبعد الاتّكال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غير الوجه الذي أفاده الشيخ قدّس سرّه في ظاهر</w:t>
      </w:r>
    </w:p>
    <w:p>
      <w:pPr>
        <w:pStyle w:val="BookText"/>
        <w:rPr/>
      </w:pPr>
      <w:r>
        <w:rPr>
          <w:rFonts w:ascii="Amiri" w:hAnsi="Amiri" w:eastAsia="Amiri" w:cs="Amiri"/>
          <w:color w:val="111111"/>
          <w:sz w:val="28"/>
          <w:sz w:val="28"/>
          <w:szCs w:val="28"/>
          <w:rtl w:val="true"/>
          <w:lang w:bidi="ar-SA"/>
        </w:rPr>
        <w:t>كلامه، وهو ظاهر، وغير الوجه الذي وجّهنا به كلامه وأنكرنا إطلاق الدليل، كما يظهر بالتأمّل، فراجعه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2759090_2142443653"/>
      <w:bookmarkStart w:id="597" w:name="_Toc221"/>
      <w:bookmarkEnd w:id="596"/>
      <w:r>
        <w:rPr>
          <w:rtl w:val="true"/>
        </w:rPr>
        <w:t>سقوط ضمان كلّ لاحق بإرجاع العين إلى سابقه</w:t>
      </w:r>
      <w:bookmarkEnd w:id="597"/>
    </w:p>
    <w:p>
      <w:pPr>
        <w:pStyle w:val="BookText"/>
        <w:rPr/>
      </w:pPr>
      <w:r>
        <w:rPr>
          <w:rFonts w:ascii="Amiri" w:hAnsi="Amiri" w:eastAsia="Amiri" w:cs="Amiri"/>
          <w:color w:val="111111"/>
          <w:sz w:val="28"/>
          <w:sz w:val="28"/>
          <w:szCs w:val="28"/>
          <w:rtl w:val="true"/>
          <w:lang w:bidi="ar-SA"/>
        </w:rPr>
        <w:t>ثمّ لو أرجع العين من في آخر السلسلة إلى سابقه، وهو إلى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وصلت إلى الغاصب الأوّل، فضمان كلّ سابق في الدور الثاني يسقط بالأداء إلى لاحقه في هذا الدور؛ لأنّ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تأدية المأخوذ؛ أي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بأداء العين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مأخوذ بالتبع، مردود كذلك، وكلّ لاحق في </w:t>
      </w:r>
      <w:bookmarkStart w:id="598" w:name="pg15204_140699"/>
    </w:p>
    <w:p>
      <w:pPr>
        <w:pStyle w:val="BookText"/>
        <w:rPr/>
      </w:pPr>
      <w:bookmarkEnd w:id="598"/>
      <w:r>
        <w:rPr>
          <w:rFonts w:ascii="Amiri" w:hAnsi="Amiri" w:eastAsia="Amiri" w:cs="Amiri"/>
          <w:color w:val="111111"/>
          <w:sz w:val="28"/>
          <w:sz w:val="28"/>
          <w:szCs w:val="28"/>
          <w:rtl w:val="true"/>
          <w:lang w:bidi="ar-SA"/>
        </w:rPr>
        <w:t xml:space="preserve">السلسلة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الدور القهقري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للسابق، فإعطاء كلّ موجب لرفع ضمانه، وتضمين الوصف على الآخذ، فلو رجع المالك إلى أحدهم، كان له الرجوع إلى لاحقه في هذا الدور، وليس له الرجوع إلى اللاحق في الدور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أرجع الآخر إلى من في مبدأ السلسلة، أو إلى أحد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سابق في الدور الأخير يرجع إلى لاحقه فيه، لا في الدورات الاُخر، والوجه هو الوجه الذي في السلسلة الاُولى</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2759092_2142443653"/>
      <w:bookmarkStart w:id="600" w:name="_Toc222"/>
      <w:bookmarkEnd w:id="599"/>
      <w:r>
        <w:rPr>
          <w:rtl w:val="true"/>
        </w:rPr>
        <w:t>حول إبراء المالك أحد من في السلسلة</w:t>
      </w:r>
      <w:bookmarkEnd w:id="600"/>
    </w:p>
    <w:p>
      <w:pPr>
        <w:pStyle w:val="Heading6"/>
        <w:numPr>
          <w:ilvl w:val="5"/>
          <w:numId w:val="1"/>
        </w:numPr>
        <w:rPr/>
      </w:pPr>
      <w:bookmarkStart w:id="601" w:name="__RefHeading___Toc2759094_2142443653"/>
      <w:bookmarkStart w:id="602" w:name="_Toc223"/>
      <w:bookmarkEnd w:id="601"/>
      <w:r>
        <w:rPr>
          <w:rtl w:val="true"/>
        </w:rPr>
        <w:t>بيانه</w:t>
      </w:r>
      <w:bookmarkEnd w:id="602"/>
    </w:p>
    <w:p>
      <w:pPr>
        <w:pStyle w:val="BookText"/>
        <w:rPr/>
      </w:pPr>
      <w:r>
        <w:rPr>
          <w:rFonts w:ascii="Amiri" w:hAnsi="Amiri" w:eastAsia="Amiri" w:cs="Amiri"/>
          <w:color w:val="111111"/>
          <w:sz w:val="28"/>
          <w:sz w:val="28"/>
          <w:szCs w:val="28"/>
          <w:rtl w:val="true"/>
          <w:lang w:bidi="ar-SA"/>
        </w:rPr>
        <w:t>ولو أبرأ المالك أحد من في السلسلة، فهل يبرأ الجميع، أو لا يبرأ إلاّ من أبرأه، أو يبرأ ومن هو متقدّم عليه دون المتأخّر، أو العكس؟</w:t>
      </w:r>
    </w:p>
    <w:p>
      <w:pPr>
        <w:pStyle w:val="BookText"/>
        <w:rPr/>
      </w:pPr>
      <w:r>
        <w:rPr>
          <w:rFonts w:ascii="Amiri" w:hAnsi="Amiri" w:eastAsia="Amiri" w:cs="Amiri"/>
          <w:color w:val="111111"/>
          <w:sz w:val="28"/>
          <w:sz w:val="28"/>
          <w:szCs w:val="28"/>
          <w:rtl w:val="true"/>
          <w:lang w:bidi="ar-SA"/>
        </w:rPr>
        <w:t>وجوه، لا يبعد الاختلاف بحسب المباني في باب ضمان اليد،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العين على الذمّة، وهي باقية إلى زمان الأداء ولو بالمثل أو القيمة، ولا فرق في الضمان حال وجودها وتلفها </w:t>
      </w:r>
      <w:r>
        <w:rPr>
          <w:rStyle w:val="FootnoteAnchor"/>
          <w:rtl w:val="true"/>
        </w:rPr>
        <w:footnoteReference w:id="1028"/>
      </w:r>
      <w:r>
        <w:rPr>
          <w:rFonts w:ascii="Amiri" w:hAnsi="Amiri" w:eastAsia="Amiri" w:cs="Amiri"/>
          <w:color w:val="111111"/>
          <w:sz w:val="28"/>
          <w:sz w:val="28"/>
          <w:szCs w:val="28"/>
          <w:rtl w:val="true"/>
          <w:lang w:bidi="ar-SA"/>
        </w:rPr>
        <w:t>، فلا بدّ إمّا من الالتزام بأنّ الإبراء بمنزلة الاستيفاء، فمعه تحصل غاية الضمان التي هي الأداء؛ فإنّ الإبراء أيضاً نحو استيفاء</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يلزمه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وجود العين أيضاً يكون الإبراء استيفاءً للمأخوذ، ولازمه خروج العين الموجودة عن ملك مالكها؛ لعدم تعدّد المال له، والمفروض وصول ماله الذي اُخذ منه، وهذا ممّا لا أظنّ التزام أحد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قصور دليل اليد عن ذلك، فلا قصور لغيره،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حصول الغاية لدليل اليد، يقع التعارض بينه وبين ما ذكر، وهو حاكم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الالتزام بذلك، ولا يسع القائل التفصيل بين زمان وجود العين وغيره، بعد وحدة الدليل، ووحدة المضمون، وعدم تغيّره حال الوجود والتلف،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زمان الوجود ليس الإبراء استيفاءً، بخلاف حال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له من الالتزام بأنّ إبراء ذمّة أحدهم، لا يلازم براءة ذمّة الآخرين، كما أنّه في حال وجود العين، لا يكون إبراء أحدهم إبراءً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كانت العين موجودة بيده وغيره؛ بأنّ الاستيفاء لا يؤثّر بالنسبة إليه دون غيره،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المذهب المعروف في باب ضمان اليد</w:t>
      </w:r>
      <w:r>
        <w:rPr>
          <w:rStyle w:val="FootnoteAnchor"/>
          <w:rtl w:val="true"/>
        </w:rPr>
        <w:footnoteReference w:id="1030"/>
      </w:r>
      <w:r>
        <w:rPr>
          <w:rFonts w:ascii="Amiri" w:hAnsi="Amiri" w:eastAsia="Amiri" w:cs="Amiri"/>
          <w:color w:val="111111"/>
          <w:sz w:val="28"/>
          <w:sz w:val="28"/>
          <w:szCs w:val="28"/>
          <w:rtl w:val="true"/>
          <w:lang w:bidi="ar-SA"/>
        </w:rPr>
        <w:t xml:space="preserve">، يصحّ التفصيل بين حال الوجود وحال التلف، والالتزام بأنّ إبراء ذمّة حال الوجود لا يلازم إبراء غيرها؛ لأنّه في حال الوجود ليس على الآخذ مثل أو قيمة، وإنّما عليه معنى 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لو تلف عليك</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التعليقي نحو ضمان مسبّب عن الأخذ والاستيلاء، فكلّ من </w:t>
      </w:r>
    </w:p>
    <w:p>
      <w:pPr>
        <w:pStyle w:val="BookText"/>
        <w:rPr/>
      </w:pPr>
      <w:r>
        <w:rPr>
          <w:rFonts w:ascii="Amiri" w:hAnsi="Amiri" w:eastAsia="Amiri" w:cs="Amiri"/>
          <w:color w:val="111111"/>
          <w:sz w:val="28"/>
          <w:sz w:val="28"/>
          <w:szCs w:val="28"/>
          <w:rtl w:val="true"/>
          <w:lang w:bidi="ar-SA"/>
        </w:rPr>
        <w:t>الأيادي ضامنة بهذا المعنى، ومعنى إبرائه هو الإبراء عن الضمان، لا الاستيفاء للمضمون، وذلك واضح، فإذا أبرأ أحدهم يرجع ذلك إلى أنّه إذا تلف لم يكن عليك، وهو لا ينافي بقاء ضمانات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التلف، فحيث يكون المثل أو القيمة على عهدتهم، وليس للمضمون له إلاّ مال واحد على ما عرفت</w:t>
      </w:r>
      <w:r>
        <w:rPr>
          <w:rStyle w:val="FootnoteAnchor"/>
          <w:rtl w:val="true"/>
        </w:rPr>
        <w:footnoteReference w:id="1031"/>
      </w:r>
      <w:r>
        <w:rPr>
          <w:rFonts w:ascii="Amiri" w:hAnsi="Amiri" w:eastAsia="Amiri" w:cs="Amiri"/>
          <w:color w:val="111111"/>
          <w:sz w:val="28"/>
          <w:sz w:val="28"/>
          <w:szCs w:val="28"/>
          <w:rtl w:val="true"/>
          <w:lang w:bidi="ar-SA"/>
        </w:rPr>
        <w:t>، فإبراء أحدهم ملازم لبراءة غيره، فلا بدّ من البحث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أنّه كلّما كان إبراء الضمان مستلزماً لإبراء البدل والعوض أو عينه، لا يعقل بقاء ضمان غيره، لا لأجل استيفاء حقّه، أو كون الإبراء بمنزلة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عرفت سابقاً؛ من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العناوين التي لا تقبل التكرار</w:t>
      </w:r>
      <w:r>
        <w:rPr>
          <w:rStyle w:val="FootnoteAnchor"/>
          <w:rtl w:val="true"/>
        </w:rPr>
        <w:footnoteReference w:id="1032"/>
      </w:r>
      <w:r>
        <w:rPr>
          <w:rFonts w:ascii="Amiri" w:hAnsi="Amiri" w:eastAsia="Amiri" w:cs="Amiri"/>
          <w:color w:val="111111"/>
          <w:sz w:val="28"/>
          <w:sz w:val="28"/>
          <w:szCs w:val="28"/>
          <w:rtl w:val="true"/>
          <w:lang w:bidi="ar-SA"/>
        </w:rPr>
        <w:t xml:space="preserve">،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اشتغال الذمم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غير قابل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أبرأ أحد من في السلسلة من البدل أو العوض، فلا يعقل بقاء البدل على ذمّة غيره، وليست الذمم مشغولة بغير ذلك، فلازمه رفع الاشتغال من جميع الذمم، سواء كان الإبراء بمنزلة الأخذ والاستيفاء أم لا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يستلزم إبراؤه إبراء غيره، كما لو أبرأه حال وجود العين فلا يبرأ غيره؛ لما عرفت من أنّ الضمانات كثيرة، وليس ضمان أحدهم عين ضمان </w:t>
      </w:r>
      <w:bookmarkStart w:id="603" w:name="pg15204_140702"/>
    </w:p>
    <w:p>
      <w:pPr>
        <w:pStyle w:val="BookText"/>
        <w:rPr/>
      </w:pPr>
      <w:bookmarkEnd w:id="603"/>
      <w:r>
        <w:rPr>
          <w:rFonts w:ascii="Amiri" w:hAnsi="Amiri" w:eastAsia="Amiri" w:cs="Amiri"/>
          <w:color w:val="111111"/>
          <w:sz w:val="28"/>
          <w:sz w:val="28"/>
          <w:szCs w:val="28"/>
          <w:rtl w:val="true"/>
          <w:lang w:bidi="ar-SA"/>
        </w:rPr>
        <w:t xml:space="preserve">الباقين، ولا مستلزماً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فلصاحب المال إبراء أحدهم دون غيره، فتدبّر جيّداً</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2759096_2142443653"/>
      <w:bookmarkStart w:id="605" w:name="_Toc224"/>
      <w:bookmarkEnd w:id="604"/>
      <w:r>
        <w:rPr>
          <w:rtl w:val="true"/>
        </w:rPr>
        <w:t>تفصيل المحقّق الرشتي بين المتقدّم والمتأخّر</w:t>
      </w:r>
      <w:bookmarkEnd w:id="605"/>
    </w:p>
    <w:p>
      <w:pPr>
        <w:pStyle w:val="BookText"/>
        <w:rPr/>
      </w:pPr>
      <w:r>
        <w:rPr>
          <w:rFonts w:ascii="Amiri" w:hAnsi="Amiri" w:eastAsia="Amiri" w:cs="Amiri"/>
          <w:color w:val="111111"/>
          <w:sz w:val="28"/>
          <w:sz w:val="28"/>
          <w:szCs w:val="28"/>
          <w:rtl w:val="true"/>
          <w:lang w:bidi="ar-SA"/>
        </w:rPr>
        <w:t>وأمّا التفصيل الذي أفاده المحقّق الرشتي قدّس سرّه بين المتقدّم والمتأخّر، وذهب إلى براءة المتقدّم، بدعوى أنّ من لوازم اشتغال ذمّته بحكم قاعدة الضمان، رجوعه إلى من تأخّر، فإذا أبرأ المتأخّر فقد أبرأه عمّا عليه، سواء كان ابتداءً، أو بواسطة الرجوع إلى من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 فهو باقٍ على شغل ذمّته؛ لأنّ الإبراء ليس كأداء البدل وقبضه، بل للمالك حقوق كثيرة، وللضمان تعلّقات عديدة، فإسقاط أحدها لا يلازم إسقاط غيره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w:t>
      </w:r>
      <w:r>
        <w:rPr>
          <w:rStyle w:val="FootnoteAnchor"/>
          <w:rtl w:val="true"/>
        </w:rPr>
        <w:footnoteReference w:id="1034"/>
      </w:r>
      <w:r>
        <w:rPr>
          <w:rFonts w:ascii="Amiri" w:hAnsi="Amiri" w:eastAsia="Amiri" w:cs="Amiri"/>
          <w:color w:val="111111"/>
          <w:sz w:val="28"/>
          <w:sz w:val="28"/>
          <w:szCs w:val="28"/>
          <w:rtl w:val="true"/>
          <w:lang w:bidi="ar-SA"/>
        </w:rPr>
        <w:t xml:space="preserve">من عدم الفرق بين الإبراء والاستيفاء وأخذ البدل، بعد كون الإبراء إسقاطاً للمضمون الذي لا يعقل فيه التكرار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التعلّقات العديدة، والغضّ عمّا ذكرناه، أنّ ما أفاده على هذا المبنى غير تامّ؛ لأنّ أساس ضمان الآخذ للمالك في الأيادي المتعاقبة، غير أساس ضمانه للغاصب السابق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فموضوع الضمان للمالك هو أخذ ماله، من غير دخالة شيء آخر فيه، كما هو ظاهر دليل اليد، فضمان غيره وعدم ضمانه غير دخيل فيه، وأساس ضمان </w:t>
      </w:r>
    </w:p>
    <w:p>
      <w:pPr>
        <w:pStyle w:val="BookText"/>
        <w:rPr/>
      </w:pPr>
      <w:r>
        <w:rPr>
          <w:rFonts w:ascii="Amiri" w:hAnsi="Amiri" w:eastAsia="Amiri" w:cs="Amiri"/>
          <w:color w:val="111111"/>
          <w:sz w:val="28"/>
          <w:sz w:val="28"/>
          <w:szCs w:val="28"/>
          <w:rtl w:val="true"/>
          <w:lang w:bidi="ar-SA"/>
        </w:rPr>
        <w:t xml:space="preserve">الغاصب المتأخّر للمتقدّم، ليس أخذ مال المالك بلا إشكال، بل أمر آخر، وهو أخذ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1035"/>
      </w:r>
      <w:r>
        <w:rPr>
          <w:rFonts w:ascii="Amiri" w:hAnsi="Amiri" w:eastAsia="Amiri" w:cs="Amiri"/>
          <w:color w:val="111111"/>
          <w:sz w:val="28"/>
          <w:sz w:val="28"/>
          <w:szCs w:val="28"/>
          <w:rtl w:val="true"/>
          <w:lang w:bidi="ar-SA"/>
        </w:rPr>
        <w:t>، وهو تمام الموضوع لضمان الأيادي المتأخّرة بالنسبة إلى الأيادي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دخالة لهذا الوصف في ضمانهم للمالك، كما لا دخالة للملك في ضمانهم للأيادي المتقدّمة، وإن كان أخذ الوصف لا يمكن إلاّ بأخذ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أبرأ المالك أحد من في السلسلة، فإنّما أبرأه عن ضمانه، لا عن ضمان غيره؛ إذ ليس له إبراؤه إلاّ من حقّه، فإذا رجع إلى من سبق الذي أبرأه، فله الرجوع إليه وإن أبرأه المالك؛ لأنّ رجوعه لأجل ضمانه للوصف مع عدم حصول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الرجوع إليه مع الغضّ عمّا ذكرناه،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جواز رجوعه إليه، فلا نسلّم عدم جواز رجوع المالك إلى من تقدّمه؛ لمنع اللزوم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أبرأ الغاصب الأوّل مثلاً أحد من في السلسلة عن ضمانه، فلا إشكال في عدم جواز رجوعه إليه لو رجع إليه المالك، مع أنّ لازم ما ذكره هو براءة ذمّته من المالك أيضاً، وهو واضح الفساد، ولا أظنّ التزامه به، فيستكشف منه عدم اللزوم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اشتغال ذمّة المتقدّم من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من تأخّر من الأيادي، بعد إصلاح العبارة؛ ضرورة عدم </w:t>
      </w:r>
    </w:p>
    <w:p>
      <w:pPr>
        <w:pStyle w:val="BookText"/>
        <w:rPr/>
      </w:pPr>
      <w:r>
        <w:rPr>
          <w:rFonts w:ascii="Amiri" w:hAnsi="Amiri" w:eastAsia="Amiri" w:cs="Amiri"/>
          <w:color w:val="111111"/>
          <w:sz w:val="28"/>
          <w:sz w:val="28"/>
          <w:szCs w:val="28"/>
          <w:rtl w:val="true"/>
          <w:lang w:bidi="ar-SA"/>
        </w:rPr>
        <w:t>إرادة نفس الرجوع، بل المراد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أنّ اشتغال المتقدّم لازمه بقول مطلق جواز ذلك، فهو ممتنع؛ للزوم تأثير اليد المتقدّمة في تحقّق اليد المتأخّرة عنها، وتحقّق حكمها؛ قضاءً لعدم انفكاك اللازم عن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اشتغال المتقدّم لازمه ذلك بعد تحقّق المتأخّر وترتّب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التفكيك في دليل اليد؛ بأن يكون تمام الموضوع في موردٍ اليد فقط، وفي موردٍ اليد مع قيد آخر، فإنّ اليد من الغاصب الأوّل تمام الموضوع إذا لم تتعقّبها يد اُخرى، ومع تعقّبها تكون هي مع قيد آخر موضوعة، وهو اليد التي يصحّ رجوعها إلى المتأخّر،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اللزوم لمّا لم يكن عقلياً وهو واضح، لا بدّ وأن يكون بجعل شرعي، وليس في المقام شيء سوى دليل اليد، فيلزم من ذلك أن يكون دليل اليد متكفّلاً لجعل الضمان لليد الاُولى والثانية، حتّى يترتّب عليهما جواز الرجوع، ثمّ جعل اللازم لاشتغال ذمّة المتقدّم، وهو مستحيل من دليل واحد وجعل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كانت استفادة الضمان من دليل اليد، كافيةً في اللزوم المذكور، فلقائل أن يدّعي اللزوم بالنسبة إلى الأيادي المتأخّرة؛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ذمّة المتأخّر، من لوازمه جواز رجوع المتقدّم إليه، فإذا برئ المتقدّم سقط جواز الرجوع؛ فإنّه موقوف على رجوع المالك إليه، وأخذه منه، وبعد الإبراء ليس للمالك ذلك، فلا يصحّ الرجوع إلى المتأخّر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الكلام لو أراد بما ذكره أنّ اشتغال ذمّة المتأخّر من لوازم </w:t>
      </w:r>
      <w:bookmarkStart w:id="606" w:name="pg15204_140705"/>
    </w:p>
    <w:p>
      <w:pPr>
        <w:pStyle w:val="BookText"/>
        <w:rPr/>
      </w:pPr>
      <w:bookmarkEnd w:id="606"/>
      <w:r>
        <w:rPr>
          <w:rFonts w:ascii="Amiri" w:hAnsi="Amiri" w:eastAsia="Amiri" w:cs="Amiri"/>
          <w:color w:val="111111"/>
          <w:sz w:val="28"/>
          <w:sz w:val="28"/>
          <w:szCs w:val="28"/>
          <w:rtl w:val="true"/>
          <w:lang w:bidi="ar-SA"/>
        </w:rPr>
        <w:t>اشتغال المتقدّم، فيرد عليه ما ذكرناه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غير مرضيّ، لا بحسب المبنى، ولا بحسب البناء، هذا كلّه مع تلف العين</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2759098_2142443653"/>
      <w:bookmarkStart w:id="608" w:name="_Toc225"/>
      <w:bookmarkEnd w:id="607"/>
      <w:r>
        <w:rPr>
          <w:rtl w:val="true"/>
        </w:rPr>
        <w:t>حول رجوع المالك إلى جميع الأيادي مع بقاء العين</w:t>
      </w:r>
      <w:bookmarkEnd w:id="608"/>
    </w:p>
    <w:p>
      <w:pPr>
        <w:pStyle w:val="BookText"/>
        <w:rPr/>
      </w:pPr>
      <w:r>
        <w:rPr>
          <w:rFonts w:ascii="Amiri" w:hAnsi="Amiri" w:eastAsia="Amiri" w:cs="Amiri"/>
          <w:color w:val="111111"/>
          <w:sz w:val="28"/>
          <w:sz w:val="28"/>
          <w:szCs w:val="28"/>
          <w:rtl w:val="true"/>
          <w:lang w:bidi="ar-SA"/>
        </w:rPr>
        <w:t>وأمّا لو تعاقبت الأيادي عليها مع بقائها، فهل للمالك الرجوع إلى كلّ من جرت يده عليها، ويجب عليه تحصيلها والتأدية إليه، أو وجوب الردّ مختصّ بمن هي في يده فعلاً؟</w:t>
      </w:r>
    </w:p>
    <w:p>
      <w:pPr>
        <w:pStyle w:val="BookText"/>
        <w:rPr/>
      </w:pPr>
      <w:r>
        <w:rPr>
          <w:rFonts w:ascii="Amiri" w:hAnsi="Amiri" w:eastAsia="Amiri" w:cs="Amiri"/>
          <w:color w:val="111111"/>
          <w:sz w:val="28"/>
          <w:sz w:val="28"/>
          <w:szCs w:val="28"/>
          <w:rtl w:val="true"/>
          <w:lang w:bidi="ar-SA"/>
        </w:rPr>
        <w:t>استدلّ على الأوّل بقاعدة اليد</w:t>
      </w:r>
      <w:r>
        <w:rPr>
          <w:rStyle w:val="FootnoteAnchor"/>
          <w:rtl w:val="true"/>
        </w:rPr>
        <w:footnoteReference w:id="1036"/>
      </w:r>
      <w:r>
        <w:rPr>
          <w:rFonts w:ascii="Amiri" w:hAnsi="Amiri" w:eastAsia="Amiri" w:cs="Amiri"/>
          <w:color w:val="111111"/>
          <w:sz w:val="28"/>
          <w:sz w:val="28"/>
          <w:szCs w:val="28"/>
          <w:rtl w:val="true"/>
          <w:lang w:bidi="ar-SA"/>
        </w:rPr>
        <w:t>، وهو مبنيّ على أن يكون المراد منها عهدة العين بجريان اليد عليها، فيجب عليه الردّ حال وجودها، أو يكون المراد منها الحكم التكليفي فقط، وهو وجوب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المذهب المنصور؛ من كون القاعدة بصدد جعل الضمان على ما تقدّم</w:t>
      </w:r>
      <w:r>
        <w:rPr>
          <w:rStyle w:val="FootnoteAnchor"/>
          <w:rtl w:val="true"/>
        </w:rPr>
        <w:footnoteReference w:id="1037"/>
      </w:r>
      <w:r>
        <w:rPr>
          <w:rFonts w:ascii="Amiri" w:hAnsi="Amiri" w:eastAsia="Amiri" w:cs="Amiri"/>
          <w:color w:val="111111"/>
          <w:sz w:val="28"/>
          <w:sz w:val="28"/>
          <w:szCs w:val="28"/>
          <w:rtl w:val="true"/>
          <w:lang w:bidi="ar-SA"/>
        </w:rPr>
        <w:t>، فلا تدلّ على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وهو مبنيّ على إطلاقه بالنسبة إلى الغاصب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إشكال؛ لأنّه بصدد بيان مردودية كلّ مغصوب أو المغصوب كلّه، فيشكل الإطلاق بالنسبة إلى الآخذ والغاصب، ولا سيّما مع وروده في خلال </w:t>
      </w:r>
    </w:p>
    <w:p>
      <w:pPr>
        <w:pStyle w:val="BookText"/>
        <w:rPr/>
      </w:pPr>
      <w:r>
        <w:rPr>
          <w:rFonts w:ascii="Amiri" w:hAnsi="Amiri" w:eastAsia="Amiri" w:cs="Amiri"/>
          <w:color w:val="111111"/>
          <w:sz w:val="28"/>
          <w:sz w:val="28"/>
          <w:szCs w:val="28"/>
          <w:rtl w:val="true"/>
          <w:lang w:bidi="ar-SA"/>
        </w:rPr>
        <w:t>حديث وارد لحكم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صوافي الملوك ما كان في أيديهم على غير وجه الغصب؛ لأنّ الغصب كلّه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ليس بصدد بيان حال الغصب والغاصب، بل بصدد بيان أنّ الغصب كلّه مردود إلى صاحبه، وليس هو من صوافي الملوك التي تكون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التشبّث بالقاعدة العقلائية، فهو فرع ثبوتها بهذا العرض العريض في تعاقب الأيادي، وهو ممنوع، نعم لا يبعد في الجملة، وهو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بالاستصحاب،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إذا وقعت في يد كلّ غاصب أو من بحكمه، يجب عليه ردّها إلى صاحبها، وبعد خروجها عن تحت يده، يشكّ في بقاء الوجوب فيستصحب، كما يستصحب حكم الغاصب بالنسبة إلى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على ثبوت وجوب الردّ حتّى بالنسبة إلى الغاصب الذي يتعذّر عليه الردّ، إمّا لأجل عجزه عنه؛ لضيق الوقت ونحوه، أو لجهله وغفلته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فرغنا عن ثبوت الأحكام الكلّية القانونية الفعلية، من غير فرق بين العالم والجاهل، والقادر والعاجز، وذكرنا الافتراق بين مبادئ الأحكام الشخصية والقانونية، والتفصيل يطلب من مظانّه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مؤونة الردّ على الغاصب وإن بلغت إلى حدّ الحرج، فضلاً عن الضرر زائداً على المؤونة المتعارفة؛ فإنّ أدلّة نفي الحرج والضرر منصرفة عنه، </w:t>
      </w:r>
    </w:p>
    <w:p>
      <w:pPr>
        <w:pStyle w:val="BookText"/>
        <w:rPr/>
      </w:pPr>
      <w:r>
        <w:rPr>
          <w:rFonts w:ascii="Amiri" w:hAnsi="Amiri" w:eastAsia="Amiri" w:cs="Amiri"/>
          <w:color w:val="111111"/>
          <w:sz w:val="28"/>
          <w:sz w:val="28"/>
          <w:szCs w:val="28"/>
          <w:rtl w:val="true"/>
          <w:lang w:bidi="ar-SA"/>
        </w:rPr>
        <w:t>فيؤخذ الغاصب بأشقّ الأحوال وإن كان الأخذ موجباً لضرره وحرجه، وهذا معنى أخذه بأشقّها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وجوب الردّ من غير دليل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الآخذ جاهلاً بالموضوع فالمؤونة عليه، إلاّ إذا كانت زائدة على المتعارف، أو موجبة للحرج عليه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فروعاً لا يسعنا التعرّض لها، هذا تمام الكلام في الفضولي، واللّه الهادي</w:t>
      </w:r>
      <w:r>
        <w:rPr>
          <w:rFonts w:eastAsia="Amiri" w:cs="Amiri" w:ascii="Amiri" w:hAnsi="Amiri"/>
          <w:color w:val="111111"/>
          <w:sz w:val="28"/>
          <w:szCs w:val="28"/>
          <w:rtl w:val="true"/>
          <w:lang w:bidi="ar-SA"/>
        </w:rPr>
        <w:t xml:space="preserve">. </w:t>
      </w:r>
      <w:bookmarkStart w:id="609" w:name="pg15204_140708"/>
    </w:p>
    <w:p>
      <w:pPr>
        <w:pStyle w:val="Heading4"/>
        <w:numPr>
          <w:ilvl w:val="3"/>
          <w:numId w:val="1"/>
        </w:numPr>
        <w:rPr/>
      </w:pPr>
      <w:bookmarkStart w:id="610" w:name="__RefHeading___Toc2759100_2142443653"/>
      <w:bookmarkStart w:id="611" w:name="_Toc226"/>
      <w:bookmarkEnd w:id="609"/>
      <w:bookmarkEnd w:id="610"/>
      <w:r>
        <w:rPr>
          <w:rtl w:val="true"/>
        </w:rPr>
        <w:t>مسألة بيع الفضولي مال نفسه مع مال غيره</w:t>
      </w:r>
      <w:bookmarkEnd w:id="611"/>
    </w:p>
    <w:p>
      <w:pPr>
        <w:pStyle w:val="Heading5"/>
        <w:numPr>
          <w:ilvl w:val="4"/>
          <w:numId w:val="1"/>
        </w:numPr>
        <w:rPr/>
      </w:pPr>
      <w:bookmarkStart w:id="612" w:name="__RefHeading___Toc2759102_2142443653"/>
      <w:bookmarkStart w:id="613" w:name="_Toc227"/>
      <w:bookmarkEnd w:id="612"/>
      <w:r>
        <w:rPr>
          <w:rtl w:val="true"/>
        </w:rPr>
        <w:t>إشارة</w:t>
      </w:r>
      <w:bookmarkEnd w:id="613"/>
    </w:p>
    <w:p>
      <w:pPr>
        <w:pStyle w:val="BookText"/>
        <w:rPr/>
      </w:pPr>
      <w:r>
        <w:rPr>
          <w:rFonts w:ascii="Amiri" w:hAnsi="Amiri" w:eastAsia="Amiri" w:cs="Amiri"/>
          <w:color w:val="111111"/>
          <w:sz w:val="28"/>
          <w:sz w:val="28"/>
          <w:szCs w:val="28"/>
          <w:rtl w:val="true"/>
          <w:lang w:bidi="ar-SA"/>
        </w:rPr>
        <w:t>لو باع الفضولي مال غيره مع مال نفسه، فهل يصحّ في ماله مطلقاً، أو يبطل مطلقاً؟</w:t>
      </w:r>
    </w:p>
    <w:p>
      <w:pPr>
        <w:pStyle w:val="BookText"/>
        <w:rPr/>
      </w:pPr>
      <w:r>
        <w:rPr>
          <w:rFonts w:ascii="Amiri" w:hAnsi="Amiri" w:eastAsia="Amiri" w:cs="Amiri"/>
          <w:color w:val="111111"/>
          <w:sz w:val="28"/>
          <w:sz w:val="28"/>
          <w:szCs w:val="28"/>
          <w:rtl w:val="true"/>
          <w:lang w:bidi="ar-SA"/>
        </w:rPr>
        <w:t>أو يفصّل بين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الفضولي وعدمها؟</w:t>
      </w:r>
    </w:p>
    <w:p>
      <w:pPr>
        <w:pStyle w:val="BookText"/>
        <w:rPr/>
      </w:pPr>
      <w:r>
        <w:rPr>
          <w:rFonts w:ascii="Amiri" w:hAnsi="Amiri" w:eastAsia="Amiri" w:cs="Amiri"/>
          <w:color w:val="111111"/>
          <w:sz w:val="28"/>
          <w:sz w:val="28"/>
          <w:szCs w:val="28"/>
          <w:rtl w:val="true"/>
          <w:lang w:bidi="ar-SA"/>
        </w:rPr>
        <w:t>أو بين إجازة الفضولي بناءً على الصحّة، وبين ما لم يجز؟</w:t>
      </w:r>
    </w:p>
    <w:p>
      <w:pPr>
        <w:pStyle w:val="BookText"/>
        <w:rPr/>
      </w:pPr>
      <w:r>
        <w:rPr>
          <w:rFonts w:ascii="Amiri" w:hAnsi="Amiri" w:eastAsia="Amiri" w:cs="Amiri"/>
          <w:color w:val="111111"/>
          <w:sz w:val="28"/>
          <w:sz w:val="28"/>
          <w:szCs w:val="28"/>
          <w:rtl w:val="true"/>
          <w:lang w:bidi="ar-SA"/>
        </w:rPr>
        <w:t>أو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الحقيقي فيصحّ مطلقاً، وغيره؟</w:t>
      </w:r>
    </w:p>
    <w:p>
      <w:pPr>
        <w:pStyle w:val="BookText"/>
        <w:rPr/>
      </w:pPr>
      <w:r>
        <w:rPr>
          <w:rFonts w:ascii="Amiri" w:hAnsi="Amiri" w:eastAsia="Amiri" w:cs="Amiri"/>
          <w:color w:val="111111"/>
          <w:sz w:val="28"/>
          <w:sz w:val="28"/>
          <w:szCs w:val="28"/>
          <w:rtl w:val="true"/>
          <w:lang w:bidi="ar-SA"/>
        </w:rPr>
        <w:t>أو بين علمهما أو علم أحدهما بالفضولية، وعدمه؟</w:t>
      </w:r>
    </w:p>
    <w:p>
      <w:pPr>
        <w:pStyle w:val="BookText"/>
        <w:rPr/>
      </w:pPr>
      <w:r>
        <w:rPr>
          <w:rFonts w:ascii="IRNazanin" w:hAnsi="IRNazanin" w:eastAsia="IRNazanin"/>
          <w:color w:val="111111"/>
          <w:sz w:val="28"/>
          <w:sz w:val="28"/>
          <w:szCs w:val="28"/>
          <w:rtl w:val="true"/>
          <w:lang w:bidi="fa-IR"/>
        </w:rPr>
        <w:t>وجوه واحتمالات</w:t>
      </w:r>
      <w:r>
        <w:rPr>
          <w:rFonts w:eastAsia="IRNazanin" w:cs="IRNazanin"/>
          <w:color w:val="111111"/>
          <w:sz w:val="28"/>
          <w:szCs w:val="28"/>
          <w:rtl w:val="true"/>
          <w:lang w:bidi="fa-IR"/>
        </w:rPr>
        <w:t>.</w:t>
      </w:r>
    </w:p>
    <w:p>
      <w:pPr>
        <w:pStyle w:val="Heading5"/>
        <w:numPr>
          <w:ilvl w:val="4"/>
          <w:numId w:val="1"/>
        </w:numPr>
        <w:rPr/>
      </w:pPr>
      <w:bookmarkStart w:id="614" w:name="__RefHeading___Toc2759104_2142443653"/>
      <w:bookmarkStart w:id="615" w:name="_Toc228"/>
      <w:bookmarkEnd w:id="614"/>
      <w:r>
        <w:rPr>
          <w:rtl w:val="true"/>
        </w:rPr>
        <w:t>حكم المسألة بحسب القواعد</w:t>
      </w:r>
      <w:bookmarkEnd w:id="61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النظر في النصّ الخاصّ والإجماع، لا بأس بصرف الكلام إلى مقتضى القواعد والإشكالات الواردة فيه، وهي مختلفة، فبعضها وارد على جميع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المتعلّق بالمالين واحد لا يتجزّأ، ولا يعقل تعلّق وجوب الوفاء بالنسبة إليهما على المالك فقط، أو على الفضولي فقط لو أجاز، ولا عقد بالنسبة إلى كلّ منهما مستقلاًّ، حتّى يجب الوفاء على المالك وإن لم يجب على غيره، ويجب على الفضولي أيضاً على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إلاّ عقد واحد لم يتعلّق به وجوب الوفاء، فلا بدّ من وقوعه باطلاً، وكذا الحال في دليل نفوذ البيع، ودليل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يرد على جميع الاحتمالات، حتّى مع صحّة الفضولي على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الإشكال بناءً على صحّة الفضولي وإجازة المالك</w:t>
      </w:r>
      <w:r>
        <w:rPr>
          <w:rStyle w:val="FootnoteAnchor"/>
          <w:rtl w:val="true"/>
        </w:rPr>
        <w:footnoteReference w:id="1040"/>
      </w:r>
      <w:r>
        <w:rPr>
          <w:rFonts w:ascii="Amiri" w:hAnsi="Amiri" w:eastAsia="Amiri" w:cs="Amiri"/>
          <w:color w:val="111111"/>
          <w:sz w:val="28"/>
          <w:sz w:val="28"/>
          <w:szCs w:val="28"/>
          <w:rtl w:val="true"/>
          <w:lang w:bidi="ar-SA"/>
        </w:rPr>
        <w:t>، أو بناءً على الكشف الحقيقي</w:t>
      </w:r>
      <w:r>
        <w:rPr>
          <w:rStyle w:val="FootnoteAnchor"/>
          <w:rtl w:val="true"/>
        </w:rPr>
        <w:footnoteReference w:id="1041"/>
      </w:r>
      <w:r>
        <w:rPr>
          <w:rFonts w:ascii="Amiri" w:hAnsi="Amiri" w:eastAsia="Amiri" w:cs="Amiri"/>
          <w:color w:val="111111"/>
          <w:sz w:val="28"/>
          <w:sz w:val="28"/>
          <w:szCs w:val="28"/>
          <w:rtl w:val="true"/>
          <w:lang w:bidi="ar-SA"/>
        </w:rPr>
        <w:t>، ليس على ما ينبغي، فلا بدّ من دفعه على جميع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المحقّقين قدّس اسرارهم تفصّوا عن الإشكال؛ بدعوى انحلال العقد إلى عقدين</w:t>
      </w:r>
      <w:r>
        <w:rPr>
          <w:rStyle w:val="FootnoteAnchor"/>
          <w:rtl w:val="true"/>
        </w:rPr>
        <w:footnoteReference w:id="1042"/>
      </w:r>
      <w:r>
        <w:rPr>
          <w:rFonts w:ascii="Amiri" w:hAnsi="Amiri" w:eastAsia="Amiri" w:cs="Amiri"/>
          <w:color w:val="111111"/>
          <w:sz w:val="28"/>
          <w:sz w:val="28"/>
          <w:szCs w:val="28"/>
          <w:rtl w:val="true"/>
          <w:lang w:bidi="ar-SA"/>
        </w:rPr>
        <w:t>، بل ادّعى بعضهم أنّ العقد الواقع على المركّب مطلقاً منحلّ إلى العقود حسب أجزاء المركّب، كالتكليف المتعلّق بالمركّب الارتباطي</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أقام بعضهم البرهان على المدّعى،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التمليك والملكية طبيعية لا شخصية؛ لوضوح تعدّد اعتبار الملكية بتعدّد المملوك، لا أنّ المالين </w:t>
      </w:r>
    </w:p>
    <w:p>
      <w:pPr>
        <w:pStyle w:val="BookText"/>
        <w:rPr/>
      </w:pPr>
      <w:r>
        <w:rPr>
          <w:rFonts w:ascii="Amiri" w:hAnsi="Amiri" w:eastAsia="Amiri" w:cs="Amiri"/>
          <w:color w:val="111111"/>
          <w:sz w:val="28"/>
          <w:sz w:val="28"/>
          <w:szCs w:val="28"/>
          <w:rtl w:val="true"/>
          <w:lang w:bidi="ar-SA"/>
        </w:rPr>
        <w:t>معاً ملك واحد؛ بحيث تكون الإضافة الشخصية قائمة بالمتعدّد، ومع تعدّد الملكية يتعدّد التمليك؛ لأنّ الإيجاد والوجود متّحدان بالذات، وليس العهد إلاّ الجعل والقرار المعاملي المتعلّق بالملكية، ولا العقد إلاّ ارتباط أحد القرارين بالآخر، فلهما وحدة طبيعية وتعدّد بالشخص، وعدم تجزّئ البسيط لا ينافي التعدّد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ومن بعض آخر</w:t>
      </w:r>
      <w:r>
        <w:rPr>
          <w:rStyle w:val="FootnoteAnchor"/>
          <w:rtl w:val="true"/>
        </w:rPr>
        <w:footnoteReference w:id="1045"/>
      </w:r>
      <w:r>
        <w:rPr>
          <w:rFonts w:ascii="Amiri" w:hAnsi="Amiri" w:eastAsia="Amiri" w:cs="Amiri"/>
          <w:color w:val="111111"/>
          <w:sz w:val="28"/>
          <w:sz w:val="28"/>
          <w:szCs w:val="28"/>
          <w:rtl w:val="true"/>
          <w:lang w:bidi="ar-SA"/>
        </w:rPr>
        <w:t xml:space="preserve">أنّ العقد في كلّ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كلّ بسيط خارجي عرفاً قابل للتجزئة والتفصيل، كقطعة من الذهب، أو واحد من الأحجار الكريمة، بل وفي كلّ شيء قابل للكسر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إلى العقود؛ فإنّ كلّ جزء سواء كان من الأجزاء الخارجية كالمركّب الاعتباري، أو الأجزاء غير الخارجية ككلّ مثقال من قطعة من الذهب، أو قيراط من الأحجار الكريمة، أو كسر مشاع من كلّ شيء مملوك، قد انتقل إلى المشتري بالبيع والقرار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منحلّ إلى ما شاء اللّه بحسب الأجزاء الخارجية وغيرها، ولازمه أنّ كلّ جزء ينتقل بعقدين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على نفسه، وعقد عليه بما له كسر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خروج عن طريق العقل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فلأنّ العقد بما أنّه فعل اختياري من العاقد، لا بدّ 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للتصوّر، والتصديق بالفائدة، وسائر المبادئ التصوّرية والتصديقية، ومع الذهول والغفلة والجهل لا يعقل تعلّق الإرادة به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فالقرار على نفس الشيء المركّب الخارجي كالبيت ونحوه، أو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كالذهب والفضّة والحيوان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بمبادئ الإرادة بالوجدان، ومبادئها لا تنحلّ إلى مبادئ الأجزاء بالوجدان؛ ضرورة أنّ بائع البيت أو البستان، ذاهل عن أكثر أجزائهما، بل لا تعقل منه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الوجدان شاهد بأنّ بائع المركّب ولا سيّما المركّبات العقلية، ذاهل عن أجزائها حين البيع، فكيف مع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والمشتري لهما عقود وقرارات بالنسبة إلى كلّ جزء جزء، مع فقد المبادئ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القرار على المركّب قرار على الأجزاء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إن اُريد أنّه بقرار واحد تنتقل الأجزاء، وأمّا دعوى أنّه قرارات متعدّدة، فهي فاسدة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العرف، فهو أقوى شاهد على فساد هذه المزعمة، فلو قيل لبائع 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معك قرارات وعهوداً،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 الفرس لي مقابل مقدار من المال،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رجله لي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جزء جزء منها، يحمل كلامه على الدعابة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في المركّبات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والبيع واحد، والعقد كذلك، ونقل الكلّ بعقد واحد لا ينفكّ عن نقل الأجزاء، من غير لزوم قرار خاصّ مستقلّ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باع فرساً لم تخطر بباله حين البيع أجزاؤه، ولا سيّما الأجزاء الباطنة، ولم يكن قراره إلاّ قراراً واحداً، ولا عقده إلاّ واحداً على واحد، لكن نقل الفرس نقل لشخصيته المشتملة على الأجزاء</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باب التكليف بالمركّبات أيضاً، لا أساس لقضيّة الانحلال، بل </w:t>
      </w:r>
    </w:p>
    <w:p>
      <w:pPr>
        <w:pStyle w:val="BookText"/>
        <w:rPr/>
      </w:pPr>
      <w:r>
        <w:rPr>
          <w:rFonts w:ascii="Amiri" w:hAnsi="Amiri" w:eastAsia="Amiri" w:cs="Amiri"/>
          <w:color w:val="111111"/>
          <w:sz w:val="28"/>
          <w:sz w:val="28"/>
          <w:szCs w:val="28"/>
          <w:rtl w:val="true"/>
          <w:lang w:bidi="ar-SA"/>
        </w:rPr>
        <w:t>الانحلال غير صحيح، لا في العامّ الاستغراقي، ولا المجموعي، ولا في المركّبات مطلقاً؛ لأنّ العامّ الاستغراقي دالّ بدوالّه على تعدّد الحكم، من غير معنى للانحلال فيه، وفي المركّبات والمجموعي حكم واحد لموضوع واحد، والتفصيل يطلب من مظانّه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البرهان الذي أفاده بعض،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المركّبات لها وحدة عرفية، وإلاّ خرجت عن كونها مركّبات، فإذا كانت واحدة فالمملوك واحد، والبيع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ملكية المملوك الواحد الذي له أجزاء، ملكية الأجزاء في النظر التفصيلي، كما لو اُغمض النظر عن المركّب ولوحظت الأجزاء، فالنقل في المركّب نقل واحد لأمر واحد ذي أجزاء،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 لا يتأتّى بالنسبة إلى المركّبات الحقيقية،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كلام السيّد الطباطبائي قدّس سرّه، حيث استشهد بقول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الجزء ملكي بهذا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الانحلال</w:t>
      </w:r>
      <w:r>
        <w:rPr>
          <w:rStyle w:val="FootnoteAnchor"/>
          <w:rtl w:val="true"/>
        </w:rPr>
        <w:footnoteReference w:id="1047"/>
      </w:r>
      <w:r>
        <w:rPr>
          <w:rFonts w:ascii="Amiri" w:hAnsi="Amiri" w:eastAsia="Amiri" w:cs="Amiri"/>
          <w:color w:val="111111"/>
          <w:sz w:val="28"/>
          <w:sz w:val="28"/>
          <w:szCs w:val="28"/>
          <w:rtl w:val="true"/>
          <w:lang w:bidi="ar-SA"/>
        </w:rPr>
        <w:t>إذ معناه أنّ الجزء له بهذا العقد، لا بعقد مستقلّ، ولهذا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عقدت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عقدت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وهو أجنبيّ عن الانحلال، هذا بالنسبة إلى بيع الأصيل ماله المركّب ذا الأبعاض</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فيما نحن بصدده،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مال نفسه وغيره غير مرتبطين كالكتاب والفرس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يكونا في ضمن مركّب اعتباري أو حقيقي، كالشركة بالإشاعة بينهما في دار أو حيوان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كانا قسمين مفروزين، كما لو كان نصف الدار مفروزاً لأحدهما، والآخر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البائع والمشتري عالمين بالواقعة، وقد يكونان جاهلين، أو أحدهما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تقع المقاولة بينهما بالنسبة إلى الفرس، فيحصل التراضي على قيمته، وبالنسبة إلى الكتاب كذلك، ثمّ من باب السهولة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بعتهما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بكذا، وهذا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أنّه يكون بإنشاء واحد موجداً لمبادلتين أو مبادلات؛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لا يدلّ إلاّ على إيقاع المادّة وإيجادها، وهو معنى وحداني، سواء كان المتعلّق واحداً أو كثيراً، مجتمعاً في اللفظ، أو معطوفاً بعضه على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فرسه بالبيع، ولو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العطف والمعطوف على نقل الكتاب أيضاً، من غير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مختلفاً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دلالة نقل الفرس بالجملة المعطوف عليها؛ لأجل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يدلّ على مفعول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كلّ صاع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صبرة فيها عشرون صاعاً، يدلّ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مبادلة كلّ ما في الصبرة من الصيعان، </w:t>
      </w:r>
    </w:p>
    <w:p>
      <w:pPr>
        <w:pStyle w:val="BookText"/>
        <w:rPr/>
      </w:pPr>
      <w:r>
        <w:rPr>
          <w:rFonts w:ascii="Amiri" w:hAnsi="Amiri" w:eastAsia="Amiri" w:cs="Amiri"/>
          <w:color w:val="111111"/>
          <w:sz w:val="28"/>
          <w:sz w:val="28"/>
          <w:szCs w:val="28"/>
          <w:rtl w:val="true"/>
          <w:lang w:bidi="ar-SA"/>
        </w:rPr>
        <w:t xml:space="preserve">من غير اختلاف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فبإنشاء واحد تتحقّق مبادلات متعدّدة ومنشآت كثيرة، كلّ ذلك بالدلالات الكثيرة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التمليك واحد نوعي في مثل بيع الدار وفيما نحن فيه، كأنّه غفل عن أنّ معاني الحروف والهيئات جزئية لا تعقل الكلّية فيها، وغفل عن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فرسي وكتابي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معنى واحد، واختلاف المتعلّقات لا يعقل أن يؤثّر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فيما إذا باع كلّ نصف في المشاع،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نصف الفرس بكذا، ونصفه الآخر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المفروز،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الطرف الشرقي بكذا، والغربي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أمثال ذلك تكون مبادلات مختلفة وبيوع متعدّدة؛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للمنشأ الاعتباري، لا للإنشاء، ولا اللفظ، ولا الأثر المترتّب على المعاملة؛ أي النقل الواقعي، ولا مانع من وحدة اللفظ والإنشاء، وكثرة المنشآت، بعد مساعدة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عاقل في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بكذا، وكتابي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أنشأ بيع داره وبيع كتابه ببيعين وعقدين بسلعتين وثمنين، فإذا كان أحدهما لآخر صحّ بالنسبة إلى ماله، سواء أجاز مالك الآخر أو لا، وسواء صحّ الفضولي أو لا، وسواء جهل البائع والمشتري بأنّ بعضه مال غيره أو لا، من غير ثبوت خيار تخلّف الشرط، أو تبعّض الصفقة للجاهل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المبيع واحداً اعتبارياً أو حقيقياً، وكان بعضه للغير، فباع الكلّ </w:t>
      </w:r>
    </w:p>
    <w:p>
      <w:pPr>
        <w:pStyle w:val="BookText"/>
        <w:rPr/>
      </w:pPr>
      <w:r>
        <w:rPr>
          <w:rFonts w:ascii="Amiri" w:hAnsi="Amiri" w:eastAsia="Amiri" w:cs="Amiri"/>
          <w:color w:val="111111"/>
          <w:sz w:val="28"/>
          <w:sz w:val="28"/>
          <w:szCs w:val="28"/>
          <w:rtl w:val="true"/>
          <w:lang w:bidi="ar-SA"/>
        </w:rPr>
        <w:t>صفقة واحدة، فهل يكون امتيازهما واقعاً في الملكية، موجباً لصيرورة المنشأ بيعين وعقدين؟</w:t>
      </w:r>
    </w:p>
    <w:p>
      <w:pPr>
        <w:pStyle w:val="BookText"/>
        <w:rPr/>
      </w:pPr>
      <w:r>
        <w:rPr>
          <w:rFonts w:ascii="Amiri" w:hAnsi="Amiri" w:eastAsia="Amiri" w:cs="Amiri"/>
          <w:color w:val="111111"/>
          <w:sz w:val="28"/>
          <w:sz w:val="28"/>
          <w:szCs w:val="28"/>
          <w:rtl w:val="true"/>
          <w:lang w:bidi="ar-SA"/>
        </w:rPr>
        <w:t>لا يبعد ذلك إذا كانا عالمين بالواقعة حين الإنشاء ملتفتين لها؛ فإنّ حصول قصد الفضولية في بعض، والأصالة في بعض منهما قهري، إلاّ في بعض الموارد النادرة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مع علم البائع المنشئ للمعاملة؛ فإنّ ماهية البيع تنشأ بفعله، والقابل يقبل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بحسب الظاهر صفقة واحدة، للمشتري مع جهله خيار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جهل البائع المنشئ بالواقعة، فمجرّد الامتياز الواقعي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البيع متكثّراً، والعقد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التكثّر والانحلال حتّى مع علمهما أو علم البائع بالواقعة؛ لأنّ الأصالة والفضولية غير دخيلتين في إنشاء المبادلة وتحقّق البيع، فبيع الفضولي كبيع الأصيل في الماهية ومقام الإنشاء والتحقّق، وإنّما الافتراق بينهما بأمر خارج عن ماهية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علمهما بالفضولية لا يوجب فرقاً في مورد الإنشاء، ولا يوجب اختلاف الإنشاء والمنشأ، فالإنشاء والمنشأ في المجموع بما هو مجموع واحد غير منحلّ، وهذا ظاهر لو اُعطي التأمّل حقّه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وحدة العقد يجب على الأصيل الوفاء به، ولا دليل على لزوم كون العقد لواحد، كما لو كان شخص وكيلاً عن شريكين في بيع فرسهما، وغفل الوكيل عن الوكالة، وظنّ أنّه لأحدهما فباع الفرس، فلا شبهة في لزوم الوفاء </w:t>
      </w:r>
    </w:p>
    <w:p>
      <w:pPr>
        <w:pStyle w:val="BookText"/>
        <w:rPr/>
      </w:pPr>
      <w:r>
        <w:rPr>
          <w:rFonts w:ascii="Amiri" w:hAnsi="Amiri" w:eastAsia="Amiri" w:cs="Amiri"/>
          <w:color w:val="111111"/>
          <w:sz w:val="28"/>
          <w:sz w:val="28"/>
          <w:szCs w:val="28"/>
          <w:rtl w:val="true"/>
          <w:lang w:bidi="ar-SA"/>
        </w:rPr>
        <w:t>على كلّ منهما،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العقد إلى عقدين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لا يقصر عن بيع الشريكين المذكورين إلاّ في أصالة أحدهما في المقام، وهو غير فارق بعد كون العقد هو النقل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تخلّف القصد فهي ساقطة، لا لما ذكره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الجملة ليست إلاّ نفس الأبعاض بالأسر، فالتعاقد عليها والقصد لها هو التعاقد والقصد على الأجزاء</w:t>
      </w:r>
      <w:r>
        <w:rPr>
          <w:rStyle w:val="FootnoteAnchor"/>
          <w:rtl w:val="true"/>
        </w:rPr>
        <w:footnoteReference w:id="1048"/>
      </w:r>
      <w:r>
        <w:rPr>
          <w:rFonts w:ascii="Amiri" w:hAnsi="Amiri" w:eastAsia="Amiri" w:cs="Amiri"/>
          <w:color w:val="111111"/>
          <w:sz w:val="28"/>
          <w:sz w:val="28"/>
          <w:szCs w:val="28"/>
          <w:rtl w:val="true"/>
          <w:lang w:bidi="ar-SA"/>
        </w:rPr>
        <w:t>، فإنّه غير مرضيّ؛ لما تقدّم</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مبادئ تعلّق القصد بالمجموع، غير مبادئ تعلّقه بالأجزاء،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موضوع الحكم أو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فيه الأبعاض لحاظاً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ذكره لو صحّ، إنّما يصحّ في المركّبات الاعتبارية لا الحقيقية، عقلاً كفصّ ياقوت ونحوه إذا كان مشتركاً مشاعاً، أو عرفاً كبيت ودار ونحوهما، فإنّ لها هيئة بها صارت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حديث كون المركّب هو الأجزاء بالأسر، غير مرضيّ، والعهدة على محلّه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لما ذكره تلميذه المدقّق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تعلّق القصد بملكية المجموع، ولا مجموع الملكيات؛ لعدم تحقّق المجموع، وعدم اعتبار ملكيته، والملكيات المتعدّدة من الأفعال التوليدية التسبيبية للعاقد دون مجموعها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أيضاً غير مرضيّ لا عقلاً، ولا عرفاً؛ لما تقدّم من اختلاف مبادئ الكلّ والجزء، ولما يلزم منه من عدم صحّة أكثر المعاملات؛ فإنّ الأجزاء التي هي موجودة حقيقةً، غير متموّلة، كالحبوب ونحوها ممّا لا يتموّل كلّ حبّة منها، والفرض أنّ المجموع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فالتمليك بالنسبة إلى الكلّ غير صحيح، ولا يتعلّق به القصد على زعمه، وإلى كلّ جزء لا مالية له، لا يتحقّق معه العقد والمعاملة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العرفية لا تقاس بالعقليات، والعرف أصدق شاهد على وجود الجملة، وتعلّق القصد بها، ووحدة المعاملة فيها، فمن باع وزنة من الحنطة لم يبع آحاد حبّات الحنطة التي لا مالية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المجموع بما هو مجموع، دخيل في المالية عرفاً وعقلاً، كذلك المجموع ملك؛ بمعنى أ نّه إن لوحظ المجموع بما هو؛ بحيث تفنى فيه الأجزاء، يكون هو ملكاً واحداً، والأجزاء أجزاء لملكه، وجزء الملك ملك، وإن فصل المجموع إلى الأجزاء؛ بحيث سقطت الأجزاء عن الجزئية، يكون كلّ ملكاً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جوهرة واحدة، فإنّها ملك واحد بالضرورة، وليست لها أجزاء فعلية،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هو الأجزاء بالأسر، لكن إذا قسمت قسمين، يكون كلّ قسم ملكاً مستقلاًّ بعد ما كان الكلّ ملكاً واحداً، فالعرف والعقل مخالفان لما أفاده قدّس سرّه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سقوط الإشكال لأجل أنّ القصد لا يعقل أن يتعلّق إلاّ بما هو فعل اختياري،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معنى إنشائي ينشأ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يصحّ تعلّق القصد به، وماهية العقد ليست إلاّ المعنى المنشأ، سواء ترتّب عليه الأثر </w:t>
      </w:r>
    </w:p>
    <w:p>
      <w:pPr>
        <w:pStyle w:val="BookText"/>
        <w:rPr/>
      </w:pPr>
      <w:r>
        <w:rPr>
          <w:rFonts w:ascii="Amiri" w:hAnsi="Amiri" w:eastAsia="Amiri" w:cs="Amiri"/>
          <w:color w:val="111111"/>
          <w:sz w:val="28"/>
          <w:sz w:val="28"/>
          <w:szCs w:val="28"/>
          <w:rtl w:val="true"/>
          <w:lang w:bidi="ar-SA"/>
        </w:rPr>
        <w:t>كعقد الأصيلين، أو لم يترتّب كالفضولي، وكالإيجاب من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الواقعي عرفاً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في العقد والإيجاب، وغير متعلّق للقصد، ولم يكن فعلاً إرادياً للموجب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المقصود، العقد الإنشائي المتعلّق بالواحد فيما كان المتعلّق واحداً عرفاً كالدار، أو عقلاً كالدابّة، وهو حاصل غير متخلّف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قصده العاقد هو العقد الإنشائي وإيجاد ماهية البيع، وهو حاصل بإنشائه، وما هو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الواقعي المنوط بإجازة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ولا يعقل أن يكون مقصوداً؛ لأنّه ليس فعلاً للعاقد حتّى يتعلّق به القصد، فلا أساس للإشكال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تخلّف الداعي، فلا إشكال فيه، ولا دخل له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عدم تعلّق الرضا إلاّ بالمجموع، فغير صحيح، لا لما أفاده السيّد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الرضا بكلّ جزء حاصل في ضمن الكلّ، وليس الرضا به متقيّداً بوجود الجزء الآخر، بل هو من باب تعدّد المطلوب</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تعدّد المطلوب في المقام غير معقول؛ فإنّ الرضا المقارن للتجارة، الذي هو شرط في صحّتها، ولا بدّ وأن تكون التجارة عن رضاً منه، إن كان متعلّقاً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المطلوب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العقد مقارناً لهذا الرضا، ولا عقد آخر مقروناً بالرضا بالمرتبة الدانية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يعقل أن يكون العقد عن الرضا بمرتبة، عقداً عن الرضا بمرتبة اُخرى، إلاّ أن ينحلّ العقد إلى عقدين، فسقط حينئذٍ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تعدّد المطلوب في اللبّ وبنحو الداعي، فهو غير مربوط بصحّة العقد، بل لأنّ المعتبر في العقد أن لا يكون عن إكراه الغير، والرضا المعتبر هو ما في قبال الإكراه عن الغير، وأمّا الزائد على ذلك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باع ظلّ رأسه بلا كره ولأجل الحوائج، فهو لا يرضى بالمعاملة؛ بمعنى أنّه ليس بطيب واشتياق ورضاً بمعناه، لكنّه صحيح؛ لرضاه بالمعاملة في قبال الكره، ومعلوم أنّ هذه المعاملة ليست عن إكراه مكره، فشرطها حاصل، وقد مرّ التفصيل في باب بيع المكره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لزوم الجهالة، ففي غاية السقوط؛ لأنّ لزوم الغرر أو الجهالة أحياناً في معاملة، لا يوجب بطلانها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ضمّ مال الغير إلى ماله موجباً للجهالة في الثمن مطلقاً، حتّى يرد الإشكال ولو ظاهراً، بل في غالب الموارد لا جهالة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المال المشترك بينهما بالإشاعة بثمن، أو باع مال غيره وماله المفروزين، وكانا جنساً واحداً ذاتاً ووصفاً، أو كانا جنسين، وعلما قيمة كلّ منهما، وأشباه ذلك، فلا تكون جهالة ولا غرر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يعلما قيمة كلّ، وعلما قيمة المجموع، فإشكال لزوم الغرر أو الجهالة المضرّة بالمعاملة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المقام وغيره حتّى </w:t>
      </w:r>
    </w:p>
    <w:p>
      <w:pPr>
        <w:pStyle w:val="BookText"/>
        <w:rPr/>
      </w:pPr>
      <w:r>
        <w:rPr>
          <w:rFonts w:ascii="Amiri" w:hAnsi="Amiri" w:eastAsia="Amiri" w:cs="Amiri"/>
          <w:color w:val="111111"/>
          <w:sz w:val="28"/>
          <w:sz w:val="28"/>
          <w:szCs w:val="28"/>
          <w:rtl w:val="true"/>
          <w:lang w:bidi="ar-SA"/>
        </w:rPr>
        <w:t>في مورد كان المالان ملكاً لشخص، وباعهما صفقة واحدة، من غير علم بقيمة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ساقط من رأس ولو سلّم حصول الغرر أو الجهالة المضرّة في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لم يرتبط بصحّة بيع مال الغير مع مال نفسه، بل هو في بيع شيئين جهلت قيمة كلّ منهما، مع العلم بمجموع الثمن،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المحشّون رحمهم اللّه، فلا يخلو من غرابة؛ فإنّهم أجابوا عن الإشكالات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المتعلّق بالمركّب ينحلّ إلى عقود، ولكلّ عقد حكمه من وجوب الوفاء، وتعلّق القصد به، والرضا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وصلوا إلى المقام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وقع على الجملة، والتبادل بين المجموع والمجموع، ويكفي ذلك في رفع الغرر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مرادهم بالانحلال أنّ العقد وقع على المجموع، والتبادل بين المجموع والمجموع، ومع ذلك ينحلّ العقد إلى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المجموع عمل عمله وحصل التبادل به، فلا يعقل التبادل بين الأجزاء بعقد آخر، مع أنّه لا عقد آخر غير العقد على المجموع</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أنّ العقد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على الأجزاء؛ لأنّ </w:t>
      </w:r>
    </w:p>
    <w:p>
      <w:pPr>
        <w:pStyle w:val="BookText"/>
        <w:rPr/>
      </w:pPr>
      <w:r>
        <w:rPr>
          <w:rFonts w:ascii="Amiri" w:hAnsi="Amiri" w:eastAsia="Amiri" w:cs="Amiri"/>
          <w:color w:val="111111"/>
          <w:sz w:val="28"/>
          <w:sz w:val="28"/>
          <w:szCs w:val="28"/>
          <w:rtl w:val="true"/>
          <w:lang w:bidi="ar-SA"/>
        </w:rPr>
        <w:t>الأجزاء بالأسر هي المجموع</w:t>
      </w:r>
      <w:r>
        <w:rPr>
          <w:rStyle w:val="FootnoteAnchor"/>
          <w:rtl w:val="true"/>
        </w:rPr>
        <w:footnoteReference w:id="1055"/>
      </w:r>
      <w:r>
        <w:rPr>
          <w:rFonts w:ascii="Amiri" w:hAnsi="Amiri" w:eastAsia="Amiri" w:cs="Amiri"/>
          <w:color w:val="111111"/>
          <w:sz w:val="28"/>
          <w:sz w:val="28"/>
          <w:szCs w:val="28"/>
          <w:rtl w:val="true"/>
          <w:lang w:bidi="ar-SA"/>
        </w:rPr>
        <w:t>، ولأنّ المجموع لا وجود له ولا ملكية له كما صرّح به بعضهم</w:t>
      </w:r>
      <w:r>
        <w:rPr>
          <w:rStyle w:val="FootnoteAnchor"/>
          <w:rtl w:val="true"/>
        </w:rPr>
        <w:footnoteReference w:id="1056"/>
      </w:r>
      <w:r>
        <w:rPr>
          <w:rFonts w:ascii="Amiri" w:hAnsi="Amiri" w:eastAsia="Amiri" w:cs="Amiri"/>
          <w:color w:val="111111"/>
          <w:sz w:val="28"/>
          <w:sz w:val="28"/>
          <w:szCs w:val="28"/>
          <w:rtl w:val="true"/>
          <w:lang w:bidi="ar-SA"/>
        </w:rPr>
        <w:t>، فلا معنى لمقابلة المجموع بالمجموع، فهاهنا عقود كثيرة وقصود كذلك، لا عقد وعقود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أوضح وروداً على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معنى لملكية المجموع</w:t>
      </w:r>
      <w:r>
        <w:rPr>
          <w:rStyle w:val="FootnoteAnchor"/>
          <w:rtl w:val="true"/>
        </w:rPr>
        <w:footnoteReference w:id="1057"/>
      </w:r>
      <w:r>
        <w:rPr>
          <w:rFonts w:ascii="Amiri" w:hAnsi="Amiri" w:eastAsia="Amiri" w:cs="Amiri"/>
          <w:color w:val="111111"/>
          <w:sz w:val="28"/>
          <w:sz w:val="28"/>
          <w:szCs w:val="28"/>
          <w:rtl w:val="true"/>
          <w:lang w:bidi="ar-SA"/>
        </w:rPr>
        <w:t>، ولا معنى لتعلّق القصد والرضا به، كما مرّت حكايته عنه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نحن، فمع الغضّ عمّا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ربط إشكال الغرر والجهالة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مورد يكون فيه عقدان وثمنان مع جهالة ثمنهما، فهو باطل،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ببعض العشرة، وهذا ببعضها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جمع بينهما بثمن واحد، فهو لا ينفكّ عن لحاظ الوحدة في المبيع؛ لعدم تعقّل بيع متعدّد مع وحدة الثمن، فحينئذٍ يكون بيعاً واحداً لا متعدّداً، ولا ينحلّ إلى بيعين،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بعتهما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وهذا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جهالتهما بقيمة كلّ منهما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العلم بها، كما لو كان جزءاً مشاعاً، أو من صبرة واحدة، أو معلوم القيمة عندهما ولو كانا مختلفين جنساً وقيمة، فلا إشكال في عدم الجهالة، سواء كان المنشأ عقدين، أو عقداً واحداً، هذا حكم المسألة بحسب القواعد</w:t>
      </w:r>
      <w:r>
        <w:rPr>
          <w:rFonts w:eastAsia="Amiri" w:cs="Amiri" w:ascii="Amiri" w:hAnsi="Amiri"/>
          <w:color w:val="111111"/>
          <w:sz w:val="28"/>
          <w:szCs w:val="28"/>
          <w:rtl w:val="true"/>
          <w:lang w:bidi="ar-SA"/>
        </w:rPr>
        <w:t xml:space="preserve">. </w:t>
      </w:r>
      <w:bookmarkStart w:id="616" w:name="pg15204_140722"/>
    </w:p>
    <w:p>
      <w:pPr>
        <w:pStyle w:val="BookText"/>
        <w:rPr/>
      </w:pPr>
      <w:bookmarkEnd w:id="616"/>
      <w:r>
        <w:rPr>
          <w:rFonts w:ascii="Amiri" w:hAnsi="Amiri" w:eastAsia="Amiri" w:cs="Amiri"/>
          <w:color w:val="111111"/>
          <w:sz w:val="28"/>
          <w:sz w:val="28"/>
          <w:szCs w:val="28"/>
          <w:rtl w:val="true"/>
          <w:lang w:bidi="ar-SA"/>
        </w:rPr>
        <w:t>ثمّ إنّ الكلام في ضمّ ما يقبل التمليك إلى ما لا يقبله بحسب القواعد هو الكلام في المقام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759106_2142443653"/>
      <w:bookmarkStart w:id="618" w:name="_Toc229"/>
      <w:bookmarkEnd w:id="617"/>
      <w:r>
        <w:rPr>
          <w:rtl w:val="true"/>
        </w:rPr>
        <w:t>تصحيح البيع في المقام وفيما يقبل مع ما لا يقبل بصحيحة الصفّار</w:t>
      </w:r>
      <w:bookmarkEnd w:id="618"/>
    </w:p>
    <w:p>
      <w:pPr>
        <w:pStyle w:val="BookText"/>
        <w:rPr/>
      </w:pPr>
      <w:r>
        <w:rPr>
          <w:rFonts w:ascii="Amiri" w:hAnsi="Amiri" w:eastAsia="Amiri" w:cs="Amiri"/>
          <w:color w:val="111111"/>
          <w:sz w:val="28"/>
          <w:sz w:val="28"/>
          <w:szCs w:val="28"/>
          <w:rtl w:val="true"/>
          <w:lang w:bidi="ar-SA"/>
        </w:rPr>
        <w:t xml:space="preserve">هذا، ومع الغضّ عن القواعد، فهل يمكن تصحيح البيع في المقام وفيما يقبل ولا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الاحتمالات والشقوق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الصفّار؟ التي رواها المشايخ الثلاثة قدّست أسرارهم، بإسنادهم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قطاع أرضين، فيحضره الخروج إلى مكّة والقرية على مراحل من منزله، ولم يكن له من المقام ما يأتي بحدود أرضه، وعرف حدود القرية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أ نّي قد بعت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القرية، التي حدّ منها كذا، والثاني والثالث والرابع، وإنّما له في هذه القرية قطاع أرضين، فهل يصلح للمشتري ذلك، وإنّما له بعض هذه القرية، وقد أقرّ له بكلّها؟</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 التي عندي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كلّها متّفقة في ذلك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يكن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له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بعض هذه القرية، والظاهر سقوط تلك الجملة من قلم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قلم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الاستنساخ، والمنشأ للاشتباه اشتراك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نظر الناسخ بعد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الثانية المبدوءة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الشيخ قدّس سرّه</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فإنّما هو نقل لبعض الرواية بالمعنى؛ 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القواعد، استفادة الحكم من الصحيحة مشكلة؛ لاحتمالات كثيرة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قضيّة شخصية خارجية، والجواب عن تلك القضيّة، أو الجواب عن حكم كلّي بإلقاء كبريين كلّيتين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قضيّة كلّية، كما هو دأب أصحاب الكتب من أصحابنا، فإنّهم إذا أرادوا استفادة الحكم الكلّي، كثيراً ما ذكروا أمراً جزئياً مريدين به الأشباه والنظائر، كقول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w:t>
      </w:r>
    </w:p>
    <w:p>
      <w:pPr>
        <w:pStyle w:val="BookText"/>
        <w:rPr/>
      </w:pPr>
      <w:r>
        <w:rPr>
          <w:rFonts w:ascii="Amiri" w:hAnsi="Amiri" w:eastAsia="Amiri" w:cs="Amiri"/>
          <w:color w:val="111111"/>
          <w:sz w:val="28"/>
          <w:sz w:val="28"/>
          <w:szCs w:val="28"/>
          <w:rtl w:val="true"/>
          <w:lang w:bidi="ar-SA"/>
        </w:rPr>
        <w:t>شيء من المنيّ</w:t>
      </w:r>
      <w:r>
        <w:rPr>
          <w:rStyle w:val="FootnoteAnchor"/>
          <w:rtl w:val="true"/>
        </w:rPr>
        <w:footnoteReference w:id="1068"/>
      </w:r>
      <w:r>
        <w:rPr>
          <w:rFonts w:ascii="Amiri" w:hAnsi="Amiri" w:eastAsia="Amiri" w:cs="Amiri"/>
          <w:color w:val="111111"/>
          <w:sz w:val="28"/>
          <w:sz w:val="28"/>
          <w:szCs w:val="28"/>
          <w:rtl w:val="true"/>
          <w:lang w:bidi="ar-SA"/>
        </w:rPr>
        <w:t>ولا ينافي ذلك ذكر خصوصيات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السؤال الكلّي إمّا عن البيع المتحقّق إيجاباً وقبولاً، أو عن حال الإيجاب على ما يملك وما لا يملك؛ وأنّ المشتري هل له قبول هذا الإيجاب ويصلح له ذلك؟</w:t>
      </w:r>
    </w:p>
    <w:p>
      <w:pPr>
        <w:pStyle w:val="BookText"/>
        <w:rPr/>
      </w:pPr>
      <w:r>
        <w:rPr>
          <w:rFonts w:ascii="Amiri" w:hAnsi="Amiri" w:eastAsia="Amiri" w:cs="Amiri"/>
          <w:color w:val="111111"/>
          <w:sz w:val="28"/>
          <w:sz w:val="28"/>
          <w:szCs w:val="28"/>
          <w:rtl w:val="true"/>
          <w:lang w:bidi="ar-SA"/>
        </w:rPr>
        <w:t xml:space="preserve">فإن كانت القضيّة شخصية سؤالاً وجواباً، يستفاد منها أنّ بيع ما يملك في ضمن ما لا يملك صحيح في مثل تلك القضيّة الشخصية بخصوصياتها، وسيأتي الكلام فيها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الجواب كلّياً في جواب القضيّة الشخصية، فيحتمل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يكون بصدد بيان صحّة البيع فيما يملك إذا وقع مع غيره،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بيع وقع على ما يملك وما لا يملك صحّ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استفادة الحكم للموضوع الكلّي، سواء كان في الخصوصيات موافقاً للقضيّة المسؤول عنها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بصدد إبطال البيع الواقع على المجموع، واختصاص الصحّة بما إذا وقع الإنشاء على خصوص ما يملك،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القرية بما هي ليست مملوكة، فلا يجوز بيعها، ووجب الاشتراء من المالك على ما يملكه؛ أي وجب أن يكون الإيقاع على ما يملكه حتّى يصحّ</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الاحتمالان على احتمال كلّية السؤال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الاستفادة بناءً على كون القضيّة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فرض الكلّية، على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وجب الشراء من البائع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صار لازماً على البائع إذا باع ما يملك وما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فيؤيّد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المراد أنّ الشراء صار واجباً على المالك، يحتمل أن يكون المراد وجب الشراء من المالك على ما يملك، على أن يكون الشراء بالمعنى المصدري؛ أي وجب الاشتراء منه على شيء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المؤيّد بسائر النسخ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المكاتبة المتقدّمة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هل يجوز للشاهد الذي أشهده بجميع هذه القرية، أن يشهد بحدود قطاع الأرض التي له فيها، إذا تعرّف حدود هذه القطاع بقوم من أهل هذه القرية إذا كانوا عدولاً؟</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يشهدون على شيء مفهوم معروف</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فيدّعى أنّ هذا الذيل قرينة على ترجيح احتمال تصحيح البيع المذكور ببعض مضمونه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تلك المكاتبات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جمعها المشايخ الثلاثة رضوان اللّه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مكاتبات مستقلّة غير مجتمعة، وكان الصفّار سأله نجوماً، والدليل عليه أنّ الكتب الثلاثة قد جمعتها مختلفة من حيث التقديم والتأخير، ولو كانت المكاتبة مجتمعة مع غيرها مرتّبة لما وقع ذلك، فراجع</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لو كانت المكاتبة المتقدّمة مذيّلة بتلك المكاتبة، لما أسقطها الصدوق والشيخ، فعلم من ذلك أنّ المكاتبة الثانية كانت مكاتبة مستقلّة، لم نعلم كونها مربوطة بتلك القضيّة أو قضيّة اُخرى، وإن كان المظنون ارتباطها بتلك القضيّة،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يُغْنِى مِنَ الْحَقِّ شَيْئاً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ترجيح احتمال الصحّة لا يخلو من إشكال؛ لأنّ السؤال إنّما هو عن جواز الشهادة بحدود القطاع إذا أشهد على حدود القرية، وليس بصدد بيان صحّة البيع، ولعلّ البيع على المجموع باطل، ولا بدّ من بيع القطاع مع الإشهاد على حدود القرية؛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أ نّي بعت القطاع الموصوفة بكذا، بمساحة كذائية من القرية التي حدودها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ترجيح احتمال تصحيح المعاملة الواقعة على المجموع بالنسبة إلى ما يملكه، بناءً على كون الصحّة موافقة للقاعدة؛ لبعد التعبّد على خلاف القواعد العقلية والعقلائية والشرعية، ولا ينقدح في ذهن العرف أنّ الرواية بصدد التعبّد بما هو على خلاف القواعد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البناء انعكس الاستظهار،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لازم الصحّة عدم وقوع ما قصده المتعاملان، ووقوع ما لم يقصدا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يستبعد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الاستبعاد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كونها بصدد التعبّد بذلك، فيرجّح الحمل على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صحّة البيع بالنسبة إلى ما يملكه، فهل يمكن رفع تمام الشكوك التي في المقام وفي بيع ما يقبل التمليك وما لا يقبله، ككون الضميمة خمراً، ومنها الشكّ في شمولها لما لا يقبله؟</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الاستفصال دليل على عدم الفرق بين كون الملك للغير وبين كونه وقفاً مثلاً، بعد فرض القضيّة جزئية خاصّة بالمورد سؤالاً وجواباً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الاستفصال إنّما هو دليل العموم، إذا لم يكن انصراف في البين، ولا يبعد الانصراف إلى الملك وعن الوقف، ولا سيّما في زمان الصفّار الذي كان الوقف فيه قليلاً ونادراً جدّاً، بل احتمال الانصراف حين الصدور يدفع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ذلك، فلا يدلّ تركه إلاّ على صحّة كون الضميمة وقفاً، ولا يمكن استفادة ضميمة الخمر والخنزير من ترك الاستفصال المذكور، فلا بدّ من التشبّث بإلغاء الخصوصية، والظاهر عدم صحّة إلغائها؛ بعد كون مثل الخمر والخنزير وآلات اللهو والقمار ونحوها، لها خصوصيات ظاهرة، ولو كان الجواب كلّياً، يكون المناط إطلاق الجواب لو فرض إطلاق له، لا خصوصية المورد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الصفّار لا تشمل ما لا يقبل التمليك كبيع الوقف؛ فإنّ عدم جواز البيع فيه ليس لكونه غير مملوك للبائع، بل لعدم قابليته للملكية، ولهذا لا يجوز بيع الوقف، ولو كان مملوكاً للبائع، فلا معنى لتعميم ما لا يملكه </w:t>
      </w:r>
    </w:p>
    <w:p>
      <w:pPr>
        <w:pStyle w:val="BookText"/>
        <w:rPr/>
      </w:pPr>
      <w:r>
        <w:rPr>
          <w:rFonts w:ascii="Amiri" w:hAnsi="Amiri" w:eastAsia="Amiri" w:cs="Amiri"/>
          <w:color w:val="111111"/>
          <w:sz w:val="28"/>
          <w:sz w:val="28"/>
          <w:szCs w:val="28"/>
          <w:rtl w:val="true"/>
          <w:lang w:bidi="ar-SA"/>
        </w:rPr>
        <w:t>البائع هنا إلى ما كان وقفاً؛ فإنّ ملاك فساد البيع فيه عدم قابليته للتمليك، لا عدم كونه مملوكاً بالفعل؛ لعدم قبوله للملك</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الشيء للتمليك، وكونه ملكاً للبائع، شرطان لصحّة البيع فعلاً،</w:t>
      </w:r>
    </w:p>
    <w:p>
      <w:pPr>
        <w:pStyle w:val="BookText"/>
        <w:rPr/>
      </w:pPr>
      <w:r>
        <w:rPr>
          <w:rFonts w:ascii="Amiri" w:hAnsi="Amiri" w:eastAsia="Amiri" w:cs="Amiri"/>
          <w:color w:val="111111"/>
          <w:sz w:val="28"/>
          <w:sz w:val="28"/>
          <w:szCs w:val="28"/>
          <w:rtl w:val="true"/>
          <w:lang w:bidi="ar-SA"/>
        </w:rPr>
        <w:t>فلو كان الشيء قابلاً للتمليك، ولم يكن ملكاً فعلاً للبائع، أو كان ملكاً، ولم يكن</w:t>
      </w:r>
    </w:p>
    <w:p>
      <w:pPr>
        <w:pStyle w:val="BookText"/>
        <w:rPr/>
      </w:pPr>
      <w:r>
        <w:rPr>
          <w:rFonts w:ascii="Amiri" w:hAnsi="Amiri" w:eastAsia="Amiri" w:cs="Amiri"/>
          <w:color w:val="111111"/>
          <w:sz w:val="28"/>
          <w:sz w:val="28"/>
          <w:szCs w:val="28"/>
          <w:rtl w:val="true"/>
          <w:lang w:bidi="ar-SA"/>
        </w:rPr>
        <w:t>قابلاً للتمليك بطل؛ لفقد الشرط في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في مورد عدم القابلية للتمليك، وعدم الملكية، يكون باطلاً؛ لفقد شرطين، لا شرط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القابل فاقد للمقتضي، وغير الملك فاقد للشرط، وفقد المقتضي مقدّم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وجود الاقتضاء إذا لوحظ نفس الشيء، مع قطع النظر عن المانع أو فقد الشرط؛ فإنّ الوقف مال قابل للمبادلة في نفسه كمال الغير، ولو لوحظت حيثية الوقفية وحيثية مالية الغير،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الغير لا يقتضي بيعه كمال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أحد الشرطين على الآخر ممنوع، كما أنّ كون أحدهما من قبيل عدم المقتضي، والآخر من قبيل الشرط، غير واضح</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السلبية ظاهرة في سلب المحمول لا الموضوع،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عدم كونه مملوكاً مع قابليته لذلك، والحمل على سلب القابلية كأنّه سلب بسلب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الموضوع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فقد الشيء كالقرية في المثال، لا فقد القابلية؛ لعدم أخذ القابلية موضوعاً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سمع العرف أنّ الشارع الأقدس حكم بأنّه لا يجوز بيع ما ليس يملك، وسمع أنّ الأوقاف العامّة ليست ملكاً لأحد، أو أنّ الخمر والخنزير ليسا ملكاً لأحد، يفهم من ضمّهما بطلان بيعهما، ولا ينظر إلى ما أبداه أهل الدقّة، فهذه الاُمور خارجة عن متفاهم العرف الذي هو الميزان في فهم الأحاديث وفقهها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القول بعدم التعميم، هو ما أفاده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المدار عموم الجواب، لا خصوص السؤال،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الشراء من البائع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تحليل العقد ونفوذه فيما يملكه، وإن اختصّ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يقبل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تدور صحّة الاستدلال مدار عدم نفوذ البيع بالنسبة إلى الضميمة، بل إنّما تدور مدار نفوذ البيع في الجزء الآخر الذي يملكه، والصحيحة تدلّ بإطلاقها على صحّته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لذلك وجهاً 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الشراء من البائع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مستقلّة في قبال الجملة المتقدّمة عليها، وليس الأمر كذلك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الجملتان أيضاً ليستا كبريين، بل هما بيان حكم الموضوع المسؤول عنه، من غير ذكر الموضوع، واكتفي بالحكم لفرض الموضوع في السؤال، </w:t>
      </w:r>
    </w:p>
    <w:p>
      <w:pPr>
        <w:pStyle w:val="BookText"/>
        <w:rPr/>
      </w:pPr>
      <w:r>
        <w:rPr>
          <w:rFonts w:ascii="Amiri" w:hAnsi="Amiri" w:eastAsia="Amiri" w:cs="Amiri"/>
          <w:color w:val="111111"/>
          <w:sz w:val="28"/>
          <w:sz w:val="28"/>
          <w:szCs w:val="28"/>
          <w:rtl w:val="true"/>
          <w:lang w:bidi="ar-SA"/>
        </w:rPr>
        <w:t>ولا يصحّ تقدير شيء آخر غير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عدم جواز بيع مال الغير مطلقاً،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بيان صحّة شراء المالك ماله؛ فإنّهما غير مربوطين بسؤال السائل، وما هو المربوط لم يذكر موضوعه في الجواب؛ لاتّكاله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القرية مع كون قطاع منها لغيره، صحّ فيما يملك، دون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للجواب، ولا إطلاق بالنسبة إلى ما يقبل التمليك وما لا يقبله، فالصحيحة متكفّلة لبيان حكم 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التحليل، فإن كان المراد التحليل في النفوذ واللا نفوذ صحّ، ولا 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التحليل في البيع، ثمّ دعوى استفادة التحليل في غير المقام ممّا ضمّ القابل للتمليك إلى غيره، فكلا الأمرين ممنوعان؛ لإمكان الصحّة في بعض مضمون عقد واحد، وقياس غير القابل بالمقام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استفادة العموم بالنسبة إلى الوقف، وإلغاء الخصوصية عنه، فيحكم بسريان الحكم إلى الخمر والخنزير ونحوهما، قد مرّت الإشارة إلى فسادها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الجواب لمّا كان عن موضوع شخصي مفروض في السؤال، فلا بدّ من مراعاة خصوصيات السؤال، فلو فرض أنّ السؤال بصدد فهم الحكم الكلّي، </w:t>
      </w:r>
    </w:p>
    <w:p>
      <w:pPr>
        <w:pStyle w:val="BookText"/>
        <w:rPr/>
      </w:pPr>
      <w:r>
        <w:rPr>
          <w:rFonts w:ascii="Amiri" w:hAnsi="Amiri" w:eastAsia="Amiri" w:cs="Amiri"/>
          <w:color w:val="111111"/>
          <w:sz w:val="28"/>
          <w:sz w:val="28"/>
          <w:szCs w:val="28"/>
          <w:rtl w:val="true"/>
          <w:lang w:bidi="ar-SA"/>
        </w:rPr>
        <w:t>لا المخصوص بالقرية، والجواب أيضاً كذلك، يكون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إسراء الحكم من الموضوع المفروض وأشباهه إلى موضوع مغاير له؛ بمجرّد كون دأب أصحابنا على السؤال في مفروض شخصي عن الحكم الكلّي للأشباه والنظائر، كما لا يخفى، فالحكم كلّي على الموضوع المفروض بقيوده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في السؤال هو علم البائع بالواقعة، وإيقاع البيع على التمام والإشهاد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إرضاء المشتري بالنسبة إلى اشتراء قطاعه، لا برجاء الرجوع إلى المالك والإجازة منه، ولا بنحو بيع الغاصب كما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يصحّ إسراء الحكم إلى مورد جهله بالواقعة، ولا إلى الموضوعات المنفصلة، كضمّ حيوان إلى حيوان مثلاً، ولا إلى مورد يكون النظر إلى الرجوع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إنّ مضمون الصحيحة خارج عن باب ضمّ ماله إلى مال غيره والبيع بنحو الجدّ؛ لقرب احتمال أن يكون البيع بالنسبة إلى سائر القرية صورياً غير جدّي، فالصحّة في هذا المورد لا تدلّ على الصحة فيما إذا باع المالين جدّاً،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لعلّه بنحو من المسامحة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تدلّ الصحيحة على بطلان الفضولي، كما استدلّ بها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619" w:name="pg15204_140732"/>
    </w:p>
    <w:p>
      <w:pPr>
        <w:pStyle w:val="BookText"/>
        <w:rPr/>
      </w:pPr>
      <w:bookmarkEnd w:id="619"/>
      <w:r>
        <w:rPr>
          <w:rFonts w:ascii="Amiri" w:hAnsi="Amiri" w:eastAsia="Amiri" w:cs="Amiri"/>
          <w:color w:val="111111"/>
          <w:sz w:val="28"/>
          <w:sz w:val="28"/>
          <w:szCs w:val="28"/>
          <w:rtl w:val="true"/>
          <w:lang w:bidi="ar-SA"/>
        </w:rPr>
        <w:t>ولو نوقش فيما ذكرنا بالنسبة إلى ضمّ ما يقبل التمليك إلى مثله، فلا تنبغي المناقشة في عدم استفادة حكم ما لا يقبله منها، فتدبّر جيّداً</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759108_2142443653"/>
      <w:bookmarkStart w:id="621" w:name="_Toc230"/>
      <w:bookmarkEnd w:id="620"/>
      <w:r>
        <w:rPr>
          <w:rtl w:val="true"/>
        </w:rPr>
        <w:t>تقييد الصحّة بما إذا لم يتولّد من الردّ مانع شرعي كالربا</w:t>
      </w:r>
      <w:bookmarkEnd w:id="621"/>
    </w:p>
    <w:p>
      <w:pPr>
        <w:pStyle w:val="Heading6"/>
        <w:numPr>
          <w:ilvl w:val="5"/>
          <w:numId w:val="1"/>
        </w:numPr>
        <w:rPr/>
      </w:pPr>
      <w:bookmarkStart w:id="622" w:name="__RefHeading___Toc2759110_2142443653"/>
      <w:bookmarkStart w:id="623" w:name="_Toc231"/>
      <w:bookmarkEnd w:id="622"/>
      <w:r>
        <w:rPr>
          <w:rtl w:val="true"/>
        </w:rPr>
        <w:t>إشارة</w:t>
      </w:r>
      <w:bookmarkEnd w:id="623"/>
    </w:p>
    <w:p>
      <w:pPr>
        <w:pStyle w:val="BookText"/>
        <w:rPr/>
      </w:pPr>
      <w:r>
        <w:rPr>
          <w:rFonts w:ascii="Amiri" w:hAnsi="Amiri" w:eastAsia="Amiri" w:cs="Amiri"/>
          <w:color w:val="111111"/>
          <w:sz w:val="28"/>
          <w:sz w:val="28"/>
          <w:szCs w:val="28"/>
          <w:rtl w:val="true"/>
          <w:lang w:bidi="ar-SA"/>
        </w:rPr>
        <w:t>ثمّ إنّ المحكيّ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البيع فيما يملكه مع الردّ، تتقيّد بما إذا لم يتولّد من عدم الإجازة مانع شرعي، كلزوم الربا، وبيع الآبق بلا ضميمة</w:t>
      </w:r>
      <w:r>
        <w:rPr>
          <w:rStyle w:val="FootnoteAnchor"/>
          <w:rtl w:val="true"/>
        </w:rPr>
        <w:footnoteReference w:id="1078"/>
      </w:r>
      <w:r>
        <w:rPr>
          <w:rFonts w:ascii="Amiri" w:hAnsi="Amiri" w:eastAsia="Amiri" w:cs="Amiri"/>
          <w:color w:val="111111"/>
          <w:sz w:val="28"/>
          <w:sz w:val="28"/>
          <w:szCs w:val="28"/>
          <w:rtl w:val="true"/>
          <w:lang w:bidi="ar-SA"/>
        </w:rPr>
        <w:t>، ولا بأس ببسط الكلام في الموضع الأوّل منهما، فنقول</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2759112_2142443653"/>
      <w:bookmarkStart w:id="625" w:name="_Toc232"/>
      <w:bookmarkEnd w:id="624"/>
      <w:r>
        <w:rPr>
          <w:rtl w:val="true"/>
        </w:rPr>
        <w:t>حكم بيع درهم ودينار بدرهمين ودينارين وكان الدرهم للغير</w:t>
      </w:r>
      <w:bookmarkEnd w:id="625"/>
    </w:p>
    <w:p>
      <w:pPr>
        <w:pStyle w:val="Heading6"/>
        <w:numPr>
          <w:ilvl w:val="5"/>
          <w:numId w:val="1"/>
        </w:numPr>
        <w:rPr/>
      </w:pPr>
      <w:bookmarkStart w:id="626" w:name="__RefHeading___Toc2759114_2142443653"/>
      <w:bookmarkStart w:id="627" w:name="_Toc233"/>
      <w:bookmarkEnd w:id="626"/>
      <w:r>
        <w:rPr>
          <w:rtl w:val="true"/>
        </w:rPr>
        <w:t>بيانه</w:t>
      </w:r>
      <w:bookmarkEnd w:id="627"/>
    </w:p>
    <w:p>
      <w:pPr>
        <w:pStyle w:val="BookText"/>
        <w:rPr/>
      </w:pPr>
      <w:r>
        <w:rPr>
          <w:rFonts w:ascii="Amiri" w:hAnsi="Amiri" w:eastAsia="Amiri" w:cs="Amiri"/>
          <w:color w:val="111111"/>
          <w:sz w:val="28"/>
          <w:sz w:val="28"/>
          <w:szCs w:val="28"/>
          <w:rtl w:val="true"/>
          <w:lang w:bidi="ar-SA"/>
        </w:rPr>
        <w:t>لو باع درهماً وديناراً بدرهمين ودينارين، وكان الدرهم مثلاً للغير، فهل يصحّ البيع في حصّته مطلقاً، أو لا مطلقاً، أو يصحّ إذا أجاز صاحب الدرهم، ويبطل إذا لم يجز؟ وجوه بحسب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المعاملة المذكورة تنحلّ إلى بيعين وعقدين، وكانت كلّ سلعة في مقابل مثلها مع الزيادة، فالدرهم في قبال درهم ومقدار من الدينار، 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كلّ إلى ما يماثله، فالدرهم يقع في مقابل الدرهمين، والدينار في مقابل الدينارين، فكذلك بطل مطلقاً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كلّ إلى ما يخالفه، صحّ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الاحتمالات تأتي مع البناء على وحدة العقد، فيبطل في فرض، ويصحّ في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عقد واحد، والتقابل بين المجموع والمجموع، فمقتضى القاعدة الصحّة؛ لعدم كون المجموع من بيع الذهب بالذهب، والفضّة بالفضّة، المشروط فيه المماثلة؛ لأنّ ماهية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المبادلة الإنشائية الحاصلة بالإيجاب على ما هو التحقيق، أو بالإيجاب والقبول على ما هو المعروف، سواء كانت موضوعة للتأثير فعلاً كبيع الأصيلين، أو لا كبيع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فبيع الأصيل كبيع الفضولي، ماهيته عبارة عن مبادلة مال بمال إنشاءً، فهذه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المتحقّق بالإنشاء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النقل الواقعي، أو موضوع لحكم العقلاء بالنقل، والأثر والمؤثّرية الفعلية غير دخيلين في تحقّق الماهية، ولهذا كان بيع الفضولي مصداقاً للبيع كبيع الأصيل، بلا تفاوت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فالشرائط معتبرة في مقام إنشاء البيع وتحقّقه، لا في مقام تأثيره وموضوعيته للتأثير إلاّ بعض الشرائط</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أنّ الذهب بالذهب مثلاً بمثل، والحنطة بالحنطة مثلاً بمثل، ظاهر في أنّ المماثلة معتبرة في مقام التبادل والتقابل الإنشائي،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المفسّر بالبيع الربوي</w:t>
      </w:r>
      <w:r>
        <w:rPr>
          <w:rStyle w:val="FootnoteAnchor"/>
          <w:rtl w:val="true"/>
        </w:rPr>
        <w:footnoteReference w:id="10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في حرمة المبادلة بين الربويين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البيع في مقام تحقّقه وإنشائه غير ربوي، حلّ وصحّ وإن فرض أنّه ينتج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الإجازة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ربح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إنّ بيع المركّب من الربوي وغيره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وقوع التبادل بين المجموع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حصّة الأصيل، أجاز غيره أم لم يجز؛ ضرورة أنّ إجازته غير دخيلة في ماهية البيع، ولا في النقل بالنسبة إلى حصّة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إلى ملكه وإن كان درهماً مع الزيادة، وما خرج من كيسه بسببية البيع أقلّ ممّا دخل فيه، لكنّه خارج عن البيع بالحمل الشائع؛ أي التبادل الإنشائي المتحقّق بالإنشاء، فالبيع بالحمل الشائع ليس ربويّاً وإن أنتج 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بيع الشيئين بشيئين حال اجتماعهما، غير منحلّ إلى بيعين وإنشاءين ومنشأين،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بالانحلال، فهو بالنسبة إلى النتيجة لا السبب، وعليه فمقتضى القاعدة الصحّة في حصّة الأصيل، سواء أجاز المالك الآخر حصّته أم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الذي ذكر للتفصيل بين الإجازة وعدمها؛ وأنّه صحيح معها، وباطل مع الردّ</w:t>
      </w:r>
      <w:r>
        <w:rPr>
          <w:rStyle w:val="FootnoteAnchor"/>
          <w:rtl w:val="true"/>
        </w:rPr>
        <w:footnoteReference w:id="1082"/>
      </w:r>
      <w:r>
        <w:rPr>
          <w:rFonts w:ascii="Amiri" w:hAnsi="Amiri" w:eastAsia="Amiri" w:cs="Amiri"/>
          <w:color w:val="111111"/>
          <w:sz w:val="28"/>
          <w:sz w:val="28"/>
          <w:szCs w:val="28"/>
          <w:rtl w:val="true"/>
          <w:lang w:bidi="ar-SA"/>
        </w:rPr>
        <w:t>، فغير وجيه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الروايات الواردة في التخلّص عن الربا؛ بضمّ غير الجنس إلى الربوي، فالظاهر عدم دلالتها على شيء غير ما هو مقتضى القاعدة، وليس فيها إعمال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ربّما عجلت فخرجت، فلم نقدر على الدمشقية والبصرية، وإنّما يجوز بنيسابور الدمشقية والبصرية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يترافقون ويجتمعون للخروج، فإذا عجلوا فربّما لم يقدروا على الدمشقية والبصرية، فبعثنا بالغلّة، فصرفوا ألفاً وخمسين منها بألف من الدمشقية والبصرية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هذا، أفلا يجعلون فيها ذهباً لمكان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بألف درهم ودرهم </w:t>
      </w:r>
    </w:p>
    <w:p>
      <w:pPr>
        <w:pStyle w:val="BookText"/>
        <w:rPr/>
      </w:pPr>
      <w:r>
        <w:rPr>
          <w:rFonts w:ascii="Amiri" w:hAnsi="Amiri" w:eastAsia="Amiri" w:cs="Amiri"/>
          <w:color w:val="111111"/>
          <w:sz w:val="28"/>
          <w:sz w:val="28"/>
          <w:szCs w:val="28"/>
          <w:rtl w:val="true"/>
          <w:lang w:bidi="ar-SA"/>
        </w:rPr>
        <w:t>بألف درهم ودينارين، إذا دخل فيها ديناران أو أقلّ أو أكثر فلا بأس به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وقريب منهما غيرهما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المعاملة تصحّ لأجل دخول غير الجنس، وأنّ البيع وقع بين المجموع والمجموع، وهذا موجب للخروج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للربا إذا زاد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يستفاد منها صرف كلّ جنس إلى ما يخالفه تعبّداً ولو لم يقصد المتعاملان؛ ضرورة أنّ هذا النحو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بعيد عن الأذهان، وإعمال تعبّد مخالف لحكم العقلاء، وفي مثله يحتاج إلى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الروايات عدم إعمال التعبّد، بل الإرجاع إلى القواعد؛ فإنّ أهل المدينة لم يتعبّدوا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العمل فراراً في نظرهم من الربا، لكن كان الفرار غير جائز ومستبعداً عندهم،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ذلك فراراً من عنوان إلى عنوان، كان متسالماً بينهم، لكنّ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الفرار لا يجوز،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الزيادة في مقابلة الذهب بالذهب، أو الفضّة بالفضّة، ومقابلة المجموع بالمجموع خارجة عن العنوان المحرّم، وداخلة في المحلّل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الصرف ولو بلا قصد، فهو أمر بعيد عن الأذهان، ومحتاج إلى التعبّد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الصرف إذا قصده المتعاملان ليس ببعيد، لكنّه مخالف لإطلاق الروايات، كصحيحة الحلبي</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ورواية أبي بصير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وظهورها؛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بألف درهم ودرهم بألف درهم ودينارين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بالدراهم، وعن فضل ما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بين المجموع والمجموع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يجعلون فيها ذهباً لمكان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منه أنّه أراد من ذلك في قبال زيادتها، بل الظاهر أنّه لأجل الزيادة والفرار من الحرام، أمر بأن يجعلوا فيها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 بدينار لم يعط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الحجّاج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المنكدر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واللّه إنّا لنعلم أ نّك لو أخذت ديناراً والصرف بثمانية عشر، فدرت المدينة على أن تجد من يعطيك عشرين ما وجدته، وما هذا إلاّ فرار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ولكنّه فرار من باطل إلى حقّ</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لم يتّضح منه أنّ الفرار لأجل جعل الدينار مقابل الدرهم، بل هذا محتمل</w:t>
      </w:r>
      <w:r>
        <w:rPr>
          <w:rFonts w:eastAsia="Amiri" w:cs="Amiri" w:ascii="Amiri" w:hAnsi="Amiri"/>
          <w:color w:val="111111"/>
          <w:sz w:val="28"/>
          <w:szCs w:val="28"/>
          <w:rtl w:val="true"/>
          <w:lang w:bidi="ar-SA"/>
        </w:rPr>
        <w:t xml:space="preserve">. </w:t>
      </w:r>
      <w:bookmarkStart w:id="628" w:name="pg15204_140738"/>
    </w:p>
    <w:p>
      <w:pPr>
        <w:pStyle w:val="BookText"/>
        <w:rPr/>
      </w:pPr>
      <w:bookmarkEnd w:id="628"/>
      <w:r>
        <w:rPr>
          <w:rFonts w:ascii="Amiri" w:hAnsi="Amiri" w:eastAsia="Amiri" w:cs="Amiri"/>
          <w:color w:val="111111"/>
          <w:sz w:val="28"/>
          <w:sz w:val="28"/>
          <w:szCs w:val="28"/>
          <w:rtl w:val="true"/>
          <w:lang w:bidi="ar-SA"/>
        </w:rPr>
        <w:t>كما يحتمل أن يكون المراد أنّ ضمّ الدينار إلى الدراهم لا يوجب أن يكون الدينار الواحد مقابلاً لألف درهم، بل بحسب اللبّ تكون الزيادة لأجل سعر الدرهم وزيادة سعر الدمشقية والبصرية، وجعل المجموع مقابل المجموع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تلك الروايات الصرف الاختياري، فضلاً عن الصرف مع عدم القصد المخالف للقواعد، كما أنّ الظاهر منها أنّ العلاج مخرج للبيع عن الربوي</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759116_2142443653"/>
      <w:bookmarkStart w:id="630" w:name="_Toc234"/>
      <w:bookmarkEnd w:id="629"/>
      <w:r>
        <w:rPr>
          <w:rtl w:val="true"/>
        </w:rPr>
        <w:t>استنكار تحليل الربا بالحيل المذكورة</w:t>
      </w:r>
      <w:bookmarkEnd w:id="630"/>
    </w:p>
    <w:p>
      <w:pPr>
        <w:pStyle w:val="BookText"/>
        <w:rPr/>
      </w:pPr>
      <w:r>
        <w:rPr>
          <w:rFonts w:ascii="Amiri" w:hAnsi="Amiri" w:eastAsia="Amiri" w:cs="Amiri"/>
          <w:color w:val="111111"/>
          <w:sz w:val="28"/>
          <w:sz w:val="28"/>
          <w:szCs w:val="28"/>
          <w:rtl w:val="true"/>
          <w:lang w:bidi="ar-SA"/>
        </w:rPr>
        <w:t xml:space="preserve">نعم، هنا كلام يجب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 وعدم تحقيق الحقّ فيه، وهو أنّ الربا مع هذه التشديدات والاستنكارات، التي وردت فيه في القرآن الكريم والسنّة من طريق الفريقين؛ ممّا قلّ نحوها في سائر المعاصي، ومع ما فيه من المفاسد الاقتصادية والاجتماعية والسياسية؛ ممّا تعرّض لها علماء الاقتصاد، كيف يمكن تحليله بالحيل الشرعية، كما وردت بها الأخبار الكثيرة الصحيحة، وأفتى بها الفقهاء</w:t>
      </w:r>
      <w:r>
        <w:rPr>
          <w:rStyle w:val="FootnoteAnchor"/>
          <w:rtl w:val="true"/>
        </w:rPr>
        <w:footnoteReference w:id="1089"/>
      </w:r>
      <w:r>
        <w:rPr>
          <w:rFonts w:ascii="Amiri" w:hAnsi="Amiri" w:eastAsia="Amiri" w:cs="Amiri"/>
          <w:color w:val="111111"/>
          <w:sz w:val="28"/>
          <w:sz w:val="28"/>
          <w:szCs w:val="28"/>
          <w:rtl w:val="true"/>
          <w:lang w:bidi="ar-SA"/>
        </w:rPr>
        <w:t>إلاّ من شذّ منهم</w:t>
      </w:r>
      <w:r>
        <w:rPr>
          <w:rStyle w:val="FootnoteAnchor"/>
          <w:rtl w:val="true"/>
        </w:rPr>
        <w:footnoteReference w:id="10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عويصة بل عقدة في قلوب كثير من المفكّرين، وإشكال من غير منتحلي الإسلام على هذا الحكم، ولا بدّ من حلّها</w:t>
      </w:r>
      <w:r>
        <w:rPr>
          <w:rFonts w:eastAsia="Amiri" w:cs="Amiri" w:ascii="Amiri" w:hAnsi="Amiri"/>
          <w:color w:val="111111"/>
          <w:sz w:val="28"/>
          <w:szCs w:val="28"/>
          <w:rtl w:val="true"/>
          <w:lang w:bidi="ar-SA"/>
        </w:rPr>
        <w:t xml:space="preserve">. </w:t>
      </w:r>
      <w:bookmarkStart w:id="631" w:name="pg15204_140739"/>
    </w:p>
    <w:p>
      <w:pPr>
        <w:pStyle w:val="BookText"/>
        <w:rPr/>
      </w:pPr>
      <w:bookmarkEnd w:id="631"/>
      <w:r>
        <w:rPr>
          <w:rFonts w:ascii="Amiri" w:hAnsi="Amiri" w:eastAsia="Amiri" w:cs="Amiri"/>
          <w:color w:val="111111"/>
          <w:sz w:val="28"/>
          <w:sz w:val="28"/>
          <w:szCs w:val="28"/>
          <w:rtl w:val="true"/>
          <w:lang w:bidi="ar-SA"/>
        </w:rPr>
        <w:t>والتشبّث له بالتعبّد في مثل هذه المسألة التي أدركت العقول مفاسد تجويزها ومصالح منعها، بعيد عن الصواب</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759118_2142443653"/>
      <w:bookmarkStart w:id="633" w:name="_Toc235"/>
      <w:bookmarkEnd w:id="632"/>
      <w:r>
        <w:rPr>
          <w:rtl w:val="true"/>
        </w:rPr>
        <w:t>أقسام الربا</w:t>
      </w:r>
      <w:bookmarkEnd w:id="633"/>
    </w:p>
    <w:p>
      <w:pPr>
        <w:pStyle w:val="BookText"/>
        <w:rPr/>
      </w:pPr>
      <w:r>
        <w:rPr>
          <w:rFonts w:ascii="Amiri" w:hAnsi="Amiri" w:eastAsia="Amiri" w:cs="Amiri"/>
          <w:color w:val="111111"/>
          <w:sz w:val="28"/>
          <w:sz w:val="28"/>
          <w:szCs w:val="28"/>
          <w:rtl w:val="true"/>
          <w:lang w:bidi="ar-SA"/>
        </w:rPr>
        <w:t xml:space="preserve">والتحقيق في حلّها موقوف على مقدّمة، وهي أنّ ما سمّاه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المعاوضي الجاري في النقود وفي المكيل والموزون، كالحبوب ونحوها من المكيلات والموزونات، فقد منع الشرع الأنور التعامل بها إلاّ مثلاً بمثل، وهذا القسم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المثلين تفاضل في القيمة، كالأرزّ العنبر والشنبة مثلاً، والصنف الأعلى من الحبوب والأدنى، فقد تكون قيمة الأعلى أضعاف الأدنى، وكالليرة الإنكليزية مع العثمانية، وكالدراهم المختلفة في الجودة والرداءة، وأمثال ذلك ممّا تختلف قيمها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منها الحنطة والشعير والاُصول والفروع، وفرع أصل مع فرع آخر منه، كالجبن مع الزبد والسمن ممّا ألحقها الشارع بالمثلين، فمنع التعامل فيها إلاّ مثلاً بمثل، مع ما ترى من اختلاف القيم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كذلك، كالدينارين من صنف واحد، وكرّ من حنطة مع كرّ آخر من صنف واحد وصفة واحدة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القرضي ممّا حرّمه الشارع، وشدّد عليه النكير بما لا مزيد عليه كتاباً وسنّة، وقد عدّ الكتاب أخذ الزائد عن رأس المال ظلماً، </w:t>
      </w:r>
    </w:p>
    <w:p>
      <w:pPr>
        <w:pStyle w:val="BookText"/>
        <w:rPr/>
      </w:pPr>
      <w:r>
        <w:rPr>
          <w:rFonts w:ascii="Amiri" w:hAnsi="Amiri" w:eastAsia="Amiri" w:cs="Amiri"/>
          <w:color w:val="111111"/>
          <w:sz w:val="28"/>
          <w:sz w:val="28"/>
          <w:szCs w:val="28"/>
          <w:rtl w:val="true"/>
          <w:lang w:bidi="ar-SA"/>
        </w:rPr>
        <w:t>فقال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فأخذ الزيادة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التفاسير</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خالد بن الوليد أو غيره ممّن كان أربى في الجاهلية، وأراد الأخذ في الإسلام، فنهاه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أنّ كونه ظلماً وفساداً أوجب حكم اللّه تعالى بالتحريم، فالتحريم معلول الظلم بدلالة ظاهر الآية الكريمة، والظلم علّته أو حكمته، كما أنّ الأخذ إيذان بحرب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تحريم الربا لما نهى اللّه عزّ وجلّ عنه، ولما فيه من فساد الأموال؛ لأنّ الإنسان إذا اشترى الدرهم بالدرهمين، كان ثمن الدرهم درهماً، وثمن الآخر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تحريم الربا بالنسيئة لعلّة ذهاب المعروف، وتلف الأموال، ورغبة الناس في الربح، وتركهم القرض، والقرض صنائع المعروف، ولما في ذلك من الفساد والظلم وفناء الأموال</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تحريم الربا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الربا حلالاً، لترك الناس التجارات وما يحتاجون إليه، </w:t>
      </w:r>
    </w:p>
    <w:p>
      <w:pPr>
        <w:pStyle w:val="BookText"/>
        <w:rPr/>
      </w:pPr>
      <w:r>
        <w:rPr>
          <w:rFonts w:ascii="Amiri" w:hAnsi="Amiri" w:eastAsia="Amiri" w:cs="Amiri"/>
          <w:color w:val="111111"/>
          <w:sz w:val="28"/>
          <w:sz w:val="28"/>
          <w:szCs w:val="28"/>
          <w:rtl w:val="true"/>
          <w:lang w:bidi="ar-SA"/>
        </w:rPr>
        <w:t>فحرّم اللّه الربا؛ لتنفّر الناس من الحرام إلى الحلال، وإلى التجارات من البيع والشراء، فيبقى ذلك بينهم في القرض</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الأقسام التي ذكرناها،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بحسب العرف وعند العقلاء من الربا، وهو أوّل القسمين من القسم الأوّل؛ فإنّ قيمة منّ من الأرزّ العنبر إذا ساوت منّين من غيره، لا تعدّ مبادلة منّ منه بمنّين رباً؛ إذ لا نفع ولا زيادة في ذلك إلاّ حجماً، والزيادة الحجمية ليست ميزاناً للنفع والزيادة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إذا بودلت الليرة الإنكليزية بالليرة العثمانية، مع زيادة تكون معها مساوية للاُولى في القيمة السوقية، لا يكون رباً 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كلّ مثلين كانا كذلك، فإذا فرض أنّ الدرهم الكويتي يكون ضعف قيمة العراقي، فاشتراء الواحد بالاثنين لا زيادة فيه ولا نفع ولا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ألحق بالمثليات، كالشعير بالحنطة، والفروع بالاُصول، فإذا بودل منّ من السمن بأمنان من اللبن أو الجبن، لا يكون ذلك من الربا بحسب نظر العرف وبحسب الواقع، كما أنّ المبادلات بالفضل فيها لا فساد فيها ولا ظلم، ولا توجب انصراف الناس عن التجارات والزراعات،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الربا القرضي، وكذا مبادلة منّ مساو في الأوصاف بمنّين نسيئة مثلاً، ففيه ما ذكر من الفساد والظلم، وتزلزل السوق، وغيرها من المفاسد المذكورة في كتب علماء الاقتصاد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الإشكال المتقدّم والعويصة والعقدة المشار إليها، إنّما هي في تجويز </w:t>
      </w:r>
    </w:p>
    <w:p>
      <w:pPr>
        <w:pStyle w:val="BookText"/>
        <w:rPr/>
      </w:pPr>
      <w:r>
        <w:rPr>
          <w:rFonts w:ascii="Amiri" w:hAnsi="Amiri" w:eastAsia="Amiri" w:cs="Amiri"/>
          <w:color w:val="111111"/>
          <w:sz w:val="28"/>
          <w:sz w:val="28"/>
          <w:szCs w:val="28"/>
          <w:rtl w:val="true"/>
          <w:lang w:bidi="ar-SA"/>
        </w:rPr>
        <w:t>الحيلة في هذين القسمين؛ أي الربا القرضي، والربا المعاملي في المتساويين بحسب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تجويزها في القسم الأوّل، فلا إشكال فيه أصلاً، ولا عقدة ولا عويصة؛ لأنّ المثليات كسائر الأمتعة لها قيمة قد ترتفع، وقد تنخفض، واشتراء منّ من الحنطة الجيّدة بمنّين أو بأمنان من الشعير، كاشتراء سائر الأمتعة بقيمتها السوقية، واشتراء دينار أو درهم له قيمة سوقية تساوي دينارين من غير صنفه، أو درهمين كذلك، ليس فيه إشكال وعويصة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سرّ تحريم الشارع المقدّس المبادلة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مثلاً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فهم العقلاء، وإنّما هو تعبّد، فالحيلة في هذا القسم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القسمان الآخران؛ أي الربا القرضي، والمعاملي الذي يعامل ربويّاً، فلم ترد فيهما حيلة على ما يأتي الكلام فيه، إلاّ في بعض الأخبار القابلة للمناقشة فيها سنداً ومتناً، أو القابلة للجمع بما لا 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ورود أخبار صحيحة دالّة على الحيلة فيهما، لا بدّ من تأويلها، أو ردّ علمها إلى صاحبها؛ ضرورة أنّ الحيل لا تخرج الموضوع عن الظلم والفساد وتعطيل التجارات وغيرها ممّا هي مذكورة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القرض إلى سنة بربح عشرين في مائة ظلم، فلو عمل بالحيلة، وباع مائة دينار بمائة وعشرين نسيئة إلى سنة، كان ظلماً وفساداً بلا ريب ولا إشكال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في مبادلة أكرار من الحنطة بضعفها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 جنسهما صنفاً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وفساد، لا يعقل إخراجه عنهما بضمّ منديل إلى الناقص، وهو </w:t>
      </w:r>
    </w:p>
    <w:p>
      <w:pPr>
        <w:pStyle w:val="BookText"/>
        <w:rPr/>
      </w:pPr>
      <w:r>
        <w:rPr>
          <w:rFonts w:ascii="Amiri" w:hAnsi="Amiri" w:eastAsia="Amiri" w:cs="Amiri"/>
          <w:color w:val="111111"/>
          <w:sz w:val="28"/>
          <w:sz w:val="28"/>
          <w:szCs w:val="28"/>
          <w:rtl w:val="true"/>
          <w:lang w:bidi="ar-SA"/>
        </w:rPr>
        <w:t>واضح، كما لا يعقل تجويز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نصّ في الجواز كان مناقضاً للكتاب والسنّة المستفيضة، وليس من قبيل التقييد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الظلم والفساد، نكتة جعل الحكم لا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لكنّ ذلك يوجب صحّة التخصيص والتقييد، وأمّا المخالفة لتمام الدلالة فلا يمكن تصحيحها بذلك، وفي المقام إذا كانت الحكمة في حرمة الربا ما ذكر من المفاسد، لا يجوز التخلّص عنها في جميع الموارد؛ بحيث لا يشذّ منها مورد، للزوم اللغو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فتحريم الربا لنكتة الفساد والظلم وترك التجارات، وتحليله بجميع أقسامه وأفراده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عنوان لا يوجب نقصاً في ترتّب تلك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التناقض في الجعل، أو اللغوية فيه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كانت الحيلة بتلك السهولة مصحّحة لأكل الربا نتيجة، فلِمَ لم ينبّه عليها رسول اللّه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تقع الاُمّة في ذلك الحرام الذي هو إيذان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مِنَ اللّه‌ِ وَرَسُولِهِ</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منه أعظم من سبعين زنية بذات محرم</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xml:space="preserve">وفي 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عامله في مكّة بقتال المرابين إن لم يكفّوا عن المراباة</w:t>
      </w:r>
      <w:r>
        <w:rPr>
          <w:rStyle w:val="FootnoteAnchor"/>
          <w:rtl w:val="true"/>
        </w:rPr>
        <w:footnoteReference w:id="10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34" w:name="pg15204_140744"/>
    </w:p>
    <w:p>
      <w:pPr>
        <w:pStyle w:val="BookText"/>
        <w:rPr/>
      </w:pPr>
      <w:bookmarkEnd w:id="634"/>
      <w:r>
        <w:rPr>
          <w:rFonts w:ascii="Amiri" w:hAnsi="Amiri" w:eastAsia="Amiri" w:cs="Amiri"/>
          <w:color w:val="111111"/>
          <w:sz w:val="28"/>
          <w:sz w:val="28"/>
          <w:szCs w:val="28"/>
          <w:rtl w:val="true"/>
          <w:lang w:bidi="ar-SA"/>
        </w:rPr>
        <w:t>فلو كان الانتفاع بمثل الربا جائزاً بسهولة، وإنّما يحتاج إلى ضمّ شيء إلى شيء، أو تغيير كلام، لما احتاج إلى كلفة القتال وقتل النفوس، بل كان عليه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تعليم طريق الحيلة؛ حفظاً لدماء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ممّا ذكر وما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سبيل إلى الحيلة في تلك الكبيرة الموبقة</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2759120_2142443653"/>
      <w:bookmarkStart w:id="636" w:name="_Toc236"/>
      <w:bookmarkEnd w:id="635"/>
      <w:r>
        <w:rPr>
          <w:rtl w:val="true"/>
        </w:rPr>
        <w:t>بيان مورد الروايات الموهمة للتخلّص عن الربا</w:t>
      </w:r>
      <w:bookmarkEnd w:id="636"/>
    </w:p>
    <w:p>
      <w:pPr>
        <w:pStyle w:val="BookText"/>
        <w:rPr/>
      </w:pPr>
      <w:r>
        <w:rPr>
          <w:rFonts w:ascii="Amiri" w:hAnsi="Amiri" w:eastAsia="Amiri" w:cs="Amiri"/>
          <w:color w:val="111111"/>
          <w:sz w:val="28"/>
          <w:sz w:val="28"/>
          <w:szCs w:val="28"/>
          <w:rtl w:val="true"/>
          <w:lang w:bidi="ar-SA"/>
        </w:rPr>
        <w:t>وأمّا الروايات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للتخلّص عن الربا، فصنفان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منها وهو الصحاح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شيء منه وارداً في التخلّص عنه، بل ورد في التخلّص عن بيع المثل بالمثل مع الزيادة؛ فيما كان السعر السوقي كذلك، ولا شبهة في أنّه لم يكن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بيع الشيء بقيمته السوقية، سواء كان المتبادلان ذهباً وفضّة، أو غيرهما من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لدى الشرع الأقدس في المقام عنوانين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المثليات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المثليات مع الزيادة، سواء كان فيها رباً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الأخبار على كثرتها وصحّتها، وردت في التخلّص عن مبادلة المثليات التي لا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كمبادلة ألف درهم وضح بألفين غلّة؛ ممّا كان السعر السوقي كذلك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المبادلة غير صحيحة، لا لأجل الربا، بل لأجل 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مبادلة المثل بالمثلين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فوردت الحيلة للتخلّص عنه، من غير ربط له بباب الربا، </w:t>
      </w:r>
    </w:p>
    <w:p>
      <w:pPr>
        <w:pStyle w:val="BookText"/>
        <w:rPr/>
      </w:pP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لو كان، فهو توسّع وتجوّز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هي التي أوردها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السادس من أبواب الصرف، وقد تقدّم بعضها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تأمّلت فيها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السؤال والجواب فيها، هو المبادلة بين الدراهم التي تختلف قيمها السوقية لأجل الجودة والرداءة، أو كون بعضها غلّة، وبعضها وضحاً، ففي صحيحة ابن الحجّاج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فبعثنا بالغلّة، فصرفوا ألفاً وخمسين منها بألف من الدمشقية والبصرية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إسماعيل بن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يجيء إلى صيرفي ومعه دراهم، يطلب الأجود منها، فيقاوله على دراهمه، فيزيده كذا وكذا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بالدراهم، وعن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فالسؤال في تلك الروايات عن العلاج والتخلّص من مبادلة المثل بالمثلين مثلاً، بعد كون القيمة السوقية كذلك، فعلّمهم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التخلّص؛ بضمّ شيء من غير الجنس، يخرج به عن معاملة المثل بالمثل؛ لأنّ المجموع غير </w:t>
      </w:r>
    </w:p>
    <w:p>
      <w:pPr>
        <w:pStyle w:val="BookText"/>
        <w:rPr/>
      </w:pPr>
      <w:r>
        <w:rPr>
          <w:rFonts w:ascii="Amiri" w:hAnsi="Amiri" w:eastAsia="Amiri" w:cs="Amiri"/>
          <w:color w:val="111111"/>
          <w:sz w:val="28"/>
          <w:sz w:val="28"/>
          <w:szCs w:val="28"/>
          <w:rtl w:val="true"/>
          <w:lang w:bidi="ar-SA"/>
        </w:rPr>
        <w:t>مماثل لمقابله، والمعاملة واقعة بين المجموع والمجموع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 من باطل إلى حقّ</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صحيح؛ لأنّ المحرّم والباطل هاهنا هو تبادل المماثل بالمماثل مع زيادة، لا الربا المنتفي في هذا القسم عرفاً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الفرار من الباطل إلى الحقّ، هو الفرار من تبادل المماثلين مع الزيادة، إلى تبادل غير المماثلين كذلك، فلا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وردت للتخلّص عن الربا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للتخلّص من معاملة المثل بالمثل بزيادة؛ لأنّ تحصيل ربح القرض بالحيلة، فرار من الباطل إلى الباطل، لا إلى الحقّ؛ لترتّب المفاسد التي في القرض بالربح عليه بالحيلة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والمتفاهم من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ودرهم بألف درهم ودينارين، إذا دخل فيها ديناران أو أقلّ أو أكثر فلا بأس به</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هو المعاملة النقدية، وفيها تكون الزيادة لأجل الاختلاف في السعر، فلا ترتبط الصحيحة بباب الربا والعلاج فيه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الباب رواية الحسن بن صدقة،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أوردها </w:t>
      </w:r>
    </w:p>
    <w:p>
      <w:pPr>
        <w:pStyle w:val="BookText"/>
        <w:rPr/>
      </w:pPr>
      <w:r>
        <w:rPr>
          <w:rFonts w:ascii="Amiri" w:hAnsi="Amiri" w:eastAsia="Amiri" w:cs="Amiri"/>
          <w:color w:val="111111"/>
          <w:sz w:val="28"/>
          <w:sz w:val="28"/>
          <w:szCs w:val="28"/>
          <w:rtl w:val="true"/>
          <w:lang w:bidi="ar-SA"/>
        </w:rPr>
        <w:t xml:space="preserve">الشيخ الحرّ قدّس سرّه في الباب العشرين من أبواب الربا </w:t>
      </w:r>
      <w:r>
        <w:rPr>
          <w:rStyle w:val="FootnoteAnchor"/>
          <w:rtl w:val="true"/>
        </w:rPr>
        <w:footnoteReference w:id="1106"/>
      </w:r>
      <w:r>
        <w:rPr>
          <w:rFonts w:ascii="Amiri" w:hAnsi="Amiri" w:eastAsia="Amiri" w:cs="Amiri"/>
          <w:color w:val="111111"/>
          <w:sz w:val="28"/>
          <w:sz w:val="28"/>
          <w:szCs w:val="28"/>
          <w:rtl w:val="true"/>
          <w:lang w:bidi="ar-SA"/>
        </w:rPr>
        <w:t>، فلا إشكال في هذه الروايات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الخلط بينها وبين الروايات الواردة في التخلّص عن الربا في القرض، التي أوردها الشيخ الحرّ في الباب التاسع من أحكام العقود</w:t>
      </w:r>
      <w:r>
        <w:rPr>
          <w:rStyle w:val="FootnoteAnchor"/>
          <w:rtl w:val="true"/>
        </w:rPr>
        <w:footnoteReference w:id="1107"/>
      </w:r>
      <w:r>
        <w:rPr>
          <w:rFonts w:ascii="Amiri" w:hAnsi="Amiri" w:eastAsia="Amiri" w:cs="Amiri"/>
          <w:color w:val="111111"/>
          <w:sz w:val="28"/>
          <w:sz w:val="28"/>
          <w:szCs w:val="28"/>
          <w:rtl w:val="true"/>
          <w:lang w:bidi="ar-SA"/>
        </w:rPr>
        <w:t>فإنّ الصحاح المتقدّمة غير مربوطة بباب القرض والربا المعاملي، بخلاف تلك الروايات المختصّة بالقرض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روايات ضعاف إلاّ رواية واحدة منها، وهي ما رواها الشيخ قدّس سرّه، بإسناده عن أحمد بن محمّد، عن ابن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وأنا اُربحك، فأبيعه جبّة تقوّم عليّ بألف درهم بعشرة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واُؤخّره بالمال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ومحمّد بن إسحاق وإن وثّقه النجاشي</w:t>
      </w:r>
      <w:r>
        <w:rPr>
          <w:rStyle w:val="FootnoteAnchor"/>
          <w:rtl w:val="true"/>
        </w:rPr>
        <w:footnoteReference w:id="1109"/>
      </w:r>
      <w:r>
        <w:rPr>
          <w:rFonts w:ascii="Amiri" w:hAnsi="Amiri" w:eastAsia="Amiri" w:cs="Amiri"/>
          <w:color w:val="111111"/>
          <w:sz w:val="28"/>
          <w:sz w:val="28"/>
          <w:szCs w:val="28"/>
          <w:rtl w:val="true"/>
          <w:lang w:bidi="ar-SA"/>
        </w:rPr>
        <w:t>، لكنّ العلاّمة توقّف فيه؛ لما نقل عن الصدوق</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واقفي</w:t>
      </w:r>
      <w:r>
        <w:rPr>
          <w:rStyle w:val="FootnoteAnchor"/>
          <w:rtl w:val="true"/>
        </w:rPr>
        <w:footnoteReference w:id="1111"/>
      </w:r>
      <w:r>
        <w:rPr>
          <w:rFonts w:ascii="Amiri" w:hAnsi="Amiri" w:eastAsia="Amiri" w:cs="Amiri"/>
          <w:color w:val="111111"/>
          <w:sz w:val="28"/>
          <w:sz w:val="28"/>
          <w:szCs w:val="28"/>
          <w:rtl w:val="true"/>
          <w:lang w:bidi="ar-SA"/>
        </w:rPr>
        <w:t>، ويظهر من محكيّ كلام ابن داود أيضاً التوقّف</w:t>
      </w:r>
      <w:r>
        <w:rPr>
          <w:rStyle w:val="FootnoteAnchor"/>
          <w:rtl w:val="true"/>
        </w:rPr>
        <w:footnoteReference w:id="1112"/>
      </w:r>
      <w:r>
        <w:rPr>
          <w:rFonts w:ascii="Amiri" w:hAnsi="Amiri" w:eastAsia="Amiri" w:cs="Amiri"/>
          <w:color w:val="111111"/>
          <w:sz w:val="28"/>
          <w:sz w:val="28"/>
          <w:szCs w:val="28"/>
          <w:rtl w:val="true"/>
          <w:lang w:bidi="ar-SA"/>
        </w:rPr>
        <w:t xml:space="preserve">، ولقد تصدّى بعضهم لإثبات عدم كونه واقفياً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واقفي ثقة، أو إمامي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الروايات ضعاف، بل بعضها مشتمل على ما لا يليق بساحة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كرواية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مجهول</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بعد السؤال عن الحيلة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أمرني أبي ففعلت</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إسحاق بن عمّار أنّه سأل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له مثل ذلك</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الحيلة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بذلك، قد فعل ذلك أبي، وأمرني أن أفعل ذلك </w:t>
      </w:r>
    </w:p>
    <w:p>
      <w:pPr>
        <w:pStyle w:val="BookText"/>
        <w:rPr/>
      </w:pPr>
      <w:r>
        <w:rPr>
          <w:rFonts w:ascii="Amiri" w:hAnsi="Amiri" w:eastAsia="Amiri" w:cs="Amiri"/>
          <w:color w:val="111111"/>
          <w:sz w:val="28"/>
          <w:sz w:val="28"/>
          <w:szCs w:val="28"/>
          <w:rtl w:val="true"/>
          <w:lang w:bidi="ar-SA"/>
        </w:rPr>
        <w:t>في شيء كان عليه</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الأعمال وإن كان مباحاً فرضاً، لكن لا يرتكبه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ارتكاب ما هو موجب لتنفّر الطباع، كتحصيل النفع بالحيلة، وكإتيان النساء من الخلف، فهذا وأشباهه لو كان مباحاً، لما ارتكبه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ففي نفسي شيء من محمّد بن إسحاق الصرّاف الواقفي بقول الصدوق الذي هو أخبر من متأخّري أصحابنا بحال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ومقتضى تلك الروايات، أنّه كان تحصيل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لعدّة من المعصومين، وهم الباقر، والصادق،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ذيل رواية مسعدة ظاهر في أنّ العمل في بعض الموارد لإعطاء النفع بالحيلة، لكن ظاهر غيرها أنّ تحصيل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 وأنا لا أرضى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نظير روايات بيع العنب لمن يعلم أنّه يجعله خمراً </w:t>
      </w:r>
      <w:r>
        <w:rPr>
          <w:rStyle w:val="FootnoteAnchor"/>
          <w:rtl w:val="true"/>
        </w:rPr>
        <w:footnoteReference w:id="1118"/>
      </w:r>
      <w:r>
        <w:rPr>
          <w:rFonts w:ascii="IRNazanin" w:hAnsi="IRNazanin" w:eastAsia="IRNazanin"/>
          <w:color w:val="111111"/>
          <w:sz w:val="28"/>
          <w:sz w:val="28"/>
          <w:szCs w:val="28"/>
          <w:rtl w:val="true"/>
          <w:lang w:bidi="fa-IR"/>
        </w:rPr>
        <w:t>حيث اشتملت على أنّ الأئمّة علیهم السلام يفعلون ذلك، فمثل هذه الروايات غير قابلة للعمل</w:t>
      </w:r>
    </w:p>
    <w:p>
      <w:pPr>
        <w:pStyle w:val="BookText"/>
        <w:rPr/>
      </w:pPr>
      <w:r>
        <w:rPr>
          <w:rFonts w:ascii="Amiri" w:hAnsi="Amiri" w:eastAsia="Amiri" w:cs="Amiri"/>
          <w:color w:val="111111"/>
          <w:sz w:val="28"/>
          <w:sz w:val="28"/>
          <w:szCs w:val="28"/>
          <w:rtl w:val="true"/>
          <w:lang w:bidi="ar-SA"/>
        </w:rPr>
        <w:t>بها؛ لاشتمالها على أمر منكر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طبع القضيّة في مورد تلك الروايات، يقتضي كون القرض أو تأخيره مبنيّاً على بيع شيء بأكثر من قيمته، وهذا لا يخرج الموضوع عن الربا؛ فإنّه بمنزلة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قال المقترض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أخّرني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كذا بكذا حتّى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القرض والتأخير مبنيّاً عليه، لا داعياً لذلك، وهو عين الربا، وعين القرض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والبائع يعلم أنّه لا يسوى، والمشتري يعلم أنّه لا يسوى، إلاّ أنّه يعلم أنّه سيرجع فيه، فيشتريه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إذا ظهر الجور وأورثتم الذلّ؟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بقيت إلى ذلك الزمان، ومتى يكون ذلك بأبي أنت واُمّي،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يايونس وهذا الربا، فإن لم تشتره ردّه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تقربنّه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تقربنّه فلا تقربنّه</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مع أنّ المورد في تلك الروايات أوضح في كونه رباً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سيفتنون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ويستحلّون حرامه بالشبهات الكاذبة، والأهواء الساهية، فيستحلّون الخمر بالنبيذ، </w:t>
      </w:r>
    </w:p>
    <w:p>
      <w:pPr>
        <w:pStyle w:val="BookText"/>
        <w:rPr/>
      </w:pPr>
      <w:r>
        <w:rPr>
          <w:rFonts w:ascii="Amiri" w:hAnsi="Amiri" w:eastAsia="Amiri" w:cs="Amiri"/>
          <w:color w:val="111111"/>
          <w:sz w:val="28"/>
          <w:sz w:val="28"/>
          <w:szCs w:val="28"/>
          <w:rtl w:val="true"/>
          <w:lang w:bidi="ar-SA"/>
        </w:rPr>
        <w:t>والسحت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على أمثال تلك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تخرجها الحيل عن الموضوع، فتكون تلك الروايات وأمثالها مخالفة للكتاب والسنّة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عن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عنوان آخر، وكان البيع داعياً للتأخير أو القرض، فالتخالف والتنافي بينها وبين الأخبار الصحيحة المتقدّمة والكتاب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ظاهر في أنّ أخذ الزيادة عن رأس المال ظلم في نظر الشارع الأقدس، وحكمة في الجعل إن لم نقل بالعلّية، وظاهر أنّ الظلم لا يرتفع بتبديل العنوان مع بقاء الأخذ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الصحيحة وغيرها علّلت حرمة الربا بأنّه موجب لانصراف الناس عن التجارات واصطناع المعروف، وأنّ العلّة كونه فساداً وظلماً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الزيادة بالربا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الزيادة بالحيلة وبتغيير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العرف التنافي بينهما والتدافع في المقال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شرب الخمر حرام، ولعن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شاربه </w:t>
      </w:r>
    </w:p>
    <w:p>
      <w:pPr>
        <w:pStyle w:val="BookText"/>
        <w:rPr/>
      </w:pPr>
      <w:r>
        <w:rPr>
          <w:rFonts w:ascii="Amiri" w:hAnsi="Amiri" w:eastAsia="Amiri" w:cs="Amiri"/>
          <w:color w:val="111111"/>
          <w:sz w:val="28"/>
          <w:sz w:val="28"/>
          <w:szCs w:val="28"/>
          <w:rtl w:val="true"/>
          <w:lang w:bidi="ar-SA"/>
        </w:rPr>
        <w:t>وساقيه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شربها لفسادها وسكرها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بإ لقائها في كبسولة وأكلها مع ترتّب الفساد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ذلك تناقضاً في المقال، وتنافياً في الحكم،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الشرب حرام، لا الأكل، وإنّ العلّة حكمة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 المصحف من الكافر حرام، والعلّة فيه أن لا يدخل المصحف في سلطة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حرام، والبيع ليس هبة، والعلّة ليست علّة حقيقية، بل حكمة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كذلك؛ فإنّ اللّه تعالى سمّى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ناطقة بأنّ علّة تحريمه ذاك وذلك، ثمّ وردت عدّة أخبار بأن لا بأس بأكل هذه الزيادة بحيلة</w:t>
      </w:r>
      <w:r>
        <w:rPr>
          <w:rStyle w:val="FootnoteAnchor"/>
          <w:rtl w:val="true"/>
        </w:rPr>
        <w:footnoteReference w:id="1125"/>
      </w:r>
      <w:r>
        <w:rPr>
          <w:rFonts w:ascii="Amiri" w:hAnsi="Amiri" w:eastAsia="Amiri" w:cs="Amiri"/>
          <w:color w:val="111111"/>
          <w:sz w:val="28"/>
          <w:sz w:val="28"/>
          <w:szCs w:val="28"/>
          <w:rtl w:val="true"/>
          <w:lang w:bidi="ar-SA"/>
        </w:rPr>
        <w:t>، مع أنّ المفاسد تترتّب عليه عيناً وبلا فرق بينهما، فهل يكون ذلك إلاّ تهافتاً في الجعل، وتناقضاً في القانون، بل لغوية فيه مع تلك الاستنكارات والتشديدات؟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ترضى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بارتكاب الأئمّة علیهم السلام ما تترتّب عليه تلك المفاسد بحيلة؟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الروايات وما هي لازم مفادها تحصيل الربا والحيلة في أكل الربا، ممّا قال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الاشتهار في الفتوى، فإن اُريد بالتشبّث به تصحيح أسناد هذه الروايات، فمع عدم معلومية استنادهم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تكون فتوى جمع منهم لأجل توهّم كونه موافقاً للقاعدة؛ فإنّه بيع وعقد وتجارة، وفتوى جمع منهم للاستناد إلى الصحاح المتقدّمة، التي وردت في تبادل الدراهم بالدراهم مع الزيادة التي قد عرفت مفادها </w:t>
      </w:r>
      <w:r>
        <w:rPr>
          <w:rStyle w:val="FootnoteAnchor"/>
          <w:rtl w:val="true"/>
        </w:rPr>
        <w:footnoteReference w:id="1130"/>
      </w:r>
      <w:r>
        <w:rPr>
          <w:rFonts w:ascii="Amiri" w:hAnsi="Amiri" w:eastAsia="Amiri" w:cs="Amiri"/>
          <w:color w:val="111111"/>
          <w:sz w:val="28"/>
          <w:sz w:val="28"/>
          <w:szCs w:val="28"/>
          <w:rtl w:val="true"/>
          <w:lang w:bidi="ar-SA"/>
        </w:rPr>
        <w:t xml:space="preserve">، وقد نرى أنّ المحقّقين قدّس سرّه تمسّكوا بتلك الروايات للتخلّص عن الربا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نّك قد عرفت أنّه على فرض صحّتها أيضاً، لا يصحّ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بالتشبّث به أنّ الشهرة معتبرة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إذا حصلت من تخلّل الاجتهاد فلا اعتبار بها، بل الإجماع الحاصل بتخلّل الاجتهاد لا حاصل له ولا اعتبار به، وليست هذه المسألة في تخلّل الاجتهاد فيها إلاّ كمسألة منزوحات البئر، بل تخلّل الاجتهاد هاهنا أقرب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خفاء هذا الحكم على المتقدّمين، وظهوره لغيرهم؛ لأنّ مثله غير عزيز فكم من حكم خفي عليهم وظهر لغيرهم في الاُصول والفروع</w:t>
      </w:r>
      <w:r>
        <w:rPr>
          <w:rStyle w:val="FootnoteAnchor"/>
          <w:rtl w:val="true"/>
        </w:rPr>
        <w:footnoteReference w:id="11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دعوى الإجماعات فيها لعلّها أكثر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 الإجماع ولا الشهرة في مثل تلك المسائل الاجتهادية الواردة فيها الأخبار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وبحثنا في هذه المسألة استطرادي انجرّ بنا الكلام إليه، ولا يمكن لنا التعرّض لجميع أطراف المسألة، والفروع التي ربّما يتوهّم منها جواز ارتكاب الربا بالحيلة، وإنّما تعرّضنا لطرف منها؛ لعلّ اللّه يحدث للناظر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يظهر وجود قرينة عامّة على جمع الأخبار في المقام في الأبواب المتفرّقة، فترى في مورد ينهى عن بيع المعدود مثلاً بمثل إلاّ يداً بيد، وفي مورد نفي البأس عن النسيئة، وفي مورد نفي البأس في الأشياء المختلفة إذا كان يداً بيد، أو نهي عن بيع الحنطة بالشعير إلاّ يداً بيد، وفي مورد نفي البأس مطلقاً أو حتّى في النسيئة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الجمع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فيما إذا لزم منه الربا لا يجوز، وفي غيره يجوز وإن كان الالتزام في تلك الموارد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فساد معتدّ به فيه؛ لأنّها ليست كالربا القرضي، إلاّ إذا اُريد التخلّص من الربا القرضي بتلك الحيل فلا يجوز، والتفصيل والتنقيح فيها موكول إلى محلّها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ترك الاستفصال في صحيحة عبدالرحمان بن الحجّاج</w:t>
      </w:r>
      <w:r>
        <w:rPr>
          <w:rStyle w:val="FootnoteAnchor"/>
          <w:rtl w:val="true"/>
        </w:rPr>
        <w:footnoteReference w:id="1134"/>
      </w:r>
      <w:r>
        <w:rPr>
          <w:rFonts w:ascii="Amiri" w:hAnsi="Amiri" w:eastAsia="Amiri" w:cs="Amiri"/>
          <w:color w:val="111111"/>
          <w:sz w:val="28"/>
          <w:sz w:val="28"/>
          <w:szCs w:val="28"/>
          <w:rtl w:val="true"/>
          <w:lang w:bidi="ar-SA"/>
        </w:rPr>
        <w:t>، صحّة المبادلة ولو كانت الضميمة من غير المالك؛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فبعثنا بالغلّة، </w:t>
      </w:r>
    </w:p>
    <w:p>
      <w:pPr>
        <w:pStyle w:val="BookText"/>
        <w:rPr/>
      </w:pPr>
      <w:r>
        <w:rPr>
          <w:rFonts w:ascii="Amiri" w:hAnsi="Amiri" w:eastAsia="Amiri" w:cs="Amiri"/>
          <w:color w:val="111111"/>
          <w:sz w:val="28"/>
          <w:sz w:val="28"/>
          <w:szCs w:val="28"/>
          <w:rtl w:val="true"/>
          <w:lang w:bidi="ar-SA"/>
        </w:rPr>
        <w:t>فصرفوا ألفاً وخمسين منها بألف من الدمشقية والبصرية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 من أن تكون دراهم الرفقة مخلوطة، أو خلطوها حين البعث؛ لعدم الداعي إلى إفرازها في ظروف متعدّدة بعد ما كان السعر معلوماً، والمقدار معهوداً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يجعلون فيها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استفصال، تستفاد منه الصحّة ولو كان الذهب من واحد منهم، بعد وقوع المعاملة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مقتضى إطلاقه أيضاً ذلك، فحينئذٍ لو كانت الضميمة من غير المالك تصحّ المبادلة، كما هي مقتضى القواعد أيضاً، على ما عرفت من أنّ اعتبار المماثلة إنّما هو حين البيع الإنشائي الذي هو حقيقة البيع</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مقتضى إطلاق صحيحة الحلبي</w:t>
      </w:r>
      <w:r>
        <w:rPr>
          <w:rStyle w:val="FootnoteAnchor"/>
          <w:rtl w:val="true"/>
        </w:rPr>
        <w:footnoteReference w:id="1136"/>
      </w:r>
      <w:r>
        <w:rPr>
          <w:rFonts w:ascii="Amiri" w:hAnsi="Amiri" w:eastAsia="Amiri" w:cs="Amiri"/>
          <w:color w:val="111111"/>
          <w:sz w:val="28"/>
          <w:sz w:val="28"/>
          <w:szCs w:val="28"/>
          <w:rtl w:val="true"/>
          <w:lang w:bidi="ar-SA"/>
        </w:rPr>
        <w:t>ورواية أبي بصير</w:t>
      </w:r>
      <w:r>
        <w:rPr>
          <w:rStyle w:val="FootnoteAnchor"/>
          <w:rtl w:val="true"/>
        </w:rPr>
        <w:footnoteReference w:id="1137"/>
      </w:r>
      <w:r>
        <w:rPr>
          <w:rFonts w:ascii="Amiri" w:hAnsi="Amiri" w:eastAsia="Amiri" w:cs="Amiri"/>
          <w:color w:val="111111"/>
          <w:sz w:val="28"/>
          <w:sz w:val="28"/>
          <w:szCs w:val="28"/>
          <w:rtl w:val="true"/>
          <w:lang w:bidi="ar-SA"/>
        </w:rPr>
        <w:t>أيضاً، أنّ الضميمة لا يلزم أن تكون للمالك، بل مقتضى إطلاقهما الصحّة ولو كانت الضميمة من الغير بلا إذنه، فيستفاد منهما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الروايات أنّ الضميمة لأجل إخراج البيع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بالمثل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بالبيع الإنشائي الذي هو حقيقة البيع، لا بترتّب الأثر الذي هو حكم القانون عند العقلاء أو الشرع، فما هو فعل اختياري للمتعاملين إيقاع المبادلة وإنشاء البيع</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637" w:name="pg15204_140756"/>
    </w:p>
    <w:p>
      <w:pPr>
        <w:pStyle w:val="BookText"/>
        <w:rPr/>
      </w:pPr>
      <w:bookmarkEnd w:id="637"/>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موضوع حكم العقلاء، أو الشرع، أو جزء موضوعه كما في الفضولي، واعتبار المماثلة، إنّما هو لهذا الفعل الاختياري وعنده، فلو خرجت المعاملة عن مبادلة مثل بمثل بأيّ نحو كان، خرجت عن موضوع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الانحلال قد عرفت ما فيه</w:t>
      </w:r>
      <w:r>
        <w:rPr>
          <w:rStyle w:val="FootnoteAnchor"/>
          <w:rtl w:val="true"/>
        </w:rPr>
        <w:footnoteReference w:id="1139"/>
      </w:r>
      <w:r>
        <w:rPr>
          <w:rFonts w:ascii="Amiri" w:hAnsi="Amiri" w:eastAsia="Amiri" w:cs="Amiri"/>
          <w:color w:val="111111"/>
          <w:sz w:val="28"/>
          <w:sz w:val="28"/>
          <w:szCs w:val="28"/>
          <w:rtl w:val="true"/>
          <w:lang w:bidi="ar-SA"/>
        </w:rPr>
        <w:t>، فلا نعيده، هذا بعض الكلام في المثال الأوّل</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2759122_2142443653"/>
      <w:bookmarkStart w:id="639" w:name="_Toc237"/>
      <w:bookmarkEnd w:id="638"/>
      <w:r>
        <w:rPr>
          <w:rtl w:val="true"/>
        </w:rPr>
        <w:t>حكم بيع العبد الآبق مع الضميمة</w:t>
      </w:r>
      <w:bookmarkEnd w:id="639"/>
    </w:p>
    <w:p>
      <w:pPr>
        <w:pStyle w:val="BookText"/>
        <w:rPr/>
      </w:pPr>
      <w:r>
        <w:rPr>
          <w:rFonts w:ascii="Amiri" w:hAnsi="Amiri" w:eastAsia="Amiri" w:cs="Amiri"/>
          <w:color w:val="111111"/>
          <w:sz w:val="28"/>
          <w:sz w:val="28"/>
          <w:szCs w:val="28"/>
          <w:rtl w:val="true"/>
          <w:lang w:bidi="ar-SA"/>
        </w:rPr>
        <w:t>وأمّا بيع العبد الآبق مع ضميمة من الغير، فهل يصحّ مطلقاً، أو لا يصحّ كذلك، أو يصحّ على فرض إجازة الغير؟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أصل صحّة بيع الآبق، ولا صحّته، وصحّته مع ضميمة، موكول إلى محلّه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الصحّة مع الضميمة أمر تعبّدي، وإلاّ فلو فرض عدم الغرر في بيع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بعد صحّة عتقه حتّى في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الضميمة، ولو فرض تحقّق الغرر لا يدفع بالضميمة، ولا سيّما إذا كانت غير معتدّ بها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السيّد المرتضى قدّس سرّه في رد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الضميمة تخرجه عن الغرر</w:t>
      </w:r>
      <w:r>
        <w:rPr>
          <w:rStyle w:val="FootnoteAnchor"/>
          <w:rtl w:val="true"/>
        </w:rPr>
        <w:footnoteReference w:id="1141"/>
      </w:r>
      <w:r>
        <w:rPr>
          <w:rFonts w:ascii="Amiri" w:hAnsi="Amiri" w:eastAsia="Amiri" w:cs="Amiri"/>
          <w:color w:val="111111"/>
          <w:sz w:val="28"/>
          <w:sz w:val="28"/>
          <w:szCs w:val="28"/>
          <w:rtl w:val="true"/>
          <w:lang w:bidi="ar-SA"/>
        </w:rPr>
        <w:t>،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ملاحظة ما ورد فيه، ففي صحيحة رفاعة بن موسى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أشتري من القوم الجارية الآبقة، وأعطيهم الثمن وأطلبها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منكم جاريتكم فلانة وهذا المتاع بكذا وكذا درهماً، فإنّ ذلك جائز</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طلبها لرجاء الوصول إليها، ويشكل إطلاقه لصورة العلم بعدم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تشتري معها ثوباً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يكون ملكاً للبائع، فلو كان البائع مجازاً في بيع ثوب، فضمّه في البيع إلى الآبقة،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جاريته مع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اشترى جاريته مع متاع للغير،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بقول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شموله للفضولي؛ فإنّ بيع الفضولي وشراءه بيع حقيقةً، فلو ضمّ إلى الآبقة متاعاً من غير إذن صاحبه وباعهما واشتراهما، عمل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والإجازة وعدمها خارجتان عن ماهية البيع والشراء</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كون المتاع لمالك الرقيق، أو الانصراف إلى البيع الناقل، عهدتها على مدّعيها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منكم جاريتكم فلانة وهذا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ضمير الخطاب فيه، مع ذكره في الجارية؛ لأجل عدم لزوم كون المتاع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منهم صادق في مورد الوكالة، والفضولية حال إجراء صيغة البيع، ولا يعقل تغيّره عمّا هو عليه بالإجازة وعدمها، فدلّت الرواية على الصحّة حتّى مع ردّ الفضولي، ولا سيّما مع كون الأمر بالضميمة حكماً تعبّدياً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موثّقة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العبد وهو آبق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يشتري معه شيئاً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الشيء وعبدك بكذا وكذا، فإن لم يقدر على العبد كان الذي نقده فيما اشترى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Style w:val="FootnoteAnchor"/>
          <w:rtl w:val="true"/>
        </w:rPr>
        <w:footnoteReference w:id="1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ثمنه الذي نقد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صدرها كالصحيحة، يقتضي إطلاقه عدم الفرق بين كون الضميمة لمالك العبد وعدمه، بل يشمل الفضولي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غير معمول به وغير ممكن الالتزام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المقصود أنّه لو لم يقدر على العبد، فلم يذهب ماله </w:t>
      </w:r>
    </w:p>
    <w:p>
      <w:pPr>
        <w:pStyle w:val="BookText"/>
        <w:rPr/>
      </w:pPr>
      <w:r>
        <w:rPr>
          <w:rFonts w:ascii="Amiri" w:hAnsi="Amiri" w:eastAsia="Amiri" w:cs="Amiri"/>
          <w:color w:val="111111"/>
          <w:sz w:val="28"/>
          <w:sz w:val="28"/>
          <w:szCs w:val="28"/>
          <w:rtl w:val="true"/>
          <w:lang w:bidi="ar-SA"/>
        </w:rPr>
        <w:t xml:space="preserve">بلا عوض واصل إليه ولو ببعضه، فحينئذٍ لو اُحرز كون المراد ذلك، واُحرز كونه علّة للحكم، لا بدّ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الضميمة للغير بنحو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إجازته وعدمها، لكن لا يمكن إحرازهما، فلا بدّ من العمل بصدرها وبالصحيحة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المؤثّر، كان اللازم التفصيل المتقدّم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أطالوا في كيفية التقسيط في المقام وما هو نظيره</w:t>
      </w:r>
      <w:r>
        <w:rPr>
          <w:rStyle w:val="FootnoteAnchor"/>
          <w:rtl w:val="true"/>
        </w:rPr>
        <w:footnoteReference w:id="1145"/>
      </w:r>
      <w:r>
        <w:rPr>
          <w:rFonts w:ascii="Amiri" w:hAnsi="Amiri" w:eastAsia="Amiri" w:cs="Amiri"/>
          <w:color w:val="111111"/>
          <w:sz w:val="28"/>
          <w:sz w:val="28"/>
          <w:szCs w:val="28"/>
          <w:rtl w:val="true"/>
          <w:lang w:bidi="ar-SA"/>
        </w:rPr>
        <w:t>، ولا جدوى في الإطالة، بعد عدم كون المسألة فقهية، والضابط الذي أفاده السيّد الطباطبائي قدّس سرّه</w:t>
      </w:r>
      <w:r>
        <w:rPr>
          <w:rStyle w:val="FootnoteAnchor"/>
          <w:rtl w:val="true"/>
        </w:rPr>
        <w:footnoteReference w:id="1146"/>
      </w:r>
      <w:r>
        <w:rPr>
          <w:rFonts w:ascii="IRNazanin" w:hAnsi="IRNazanin" w:eastAsia="IRNazanin"/>
          <w:color w:val="111111"/>
          <w:sz w:val="28"/>
          <w:sz w:val="28"/>
          <w:szCs w:val="28"/>
          <w:rtl w:val="true"/>
          <w:lang w:bidi="fa-IR"/>
        </w:rPr>
        <w:t>حسن، فراجع</w:t>
      </w:r>
      <w:r>
        <w:rPr>
          <w:rFonts w:eastAsia="IRNazanin" w:cs="IRNazanin"/>
          <w:color w:val="111111"/>
          <w:sz w:val="28"/>
          <w:szCs w:val="28"/>
          <w:rtl w:val="true"/>
          <w:lang w:bidi="fa-IR"/>
        </w:rPr>
        <w:t xml:space="preserve">. </w:t>
      </w:r>
      <w:bookmarkStart w:id="640" w:name="pg15204_140760"/>
    </w:p>
    <w:p>
      <w:pPr>
        <w:pStyle w:val="Heading4"/>
        <w:numPr>
          <w:ilvl w:val="3"/>
          <w:numId w:val="1"/>
        </w:numPr>
        <w:rPr/>
      </w:pPr>
      <w:bookmarkStart w:id="641" w:name="__RefHeading___Toc2759124_2142443653"/>
      <w:bookmarkStart w:id="642" w:name="_Toc238"/>
      <w:bookmarkEnd w:id="640"/>
      <w:bookmarkEnd w:id="641"/>
      <w:r>
        <w:rPr>
          <w:rtl w:val="true"/>
        </w:rPr>
        <w:t>مسألة حكم بيع من له النصف النصفَ</w:t>
      </w:r>
      <w:bookmarkEnd w:id="642"/>
    </w:p>
    <w:p>
      <w:pPr>
        <w:pStyle w:val="Heading5"/>
        <w:numPr>
          <w:ilvl w:val="4"/>
          <w:numId w:val="1"/>
        </w:numPr>
        <w:rPr/>
      </w:pPr>
      <w:bookmarkStart w:id="643" w:name="__RefHeading___Toc2759126_2142443653"/>
      <w:bookmarkStart w:id="644" w:name="_Toc239"/>
      <w:bookmarkEnd w:id="643"/>
      <w:r>
        <w:rPr>
          <w:rtl w:val="true"/>
        </w:rPr>
        <w:t>إشارة</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من له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ففيه صور كثيرة نتعرّض لبعضها، وقبل الورود في المسألة لا بأس بالإشارة إلى</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759128_2142443653"/>
      <w:bookmarkStart w:id="646" w:name="_Toc240"/>
      <w:bookmarkEnd w:id="645"/>
      <w:r>
        <w:rPr>
          <w:rtl w:val="true"/>
        </w:rPr>
        <w:t>ماهية الكسر المشاع</w:t>
      </w:r>
      <w:bookmarkEnd w:id="646"/>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له نصفان بنحو الإشاعة، سواء كان مملوكاً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البعض في مقام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القابل للقسمة في نفسه موجود واحد، ومن حيث القبول للانقسام، يكون وجوده بالفعل وجود الأقسام بالقوّة، فالأقسام موجودات خارجية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قبل الإفراز وجودها على حدّ الاُمور الانتزاعية، التي نحو وجودها وجود مناشئ انتزاعها، فالمنشأ موجود بالفعل، والأمر الانتزاعي موجود بالقوّة بنحو وجود المقبول بوجود القابل، فهو خارجي بخارجية منشئه، وجزئي حقيقي بجزئية منشئه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تلك القسمة المساوية لقسمة اُخرى، متساوية النسبة إلى تمام أجزاء ذلك الموجود بالفعل، فلذا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مشاعة وسارية في الكلّ</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رتّب عليه الفرق بين الكلّي في المعيّن والإشاعة؛ وأنّ الإفراز والقسمة تمييز الحصص، لا أنّها 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الخلل والخلط بين العقليات والعرفيات، الذي هو منشأ تلك الاشتباهات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تنظيره بالاُمور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في الجسم لا يعقل أن تكون موجودة بالفعل، ومعنى موجوديتها بالقوّة، ليس إلاّ أنّ ما هو الموجود هو قوّة وجود الأقسام، كما أنّ الموجود في النواة قابلية وجود النخلة وقوّته، 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وجودها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وموجب للاشتباه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بالفعل هو الجسم فقط، والأقسام غير موجودة، فالجزء المشاع إذا كان هو القسم المعدوم، فلا تعقل 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فرضت مالكيته، يلزم منه أن يملك كلّ شريك القسم المعدوم بالفعل، فيخرج الشيء غير المنقسم عن كونه ملكاً لهما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أنّهما يملكان قوّة القسم وقابليته، يلزم أيضاً أن يكون الجسم الموجود بالفعل غير مملوك لهما؛ لأنّ الصورة غير قوّة الوجود، والشيء </w:t>
      </w:r>
    </w:p>
    <w:p>
      <w:pPr>
        <w:pStyle w:val="BookText"/>
        <w:rPr/>
      </w:pPr>
      <w:r>
        <w:rPr>
          <w:rFonts w:ascii="Amiri" w:hAnsi="Amiri" w:eastAsia="Amiri" w:cs="Amiri"/>
          <w:color w:val="111111"/>
          <w:sz w:val="28"/>
          <w:sz w:val="28"/>
          <w:szCs w:val="28"/>
          <w:rtl w:val="true"/>
          <w:lang w:bidi="ar-SA"/>
        </w:rPr>
        <w:t>شيء بصورته، والكلّ موجود بصورته، والأقسام غير موجودة، وقوّة وجودها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متساوية النسبة، فإنّ المعدوم لا تعقل فيه النسبة إلى شيء موجود أو معدوم، فالإشاعة ليست متحقّقة قبل اعتبار العقلاء،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المشاع هو ما ذكر، يلزم التمييز وارتفاع الإشاعة بالتقسيم قهراً، فأيّ القسمين يكون حينئذٍ لواحد منهما، والآخر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شاهد على عدم كون الإشاعة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بأيّ نحو وقع لا يرفع الإشاعة، وإنّما يرفعها التقسيم الاعتباري المرضيّ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بالتقسيم يوجب رفع الإشاعة وحصول التمييز، ولو لم يحصل الانفكاك في الجسم المقسوم، كما أنّه لو كانت قطعة من الأراضي مشتركة بينهما، فجعلا علامة لتحديد الحدود ورضيا بالتقسيم، حصل به التقسيم والتمييز، مع عدم حصول الانفكاك في الجسم المشترك، والتقسيم الانفكاكي بلا تراضيهما عليه، لا يوجب التقسيم ورفع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الإشاعة أمر غير قابلية الجسم للتقسيمات، وأنّ رفعها أمر غير التقسيمات الفعلية والتمييزات التكوينية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لازم ما ذكره أنّ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تمييز 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في الحبوب ونحوها إلاّ بورود الانفكاك والتقسيم على كلّ حبّة حبّة، لا ما هو المتعارف عند العقلاء من تقسيمها، أو أنّ التقسيم فيها يرجع إلى مبادلة بين المالين، وهو لم يلتزم به، كما أنّه خلاف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واللازم في تلك المباحث الرجوع إلى العرف والعقلاء، لا إلى المعاني العقلية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المشاع اعتبار عقلائي في نفس الموضوعات الخارجية، كاعتبار الملكية والرقّية والحرّية ونحوها، حيث يعتبرها العقلاء في الموجودات الخارجية، فمع اعتبارها فيها تصدق عليها بالحمل الشائع تلك العناوين،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الدابّة ملك، وإنّ زيداً عبد، وعمراً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الخارجي إذا لوحظت ذاته، يكون أمراً وحدانياً غير ذي الأجزاء والأبعاض، وإذا اعتبر الكسر فيه بنحو اللا تعيّن واللا إفراز، يكون الملحوظ والمعتبر كسراً مشاعاً، في مقابل الإفراز والتعيين والتمييز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فالإشاعة والإفراز أمران اعتباريان في نفس الخارج، نحو اعتبار الملك والحقّ، فكما أنّ الملك لا واقعية له إلاّ واقعية اعتبارية في نفس الخارج، كذلك الإشاعة لا واقعية لها إلاّ اعتباراً، وكذا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فالكسر المشاع هو الجزء الخارجي المعتبر بنحو اللا تعيّن واللا إفراز، غير متقوّم بالتقسيم الخارجي أو قوّة تقسيمه، وغير مربوط بهما، فمن ملك نصف الدار، ملك نصف الموجود الخارجي الذي اعتبره العقلاء بنحو اللا امتياز، فإذا انقسمت الدار إلى ما شاء اللّه، يكون ملكه في نصف الأجزاء محفوظاً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أنّ لازم ملكية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الأجزاء؛ بمعنى أنّه إذا لوحظ الكلّ وفنت الأجزاء فيه،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ملك واحد، ولم تكن الأجزاء موجودة وملحوظة بهذا اللحاظ، وإذا لوحظت الأجزاء أجزاء الكلّ، تكون أبعاض ملكه، وأبعاض الملك المعيّن ملك كذلك، </w:t>
      </w:r>
    </w:p>
    <w:p>
      <w:pPr>
        <w:pStyle w:val="BookText"/>
        <w:rPr/>
      </w:pPr>
      <w:r>
        <w:rPr>
          <w:rFonts w:ascii="Amiri" w:hAnsi="Amiri" w:eastAsia="Amiri" w:cs="Amiri"/>
          <w:color w:val="111111"/>
          <w:sz w:val="28"/>
          <w:sz w:val="28"/>
          <w:szCs w:val="28"/>
          <w:rtl w:val="true"/>
          <w:lang w:bidi="ar-SA"/>
        </w:rPr>
        <w:t>وإذا انفصلت الأجزاء وانقسم الكلّ خارجاً، يكون كلّ قسم ملكاً مستقلاًّ معيّناً، خارجاً عن الجزئية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الأمر في ملكية الكسر المشاع، فمن ملك النصف مشاعاً، يكون مالكاً له بنحو اللا تعيّن، ومالكاً لأبعاضه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النصف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التبعية إشاعة، فإذا لوحظت أنصاف النصف وأنصاف أنصافه، يكون مالكاً لنصف كلّ منها 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انقسم الجسم إلى أقسام إلى ما شاء اللّه تعالى، يكون كلّ قسم نصفه المشاع مملوكاً له، فإذا أراد المالكان التقسيم والإفراز، لا بدّ من توافقهما على ذلك أو تعيين القسم بالقرعة، وستأتي تتمّة لذلك في باب بيع صاع من الصبرة، وسنوضح أنّ للإشاعة موردين ومعنيين</w:t>
      </w:r>
      <w:r>
        <w:rPr>
          <w:rStyle w:val="FootnoteAnchor"/>
          <w:rtl w:val="true"/>
        </w:rPr>
        <w:footnoteReference w:id="114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مفهوم الكسور كالنصف والثلث، مفاهيم كلّية هي نفس الطبائع، من غير دخالة القيود اللاحقة بها، أو العوارض الحافّة بها في الخارج فيها، فكلّ ما هو زائد على نفس الطبيعة خارج عن المفهوم، كقيد الإشاعة، والإفراز في العقل، أو عروضهما في الخارج ولو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اُضيفت إلى الموضوعات، فقد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 وقد يفهم خلافها،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العبد أو الدابّة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النصف على الإشاعة؛ بواسطة إضافة النصف إلى ما لا امتياز لنصفه، ولا انقسام له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هذا الجيش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ظاهراً في النصف عدداً، والظاهر أنّ </w:t>
      </w:r>
    </w:p>
    <w:p>
      <w:pPr>
        <w:pStyle w:val="BookText"/>
        <w:rPr/>
      </w:pPr>
      <w:r>
        <w:rPr>
          <w:rFonts w:ascii="Amiri" w:hAnsi="Amiri" w:eastAsia="Amiri" w:cs="Amiri"/>
          <w:color w:val="111111"/>
          <w:sz w:val="28"/>
          <w:sz w:val="28"/>
          <w:szCs w:val="28"/>
          <w:rtl w:val="true"/>
          <w:lang w:bidi="ar-SA"/>
        </w:rPr>
        <w:t>منه ما إذا اُضيف إلى قطيع إبل أو غنم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هذا القطيع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 إلى الدار التي لا تقسيم فيها، يحمل على الإشاعة؛ لأجل الإضافة إلى ما ليس فيه تقسيم فعلي وإفراز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كما أنّ كون النصف ملكاً لهذا، والنصف لذاك، أيضاً خارج عن نطاق المفهوم، فضلاً عن النصف المملوك لهذا وذاك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أنّ النصف بما له من المعنى، إذا اُضيف إلى ما لا قسمة له فعلاً ولا إفراز، يفهم منه النصف المشاع من غير إضافة إلى شخص، والإضافة إلى شخص أو أشخاص، تحتاج إلى دالّ آخر غير النصف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باع من له النصف النصف، ولم يرد إلاّ معنى هذا العنوان، فمع قطع النظر عن القواعد الاُخر، يكون النصف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ظهور آخر يصحّ وقوعه للمنشئ المالك للنصف، وللمالك الآخر ولهما،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وقوعه للمالك فعلاً، صحّ وقوعه له بإجازته، كما صحّ وقوعه للآخر بإجازته، ولهما بإجازتهما، فأيّة إجازة تقدّمت يقع لصاحبها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صحيح للقول بالبطلان؛ لأنّ البيع وقع على النصف المشاع، والإجازة لاحقة به بما له من العنوان، ولا تعتبر نيّة المالك في الإنشاء،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الخلاف أيضاً غير مضرّة</w:t>
      </w:r>
      <w:r>
        <w:rPr>
          <w:rStyle w:val="FootnoteAnchor"/>
          <w:rtl w:val="true"/>
        </w:rPr>
        <w:footnoteReference w:id="1149"/>
      </w:r>
      <w:r>
        <w:rPr>
          <w:rFonts w:ascii="Amiri" w:hAnsi="Amiri" w:eastAsia="Amiri" w:cs="Amiri"/>
          <w:color w:val="111111"/>
          <w:sz w:val="28"/>
          <w:sz w:val="28"/>
          <w:szCs w:val="28"/>
          <w:rtl w:val="true"/>
          <w:lang w:bidi="ar-SA"/>
        </w:rPr>
        <w:t xml:space="preserve">، والإنشاء وإن لم يكن لواحد من المالكين، </w:t>
      </w:r>
      <w:bookmarkStart w:id="647" w:name="pg15204_140766"/>
    </w:p>
    <w:p>
      <w:pPr>
        <w:pStyle w:val="BookText"/>
        <w:rPr/>
      </w:pPr>
      <w:bookmarkEnd w:id="647"/>
      <w:r>
        <w:rPr>
          <w:rFonts w:ascii="Amiri" w:hAnsi="Amiri" w:eastAsia="Amiri" w:cs="Amiri"/>
          <w:color w:val="111111"/>
          <w:sz w:val="28"/>
          <w:sz w:val="28"/>
          <w:szCs w:val="28"/>
          <w:rtl w:val="true"/>
          <w:lang w:bidi="ar-SA"/>
        </w:rPr>
        <w:t>ولا ترجيح فيه، ولا تخصّص له، لكن الإجازة من أيّهما وقعت صارت معيّنة ومخصّصة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بوجه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لأحدكما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أحدهما؛ فإنّ القبول معيّن ومخصّص، ولا وجه للبطلان في المثال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صور المسألة كثيرة نتعرّض لمهمّاتها</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759130_2142443653"/>
      <w:bookmarkStart w:id="649" w:name="_Toc241"/>
      <w:bookmarkEnd w:id="648"/>
      <w:r>
        <w:rPr>
          <w:rtl w:val="true"/>
        </w:rPr>
        <w:t>حكم عدم قصد البائع إلاّ معنى النصف</w:t>
      </w:r>
      <w:bookmarkEnd w:id="6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قدّس سرّه، وهو ما إذا علم أنّه لم يقصد إلاّ معنى هذا اللفظ</w:t>
      </w:r>
      <w:r>
        <w:rPr>
          <w:rStyle w:val="FootnoteAnchor"/>
          <w:rtl w:val="true"/>
        </w:rPr>
        <w:footnoteReference w:id="1150"/>
      </w:r>
      <w:r>
        <w:rPr>
          <w:rFonts w:ascii="Amiri" w:hAnsi="Amiri" w:eastAsia="Amiri" w:cs="Amiri"/>
          <w:color w:val="111111"/>
          <w:sz w:val="28"/>
          <w:sz w:val="28"/>
          <w:szCs w:val="28"/>
          <w:rtl w:val="true"/>
          <w:lang w:bidi="ar-SA"/>
        </w:rPr>
        <w:t>أي أنشأ البيع جدّاً على هذا العنوان بما له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محطّ البحث، فإن كان محطّه ما إذا لم يرد إلاّ هذا المفهوم حتّى في ضمن الهيئة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غافلاً عن الاُصول العقلائية والظواهر المدّعاة، كظهور التصرّف في كونه في ماله، وظهور البيع في بيع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صحيح للنزاع، ولا تنطبق الاُصول المذكورة عليه؛ فإنّها لكشف المراد، والفرض أنّ المراد معلوم، ومع الغفلة عن تلك الاُصول ولو ارتكازاً، لا معنى لجريانها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محطّه عدم إرادة غير النصف بحسب الاستعمال الأفرادي، وإن كان الجدّ ولو ارتكازاً على خلافه؛ جرياً على الاُصول العقلائية، فلا معنى للنزاع أيضاً؛ فإنّه أراد بيع ماله جدّاً، فإنّ النصف وإن كان ظاهراً في معناه لا غير، ولا تعقل إرادة غير معناه منه حقيقة، لكن لحوق دوالّ اُخر يجعل الكلام ظاهراً </w:t>
      </w:r>
    </w:p>
    <w:p>
      <w:pPr>
        <w:pStyle w:val="BookText"/>
        <w:rPr/>
      </w:pPr>
      <w:r>
        <w:rPr>
          <w:rFonts w:ascii="Amiri" w:hAnsi="Amiri" w:eastAsia="Amiri" w:cs="Amiri"/>
          <w:color w:val="111111"/>
          <w:sz w:val="28"/>
          <w:sz w:val="28"/>
          <w:szCs w:val="28"/>
          <w:rtl w:val="true"/>
          <w:lang w:bidi="ar-SA"/>
        </w:rPr>
        <w:t>في بيع حصّته، كما أنّ الأمر كذلك في جميع الهيئات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معناه، ولا يريد المتكلّم منه إلاّ معناه، وكذلك سائر المفردات، لكن بعد ضمّ بعضها إلى بعض يفيد ما هو المراد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البحث خلوّه عن الإرادة التفصيلية، مع تعلّق إرادته الجدّية إجمالاً بما يقتضيه ظهور الكلام ولو بلحاظ المقام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يدفع الإشكال؛ لأنّ الإرادة التفصيلية لا تعتبر في المعاملات، بل المعتبر هو الارتكازي منها، فحينئذٍ مع التفات المنشئ إلى الواقعة ولو إجمالاً، يكون مريداً لكون النصف المملوك له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فالالتفات إلى ظهور الكلام ولو بلحاظ المقام، لا ينفكّ عن الإرادة الإجمالية والارتكازية بانتقال ماله، وهو منافٍ لفرض خلوّه عن الإرادة، وعدم قصده إلاّ مفهوم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فرض عدم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وإجمالاً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مقتضيات الاُصول العقلائية ومقتضى المقام، لا موقع لجريان الاُصول رأساً، ولا لجريانها لكشف مراده؛ فإنّ جريانها موقوف على نحو التفات من المتكلّم، نظير قاعدة أصالة الصحّة وقاعدة التجاوز، فإنّهما لا تجريان في الغافل مع احتمال انطباق الصحيح قهراً على العمل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كون المبيع نصفه </w:t>
      </w:r>
    </w:p>
    <w:p>
      <w:pPr>
        <w:pStyle w:val="BookText"/>
        <w:rPr/>
      </w:pPr>
      <w:r>
        <w:rPr>
          <w:rFonts w:ascii="IRNazanin" w:hAnsi="IRNazanin" w:eastAsia="IRNazanin"/>
          <w:color w:val="111111"/>
          <w:sz w:val="28"/>
          <w:sz w:val="28"/>
          <w:szCs w:val="28"/>
          <w:rtl w:val="true"/>
          <w:lang w:bidi="fa-IR"/>
        </w:rPr>
        <w:t>المختصّ بالمنشئ</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المشاع بلا عنوان، أو في النصف المملوك لهما مع خلوّ إرادته إلاّ عن النصف وغفلته عن اللوازم والملازمات العقلائية، كمن غفل عن أنّ النصف له؛ فإنّ جريان أصالة الصحّة في مثله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محطّ جريان أصالة الصحّة إنّما هو فعل الفاعل، فإذا كان عمله مردّداً بين الصحيح والفاسد، يحمل على صحيحه؛ لبناء العقلاء على ذلك، وفي المقام الذي لم يرد إلاّ النصف، لا يقتضي فعله إلاّ صحّة إنشائه على النصف، فلو شكّ في صحّة 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النفوذ لأجل اشتراطه بأمر عقلائي أو شرعي خارج عن فعل المنشئ، فهو خارج عن محطّ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فقد الشرط الشرعي أو العقلائي، موجباً لبطلان المعاملة الإنشائية، فدار الأمر بين الصحيح والفاسد، يحمل على الصحيح، فلو شكّ في أنّ ما حصّله في التجارة من التجارة بالخمر، أو التجارة الربوية، يحمل على الصحّة ويحكم بحلّية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أنشأ معاملة، ويحتمل أن يكون في نفوذه شرط آخر، مع صحّة إنشائه ومنشئه، فالحمل على الصحّة لا يقتضي تحقّق شرطه؛ لأنّ فقد الشرط لا يؤثّر في بطلان فعله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فالحمل على الصحّة في المقام الذي يعلم أنّ إنشاءه وقع على النصف بما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هو ظاهر في المشاع، أو في المشاع من الحصّتين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صرف هذا الظاهر كما لا يخفى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مقام التصرّف في تصرّفه في ماله، أو في تصرّفه فيما له السلطنة عليه</w:t>
      </w:r>
      <w:r>
        <w:rPr>
          <w:rStyle w:val="FootnoteAnchor"/>
          <w:rtl w:val="true"/>
        </w:rPr>
        <w:footnoteReference w:id="1153"/>
      </w:r>
      <w:r>
        <w:rPr>
          <w:rFonts w:ascii="Amiri" w:hAnsi="Amiri" w:eastAsia="Amiri" w:cs="Amiri"/>
          <w:color w:val="111111"/>
          <w:sz w:val="28"/>
          <w:sz w:val="28"/>
          <w:szCs w:val="28"/>
          <w:rtl w:val="true"/>
          <w:lang w:bidi="ar-SA"/>
        </w:rPr>
        <w:t>، فإن كان المراد منه أنّ الغلبة تكون أمارة عقلائية على أنّ تصرّفه في ماله، كما قد يقال نظيره في الشبهة غير المحصورة، فهو كما ترى، ولا سيّما في مثل المقام الذي كان المال مشتركاً بينهما، بعد الغضّ عن أنّ الأمارة إنّما هي لكشف المراد، والمقام خارج منه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الغلبة موجبة للانصراف، فلا يبعد في غير المقام، وأمّا في المقام، فحيث كان المفروض ظهور النصف في المشاع، أو في المشاع من الحصّتين، فلا معنى لانصراف مقام التصرّف؛ فإنّ مقام التصرّف تابع في الظهور لموضوعه، ولا يعقل دفعه عن الظهور، ولا سيّما بعد فرض معلومية عدم إرادته إلاّ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البائع هو بنفسه بائع، لا بما هو منزّل منزلة الغير، أو ظهوره من حيث إسناده إلى نفسه في التمليك الحقيقي لا الإنشائي</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ليس إلاّ التسبّب إلى الملكية، واتّخاذ الملك لنفسه كأنّه ليس بقيد عرفاً، بخلاف الاتّخاذ لغيره</w:t>
      </w:r>
      <w:r>
        <w:rPr>
          <w:rStyle w:val="FootnoteAnchor"/>
          <w:rtl w:val="true"/>
        </w:rPr>
        <w:footnoteReference w:id="1155"/>
      </w:r>
      <w:r>
        <w:rPr>
          <w:rFonts w:ascii="Amiri" w:hAnsi="Amiri" w:eastAsia="Amiri" w:cs="Amiri"/>
          <w:color w:val="111111"/>
          <w:sz w:val="28"/>
          <w:sz w:val="28"/>
          <w:szCs w:val="28"/>
          <w:rtl w:val="true"/>
          <w:lang w:bidi="ar-SA"/>
        </w:rPr>
        <w:t xml:space="preserve">، فمقتضى إطلاق الكلام عدم كونه للغير </w:t>
      </w:r>
    </w:p>
    <w:p>
      <w:pPr>
        <w:pStyle w:val="BookText"/>
        <w:rPr/>
      </w:pPr>
      <w:r>
        <w:rPr>
          <w:rFonts w:ascii="Amiri" w:hAnsi="Amiri" w:eastAsia="Amiri" w:cs="Amiri"/>
          <w:color w:val="111111"/>
          <w:sz w:val="28"/>
          <w:sz w:val="28"/>
          <w:szCs w:val="28"/>
          <w:rtl w:val="true"/>
          <w:lang w:bidi="ar-SA"/>
        </w:rPr>
        <w:t>حتّى الموكّل والمولّى عليه، فضلاً عن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الإشكال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تكرّر منّا </w:t>
      </w:r>
      <w:r>
        <w:rPr>
          <w:rStyle w:val="FootnoteAnchor"/>
          <w:rtl w:val="true"/>
        </w:rPr>
        <w:footnoteReference w:id="1156"/>
      </w:r>
      <w:r>
        <w:rPr>
          <w:rFonts w:ascii="Amiri" w:hAnsi="Amiri" w:eastAsia="Amiri" w:cs="Amiri"/>
          <w:color w:val="111111"/>
          <w:sz w:val="28"/>
          <w:sz w:val="28"/>
          <w:szCs w:val="28"/>
          <w:rtl w:val="true"/>
          <w:lang w:bidi="ar-SA"/>
        </w:rPr>
        <w:t xml:space="preserve">أنّ ماهية البيع ليست إلاّ النقل الإنشائي، وما هو فعل الموجب ليس إلاّ ذلك، بلا افتراق بين الأصيل والفضولي والمكره وغيره في ذلك، والنقل الواقعي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تارة يترتّب على فعله، واُخرى 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ماهية البيع، وإلاّ يلزم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الفضولي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معنى لتنزيله منزلة الغير في الفضولي ونحوه؛ لعدم إيجاده إلاّ المعنى الإنشائي والمبادلة الإنشائية، كما أنّ الأصيل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فالإيجاد الحقيقي؛ بمعنى إيجاد الذي يترتّب عليه الأثر، واتّخاذ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اتّخاذ الأثر المترتّب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خارج عن فعل البائع، أصيلاً كان، أو فضولياً، والنقل القانوني أو الشرعي الواقعي، أمر مترتّب على البيع الحقيقي؛ أي المنشأ بإنشاء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النقل الذي هو خارج عن حقيقة البيع، قد يكون حاصلاً، وقد لا يكون، كالفضولي، وكالقبض في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أوجدت الأثر؛ أي النقل الواقعي القانوني، بل معناه أوجدت المبادلة الإنشائية، وهذا فعل الفضولي لا صاحب المال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فالفضولي يوجد ماهية البيع حقيقة، وإسناده إلى نفسه صحيح، واتّخاذه </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الموضوع الموجود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انصراف تلك العناوين إلى أنّ الموجد لها صاحب السلعة، فجميع ما ذكر في المقام لا يخرج عن الانصراف، وهو في غير المقام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المقام الذي فرض عدم إرادته إلاّ النصف، الظاهر في المشاع، أو المشاع من الحصّتين، لا يصحّ؛ لما مرّ من أنّ تصوّر عدم إرادته إلاّ النصف في الهيئة التركيبية وبلحاظها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غفلة المتكلّم عن الواقعة وعن الارتكاز العقلائي، وإلاّ خرج عن ظاهر موضوع البحث، وفي مثله لا معنى للانصراف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أراد نصف صاحبه لا معنى للانصراف، فكذلك لو علم أنّه أراد النصف المشاع بنحو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فالانصراف إنّما يصحّ، فيما إذا شكّ أنّه أراد نصفه، أو نصف غيره، على ما سيأتي الكلام فيه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يظهر النظر في كثير من كلمات الأعيان</w:t>
      </w:r>
      <w:r>
        <w:rPr>
          <w:rStyle w:val="FootnoteAnchor"/>
          <w:rtl w:val="true"/>
        </w:rPr>
        <w:footnoteReference w:id="1158"/>
      </w:r>
      <w:r>
        <w:rPr>
          <w:rFonts w:ascii="Amiri" w:hAnsi="Amiri" w:eastAsia="Amiri" w:cs="Amiri"/>
          <w:color w:val="111111"/>
          <w:sz w:val="28"/>
          <w:sz w:val="28"/>
          <w:szCs w:val="28"/>
          <w:rtl w:val="true"/>
          <w:lang w:bidi="ar-SA"/>
        </w:rPr>
        <w:t>، ولا سيّما بعض المدقّقين منهم</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لم يرد إلاّ النصف، وقلنا بأنّ الظاهر منه ولو لأجل </w:t>
      </w:r>
    </w:p>
    <w:p>
      <w:pPr>
        <w:pStyle w:val="BookText"/>
        <w:rPr/>
      </w:pPr>
      <w:r>
        <w:rPr>
          <w:rFonts w:ascii="Amiri" w:hAnsi="Amiri" w:eastAsia="Amiri" w:cs="Amiri"/>
          <w:color w:val="111111"/>
          <w:sz w:val="28"/>
          <w:sz w:val="28"/>
          <w:szCs w:val="28"/>
          <w:rtl w:val="true"/>
          <w:lang w:bidi="ar-SA"/>
        </w:rPr>
        <w:t xml:space="preserve">الإطلاق، هو النصف المشاع بلا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لنفسه، لا للوجوه المذكورة، بل لأنّ الإنشاء جدّاً تعلّق بعنوان صالح للوقوع على حصّة نفسه، وإن كان في نفسه صالحاً لحصّة غيره، أو للنصف من حصّتهما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شرط التأثير الفعلي حاصل بالنسبة إلى حصّة نفسه؛ لأنّ المنشئ صاحب المال، والموضوع صالح للوقوع عنه، وشرط الوقوع من غيره مفقود؛ لفرض عدم إجازته، وعدم كونه وكيلاً أو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على النصف بلا عنوان، عقد من صاحب المال على عنوان صالح للتطبيق على ماله، فالمقتضي موجود، والشرائط حاصلة، فلا وجه لعدم وقوعه، فوجب عليه الوفاء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المشاع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وقوع البيع على العنوان الكلّي، وقابل للوقوع على كلّ نصف فرض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باع صاحب النصف المشاع النصف المشاع القابل للوقوع على ماله، ولم يقيّده بما ينافيه، وقع بالنسبة إلى نصفه؛ لحصول شرائطه، وهو المخصّص، ولا يعقل وقوعه فعلاً بالنسبة إلى غيره؛ لعدم وجود الشرط، وبعد وقوعه لنفسه لا معنى لضمّ إجازة مجيز إليه،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أحد الفروض في هذه الصورة، وهو فرض ظهور النصف في المشاع بلا عنوان، مع كون البائع أجنبيّاً بالنسبة إلى نصف غيره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قلنا بظهوره في النصف من الحصّتين ظهوراً بحسب الإطلاق؛ أي يقتضي إطلاق الكلام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منشأ دعوى الظهور في النصف من الحصّتين، مقايسة الأمر الاعتباري والأقسام الاعتبارية بالأقسام الخارجية التكوينية؛ حيث إنّ النصف الخارجي مشترك بينهما، فتوهّم أنّ النصف كذلك ولو في الاعتباريات والأنصاف المعتبرة في المبيع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القياس مع الفارق؛ فإنّه في الخارج لا يكون نصف غير مشاع، بخلاف ما في الاعتبار؛ فإنّ نصف كلّ منهما لا يشاركه غيره، ولهذا لا يجوز التصرّف في الموجود الخارجي إلاّ بإذن الشركاء، وتصحّ التصرّفات الاعتبارية في النصف المختصّ بلا دخالة إذن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النصف الاعتباري الذي اعتبر في الدار الموجودة في الخارج، لا تعيّن له بوجه إلاّ تعيّن كونه نصفاً، فتعيّن النصف من الحصّتين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حيطته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ظاهراً في الحصّتين، والفرض عدم إرادته إلاّ ذلك، فلا يمكن ذلك إلاّ مع الغفلة عن الواقعة، 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الاُصول اللفظية والمقامية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فرض الجريان لا يبعد تقديم ظهور المتعلّق عليها، وكونها تبعاً لظهور المتعلّقات كما تقدّم، فظهور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الحصّتين إمّا خالٍ عن المعارض، أو مقدّم عليه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البائع غير أجنبيّ عن التصرّف، كالوكيل والوليّ ونحوهما، والصورة </w:t>
      </w:r>
    </w:p>
    <w:p>
      <w:pPr>
        <w:pStyle w:val="BookText"/>
        <w:rPr/>
      </w:pPr>
      <w:r>
        <w:rPr>
          <w:rFonts w:ascii="Amiri" w:hAnsi="Amiri" w:eastAsia="Amiri" w:cs="Amiri"/>
          <w:color w:val="111111"/>
          <w:sz w:val="28"/>
          <w:sz w:val="28"/>
          <w:szCs w:val="28"/>
          <w:rtl w:val="true"/>
          <w:lang w:bidi="ar-SA"/>
        </w:rPr>
        <w:t>بحالها، فتقدّم ظهور المتعلّق أولى من السابق؛ لعدم محلّ للاُصول المقامية والكلامية، حتّى دعوى الانصراف لأجل الغلبة؛ لمنع الغلبة في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بعض أهل التدقيق، حيث ذهب إلى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التمليك الحقيقي، وهو أجنبيّ عن الإطلاق</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ظهور المادّة،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الفضولي وبيع المكره،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منصرفة إليه، وفي المقام لا وقع للانصراف، والبيع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النفوذ والنقل الواقعي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في المقام بالنسبة إلى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إذا كان المعارض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انصراف المبيع إلى مال البائع في مقام التصرّف، أو ظهور التمليك في الأصالة</w:t>
      </w:r>
      <w:r>
        <w:rPr>
          <w:rStyle w:val="FootnoteAnchor"/>
          <w:rtl w:val="true"/>
        </w:rPr>
        <w:footnoteReference w:id="1162"/>
      </w:r>
      <w:r>
        <w:rPr>
          <w:rFonts w:ascii="Amiri" w:hAnsi="Amiri" w:eastAsia="Amiri" w:cs="Amiri"/>
          <w:color w:val="111111"/>
          <w:sz w:val="28"/>
          <w:sz w:val="28"/>
          <w:szCs w:val="28"/>
          <w:rtl w:val="true"/>
          <w:lang w:bidi="ar-SA"/>
        </w:rPr>
        <w:t>، 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التشبّث بأنّ ظهور المقيّد وارد على ظهور المطلق</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المقيّد 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المشاع من الحصّتين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 من أنّ التعارض بين الإطلاقين، ومقتضى الإطلاق بعد تماميته لا يوجب التقدّم ولو كان ثبوت قيد، فضلاً عن المقام، حيث كان مقتضى إطلاق مقام التصرّف ثبوت القيد أيضاً، وهو كون النصف له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بعض المدقّقين قدّس سرّه، حيث ذهب إلى نحو ما أفاده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تقديم ظهور المقيّد على المطلق</w:t>
      </w:r>
      <w:r>
        <w:rPr>
          <w:rStyle w:val="FootnoteAnchor"/>
          <w:rtl w:val="true"/>
        </w:rPr>
        <w:footnoteReference w:id="1164"/>
      </w:r>
      <w:r>
        <w:rPr>
          <w:rFonts w:ascii="Amiri" w:hAnsi="Amiri" w:eastAsia="Amiri" w:cs="Amiri"/>
          <w:color w:val="111111"/>
          <w:sz w:val="28"/>
          <w:sz w:val="28"/>
          <w:szCs w:val="28"/>
          <w:rtl w:val="true"/>
          <w:lang w:bidi="ar-SA"/>
        </w:rPr>
        <w:t>، كما تقدّم هو وما فيه، وذهب هاهنا إلى خلافه بوجه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المطابقي لإطلاق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التمليك للغير منفرداً ومشتركاً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للمدلول الالتزامي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إضافته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والمدلول المطابقي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إضافته إلى البائع بخصوصه، وإلى شريكه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للمدلول الالتزامي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الالتزامي لكلّ مناف للمدلول الالتزامي للآخر، وكلّ من الإطلاقين مثبت لأمر، ونافٍ لآخر، ولا ترجيح لتقديم أحدهما على الآخر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ليس من الدلالات اللفظية،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مدلول مطابقي والتزامي،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نفس الطبيعة، والقيود كلّها خارجة عن مفهومه ومدلوله، ودلالته عليها دلالة لفظية بالمطابقة، وإذا لم يأت المتكلّم والمنشئ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كإضافته إلى نفسه أو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والمدّعي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هو المشاع بين الحصّتين، فما هو من المداليل اللفظية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الطبيعة، وعدم إضافته إلى هذا أو ذاك من فعل المنشئ، حيث أتى بها ولم يأت بالقيد، لا من الدلالة المطابقية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على النصف المشترك مدلول مطابقي، كان أقرب إلى </w:t>
      </w:r>
    </w:p>
    <w:p>
      <w:pPr>
        <w:pStyle w:val="BookText"/>
        <w:rPr/>
      </w:pPr>
      <w:r>
        <w:rPr>
          <w:rFonts w:ascii="Amiri" w:hAnsi="Amiri" w:eastAsia="Amiri" w:cs="Amiri"/>
          <w:color w:val="111111"/>
          <w:sz w:val="28"/>
          <w:sz w:val="28"/>
          <w:szCs w:val="28"/>
          <w:rtl w:val="true"/>
          <w:lang w:bidi="ar-SA"/>
        </w:rPr>
        <w:t>الصواب ولو لم يكن صحيحاً أيضاً، وكذا الحال في جانب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معارضة بين المداليل المطابقية؛ أي ما دلّت عليه نفس طبيعة النصف ونفس طبيعة الإنشاء، وإنّما المعارض إطلاق كلّ لإطلاق الآخر، وكلّ منهما مثبت بإطلاقه لشيء مخالف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المشاع بلا قيد، وكان البائع وكيلاً أو وليّاً لصاحب النصف، فالظاهر بطلانه؛ لعدم الترجيح، وما ذكرناه في الفرض السابق لا يجري هاهنا </w:t>
      </w:r>
      <w:r>
        <w:rPr>
          <w:rStyle w:val="FootnoteAnchor"/>
          <w:rtl w:val="true"/>
        </w:rPr>
        <w:footnoteReference w:id="1166"/>
      </w:r>
      <w:r>
        <w:rPr>
          <w:rFonts w:ascii="Amiri" w:hAnsi="Amiri" w:eastAsia="Amiri" w:cs="Amiri"/>
          <w:color w:val="111111"/>
          <w:sz w:val="28"/>
          <w:sz w:val="28"/>
          <w:szCs w:val="28"/>
          <w:rtl w:val="true"/>
          <w:lang w:bidi="ar-SA"/>
        </w:rPr>
        <w:t>لتحقّق 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الاُصول العقلائية المذكورة لا تجري في المقام، والقياس بالكلّي في غير محلّه، لأنّ الإشاعة تخالف الكلّي كما تقدّم</w:t>
      </w:r>
      <w:r>
        <w:rPr>
          <w:rStyle w:val="FootnoteAnchor"/>
          <w:rtl w:val="true"/>
        </w:rPr>
        <w:footnoteReference w:id="1167"/>
      </w:r>
      <w:r>
        <w:rPr>
          <w:rFonts w:ascii="Amiri" w:hAnsi="Amiri" w:eastAsia="Amiri" w:cs="Amiri"/>
          <w:color w:val="111111"/>
          <w:sz w:val="28"/>
          <w:sz w:val="28"/>
          <w:szCs w:val="28"/>
          <w:rtl w:val="true"/>
          <w:lang w:bidi="ar-SA"/>
        </w:rPr>
        <w:t>، ولو كان من قبيل الكلّي في المعيّن، لكان لازمه عدم ملك المشتري بعد البيع للحصّة الخارجية، وكان كلّي النصف على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مفروض الكلام؛ لأنّ الكلام في النصف المشاع، ولا ترجيح في البين، فيقع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قدّس سرّه أطال الكلام في المقام بما لا ربط له بالمسألة، كتنظير المقام بما ذكروا فيما لو أصدق المرأة عيناً، فوهبت نصفها المشاع قبل الطلاق، 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استحقّ النصف الباقي، لا نصفه وقيمة نصف الموهوب</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من جهة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الباقي، فيدخل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المقام لا ينطبق على نصفه المختصّ؛ لعدم الترجيح على ما أشرنا إليه، وأمّا في مورد مهر المرأة فالمخصّص محقّق؛ لأنّ الموهوب خارج عن ملكه، والطلاق سبب للتنصيف فعلاً، فإذا وجد السبب لإرجاع النصف المشاع بلا عنوان، وكان النصف المشاع موجوداً، يؤثّر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للرجوع إلى القيمة إلاّ مع تعذّر النصف المشاع، فالتخصيص ليس بلا مخصّص،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الإقرار بالنصف،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بإطلاقه في النصف من النصيبين، فلا إشكال في الحمل عليه؛ لعدم معارضة شيء له، لعدم اُصول لفظية أو مقامية في المقام، فما لم يقم دليل على إرادة النصف الخاصّ به يؤخذ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 بأنّ النصف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النصف المختصّ،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نصفه لفلان</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إشكال؛ لعدم ظهور الإقرار فيما هو نافذ وجائز، ولا سيّما في المقام الذي كان المقرّ به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الأخذ بالظهور بعد تسليمه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المشاع مطلقاً وبلا قيد،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w:t>
      </w:r>
      <w:bookmarkStart w:id="650" w:name="pg15204_140778"/>
    </w:p>
    <w:p>
      <w:pPr>
        <w:pStyle w:val="BookText"/>
        <w:rPr/>
      </w:pPr>
      <w:bookmarkEnd w:id="650"/>
      <w:r>
        <w:rPr>
          <w:rFonts w:ascii="Amiri" w:hAnsi="Amiri" w:eastAsia="Amiri" w:cs="Amiri"/>
          <w:color w:val="111111"/>
          <w:sz w:val="28"/>
          <w:sz w:val="28"/>
          <w:szCs w:val="28"/>
          <w:rtl w:val="true"/>
          <w:lang w:bidi="ar-SA"/>
        </w:rPr>
        <w:t>الدار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نفوذه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حصّة غيره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حصّته منفرداً أو مشتركاً، فلأنّ الإقرار بأمر أعمّ لا يدلّ على الأخصّ، والإقرار إنّما هو نافذ على المقرّ بعد ظهور كلامه، والفرض عدم ظهوره إلاّ في النصف القابل لكونه له أو لغيره أو لهما، فلا وجه للأخذ به،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الكلام في الفرع الآخر، وهو إقرار أحد الشريكين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ذكرنا وما لم نذكره ممّا ذكره الشيخ قدّس سرّه مقام آخر، هذا كلّه فيما إذا علم أنّ البائع لم يرد إلاّ النصف</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2759132_2142443653"/>
      <w:bookmarkStart w:id="652" w:name="_Toc242"/>
      <w:bookmarkEnd w:id="651"/>
      <w:r>
        <w:rPr>
          <w:rtl w:val="true"/>
        </w:rPr>
        <w:t>حكم إرادة البائع شيئاً معيّناً من النصف</w:t>
      </w:r>
      <w:bookmarkEnd w:id="652"/>
    </w:p>
    <w:p>
      <w:pPr>
        <w:pStyle w:val="BookText"/>
        <w:rPr/>
      </w:pPr>
      <w:r>
        <w:rPr>
          <w:rFonts w:ascii="Amiri" w:hAnsi="Amiri" w:eastAsia="Amiri" w:cs="Amiri"/>
          <w:color w:val="111111"/>
          <w:sz w:val="28"/>
          <w:sz w:val="28"/>
          <w:szCs w:val="28"/>
          <w:rtl w:val="true"/>
          <w:lang w:bidi="ar-SA"/>
        </w:rPr>
        <w:t>وأمّا إذا علم أنّه أراد شيئاً معيّناً، كنصف صاحبه أو نصفه، ففيه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كالعلم بإرادة حصّته أو حصّة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العلم بإرادة حصّته أو النصف من الحصّتين، أو حصّة صاحبه أو النصف من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العلم بإرادة حصّته أو حصّة صاحبه أو النصف من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أجنبيّاً عن النصف الآخر، واُخرى وكيلاً أو وليّاً، وتتصوّر صور اُخر أيضاً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المحتملات عدم إرادته إلاّ النصف،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احتمال عدم الإرادة لاحتمال الجهل بالواقعة،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الغفلة توجب انحلال العلم الإجمالي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أمارة عقلائية، ويحتمل ذلك حتّى على القول بأنّها أصل عقلائي، والتحقيق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هذا الفرض طرف العلم، فإن كان أحد الأطراف في الفروض حصّة نفسه،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لظهور مقام البيع في إرادة حصّة نفسه على ظهور المتعلّق؛ لأقوائية هذا الظهور، بل لا منافاة بينهما؛ لأنّ الأوّل حاكم على الثاني</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شطر من الكلام حول ما قيل أو يقال لتقديم هذا الظهور أو ظهور الإنشاء</w:t>
      </w:r>
      <w:r>
        <w:rPr>
          <w:rStyle w:val="FootnoteAnchor"/>
          <w:rtl w:val="true"/>
        </w:rPr>
        <w:footnoteReference w:id="1171"/>
      </w:r>
      <w:r>
        <w:rPr>
          <w:rFonts w:ascii="Amiri" w:hAnsi="Amiri" w:eastAsia="Amiri" w:cs="Amiri"/>
          <w:color w:val="111111"/>
          <w:sz w:val="28"/>
          <w:sz w:val="28"/>
          <w:szCs w:val="28"/>
          <w:rtl w:val="true"/>
          <w:lang w:bidi="ar-SA"/>
        </w:rPr>
        <w:t>، فلا نطيل،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تقديم ظهور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التصرّف وكذا الإنشاء ونحوه، اُمور توصّلية آلية، لا تتوجّه نفس السامع إليها ابتداءً، بل التوجّه التامّ إلى المتعلّق والموضوع، فإذا انقدح ظهور منه في الأذهان، يدفع ظهور مقام التصرّف أو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يسلّم ذلك، فلا مجال لتقديم الأوّل عليه؛ لأنّها كلّها ظهورات من قبل الإطلاق، ولا ترجيح لأحدها على غيره، ولا سيّما إذا كان البائع وكيلاً أو وليّاً؛ فإنّ الظهور في الحصّتين لو سلّم، لا يعارضه شيء كما مرّ</w:t>
      </w:r>
      <w:r>
        <w:rPr>
          <w:rStyle w:val="FootnoteAnchor"/>
          <w:rtl w:val="true"/>
        </w:rPr>
        <w:footnoteReference w:id="1172"/>
      </w:r>
      <w:r>
        <w:rPr>
          <w:rFonts w:ascii="Amiri" w:hAnsi="Amiri" w:eastAsia="Amiri" w:cs="Amiri"/>
          <w:color w:val="111111"/>
          <w:sz w:val="28"/>
          <w:sz w:val="28"/>
          <w:szCs w:val="28"/>
          <w:rtl w:val="true"/>
          <w:lang w:bidi="ar-SA"/>
        </w:rPr>
        <w:t>، وبالتأمّل فيما مرّ يظهر الكلام في جميع الصور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ذكرناه إنّما هو في المشاع، وأمّا في غيره، كما لو كان له عبد، </w:t>
      </w:r>
    </w:p>
    <w:p>
      <w:pPr>
        <w:pStyle w:val="BookText"/>
        <w:rPr/>
      </w:pPr>
      <w:r>
        <w:rPr>
          <w:rFonts w:ascii="Amiri" w:hAnsi="Amiri" w:eastAsia="Amiri" w:cs="Amiri"/>
          <w:color w:val="111111"/>
          <w:sz w:val="28"/>
          <w:sz w:val="28"/>
          <w:szCs w:val="28"/>
          <w:rtl w:val="true"/>
          <w:lang w:bidi="ar-SA"/>
        </w:rPr>
        <w:t xml:space="preserve">ولصاحبه عبد، وكان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أنّه إمّا أراد بيع عبده، أو عبد صاحبه، ففي هذا المورد وأشباهه ليس لظهور المقام وسائر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كالإنشاء، ومادّة البيع ولو من قبل الانصراف بعد تمامية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لإجمال المتعلّق، وتلك الظهورات ترفع الإجمال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حكي عن الفخر قدّس سرّه من الإجماع على انصرافه إلى عبده</w:t>
      </w:r>
      <w:r>
        <w:rPr>
          <w:rStyle w:val="FootnoteAnchor"/>
          <w:rtl w:val="true"/>
        </w:rPr>
        <w:footnoteReference w:id="1173"/>
      </w:r>
      <w:r>
        <w:rPr>
          <w:rFonts w:ascii="Amiri" w:hAnsi="Amiri" w:eastAsia="Amiri" w:cs="Amiri"/>
          <w:color w:val="111111"/>
          <w:sz w:val="28"/>
          <w:sz w:val="28"/>
          <w:szCs w:val="28"/>
          <w:rtl w:val="true"/>
          <w:lang w:bidi="ar-SA"/>
        </w:rPr>
        <w:t>، وهو في محلّه، لكن مقايسة المشاع به غير وجيهة، كما أفاده الشيخ الأعظم</w:t>
      </w:r>
      <w:r>
        <w:rPr>
          <w:rStyle w:val="FootnoteAnchor"/>
          <w:rtl w:val="true"/>
        </w:rPr>
        <w:footnoteReference w:id="1174"/>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653" w:name="pg15204_140781"/>
    </w:p>
    <w:p>
      <w:pPr>
        <w:pStyle w:val="Heading4"/>
        <w:numPr>
          <w:ilvl w:val="3"/>
          <w:numId w:val="1"/>
        </w:numPr>
        <w:rPr/>
      </w:pPr>
      <w:bookmarkStart w:id="654" w:name="__RefHeading___Toc2759134_2142443653"/>
      <w:bookmarkStart w:id="655" w:name="_Toc243"/>
      <w:bookmarkEnd w:id="653"/>
      <w:bookmarkEnd w:id="654"/>
      <w:r>
        <w:rPr>
          <w:rtl w:val="true"/>
        </w:rPr>
        <w:t>مسألة ولاية الأب والجدّ</w:t>
      </w:r>
      <w:bookmarkEnd w:id="655"/>
    </w:p>
    <w:p>
      <w:pPr>
        <w:pStyle w:val="Heading5"/>
        <w:numPr>
          <w:ilvl w:val="4"/>
          <w:numId w:val="1"/>
        </w:numPr>
        <w:rPr/>
      </w:pPr>
      <w:bookmarkStart w:id="656" w:name="__RefHeading___Toc2759136_2142443653"/>
      <w:bookmarkStart w:id="657" w:name="_Toc244"/>
      <w:bookmarkEnd w:id="656"/>
      <w:r>
        <w:rPr>
          <w:rtl w:val="true"/>
        </w:rPr>
        <w:t>بيانها</w:t>
      </w:r>
      <w:bookmarkEnd w:id="657"/>
    </w:p>
    <w:p>
      <w:pPr>
        <w:pStyle w:val="BookText"/>
        <w:rPr/>
      </w:pPr>
      <w:r>
        <w:rPr>
          <w:rFonts w:ascii="Amiri" w:hAnsi="Amiri" w:eastAsia="Amiri" w:cs="Amiri"/>
          <w:color w:val="111111"/>
          <w:sz w:val="28"/>
          <w:sz w:val="28"/>
          <w:szCs w:val="28"/>
          <w:rtl w:val="true"/>
          <w:lang w:bidi="ar-SA"/>
        </w:rPr>
        <w:t>يجوز للأب والجدّ من قبل الأب التصرّف في مال الطفل بالبيع والشراء، وهذا في الجملة من واضحات الفقه، وتدلّ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إلى رجل بولده وبمال لهم، وأذن له عند الوصيّة أن يعمل بالمال، وأن يكون الربح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بتعليلها على أنّ إذن الأب موجب لصحّة المعاملات الواقعة على مال الصغير، سواء كان في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يوكّل من يعمل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بعد مماته؛ بالإيصاء والإجازة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فيظهر منها أنّ له التصرّف بالبيع والشراء ونحوهما، وأنّه وليّ الطفل، وأنّ تصرّفاته نافذة، سواء كانت فيما ملكه الطفل حال حياته، أو فيما انتقل إليه بعد مماته، بل دلالتها على الأوّل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يصغى إلى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لا تدلّ على وجود مال للصغير حال حياة الوالد</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سندها من يتأمّل فيه إلاّ مثنّى بن الوليد، ولا يبعد حسن حاله بل وثاقته، وقد نقل عن الكشّي، عن العيّاشي،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w:t>
      </w:r>
      <w:r>
        <w:rPr>
          <w:rStyle w:val="FootnoteAnchor"/>
          <w:rtl w:val="true"/>
        </w:rPr>
        <w:footnoteReference w:id="1177"/>
      </w:r>
      <w:r>
        <w:rPr>
          <w:rFonts w:ascii="Amiri" w:hAnsi="Amiri" w:eastAsia="Amiri" w:cs="Amiri"/>
          <w:color w:val="111111"/>
          <w:sz w:val="28"/>
          <w:sz w:val="28"/>
          <w:szCs w:val="28"/>
          <w:rtl w:val="true"/>
          <w:lang w:bidi="ar-SA"/>
        </w:rPr>
        <w:t>، وهو توثيق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بن بكير</w:t>
      </w:r>
      <w:r>
        <w:rPr>
          <w:rStyle w:val="FootnoteAnchor"/>
          <w:rtl w:val="true"/>
        </w:rPr>
        <w:footnoteReference w:id="1178"/>
      </w:r>
      <w:r>
        <w:rPr>
          <w:rFonts w:ascii="Amiri" w:hAnsi="Amiri" w:eastAsia="Amiri" w:cs="Amiri"/>
          <w:color w:val="111111"/>
          <w:sz w:val="28"/>
          <w:sz w:val="28"/>
          <w:szCs w:val="28"/>
          <w:rtl w:val="true"/>
          <w:lang w:bidi="ar-SA"/>
        </w:rPr>
        <w:t>وفيها دلالة على صحّة إذن الوالد في العمل بمال 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يديه مال لأخ له يتيم وهو وصيّه، أيصلح له أن يعمل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يعمل بمال غيره،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منها أنّ الناظر له البيع والشراء؛ لأجل كونه ناظراً، ولازمه ولاية الأب، ومقتضى الإطلاق عدم الفرق بين المال الذي لليتيم حال حياة أبيه، وبين ما كان منتقلاً إليه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 مات وترك أولاداً صغاراً، وترك مماليك وغلماناً وجواري ولم يوص، فما ترى فيمن يشتري منهم الجارية فيتّخذها اُمّ ولد، وما ترى في بيعهم؟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لهم وليّ يقوم بأمرهم باع عليهم ونظر لهم، وكان مأجوراً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الجارية فيتّخذها اُمّ ولد؟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باع عليهم القيّم لهم الناظر فيما يصلحهم، فليس لهم أن يرجعوا فيما صنع القيّم لهم الناظر فيما يصلحهم</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ترك الوصيّة إنّما هو بالنسبة إلى الجواري والغلمان، وكان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نصبه الأب؛ فإنّ نصب قضاة الجور لا أثر له،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فقيه منّا مفروض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نصب فقهائنا؛ فلأنّه لم يكن ميسوراً في تلك الأزمنة، فالمراد هو القيّم بحقّ، وليس إلاّ القيّم من قبل الأب أو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وفيها بعد فرض عدم وصيّة الأب، وجعل القاضي عبدالحميد 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بيع الجواري ضعف قلبه عن بيعهنّ؛ إذ لم يكن الميّت صيّر إليه وصيّته، وكان قيامه فيها بأمر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منها أنّ ضعف قلبه؛ لأجل أنّ الأب لم يصيّر إليه الوصيّة، وإلاّ فلم يضعف قلبه، ويتّضح منها أنّ جواز توصية الأب ونفوذ ما فعله القيّم من قبله، كان معروفاً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تقرير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وصيّة الأب وجعله القيّم، توجب صحّة ما فعله الوصيّ؛ من بيع الجواري وغيرها، ولولا ذلك لكان عليه التنبيه على أنّ جعله أيضاً لا يفيد؛ فإنّه شبهة حكمية مهمّة، يجب التنبيه فيها على الواقع لو كان مخالفاً لزعم ابن بزيع وعبدالحميد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كالصحيحة، بل صحيحة على الأصحّ</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لذات يوم عند زياد بن عبداللّه،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أبي زوّج ابنتي بغير إذني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عبداللّه؟</w:t>
      </w:r>
    </w:p>
    <w:p>
      <w:pPr>
        <w:pStyle w:val="BookText"/>
        <w:rPr/>
      </w:pPr>
      <w:r>
        <w:rPr>
          <w:rFonts w:ascii="IRNazanin" w:hAnsi="IRNazanin" w:eastAsia="IRNazanin"/>
          <w:color w:val="111111"/>
          <w:sz w:val="28"/>
          <w:sz w:val="28"/>
          <w:szCs w:val="28"/>
          <w:rtl w:val="true"/>
          <w:lang w:bidi="fa-IR"/>
        </w:rPr>
        <w:t>فلمّا سألني أقبلت على الذين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فيما تروون أنتم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رجلاً جاء يستعديه على أبيه في مثل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وهو وماله لأبيه، ولا يجوز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الأخذ بظاهرها، على فرض ظهورها في مملوكية الابن وملكه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إنكار الظهور، خصوصاً في مثل المورد الذي لا يكون الابن رقّاً، وفرض كون المال للابن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معنى كنائي، كما يقول العرف في مورد صحّة تصرّف الغير أو جوازه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العبد وما في يده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نفوذ تصرّف الأب، إمّا في المورد خاصّة،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كلّ مورد كان فيه الابن وليّ التصرّف، كمال ابنه ونحوه، لا مال نفسه، وهو خلاف إطلاقها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كلّ مورد كان فيه الابن نافذ التصرّف وجائزه حتّى في أمواله، كما هو مقتضى الإطلاق، خرجت منه أمواله حال كبره إلاّ ما استثني، وبقي الباقي، </w:t>
      </w:r>
    </w:p>
    <w:p>
      <w:pPr>
        <w:pStyle w:val="BookText"/>
        <w:rPr/>
      </w:pPr>
      <w:r>
        <w:rPr>
          <w:rFonts w:ascii="Amiri" w:hAnsi="Amiri" w:eastAsia="Amiri" w:cs="Amiri"/>
          <w:color w:val="111111"/>
          <w:sz w:val="28"/>
          <w:sz w:val="28"/>
          <w:szCs w:val="28"/>
          <w:rtl w:val="true"/>
          <w:lang w:bidi="ar-SA"/>
        </w:rPr>
        <w:t xml:space="preserve">لو لم نقل بانصرافها عنها كما لا يبعد؛ لمعهودية استقلال المكلّف في نفسه وماله، وعدم سلطنة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بل هو كالضروري، فتنصرف الأدلّة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ليس خروج أمواله ونفسه حال كبره من قبيل التقييد، حتّى يتوهّم أنّه من التقييد الأكثري، وإن كان الإشكال في غير محلّه مطلقاً، فتدلّ على ولاية الجدّ، وتقدّمها عند التزاحم على ولاية الأب في كلّ مورد له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للأب التصرّف في مال ولده الصغير ونفسه؛ لأنّه وماله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وللجدّ وإن علا ذلك أيضاً؛ للكبرى المذكورة، وسيأتي الكلام فيه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وإرادة أنّ كلّ ما كان للابن فلأبيه، فلا تدلّ على حدود ولاية الجدّ، ولا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ثبوت الولاية وحدودها للأب تثبت للجدّ بتلك الرواية، لكن مع مخالفة ذلك للذوق العرفي، فهو مخالف للروايات الاُخر</w:t>
      </w:r>
      <w:r>
        <w:rPr>
          <w:rStyle w:val="FootnoteAnchor"/>
          <w:rtl w:val="true"/>
        </w:rPr>
        <w:footnoteReference w:id="1185"/>
      </w:r>
      <w:r>
        <w:rPr>
          <w:rFonts w:ascii="Amiri" w:hAnsi="Amiri" w:eastAsia="Amiri" w:cs="Amiri"/>
          <w:color w:val="111111"/>
          <w:sz w:val="28"/>
          <w:sz w:val="28"/>
          <w:szCs w:val="28"/>
          <w:rtl w:val="true"/>
          <w:lang w:bidi="ar-SA"/>
        </w:rPr>
        <w:t>، ولا سيّما ما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 الولد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سعيد بن يسار</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اختلاف هوى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هوى الجدّ أحقّ بالجارية؛ لأنّها وأباها </w:t>
      </w:r>
    </w:p>
    <w:p>
      <w:pPr>
        <w:pStyle w:val="BookText"/>
        <w:rPr/>
      </w:pPr>
      <w:r>
        <w:rPr>
          <w:rFonts w:ascii="Amiri" w:hAnsi="Amiri" w:eastAsia="Amiri" w:cs="Amiri"/>
          <w:color w:val="111111"/>
          <w:sz w:val="28"/>
          <w:sz w:val="28"/>
          <w:szCs w:val="28"/>
          <w:rtl w:val="true"/>
          <w:lang w:bidi="ar-SA"/>
        </w:rPr>
        <w:t>للجدّ</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وطريق الاستفادة منها كما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باب تصرّفات الأب في مال الابن، روايات كثيرة قابلة للجمع؛ فإنّها بين مطلق ومقيّد، فتحمل المطلقات على المقيّدات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في بعضها بين تحديد حدود جواز الأخذ بمورد احتياج الأب وعدم السرف، وبين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كصحيحة محمّد بن مسلم</w:t>
      </w:r>
      <w:r>
        <w:rPr>
          <w:rStyle w:val="FootnoteAnchor"/>
          <w:rtl w:val="true"/>
        </w:rPr>
        <w:footnoteReference w:id="1188"/>
      </w:r>
      <w:r>
        <w:rPr>
          <w:rFonts w:ascii="Amiri" w:hAnsi="Amiri" w:eastAsia="Amiri" w:cs="Amiri"/>
          <w:color w:val="111111"/>
          <w:sz w:val="28"/>
          <w:sz w:val="28"/>
          <w:szCs w:val="28"/>
          <w:rtl w:val="true"/>
          <w:lang w:bidi="ar-SA"/>
        </w:rPr>
        <w:t>وصحيحة أبي حمزة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فتظهر منهما ومن غيرهما حدود جواز الأخذ بلا إذن من الابن، وأنّ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ولاية الأب على ولده الكبير، أو جواز أخذه من ماله كيفما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يوجب رفع اليد عن إطلاق رواية عبيد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ورود تقييد بالنسبة إلى التصرّفات الاعتبارية في نفس الولد وفي ماله 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الروايتين مورده هو التصرّف الاعتباري، ويظهر من الكبرى أنّ كلّ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وجائز، لكن ورد في التصرّفات الخارجية في الماليات قيود، فيؤخذ بها في موردها، ولا حجّة لرفع اليد عن الروايات في غير مورد القيود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حكم أخلاقي</w:t>
      </w:r>
      <w:r>
        <w:rPr>
          <w:rStyle w:val="FootnoteAnchor"/>
          <w:rtl w:val="true"/>
        </w:rPr>
        <w:footnoteReference w:id="1190"/>
      </w:r>
      <w:r>
        <w:rPr>
          <w:rFonts w:ascii="Amiri" w:hAnsi="Amiri" w:eastAsia="Amiri" w:cs="Amiri"/>
          <w:color w:val="111111"/>
          <w:sz w:val="28"/>
          <w:sz w:val="28"/>
          <w:szCs w:val="28"/>
          <w:rtl w:val="true"/>
          <w:lang w:bidi="ar-SA"/>
        </w:rPr>
        <w:t>، ساقط؛ لأنّ نفوذ التصرّف ولزوم الأخذ به، لا يمكن أن يعلّل بأمر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كونه نكتة الجعل</w:t>
      </w:r>
      <w:r>
        <w:rPr>
          <w:rStyle w:val="FootnoteAnchor"/>
          <w:rtl w:val="true"/>
        </w:rPr>
        <w:footnoteReference w:id="1191"/>
      </w:r>
      <w:r>
        <w:rPr>
          <w:rFonts w:ascii="Amiri" w:hAnsi="Amiri" w:eastAsia="Amiri" w:cs="Amiri"/>
          <w:color w:val="111111"/>
          <w:sz w:val="28"/>
          <w:sz w:val="28"/>
          <w:szCs w:val="28"/>
          <w:rtl w:val="true"/>
          <w:lang w:bidi="ar-SA"/>
        </w:rPr>
        <w:t xml:space="preserve">، غير ظاهر، وإن لم يكن بذلك البعد، بل ربّما يشعر به بعض الروايات،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تحليل مال الولد لوالده بغير إذنه وليس ذلك للولد؛ لأنّ الولد موهوب للوالد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w:t>
      </w:r>
    </w:p>
    <w:p>
      <w:pPr>
        <w:pStyle w:val="BookText"/>
        <w:rPr/>
      </w:pPr>
      <w:r>
        <w:rPr>
          <w:rFonts w:ascii="Amiri" w:hAnsi="Amiri" w:eastAsia="Amiri" w:cs="Amiri"/>
          <w:color w:val="111111"/>
          <w:sz w:val="28"/>
          <w:sz w:val="28"/>
          <w:szCs w:val="28"/>
          <w:rtl w:val="true"/>
          <w:lang w:bidi="ar-SA"/>
        </w:rPr>
        <w:t>لِمَنْ يَشَآءُ إنَاثاً وَيَهَبُ لِمَنْ يَشَآءُ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المأخوذ بمؤونته صغيراً وكبيراً والمنسوب إليه والمدعوّ له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لاِبَائِهِمْ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 وليس للوالدة مثل ذلك، لا تأخذ من ماله شيئاً إلاّ بإذنه أو بإذن الأب، ولأنّ الوالد مأخوذ بنفقة الولد، ولا تؤخذ المرأة بنفقة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عيون أخبار الرضا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كتاب التجارة، أبواب ما يكتسب به، الباب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الحسين بن علوان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لكنّهما مع ضعفهما </w:t>
      </w:r>
      <w:r>
        <w:rPr>
          <w:rStyle w:val="FootnoteAnchor"/>
          <w:rtl w:val="true"/>
        </w:rPr>
        <w:footnoteReference w:id="1193"/>
      </w:r>
      <w:r>
        <w:rPr>
          <w:rFonts w:ascii="Amiri" w:hAnsi="Amiri" w:eastAsia="Amiri" w:cs="Amiri"/>
          <w:color w:val="111111"/>
          <w:sz w:val="28"/>
          <w:sz w:val="28"/>
          <w:szCs w:val="28"/>
          <w:rtl w:val="true"/>
          <w:lang w:bidi="ar-SA"/>
        </w:rPr>
        <w:t xml:space="preserve">، وإعراض الأصحاب عن 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كإعراضهم عن رواية سعيد بن يسار</w:t>
      </w:r>
      <w:r>
        <w:rPr>
          <w:rStyle w:val="FootnoteAnchor"/>
          <w:rtl w:val="true"/>
        </w:rPr>
        <w:footnoteReference w:id="1194"/>
      </w:r>
      <w:r>
        <w:rPr>
          <w:rFonts w:ascii="Amiri" w:hAnsi="Amiri" w:eastAsia="Amiri" w:cs="Amiri"/>
          <w:color w:val="111111"/>
          <w:sz w:val="28"/>
          <w:sz w:val="28"/>
          <w:szCs w:val="28"/>
          <w:rtl w:val="true"/>
          <w:lang w:bidi="ar-SA"/>
        </w:rPr>
        <w:t>على الظاهر المحكيّ</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الإشعار به حدّاً يمكن رفع اليد به عن مثل صحيحة عبيد</w:t>
      </w:r>
      <w:r>
        <w:rPr>
          <w:rStyle w:val="FootnoteAnchor"/>
          <w:rtl w:val="true"/>
        </w:rPr>
        <w:footnoteReference w:id="11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الحكم بالنسبة إلى ولاية الأب والجدّ في التصرّف في مال الطفل بالبيع والشراء له، كما هو محلّ كلامنا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يختلج بالبال أنّ رواية الحسين بن أبي العلاء دالّة على عدم ورود ما </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حكم، وكان مورده خاصّاً بنصيحة الولد الذي استعدى على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الذي أتاه فقدّم أباه،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جاء بأبيه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أبي وقد ظلمني ميراثي عن اُمّي، فأخبره الأب أنّه قد أنفقه عليه وعلى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 ولم يكن عند الرجل شيء، أوَ كان رسول اللّه يحبس الأب للابن؟</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بهذا المورد فقط؛ لغرض صرف الولد عن والده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كلام في سندها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وردت هذه الجملة فيها روايات </w:t>
      </w:r>
    </w:p>
    <w:p>
      <w:pPr>
        <w:pStyle w:val="BookText"/>
        <w:rPr/>
      </w:pPr>
      <w:r>
        <w:rPr>
          <w:rFonts w:ascii="Amiri" w:hAnsi="Amiri" w:eastAsia="Amiri" w:cs="Amiri"/>
          <w:color w:val="111111"/>
          <w:sz w:val="28"/>
          <w:sz w:val="28"/>
          <w:szCs w:val="28"/>
          <w:rtl w:val="true"/>
          <w:lang w:bidi="ar-SA"/>
        </w:rPr>
        <w:t>كثيرة صحيحة السند، لا يمكن رفع اليد عنها بمثل هذا الإشعار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عدم قبول دعوى الولد، دليل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موعظة، بل الحكم الشرعي يقتضي ذلك في مورد الإنفاق على نفسه وولده، ولم يتّضح أنّ دعوى الولد كانت غير ما أقرّ الوالد به، ولهذا لم ينكر عليه بأنّه صرفه في غير نفقتي ونفقته،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في الباب، بعضها مورد الإعراض، وظهورها مقطوع الخلاف، فلا بدّ من طرحها أو تأويلها، كروايتي سعيد بن يسار</w:t>
      </w:r>
      <w:r>
        <w:rPr>
          <w:rStyle w:val="FootnoteAnchor"/>
          <w:rtl w:val="true"/>
        </w:rPr>
        <w:footnoteReference w:id="1199"/>
      </w:r>
      <w:r>
        <w:rPr>
          <w:rFonts w:ascii="Amiri" w:hAnsi="Amiri" w:eastAsia="Amiri" w:cs="Amiri"/>
          <w:color w:val="111111"/>
          <w:sz w:val="28"/>
          <w:sz w:val="28"/>
          <w:szCs w:val="28"/>
          <w:rtl w:val="true"/>
          <w:lang w:bidi="ar-SA"/>
        </w:rPr>
        <w:t>على الظاهر، والحسين بن علوان</w:t>
      </w:r>
      <w:r>
        <w:rPr>
          <w:rStyle w:val="FootnoteAnchor"/>
          <w:rtl w:val="true"/>
        </w:rPr>
        <w:footnoteReference w:id="1200"/>
      </w:r>
      <w:r>
        <w:rPr>
          <w:rFonts w:ascii="IRNazanin" w:hAnsi="IRNazanin" w:eastAsia="IRNazanin"/>
          <w:color w:val="111111"/>
          <w:sz w:val="28"/>
          <w:sz w:val="28"/>
          <w:szCs w:val="28"/>
          <w:rtl w:val="true"/>
          <w:lang w:bidi="fa-IR"/>
        </w:rPr>
        <w:t>وبعضها مطلقات</w:t>
      </w:r>
      <w:r>
        <w:rPr>
          <w:rStyle w:val="FootnoteAnchor"/>
          <w:rtl w:val="true"/>
        </w:rPr>
        <w:footnoteReference w:id="1201"/>
      </w:r>
      <w:r>
        <w:rPr>
          <w:rFonts w:ascii="Amiri" w:hAnsi="Amiri" w:eastAsia="Amiri" w:cs="Amiri"/>
          <w:color w:val="111111"/>
          <w:sz w:val="28"/>
          <w:sz w:val="28"/>
          <w:szCs w:val="28"/>
          <w:rtl w:val="true"/>
          <w:lang w:bidi="ar-SA"/>
        </w:rPr>
        <w:t>، منصرفة عن التصرّف في مال الكبير ونفسه كيفما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إطلاقها، تحمل على المقيّدات، ويعمل بها في غير موردها، وهو مورد ولاية الأب والجدّ على مال الطفل ونفسه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المتفاهم منها بحكم التعليل، عدم الفرق بين الجدّ وجدّ الجدّ وإن علا</w:t>
      </w:r>
      <w:r>
        <w:rPr>
          <w:rFonts w:eastAsia="Amiri" w:cs="Amiri" w:ascii="Amiri" w:hAnsi="Amiri"/>
          <w:color w:val="111111"/>
          <w:sz w:val="28"/>
          <w:szCs w:val="28"/>
          <w:rtl w:val="true"/>
          <w:lang w:bidi="ar-SA"/>
        </w:rPr>
        <w:t xml:space="preserve">. </w:t>
      </w:r>
      <w:bookmarkStart w:id="658" w:name="pg15204_140792"/>
    </w:p>
    <w:p>
      <w:pPr>
        <w:pStyle w:val="Heading5"/>
        <w:numPr>
          <w:ilvl w:val="4"/>
          <w:numId w:val="1"/>
        </w:numPr>
        <w:rPr/>
      </w:pPr>
      <w:bookmarkStart w:id="659" w:name="__RefHeading___Toc2759138_2142443653"/>
      <w:bookmarkStart w:id="660" w:name="_Toc245"/>
      <w:bookmarkEnd w:id="658"/>
      <w:bookmarkEnd w:id="659"/>
      <w:r>
        <w:rPr>
          <w:rtl w:val="true"/>
        </w:rPr>
        <w:t>حول الإشكال في ولاية الجدّ وإن علا</w:t>
      </w:r>
      <w:bookmarkEnd w:id="660"/>
    </w:p>
    <w:p>
      <w:pPr>
        <w:pStyle w:val="BookText"/>
        <w:rPr/>
      </w:pPr>
      <w:r>
        <w:rPr>
          <w:rFonts w:ascii="Amiri" w:hAnsi="Amiri" w:eastAsia="Amiri" w:cs="Amiri"/>
          <w:color w:val="111111"/>
          <w:sz w:val="28"/>
          <w:sz w:val="28"/>
          <w:szCs w:val="28"/>
          <w:rtl w:val="true"/>
          <w:lang w:bidi="ar-SA"/>
        </w:rPr>
        <w:t>نعم، ربّما يستشكل في صحّة التمسّك بالنبوي على ولاية جدّ الجدّ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إثبات الحكم موضوعه، كالإشكال في الإخبار مع الواسطة؛ فإنّ كون الابن وماله لأبيه ثبت به، فكيف يمكن إثبات كون الأب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جملته بحكم النبوي ابنه وأمواله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وهكذا جدّ الجدّ</w:t>
      </w:r>
      <w:r>
        <w:rPr>
          <w:rStyle w:val="FootnoteAnchor"/>
          <w:rtl w:val="true"/>
        </w:rPr>
        <w:footnoteReference w:id="12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دفع الإشكال في المقام بما قيل في الجواب عن الإشكال في الأخبار مع الواسطة</w:t>
      </w:r>
      <w:r>
        <w:rPr>
          <w:rStyle w:val="FootnoteAnchor"/>
          <w:rtl w:val="true"/>
        </w:rPr>
        <w:footnoteReference w:id="1203"/>
      </w:r>
      <w:r>
        <w:rPr>
          <w:rFonts w:ascii="Amiri" w:hAnsi="Amiri" w:eastAsia="Amiri" w:cs="Amiri"/>
          <w:color w:val="111111"/>
          <w:sz w:val="28"/>
          <w:sz w:val="28"/>
          <w:szCs w:val="28"/>
          <w:rtl w:val="true"/>
          <w:lang w:bidi="ar-SA"/>
        </w:rPr>
        <w:t>، وسلامة المقام من الإشكال الذي أوردنا عليهم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كبرى كلّية في باب حجّية الأخبار، بل لا دليل على حجّيتها إلاّ بناء العقلاء، والأخبار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مفادها إلاّ تنفيذ بناء العقلاء</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النبوي المستشهد به في الأخبار الصحيحة، فيستفاد منه كبرى كلّية قابلة للانحلال عرفاً وإن فرض موافقة العقلاء لها أيضاً، فلا مانع عقلاً من تحقّق موضوع كلّ لاحق بحكم سابقه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أنّ هاهنا كلاماً لا يجري في الإخبار مع الواسطة، وهو أنّه يفهم العرف من التعليل المذكور أنّ الأجداد كالجدّ القريب وكالأب في الولاية، وهذا حجّة لا يصحّ رفع اليد عنها إلاّ أن يثبت الامتناع، ولم يكن طريق مطلقاً للدفاع </w:t>
      </w:r>
    </w:p>
    <w:p>
      <w:pPr>
        <w:pStyle w:val="BookText"/>
        <w:rPr/>
      </w:pPr>
      <w:r>
        <w:rPr>
          <w:rFonts w:ascii="Amiri" w:hAnsi="Amiri" w:eastAsia="Amiri" w:cs="Amiri"/>
          <w:color w:val="111111"/>
          <w:sz w:val="28"/>
          <w:sz w:val="28"/>
          <w:szCs w:val="28"/>
          <w:rtl w:val="true"/>
          <w:lang w:bidi="ar-SA"/>
        </w:rPr>
        <w:t>عنه، وهو ممنوع؛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بدليل آخر، وهذه الكبرى تكشف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الظاهر كذلك في الأحكام الإلهية التي وردت الروايات فيها؛ فإنّ جعل الولاية للأب والجدّ وإن علا، ليس بجعل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بجعل 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أن يكون حكم اللّه تبارك وتعالى بنفوذ تصرّفاتهم، موضوعاً لانتزاع الولاية، لا أنّ المجعول هي بلا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ثبوت الولاية لهم بطريق آخر يكشف عنه ذلك النبوي، لا يجوز رفع اليد عن ظاهره؛ بمجرّد توهّم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الإخبار مع الواسطة، فلم يدلّ دليل على حجّية الوسائط؛ فإنّ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حجّية رأس السلسلة، وغيره لم يكن ثابتاً إلاّ بدليل حجّية ما في الرأس، ثمّ ما بعده إلى آخرها، وهناك لا محيص إلاّ بما ذكروا، ويرد عليهم ما ذكرنا في محلّه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أنّ الظاهر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بصدد بيان أحقّية الجدّ من الأب، لا بصدد بيان أصل الولاية؛ فإنّها مفروضة التحقّق، وإن فهم منها أيضاً الولاية في الأب والأجداد كما مرّ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ذاك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إنّما يرد لو كانت الولاية الثابتة للجدّ مترتّبة على ولاية ابنه، وهكذا كلّ سابق بالنسبة إلى لاحقه؛ بمعنى أنّ </w:t>
      </w:r>
    </w:p>
    <w:p>
      <w:pPr>
        <w:pStyle w:val="BookText"/>
        <w:rPr/>
      </w:pPr>
      <w:r>
        <w:rPr>
          <w:rFonts w:ascii="Amiri" w:hAnsi="Amiri" w:eastAsia="Amiri" w:cs="Amiri"/>
          <w:color w:val="111111"/>
          <w:sz w:val="28"/>
          <w:sz w:val="28"/>
          <w:szCs w:val="28"/>
          <w:rtl w:val="true"/>
          <w:lang w:bidi="ar-SA"/>
        </w:rPr>
        <w:t>ولاية الأب ثابتة لابنه الصغير بلا وسط، ولأبيه بوسط، نظير الوساطة في العروض أو في الثبوت، مع كون ولاية الواسطة علّة منحصرة لولاية ذي الواسطة، فتكون ولايته دائرة مدار ولاية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الإشكال المذكور، كما يلزم سقوط ولاية ذي الواسطة إذا سقطت ولاية الواسطة بموت أو جنون، ويجري الحكم في جميع سلسلة الآباء والأجداد، فإذا سقطت ولاية أحدهم، سقطت ولاية المتقدّم عليه، دون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ثبتت ولاية جميع من في السلسلة في عرض واحد، فلا يلزم الإشكال، كما لا تسقط ولاية السابق بسقوط ولاية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الأدلّة كروايتي عبيد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 xml:space="preserve">، هو ذلك عرفاً؛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فهم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ثبوت الولاية للأب، كما ثبتت للابن، بل الأب أحقّ بذلك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فثبوتها تبعاً مضافاً إلى مخالفته لفهم العرف، مخالف لتقدّم ولاية الجدّ على الأب؛ فإنّ الثبوت إذا كان بتبع الواسطة أو بمعلوليتها، لا يعقل أن يتقدّم عليها لدى التعارض، وهو ظاهر</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التعليل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للجدّ من غير شائبة وساطة؛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وأباها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جدّاً في أنّ ولاية الجدّ ليست تبعية،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الجدّ الأدنى والأعلى، ولا وجه لرفع اليد عن ظهوره؛ </w:t>
      </w:r>
    </w:p>
    <w:p>
      <w:pPr>
        <w:pStyle w:val="BookText"/>
        <w:rPr/>
      </w:pPr>
      <w:r>
        <w:rPr>
          <w:rFonts w:ascii="Amiri" w:hAnsi="Amiri" w:eastAsia="Amiri" w:cs="Amiri"/>
          <w:color w:val="111111"/>
          <w:sz w:val="28"/>
          <w:sz w:val="28"/>
          <w:szCs w:val="28"/>
          <w:rtl w:val="true"/>
          <w:lang w:bidi="ar-SA"/>
        </w:rPr>
        <w:t>بمجرّد ورود الحكم في مورد الجدّ الأدنى، مع مناسبة الحكم والموضوع لذلك، ودلالة التعليل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ظاهر مع عدم حكاية الخلاف في المسألة، 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وغيره</w:t>
      </w:r>
      <w:r>
        <w:rPr>
          <w:rStyle w:val="FootnoteAnchor"/>
          <w:rtl w:val="true"/>
        </w:rPr>
        <w:footnoteReference w:id="120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اعتبار حياة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وقع فيه الخلاف بين قدماء أصحابنا </w:t>
      </w:r>
      <w:r>
        <w:rPr>
          <w:rStyle w:val="FootnoteAnchor"/>
          <w:rtl w:val="true"/>
        </w:rPr>
        <w:footnoteReference w:id="1210"/>
      </w:r>
      <w:r>
        <w:rPr>
          <w:rFonts w:ascii="Amiri" w:hAnsi="Amiri" w:eastAsia="Amiri" w:cs="Amiri"/>
          <w:color w:val="111111"/>
          <w:sz w:val="28"/>
          <w:sz w:val="28"/>
          <w:szCs w:val="28"/>
          <w:rtl w:val="true"/>
          <w:lang w:bidi="ar-SA"/>
        </w:rPr>
        <w:t>ومتأخّريهم</w:t>
      </w:r>
      <w:r>
        <w:rPr>
          <w:rStyle w:val="FootnoteAnchor"/>
          <w:rtl w:val="true"/>
        </w:rPr>
        <w:footnoteReference w:id="1211"/>
      </w:r>
      <w:r>
        <w:rPr>
          <w:rFonts w:ascii="Amiri" w:hAnsi="Amiri" w:eastAsia="Amiri" w:cs="Amiri"/>
          <w:color w:val="111111"/>
          <w:sz w:val="28"/>
          <w:sz w:val="28"/>
          <w:szCs w:val="28"/>
          <w:rtl w:val="true"/>
          <w:lang w:bidi="ar-SA"/>
        </w:rPr>
        <w:t>، هو اعتبار حياة الأب في ولاية الجدّ في باب النكاح، لا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أهل التدقيق قدّس سرّه، حيث توهّم أنّ اعتبار حياة الأب في مسألتنا هذه محلّ خلاف الأصحاب</w:t>
      </w:r>
      <w:r>
        <w:rPr>
          <w:rStyle w:val="FootnoteAnchor"/>
          <w:rtl w:val="true"/>
        </w:rPr>
        <w:footnoteReference w:id="1212"/>
      </w:r>
      <w:r>
        <w:rPr>
          <w:rFonts w:ascii="Amiri" w:hAnsi="Amiri" w:eastAsia="Amiri" w:cs="Amiri"/>
          <w:color w:val="111111"/>
          <w:sz w:val="28"/>
          <w:sz w:val="28"/>
          <w:szCs w:val="28"/>
          <w:rtl w:val="true"/>
          <w:lang w:bidi="ar-SA"/>
        </w:rPr>
        <w:t>، كما أنّ رواية الفضل بن عبدالملك</w:t>
      </w:r>
      <w:r>
        <w:rPr>
          <w:rStyle w:val="FootnoteAnchor"/>
          <w:rtl w:val="true"/>
        </w:rPr>
        <w:footnoteReference w:id="1213"/>
      </w:r>
      <w:r>
        <w:rPr>
          <w:rFonts w:ascii="Amiri" w:hAnsi="Amiri" w:eastAsia="Amiri" w:cs="Amiri"/>
          <w:color w:val="111111"/>
          <w:sz w:val="28"/>
          <w:sz w:val="28"/>
          <w:szCs w:val="28"/>
          <w:rtl w:val="true"/>
          <w:lang w:bidi="ar-SA"/>
        </w:rPr>
        <w:t>غير مربوطة بالمقام، بل هي مربوطة بباب النكاح، فراجعها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دلالتها إشكال، تعرّض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214"/>
      </w:r>
      <w:r>
        <w:rPr>
          <w:rFonts w:ascii="Amiri" w:hAnsi="Amiri" w:eastAsia="Amiri" w:cs="Amiri"/>
          <w:color w:val="111111"/>
          <w:sz w:val="28"/>
          <w:sz w:val="28"/>
          <w:szCs w:val="28"/>
          <w:rtl w:val="true"/>
          <w:lang w:bidi="ar-SA"/>
        </w:rPr>
        <w:t>وغيره</w:t>
      </w:r>
      <w:r>
        <w:rPr>
          <w:rStyle w:val="FootnoteAnchor"/>
          <w:rtl w:val="true"/>
        </w:rPr>
        <w:footnoteReference w:id="1215"/>
      </w:r>
      <w:r>
        <w:rPr>
          <w:rFonts w:ascii="Amiri" w:hAnsi="Amiri" w:eastAsia="Amiri" w:cs="Amiri"/>
          <w:color w:val="111111"/>
          <w:sz w:val="28"/>
          <w:sz w:val="28"/>
          <w:szCs w:val="28"/>
          <w:rtl w:val="true"/>
          <w:lang w:bidi="ar-SA"/>
        </w:rPr>
        <w:t>، فلا نطيل البحث</w:t>
      </w:r>
      <w:r>
        <w:rPr>
          <w:rFonts w:eastAsia="Amiri" w:cs="Amiri" w:ascii="Amiri" w:hAnsi="Amiri"/>
          <w:color w:val="111111"/>
          <w:sz w:val="28"/>
          <w:szCs w:val="28"/>
          <w:rtl w:val="true"/>
          <w:lang w:bidi="ar-SA"/>
        </w:rPr>
        <w:t xml:space="preserve">. </w:t>
      </w:r>
      <w:bookmarkStart w:id="661" w:name="pg15204_140796"/>
    </w:p>
    <w:p>
      <w:pPr>
        <w:pStyle w:val="Heading5"/>
        <w:numPr>
          <w:ilvl w:val="4"/>
          <w:numId w:val="1"/>
        </w:numPr>
        <w:rPr/>
      </w:pPr>
      <w:bookmarkStart w:id="662" w:name="__RefHeading___Toc2759140_2142443653"/>
      <w:bookmarkStart w:id="663" w:name="_Toc246"/>
      <w:bookmarkEnd w:id="661"/>
      <w:bookmarkEnd w:id="662"/>
      <w:r>
        <w:rPr>
          <w:rtl w:val="true"/>
        </w:rPr>
        <w:t>حول اعتبار العدالة</w:t>
      </w:r>
      <w:bookmarkEnd w:id="663"/>
    </w:p>
    <w:p>
      <w:pPr>
        <w:pStyle w:val="Heading6"/>
        <w:numPr>
          <w:ilvl w:val="5"/>
          <w:numId w:val="1"/>
        </w:numPr>
        <w:rPr/>
      </w:pPr>
      <w:bookmarkStart w:id="664" w:name="__RefHeading___Toc2759142_2142443653"/>
      <w:bookmarkStart w:id="665" w:name="_Toc247"/>
      <w:bookmarkEnd w:id="664"/>
      <w:r>
        <w:rPr>
          <w:rtl w:val="true"/>
        </w:rPr>
        <w:t>بيانه</w:t>
      </w:r>
      <w:bookmarkEnd w:id="665"/>
    </w:p>
    <w:p>
      <w:pPr>
        <w:pStyle w:val="BookText"/>
        <w:rPr/>
      </w:pPr>
      <w:r>
        <w:rPr>
          <w:rFonts w:ascii="Amiri" w:hAnsi="Amiri" w:eastAsia="Amiri" w:cs="Amiri"/>
          <w:color w:val="111111"/>
          <w:sz w:val="28"/>
          <w:sz w:val="28"/>
          <w:szCs w:val="28"/>
          <w:rtl w:val="true"/>
          <w:lang w:bidi="ar-SA"/>
        </w:rPr>
        <w:t>ثمّ إنّه هل تعتبر العدالة في موضوع الولاية؟</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اعتبارها؛ للأصل والإطلاقات</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يتّضح مراده من الأصل، ويمكن 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التي يمكن تصوّرها قبل وجودها،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العنوان لم يكن متقيّداً بالعدالة، فإذا جعل الشارع ولاية الأب، نشكّ في صيرورة العنوان متقيّداً بها،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متقيّد وغير مشروط بالعدالة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العنوان على مصداقه وجداني، وليس من الأصل المثبت، كما لو شكّ في وجوب إكرام العلماء لأجل النسخ، فإنّ استصحاب الوجوب جار، فإذا وجب إكرام العلماء بالاستصحاب، وجب إكرام المصاديق الخارجية من غير شبهة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بعض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أنّ الأب وليّ بلا شرط، أو أنّه وليّ وإن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كون العنوان متقيّداً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بالأصل المثبت</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عدالة زيد لإثبات كون زيد عادلاً، مثبت؛ فإنّ في استصحاب العدالة لا بدّ وأن يكون موضوع القضيّة المتيقّنة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عدالة زيد كانت موجودة، والآن موجودة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يثبت كون زيد عادلاً؛ فإنّ وجود العدالة لزيد لازمه العقلي كونه عادلاً ومتّصفاً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إجراء الاستصحاب المنتج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كان عادلاً، والآن زيد عادل، فيحرز به موضوع صحّة الطلاق عنده، وجواز الاقتداء به؛ ضرورة أنّ الكبرى الشرعية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الشاهد والإمام 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عدالتهما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عند التأمّل في ميزان الاُصول المثبتة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الجواب عن وجه آخر في تقرير الأصل،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جعل الشارع بولاية الأب أو الجدّ معلوم بنحو الإجمال، وتعلّقه بقيد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فيه، فيستصحب عدم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استصحاب عدم تعلّق الجعل بالقيد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كون الأب وليّاً بلا شرط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 الولاية المجعولة مشروطة، على نحو استصحابات الأعدام الأزلية،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الولاية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 إلى 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قبل وجودها مشروطة بالعدالة، وعند وجودها يشكّ في الاشتراط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لم تكن في الأزل قرشية، وعند الوجود يشكّ في قرشيتها فيستصحب</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سائر استصحابات الأعدام الأزلية من الإشكالات، </w:t>
      </w:r>
    </w:p>
    <w:p>
      <w:pPr>
        <w:pStyle w:val="BookText"/>
        <w:rPr/>
      </w:pPr>
      <w:r>
        <w:rPr>
          <w:rFonts w:ascii="Amiri" w:hAnsi="Amiri" w:eastAsia="Amiri" w:cs="Amiri"/>
          <w:color w:val="111111"/>
          <w:sz w:val="28"/>
          <w:sz w:val="28"/>
          <w:szCs w:val="28"/>
          <w:rtl w:val="true"/>
          <w:lang w:bidi="ar-SA"/>
        </w:rPr>
        <w:t xml:space="preserve">وقد فصّلناها في محلّها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استصحاب عدم مشروطية الولاية، لا يثبت أنّ الأب الفاسق، أو الأب مطلقاً، أو الأب حتّى مع عدم كونه عادلاً، وليّ إلاّ بالأصل المثبت، فتدبّر جيّداً، وراجع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منها إجراء استصحاب الكون المحمولي لإثبات الكون الرابط، فإنّه من أوضح مثبتات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وأزيف من الجميع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الموضوع من عدم أزلي ووجود</w:t>
      </w:r>
      <w:r>
        <w:rPr>
          <w:rStyle w:val="FootnoteAnchor"/>
          <w:rtl w:val="true"/>
        </w:rPr>
        <w:footnoteReference w:id="1218"/>
      </w:r>
      <w:r>
        <w:rPr>
          <w:rFonts w:ascii="Amiri" w:hAnsi="Amiri" w:eastAsia="Amiri" w:cs="Amiri"/>
          <w:color w:val="111111"/>
          <w:sz w:val="28"/>
          <w:sz w:val="28"/>
          <w:szCs w:val="28"/>
          <w:rtl w:val="true"/>
          <w:lang w:bidi="ar-SA"/>
        </w:rPr>
        <w:t>، فإنّه مع امتناعه في ذاته، لا واقعية له بحسب الأدلّة في الباب وفي غيره، مع ورود إشكال مثبتية الأصل فيه أيضاً، هذا حال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فلا إشكال فيه؛ ضرورة أنّ موثّقة محمّد بن مسلم المتقدّمة</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نفوذ تصرّف الوالد في مال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إطلاق من جهة ترك الاستفصال في صدرها ولو لم يكن تعليل الذيل، ومن جهة إطلاق التعليل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ترك الاستفصال في رواية خالد بن بكير</w:t>
      </w:r>
      <w:r>
        <w:rPr>
          <w:rStyle w:val="FootnoteAnchor"/>
          <w:rtl w:val="true"/>
        </w:rPr>
        <w:footnoteReference w:id="1220"/>
      </w:r>
      <w:r>
        <w:rPr>
          <w:rFonts w:ascii="Amiri" w:hAnsi="Amiri" w:eastAsia="Amiri" w:cs="Amiri"/>
          <w:color w:val="111111"/>
          <w:sz w:val="28"/>
          <w:sz w:val="28"/>
          <w:szCs w:val="28"/>
          <w:rtl w:val="true"/>
          <w:lang w:bidi="ar-SA"/>
        </w:rPr>
        <w:t>أيضاً دليل على الإطلاق، وكذا رواية أبي الربيع الشامي في الاتّجار بمال اليتيم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666" w:name="pg15204_140799"/>
    </w:p>
    <w:p>
      <w:pPr>
        <w:pStyle w:val="BookText"/>
        <w:rPr/>
      </w:pPr>
      <w:bookmarkEnd w:id="666"/>
      <w:r>
        <w:rPr>
          <w:rFonts w:ascii="Amiri" w:hAnsi="Amiri" w:eastAsia="Amiri" w:cs="Amiri"/>
          <w:color w:val="111111"/>
          <w:sz w:val="28"/>
          <w:sz w:val="28"/>
          <w:szCs w:val="28"/>
          <w:rtl w:val="true"/>
          <w:lang w:bidi="ar-SA"/>
        </w:rPr>
        <w:t>ويدلّ على عدم اعتبارها في الجدّ ترك الاستفصال وإطلاق التعليل في رواية عبيد بن زرارة المتقدّمة</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بل إطلاق التعليل في رواية علي بن جعفر المتقدّمة</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فلا إشكال في الإطلاق</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2759144_2142443653"/>
      <w:bookmarkStart w:id="668" w:name="_Toc248"/>
      <w:bookmarkEnd w:id="667"/>
      <w:r>
        <w:rPr>
          <w:rtl w:val="true"/>
        </w:rPr>
        <w:t>دليل صاحب الإيضاح على اعتبار العدالة</w:t>
      </w:r>
      <w:bookmarkEnd w:id="668"/>
    </w:p>
    <w:p>
      <w:pPr>
        <w:pStyle w:val="BookText"/>
        <w:rPr/>
      </w:pPr>
      <w:r>
        <w:rPr>
          <w:rFonts w:ascii="Amiri" w:hAnsi="Amiri" w:eastAsia="Amiri" w:cs="Amiri"/>
          <w:color w:val="111111"/>
          <w:sz w:val="28"/>
          <w:sz w:val="28"/>
          <w:szCs w:val="28"/>
          <w:rtl w:val="true"/>
          <w:lang w:bidi="ar-SA"/>
        </w:rPr>
        <w:t xml:space="preserve">إنّما الكلام في الموانع التي ذكرها القائل بالاعتبار، مثل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ولاية على من لا يدفع عن نفسه، ولا يصرف عن ماله، ويستحيل من حكمة الصانع أن يجعل الفاسق أميناً يقبل إقراراته وإخباراته عن غيره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تولية أمره إليه تؤول أحياناً إلى تلف مال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اليد عن الحجّة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مع قيام حجّة شرعية أو عقلية غير ممكنة الدفع، ومع إيجاد الاحتمال، لا يصحّ الأخذ بالدليل العقلي؛ لرفع اليد عن الحجّة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المورد لو احتملنا أنّ في ترك الولاية للأب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غالبة على تلف مال الصغير أحياناً، فلا دافع لهذا الاحتمال، ولا يجوز رفع اليد عنها معه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يجعل الشارع الولاية للأب والجدّ الفاسقين، فإن أهملها ولم يعيّن حافظاً لأموال الصغار، فالفساد أفحش، ولو لم يهمل وجعل </w:t>
      </w:r>
    </w:p>
    <w:p>
      <w:pPr>
        <w:pStyle w:val="BookText"/>
        <w:rPr/>
      </w:pPr>
      <w:r>
        <w:rPr>
          <w:rFonts w:ascii="Amiri" w:hAnsi="Amiri" w:eastAsia="Amiri" w:cs="Amiri"/>
          <w:color w:val="111111"/>
          <w:sz w:val="28"/>
          <w:sz w:val="28"/>
          <w:szCs w:val="28"/>
          <w:rtl w:val="true"/>
          <w:lang w:bidi="ar-SA"/>
        </w:rPr>
        <w:t>أمرهم إلى والي المسلمين، ففيه مفاسد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 الفاسق لو علم أنّ مال الطفل في معرض تصرّف الوالي، لأتلفه قبل اطّلاع الوالي وعمّاله، ولا دافع لذلك إلاّ أن يجعل لكلّ بيت فيه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جواسيس؛ للاطّلاع على بواطن أمرهم، وفيه من المفاسد ما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أن يصرف الوالي قسمة مهمّة إلى ما شاء اللّه، من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لسدّ حاجات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المصرف؛ من جعل عدّة كثيرة لكلّ صقع وبلد وقصبات وقرى لذلك، وإعطاء الأجر لهم، وقلّ المتبرّع لذلك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أموال كثيرة؛ لاحتمال كون الأب الفاسق يتجاوز عن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الحاجات الكثيرة اللازمة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وأخذ الاُجرة من مال الطفل إلى زمان كبره للعمّال، يوجب نفاد المال في غالب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حينئذٍ على الوالي أن يمنع الآباء والأجداد وأوصياءهم مع عدم ثبوت عدالتهم، عن التصرّف في مطلق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 أنّ فيها مالاً من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يعلم الحال وتتّضح الواقعة، وفيه مفسدة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لازمه حصول التباغض والتباعد بين الشعب والحكومة، وهو من أفسد الاُمور؛ ضرورة أنّ الواقعة عامّة البلوى، وإثبات العدالة بالبيّنة الشرعية أو الطرق الاُخر غير ميسور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بسط اليد للحاكم الشرعي والوالي الحقّ، وإلاّ صار ذلك الحكم الشرعي وسيلة لأكل ولاة الجور أموال الصغار والكبار، كما لا يخفى على </w:t>
      </w:r>
      <w:bookmarkStart w:id="669" w:name="pg15204_140801"/>
    </w:p>
    <w:p>
      <w:pPr>
        <w:pStyle w:val="BookText"/>
        <w:rPr/>
      </w:pPr>
      <w:bookmarkEnd w:id="669"/>
      <w:r>
        <w:rPr>
          <w:rFonts w:ascii="Amiri" w:hAnsi="Amiri" w:eastAsia="Amiri" w:cs="Amiri"/>
          <w:color w:val="111111"/>
          <w:sz w:val="28"/>
          <w:sz w:val="28"/>
          <w:szCs w:val="28"/>
          <w:rtl w:val="true"/>
          <w:lang w:bidi="ar-SA"/>
        </w:rPr>
        <w:t>المطّلع بسيرتهم، خذلهم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المقصود من هذا المقال ليس إثبات حكم شرعي بالعقول؛ ضرورة عدم إحاطة عقولنا بالمصالح والمفاسد والنظام التشريعي، بل المقصود لزوم الأخذ بالإطلاقات في مقابل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تشبّث بالدليل العقلي، فمقصودنا أنّه لو وصل الأمر إلى حكم العقول، لكان الحكم بثبوته أولى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اعتبار العدالة، بل غاية اقتضائه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الوثاقة والأمانة، فربّما يكون الفاسق أوثق في الأموال من بعض العدول، كما أنّ الأمر كذلك أيضاً لو كان الدليل على الاعتبار آية النبأ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2759146_2142443653"/>
      <w:bookmarkStart w:id="671" w:name="_Toc249"/>
      <w:bookmarkEnd w:id="670"/>
      <w:r>
        <w:rPr>
          <w:rtl w:val="true"/>
        </w:rPr>
        <w:t>الاستدلال بآية الركون على اعتبار العدالة</w:t>
      </w:r>
      <w:bookmarkEnd w:id="671"/>
    </w:p>
    <w:p>
      <w:pPr>
        <w:pStyle w:val="BookText"/>
        <w:rPr/>
      </w:pPr>
      <w:r>
        <w:rPr>
          <w:rFonts w:ascii="Amiri" w:hAnsi="Amiri" w:eastAsia="Amiri" w:cs="Amiri"/>
          <w:color w:val="111111"/>
          <w:sz w:val="28"/>
          <w:sz w:val="28"/>
          <w:szCs w:val="28"/>
          <w:rtl w:val="true"/>
          <w:lang w:bidi="ar-SA"/>
        </w:rPr>
        <w:t>نعم، لو كان الدليل عليه آية الركون</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تماميته لازمه اعتبار العدالة موضوعياً؛ فإنّ جعل الولاية للظالم ركون إليه، والركون إليه محرّم، فإذا كان محرّماً فهو قبيح، ولا يعقل صدور القبيح من الحكيم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 الفاسق كالأجنبيّ، كان وثيقاً أو لا، كان تصرّفه موافقاً للصلاح أو لا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العدالة على فرض اعتبارها، لا تكون كعدالة المفتي </w:t>
      </w:r>
    </w:p>
    <w:p>
      <w:pPr>
        <w:pStyle w:val="BookText"/>
        <w:rPr/>
      </w:pPr>
      <w:r>
        <w:rPr>
          <w:rFonts w:ascii="Amiri" w:hAnsi="Amiri" w:eastAsia="Amiri" w:cs="Amiri"/>
          <w:color w:val="111111"/>
          <w:sz w:val="28"/>
          <w:sz w:val="28"/>
          <w:szCs w:val="28"/>
          <w:rtl w:val="true"/>
          <w:lang w:bidi="ar-SA"/>
        </w:rPr>
        <w:t xml:space="preserve">والقاضي موضوعياً </w:t>
      </w:r>
      <w:r>
        <w:rPr>
          <w:rStyle w:val="FootnoteAnchor"/>
          <w:rtl w:val="true"/>
        </w:rPr>
        <w:footnoteReference w:id="1227"/>
      </w:r>
      <w:r>
        <w:rPr>
          <w:rFonts w:ascii="Amiri" w:hAnsi="Amiri" w:eastAsia="Amiri" w:cs="Amiri"/>
          <w:color w:val="111111"/>
          <w:sz w:val="28"/>
          <w:sz w:val="28"/>
          <w:szCs w:val="28"/>
          <w:rtl w:val="true"/>
          <w:lang w:bidi="ar-SA"/>
        </w:rPr>
        <w:t>، غير ظاهر بحسب مقتضى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الشأن في دلالة الآيتين؛ فإنّ غاية تقريب آية الركون هو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الركون إلى الظالم ذو مفسدة ملزمة، وقبح عقلي مستكشف منها، وارتكاب القبيح محال عليه تعالى شأنه، فيجعل هذا كبرى 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جعل الولاية للظالم 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جعلها له محال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قياس فعل الباري المتعال بأفعال المكلّفين، مع أنّه مع الفارق جدّاً؛ فإنّ أفعاله تعالى موافقة لصلاح النظام الكلّي التكويني، لا النظام التشريعي المحدود، كما أنّ جعله التشريعي لا بدّ وأن يوافق صلاح نظام التشريع العامّ، وهما ممّا لا تحيط به العقول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ترى أنّه تعالى نهى عن التعاون على الإثم والعدوان ومع ذلك فجميع أسباب الإثم والعدوان موجودة بإرادته وفعله، ولا شبهة في وجوب حفظ نفس المؤمن علينا، وهو تعالى قادر على حفظها ولم يحفظها، بل وكّل ملك الموت بإماتتها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الركون إلى الظالم لازمه العقلي عدم ركون الآمر إليه</w:t>
      </w:r>
      <w:r>
        <w:rPr>
          <w:rStyle w:val="FootnoteAnchor"/>
          <w:rtl w:val="true"/>
        </w:rPr>
        <w:footnoteReference w:id="1228"/>
      </w:r>
      <w:r>
        <w:rPr>
          <w:rFonts w:ascii="Amiri" w:hAnsi="Amiri" w:eastAsia="Amiri" w:cs="Amiri"/>
          <w:color w:val="111111"/>
          <w:sz w:val="28"/>
          <w:sz w:val="28"/>
          <w:szCs w:val="28"/>
          <w:rtl w:val="true"/>
          <w:lang w:bidi="ar-SA"/>
        </w:rPr>
        <w:t>،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لازمه عدم ركون القائل</w:t>
      </w:r>
      <w:r>
        <w:rPr>
          <w:rStyle w:val="FootnoteAnchor"/>
          <w:rtl w:val="true"/>
        </w:rPr>
        <w:footnoteReference w:id="1230"/>
      </w:r>
      <w:r>
        <w:rPr>
          <w:rFonts w:ascii="Amiri" w:hAnsi="Amiri" w:eastAsia="Amiri" w:cs="Amiri"/>
          <w:color w:val="111111"/>
          <w:sz w:val="28"/>
          <w:sz w:val="28"/>
          <w:szCs w:val="28"/>
          <w:rtl w:val="true"/>
          <w:lang w:bidi="ar-SA"/>
        </w:rPr>
        <w:t>، غير صحيح، وقياس لفعله بفعلنا،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إمكان دعوى ظهور الآية الكريمة في الركون إلى ولاة الجور؛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فَتَمَسَّكُمُ النَّارُ وَمَا لَكُمْ مِنْ دُونِ اللّه‌ِ مِنْ أَوْلِيَآءَ ثُمَّ لاَ تُنْصَرُونَ</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سياقه يشهد بأنّ الركون إليه أمر عظيم، ومن الكبائر، وذو مفسدة عظيمة؛ حيث أوعد عليه بالنار، وعدم الأولياء والناصر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يناسب الركون إليهم؛ حيث ورد فيهم وفي إعانتهم ما ورد في الأخبار</w:t>
      </w:r>
      <w:r>
        <w:rPr>
          <w:rStyle w:val="FootnoteAnchor"/>
          <w:rtl w:val="true"/>
        </w:rPr>
        <w:footnoteReference w:id="1232"/>
      </w:r>
      <w:r>
        <w:rPr>
          <w:rFonts w:ascii="Amiri" w:hAnsi="Amiri" w:eastAsia="Amiri" w:cs="Amiri"/>
          <w:color w:val="111111"/>
          <w:sz w:val="28"/>
          <w:sz w:val="28"/>
          <w:szCs w:val="28"/>
          <w:rtl w:val="true"/>
          <w:lang w:bidi="ar-SA"/>
        </w:rPr>
        <w:t>لا الركون والميل إلى فاسق، كان سبب فسقه عدم ردّ السلام الواجب، أو إصراره عليه؛ فإنّ نفس ارتكاب كثير من المحرّمات لم يرد فيها نحو 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المفسّرين هذا المعنى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عنهم علیهم السلام أنّ الركون المودّة والنصيحة والطاعة</w:t>
      </w:r>
      <w:r>
        <w:rPr>
          <w:rStyle w:val="FootnoteAnchor"/>
          <w:rtl w:val="true"/>
        </w:rPr>
        <w:footnoteReference w:id="1233"/>
      </w:r>
      <w:r>
        <w:rPr>
          <w:rFonts w:ascii="Amiri" w:hAnsi="Amiri" w:eastAsia="Amiri" w:cs="Amiri"/>
          <w:color w:val="111111"/>
          <w:sz w:val="28"/>
          <w:sz w:val="28"/>
          <w:szCs w:val="28"/>
          <w:rtl w:val="true"/>
          <w:lang w:bidi="ar-SA"/>
        </w:rPr>
        <w:t>ومعلوم أنّ ذلك في ولاة الجور والظلمة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الحسين بن زيد 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تمسّك بالآية في خلال ما قال في حقّ من تولّى خصومة ظالم، أو أعان عليها، ومن مدح سلطاناً جائراً، ومن ولّى جائراً على جور</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ومعونة </w:t>
      </w:r>
      <w:bookmarkStart w:id="672" w:name="pg15204_140804"/>
    </w:p>
    <w:p>
      <w:pPr>
        <w:pStyle w:val="BookText"/>
        <w:rPr/>
      </w:pPr>
      <w:bookmarkEnd w:id="672"/>
      <w:r>
        <w:rPr>
          <w:rFonts w:ascii="Amiri" w:hAnsi="Amiri" w:eastAsia="Amiri" w:cs="Amiri"/>
          <w:color w:val="111111"/>
          <w:sz w:val="28"/>
          <w:sz w:val="28"/>
          <w:szCs w:val="28"/>
          <w:rtl w:val="true"/>
          <w:lang w:bidi="ar-SA"/>
        </w:rPr>
        <w:t>الظالمين، والركون إليهم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الأعمش في 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معاونة المظلومين، والركون إلى الظالمين</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ظلم غيره، والفاسق ليس ظالماً عرفاً</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759148_2142443653"/>
      <w:bookmarkStart w:id="674" w:name="_Toc250"/>
      <w:bookmarkEnd w:id="673"/>
      <w:r>
        <w:rPr>
          <w:rtl w:val="true"/>
        </w:rPr>
        <w:t>الاستدلال بآية النبأ على الاعتبار</w:t>
      </w:r>
      <w:bookmarkEnd w:id="674"/>
    </w:p>
    <w:p>
      <w:pPr>
        <w:pStyle w:val="BookText"/>
        <w:rPr/>
      </w:pPr>
      <w:r>
        <w:rPr>
          <w:rFonts w:ascii="Amiri" w:hAnsi="Amiri" w:eastAsia="Amiri" w:cs="Amiri"/>
          <w:color w:val="111111"/>
          <w:sz w:val="28"/>
          <w:sz w:val="28"/>
          <w:szCs w:val="28"/>
          <w:rtl w:val="true"/>
          <w:lang w:bidi="ar-SA"/>
        </w:rPr>
        <w:t>وأمّا آية النبأ، فتارة يستدلّ بها لرفض أقوال الأولياء مع فسقهم،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مفاد الآية ودليل جعل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العموم من وجه؛ لأنّ لازم جعل الولاية هو قبول إقراراته وإخباراته بالنسبة إلى ما تولاّه، وإطلاقه يقتضي وجوب قبول قول الوليّ الفاسق، والآية الشريفة بإطلاقها تشمل الوليّ الفاسق، فيتعارضان فيه، فيجب رفع اليد عن مفاد الأخبار؛ لعدم إمكان تعارضها مع الكتاب</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قبول قول الفاسق من حيث هو، غير منافٍ لقبول إقراراته وإخباراته من حيث ولايته ووكالته؛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غير وجيه؛ لأنّ ما ذكر إنّما هو في الحكم الحيثي، كحلّية الغنم في </w:t>
      </w:r>
    </w:p>
    <w:p>
      <w:pPr>
        <w:pStyle w:val="BookText"/>
        <w:rPr/>
      </w:pPr>
      <w:r>
        <w:rPr>
          <w:rFonts w:ascii="Amiri" w:hAnsi="Amiri" w:eastAsia="Amiri" w:cs="Amiri"/>
          <w:color w:val="111111"/>
          <w:sz w:val="28"/>
          <w:sz w:val="28"/>
          <w:szCs w:val="28"/>
          <w:rtl w:val="true"/>
          <w:lang w:bidi="ar-SA"/>
        </w:rPr>
        <w:t>قبال حرمة الموطوء،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حكم حيثي للبهيمة مقابل السباع مثلاً، وليس فيه إطلاق حتّى يعارض ما دلّت على حرمة الموطوء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الآية الشريفة، فإنّها كافلة لحكم فعلي، له إطلاق على فرض الدلالة، فتعارض دليل اعتبار قول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رواية أو معقد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الحكم على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مفاده معارضاً للآية الكريمة بالعموم من وجه، فلا بدّ من الأخذ بها، ورفض إطلاق الرواية أو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خصوص قبول إخبار الوليّ الفاسق مجمعاً عليه يؤخذ به، وتقيّد به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لو كان دليل لفظي على أنّ المالك لشيء تسمع إقراراته وإخباراته بالنسبة إليه، 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ينزّل غير المالك منزلته في الأحكام، ويقدّم على إطلاق الآية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لا تدلّ على رفض قول الفاسق مطلقاً؛ فإنّ مورد نزول الآية</w:t>
      </w:r>
      <w:r>
        <w:rPr>
          <w:rStyle w:val="FootnoteAnchor"/>
          <w:rtl w:val="true"/>
        </w:rPr>
        <w:footnoteReference w:id="1240"/>
      </w:r>
      <w:r>
        <w:rPr>
          <w:rFonts w:ascii="Amiri" w:hAnsi="Amiri" w:eastAsia="Amiri" w:cs="Amiri"/>
          <w:color w:val="111111"/>
          <w:sz w:val="28"/>
          <w:sz w:val="28"/>
          <w:szCs w:val="28"/>
          <w:rtl w:val="true"/>
          <w:lang w:bidi="ar-SA"/>
        </w:rPr>
        <w:t xml:space="preserve">والتعليل بعدم إصابة القوم بجهالة، دليل على أنّه في المهمّات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خبر الوليد بكفر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الاعتماد على الخبر الواحد، ولا سيّما إذا كان المخبر فاسقاً مثل الوليد؛ لأنّ الاعتماد في مثله يوجب </w:t>
      </w:r>
    </w:p>
    <w:p>
      <w:pPr>
        <w:pStyle w:val="BookText"/>
        <w:rPr/>
      </w:pPr>
      <w:r>
        <w:rPr>
          <w:rFonts w:ascii="Amiri" w:hAnsi="Amiri" w:eastAsia="Amiri" w:cs="Amiri"/>
          <w:color w:val="111111"/>
          <w:sz w:val="28"/>
          <w:sz w:val="28"/>
          <w:szCs w:val="28"/>
          <w:rtl w:val="true"/>
          <w:lang w:bidi="ar-SA"/>
        </w:rPr>
        <w:t>تجهيز الجيش، وقتال المرتدّين، والقتل العامّ الموجب للإصباح نادمين أيّة ندامة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مثله لا بدّ من التثبّت والتفتيش عن الواقعة، لا العمل بقول الواحد أو الاثنين، ولا سيّما إذا كان فاسقاً، بل العمل بقول العدلين أيضاً في مثل تلك الواقعة، على خلاف طريقة الدول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أجنبيّة عن الحكم بعدم قبول قول الفاسق مطلقاً، وبقبول قول العادل، مع عدم انقداح الردع من الآية عن بناء العقلاء على العمل بقول الملاّك وذوي الأيادي والأولياء، ولهذا لم يعهد التمسّك بها لذلك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النظر فيما نقل عن بعض مقررّي بحث الشيخ الأنصاري قدّس سرّه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بها لاعتبار العدالة في الملتقط، وأنّ أعمال الفسّاق كأقوالهم لا يجوز الاعتماد عليها؛ فإنّه إذا وجب التثبّت في قولهم، وجب في فعلهم؛ بمعنى عدم ترتيب آثار الوجود على الفعل المحتمل صدوره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التعليل أنّ العلّة هي مطلق الحذر من الوقوع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الوقوع في الندم على ترك التثبّت، يشمل الأفعال كالأقوال؛ فإنّ الندامة فيها أكثر منها في الأقوال</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ورود ما أوردناه على الأوّل عليه، يزيّف بأنّه لا دليل على أنّ أعمال الفسّاق كأقوالهم، بل الدليل على خلافه؛ فإنّ أعمال الفسّاق تحمل على الصحّة </w:t>
      </w:r>
      <w:bookmarkStart w:id="675" w:name="pg15204_140807"/>
    </w:p>
    <w:p>
      <w:pPr>
        <w:pStyle w:val="BookText"/>
        <w:rPr/>
      </w:pPr>
      <w:bookmarkEnd w:id="675"/>
      <w:r>
        <w:rPr>
          <w:rFonts w:ascii="Amiri" w:hAnsi="Amiri" w:eastAsia="Amiri" w:cs="Amiri"/>
          <w:color w:val="111111"/>
          <w:sz w:val="28"/>
          <w:sz w:val="28"/>
          <w:szCs w:val="28"/>
          <w:rtl w:val="true"/>
          <w:lang w:bidi="ar-SA"/>
        </w:rPr>
        <w:t>بلا ريب، بخلاف أقوالهم، وأيديهم أمارة على ملكية ما فيها، ولو لزم من إسقاط اعتبار أقوالهم إسقاط كلّ ما يحتمل خلافه منهم، للزم الاختلال في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التعليل فيظهر منه أنّ الأشياء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إصابة قوم من المسلمين بالقتل والسبي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لا مطلق الجهالة ولو لم تترتّب عليها مفسدة، كما أنّ الندامة الحاصلة من إصابة طائفة من المسلمين، لا تقاس بها الندامة في أمر حقير غير مهتمّ به</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759150_2142443653"/>
      <w:bookmarkStart w:id="677" w:name="_Toc251"/>
      <w:bookmarkEnd w:id="676"/>
      <w:r>
        <w:rPr>
          <w:rtl w:val="true"/>
        </w:rPr>
        <w:t>الاستدلال برواية الفضل على الاعتبار</w:t>
      </w:r>
      <w:bookmarkEnd w:id="677"/>
    </w:p>
    <w:p>
      <w:pPr>
        <w:pStyle w:val="BookText"/>
        <w:rPr/>
      </w:pPr>
      <w:r>
        <w:rPr>
          <w:rFonts w:ascii="Amiri" w:hAnsi="Amiri" w:eastAsia="Amiri" w:cs="Amiri"/>
          <w:color w:val="111111"/>
          <w:sz w:val="28"/>
          <w:sz w:val="28"/>
          <w:szCs w:val="28"/>
          <w:rtl w:val="true"/>
          <w:lang w:bidi="ar-SA"/>
        </w:rPr>
        <w:t xml:space="preserve">وأمّا رواية الفضل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 هوىً، وهوى الجدّ هوىً، وهما سواء في العدل والرضا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سندها، وإعراض الأصحاب عنها، فعن العلاّمة دعوى الإجماع على ولاية الفاسق في التزويج</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اليد عن الإطلاقات الكثيرة التي بعضها في مقام الحاجة مع كون العدل قليلاً، في غاية الإشكال</w:t>
      </w:r>
      <w:r>
        <w:rPr>
          <w:rFonts w:eastAsia="Amiri" w:cs="Amiri" w:ascii="Amiri" w:hAnsi="Amiri"/>
          <w:color w:val="111111"/>
          <w:sz w:val="28"/>
          <w:szCs w:val="28"/>
          <w:rtl w:val="true"/>
          <w:lang w:bidi="ar-SA"/>
        </w:rPr>
        <w:t xml:space="preserve">. </w:t>
      </w:r>
      <w:bookmarkStart w:id="678" w:name="pg15204_140808"/>
    </w:p>
    <w:p>
      <w:pPr>
        <w:pStyle w:val="BookText"/>
        <w:rPr/>
      </w:pPr>
      <w:bookmarkEnd w:id="678"/>
      <w:r>
        <w:rPr>
          <w:rFonts w:ascii="Amiri" w:hAnsi="Amiri" w:eastAsia="Amiri" w:cs="Amiri"/>
          <w:color w:val="111111"/>
          <w:sz w:val="28"/>
          <w:sz w:val="28"/>
          <w:szCs w:val="28"/>
          <w:rtl w:val="true"/>
          <w:lang w:bidi="ar-SA"/>
        </w:rPr>
        <w:t xml:space="preserve">والجمع بين المطلق والمقيّد وإن كان عقلائياً، لكن فيما إذا اُلقي المطلق إلى أصحاب الحديث والكتب، وأمّا ذكر المطلق في مقام الحاجة، مع كون المقيّد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قليل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مقيّده بعد ذلك منفصلاً، فهو بعيد، والجمع بينهما ليس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وقوع التعارض بينهما، والترجيح للروايات المطلقة،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اعتبار العدالة في باب التزويج، لا يستلزم اعتبارها في غيره، ولا يمكن إلغاء الخصوصية بعد وجودها جزماً، فلا ينبغي الإشكال في المسألة</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759152_2142443653"/>
      <w:bookmarkStart w:id="680" w:name="_Toc252"/>
      <w:bookmarkEnd w:id="679"/>
      <w:r>
        <w:rPr>
          <w:rtl w:val="true"/>
        </w:rPr>
        <w:t>حول اشتراط المصلحة في تصرّف الأب والجدّ</w:t>
      </w:r>
      <w:bookmarkEnd w:id="680"/>
    </w:p>
    <w:p>
      <w:pPr>
        <w:pStyle w:val="Heading6"/>
        <w:numPr>
          <w:ilvl w:val="5"/>
          <w:numId w:val="1"/>
        </w:numPr>
        <w:rPr/>
      </w:pPr>
      <w:bookmarkStart w:id="681" w:name="__RefHeading___Toc2759154_2142443653"/>
      <w:bookmarkStart w:id="682" w:name="_Toc253"/>
      <w:bookmarkEnd w:id="681"/>
      <w:r>
        <w:rPr>
          <w:rtl w:val="true"/>
        </w:rPr>
        <w:t>بيانه</w:t>
      </w:r>
      <w:bookmarkEnd w:id="682"/>
    </w:p>
    <w:p>
      <w:pPr>
        <w:pStyle w:val="BookText"/>
        <w:rPr/>
      </w:pPr>
      <w:r>
        <w:rPr>
          <w:rFonts w:ascii="Amiri" w:hAnsi="Amiri" w:eastAsia="Amiri" w:cs="Amiri"/>
          <w:color w:val="111111"/>
          <w:sz w:val="28"/>
          <w:sz w:val="28"/>
          <w:szCs w:val="28"/>
          <w:rtl w:val="true"/>
          <w:lang w:bidi="ar-SA"/>
        </w:rPr>
        <w:t>وهل تشترط في تصرّفهما المصلحة، أو يكفي عدم المفسدة، أم لا يعتبر شيء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عدم اعتبار شيء</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المتقدّمة الواردة في الإيصاء بمال الطفل، فليس فيها ما يتوهّم منها الإطلاق إلاّ رواية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إذن الأب في المضاربة وكون الربح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عدم البأس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أنّ أباه قد أذن له في ذلك وهو حيّ</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بتقريب أنّ الصغرى لا تصلح لتقييد الكبرى؛ فإنّ المورد غير مخصّص</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التعليل أنّ تمام العلّة لعدم البأس هو إذن الأب، ومقتضى تعميم </w:t>
      </w:r>
    </w:p>
    <w:p>
      <w:pPr>
        <w:pStyle w:val="BookText"/>
        <w:rPr/>
      </w:pPr>
      <w:r>
        <w:rPr>
          <w:rFonts w:ascii="Amiri" w:hAnsi="Amiri" w:eastAsia="Amiri" w:cs="Amiri"/>
          <w:color w:val="111111"/>
          <w:sz w:val="28"/>
          <w:sz w:val="28"/>
          <w:szCs w:val="28"/>
          <w:rtl w:val="true"/>
          <w:lang w:bidi="ar-SA"/>
        </w:rPr>
        <w:t>التعليل كون إذن الأب نافذاً في مطلق التصرّف في ماله ولو كانت فيه مضرّة، فضلاً عمّا إذا لم تكن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هو الأخذ بالكبرى وإطلاقها، كما هو الوجه في سائر المقامات، كالأخذ بكبرى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مع ورودها في مورد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الإطلاق هاهنا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مورد الإضرار، فلا ينبغي الإشكال فيه؛ ضرورة أنّه لا ينقدح من ذلك في ذهن أحد أنّ للوليّ أن يفعل في مال المولّى عليه ما يوجب فناءه وتلفه، أو يهبه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عدم الصلاح، فلا يمكن الجزم بالإطلاق بعد وجود خصوصية في المورد يمكن للمتكلّم الاتّكال عليها؛ فإنّ العمل بمال اليتيم فيه صلاح له، لتنمية ماله بالتجارة، وحصول الربح له، وهذه الخصوصية توجب عدم الاعتداد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روايات الاستصحاب، فإنّ الأخذ بالإطلاق فيها لا مانع منه، بل مناسبة الحكم والموضوع تؤيّد نفي الخصوصية لو احتملت دخالتها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فالعمدة، الروايات الوارد فيها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أنّها وردت في موردين</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التصرّفات الاعتبارية كالتزويج، مثل روايتي </w:t>
      </w:r>
    </w:p>
    <w:p>
      <w:pPr>
        <w:pStyle w:val="BookText"/>
        <w:rPr/>
      </w:pPr>
      <w:r>
        <w:rPr>
          <w:rFonts w:ascii="Amiri" w:hAnsi="Amiri" w:eastAsia="Amiri" w:cs="Amiri"/>
          <w:color w:val="111111"/>
          <w:sz w:val="28"/>
          <w:sz w:val="28"/>
          <w:szCs w:val="28"/>
          <w:rtl w:val="true"/>
          <w:lang w:bidi="ar-SA"/>
        </w:rPr>
        <w:t>عبيد بن زرارة</w:t>
      </w:r>
      <w:r>
        <w:rPr>
          <w:rStyle w:val="FootnoteAnchor"/>
          <w:rtl w:val="true"/>
        </w:rPr>
        <w:footnoteReference w:id="1247"/>
      </w:r>
      <w:r>
        <w:rPr>
          <w:rFonts w:ascii="Amiri" w:hAnsi="Amiri" w:eastAsia="Amiri" w:cs="Amiri"/>
          <w:color w:val="111111"/>
          <w:sz w:val="28"/>
          <w:sz w:val="28"/>
          <w:szCs w:val="28"/>
          <w:rtl w:val="true"/>
          <w:lang w:bidi="ar-SA"/>
        </w:rPr>
        <w:t>وعلي بن جعفر</w:t>
      </w:r>
      <w:r>
        <w:rPr>
          <w:rStyle w:val="FootnoteAnchor"/>
          <w:rtl w:val="true"/>
        </w:rPr>
        <w:footnoteReference w:id="1248"/>
      </w:r>
      <w:r>
        <w:rPr>
          <w:rFonts w:ascii="Amiri" w:hAnsi="Amiri" w:eastAsia="Amiri" w:cs="Amiri"/>
          <w:color w:val="111111"/>
          <w:sz w:val="28"/>
          <w:sz w:val="28"/>
          <w:szCs w:val="28"/>
          <w:rtl w:val="true"/>
          <w:lang w:bidi="ar-SA"/>
        </w:rPr>
        <w:t>المتقدّمتين، حيث علّل نفوذ تزويج الجدّ وتقدّمه على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الأب وماله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الابنة ووالدها لجدّها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التصرّف الخارجي في ماله،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وسعيد بن يسار</w:t>
      </w:r>
      <w:r>
        <w:rPr>
          <w:rStyle w:val="FootnoteAnchor"/>
          <w:rtl w:val="true"/>
        </w:rPr>
        <w:footnoteReference w:id="1250"/>
      </w:r>
      <w:r>
        <w:rPr>
          <w:rFonts w:ascii="Amiri" w:hAnsi="Amiri" w:eastAsia="Amiri" w:cs="Amiri"/>
          <w:color w:val="111111"/>
          <w:sz w:val="28"/>
          <w:sz w:val="28"/>
          <w:szCs w:val="28"/>
          <w:rtl w:val="true"/>
          <w:lang w:bidi="ar-SA"/>
        </w:rPr>
        <w:t>ولا سيّما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تقريب الإطلاق حتّى في مورد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الولد وماله للوالد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كونه تنزيلاً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صحّة التصرّف وجوازه حتّى مع الإضرار، فإنّ الاعتبار هو تصرّفه في ماله، لا مال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الإطلاق يتقيّد بالروايات المقيّدة، كصحيحة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أن يأخذ من مال ابنه إلاّ ما احتاج إليه ممّا لا بدّ منه، إنّ اللّه لا يحبّ الفساد</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منها حدود جواز التصرّف ومقدار التنزيل، وهي مقدّمة بل حاكمة على جميع الروايات الواردة في المقام، سواء فيها ما اشتملت على ذكر النبوي وغيره، فتخرج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الضررية وما هو فساد عرفاً، كتزويج الصغيرة بغير كفوها، أو بمن اشتمل التزويج به على مفسدة دينية </w:t>
      </w:r>
    </w:p>
    <w:p>
      <w:pPr>
        <w:pStyle w:val="BookText"/>
        <w:rPr/>
      </w:pPr>
      <w:r>
        <w:rPr>
          <w:rFonts w:ascii="Amiri" w:hAnsi="Amiri" w:eastAsia="Amiri" w:cs="Amiri"/>
          <w:color w:val="111111"/>
          <w:sz w:val="28"/>
          <w:sz w:val="28"/>
          <w:szCs w:val="28"/>
          <w:rtl w:val="true"/>
          <w:lang w:bidi="ar-SA"/>
        </w:rPr>
        <w:t>أو دنيوية، ويبقى في الإطلاق ما فيه الصلاح والغبطة، وما لم يشتمل على الفساد، وإن لم تكن فيه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على ذلك أيضاً موثّقة</w:t>
      </w:r>
      <w:r>
        <w:rPr>
          <w:rStyle w:val="FootnoteAnchor"/>
          <w:rtl w:val="true"/>
        </w:rPr>
        <w:footnoteReference w:id="1252"/>
      </w:r>
      <w:r>
        <w:rPr>
          <w:rFonts w:ascii="Amiri" w:hAnsi="Amiri" w:eastAsia="Amiri" w:cs="Amiri"/>
          <w:color w:val="111111"/>
          <w:sz w:val="28"/>
          <w:sz w:val="28"/>
          <w:szCs w:val="28"/>
          <w:rtl w:val="true"/>
          <w:lang w:bidi="ar-SA"/>
        </w:rPr>
        <w:t xml:space="preserve">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بذلك ما لم يكن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الكليني قدّس سرّه</w:t>
      </w:r>
      <w:r>
        <w:rPr>
          <w:rStyle w:val="FootnoteAnchor"/>
          <w:rtl w:val="true"/>
        </w:rPr>
        <w:footnoteReference w:id="1253"/>
      </w:r>
      <w:r>
        <w:rPr>
          <w:rFonts w:ascii="Amiri" w:hAnsi="Amiri" w:eastAsia="Amiri" w:cs="Amiri"/>
          <w:color w:val="111111"/>
          <w:sz w:val="28"/>
          <w:sz w:val="28"/>
          <w:szCs w:val="28"/>
          <w:rtl w:val="true"/>
          <w:lang w:bidi="ar-SA"/>
        </w:rPr>
        <w:t xml:space="preserve">والروايات الواردة في تقويم الأب جارية ولده الصغار، كصحيحة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لبعض ولده جارية، وولده صغار، هل يصلح أن يطأها؟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قيمة عدل ثمّ يأخذها، ويكون لولده عليه ثمنها</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 أنّ الوالد له التصرّف الاعتباري بالبيع والشراء في مال ابنه الصغير، لكن لا بما يوجب الفساد، فالقيمة العادلة لا غبطة فيها إلاّ في بعض الأحيان ولا فساد</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مرّ كفاية عدم المفسدة</w:t>
      </w:r>
      <w:r>
        <w:rPr>
          <w:rFonts w:eastAsia="Amiri" w:cs="Amiri" w:ascii="Amiri" w:hAnsi="Amiri"/>
          <w:color w:val="111111"/>
          <w:sz w:val="28"/>
          <w:szCs w:val="28"/>
          <w:rtl w:val="true"/>
          <w:lang w:bidi="ar-SA"/>
        </w:rPr>
        <w:t xml:space="preserve">. </w:t>
      </w:r>
      <w:bookmarkStart w:id="683" w:name="pg15204_140812"/>
    </w:p>
    <w:p>
      <w:pPr>
        <w:pStyle w:val="BookText"/>
        <w:rPr/>
      </w:pPr>
      <w:bookmarkEnd w:id="683"/>
      <w:r>
        <w:rPr>
          <w:rFonts w:ascii="Amiri" w:hAnsi="Amiri" w:eastAsia="Amiri" w:cs="Amiri"/>
          <w:color w:val="111111"/>
          <w:sz w:val="28"/>
          <w:sz w:val="28"/>
          <w:szCs w:val="28"/>
          <w:rtl w:val="true"/>
          <w:lang w:bidi="ar-SA"/>
        </w:rPr>
        <w:t>نعم، هنا بعض الروايات الدالّة على جواز التصرّف حتّى مع الإضرار، كروايتي سعيد بن يسار</w:t>
      </w:r>
      <w:r>
        <w:rPr>
          <w:rStyle w:val="FootnoteAnchor"/>
          <w:rtl w:val="true"/>
        </w:rPr>
        <w:footnoteReference w:id="1256"/>
      </w:r>
      <w:r>
        <w:rPr>
          <w:rFonts w:ascii="Amiri" w:hAnsi="Amiri" w:eastAsia="Amiri" w:cs="Amiri"/>
          <w:color w:val="111111"/>
          <w:sz w:val="28"/>
          <w:sz w:val="28"/>
          <w:szCs w:val="28"/>
          <w:rtl w:val="true"/>
          <w:lang w:bidi="ar-SA"/>
        </w:rPr>
        <w:t xml:space="preserve">والحسين بن علوان،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ما فيهما من ضعف الثانية، وإعراض الأصحاب عنها، بل وعن الاُولى ظاهراً </w:t>
      </w:r>
      <w:r>
        <w:rPr>
          <w:rStyle w:val="FootnoteAnchor"/>
          <w:rtl w:val="true"/>
        </w:rPr>
        <w:footnoteReference w:id="1258"/>
      </w:r>
      <w:r>
        <w:rPr>
          <w:rFonts w:ascii="Amiri" w:hAnsi="Amiri" w:eastAsia="Amiri" w:cs="Amiri"/>
          <w:color w:val="111111"/>
          <w:sz w:val="28"/>
          <w:sz w:val="28"/>
          <w:szCs w:val="28"/>
          <w:rtl w:val="true"/>
          <w:lang w:bidi="ar-SA"/>
        </w:rPr>
        <w:t>، بل لم يعمل بالتعليل فيهما أحد حتّى شيخ الطائفة قدّس سرّه</w:t>
      </w:r>
      <w:r>
        <w:rPr>
          <w:rStyle w:val="FootnoteAnchor"/>
          <w:rtl w:val="true"/>
        </w:rPr>
        <w:footnoteReference w:id="1259"/>
      </w:r>
      <w:r>
        <w:rPr>
          <w:rFonts w:ascii="Amiri" w:hAnsi="Amiri" w:eastAsia="Amiri" w:cs="Amiri"/>
          <w:color w:val="111111"/>
          <w:sz w:val="28"/>
          <w:sz w:val="28"/>
          <w:szCs w:val="28"/>
          <w:rtl w:val="true"/>
          <w:lang w:bidi="ar-SA"/>
        </w:rPr>
        <w:t>، مضافاً إلى معارضتهما لما هو أصحّ سنداً، وأقوى دلالة، ومؤيّد بالكتاب أيضاً، فلا تصلحان للاعتماد عليهما</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759156_2142443653"/>
      <w:bookmarkStart w:id="685" w:name="_Toc254"/>
      <w:bookmarkEnd w:id="684"/>
      <w:r>
        <w:rPr>
          <w:rtl w:val="true"/>
        </w:rPr>
        <w:t xml:space="preserve">البحث في آية </w:t>
      </w:r>
      <w:r>
        <w:rPr>
          <w:rtl w:val="true"/>
        </w:rPr>
        <w:t>«</w:t>
      </w:r>
      <w:r>
        <w:rPr>
          <w:rtl w:val="true"/>
        </w:rPr>
        <w:t>لاَ تَقْرَبُوا مَالَ الْيَتِيمِ</w:t>
      </w:r>
      <w:r>
        <w:rPr>
          <w:rtl w:val="true"/>
        </w:rPr>
        <w:t>»</w:t>
      </w:r>
      <w:bookmarkEnd w:id="685"/>
    </w:p>
    <w:p>
      <w:pPr>
        <w:pStyle w:val="BookText"/>
        <w:rPr/>
      </w:pPr>
      <w:r>
        <w:rPr>
          <w:rFonts w:ascii="Amiri" w:hAnsi="Amiri" w:eastAsia="Amiri" w:cs="Amiri"/>
          <w:color w:val="111111"/>
          <w:sz w:val="28"/>
          <w:sz w:val="28"/>
          <w:szCs w:val="28"/>
          <w:rtl w:val="true"/>
          <w:lang w:bidi="ar-SA"/>
        </w:rPr>
        <w:t>بقي الكلام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حيث اعتبرت في التصرّفات، المصلحة أو الأصلحية والأحسنية، وسيأتي الكلام فيها مستقصىً في ولاية عدول المؤمنين إن شاء اللّه تعالى</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بالإشارة إلى بعض الجهات المربوطة بالمقام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الجدّ، وعدم انصراف الآية عن الجدّ أو عن الأولياء، إمّا أن يكون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التصرّفات </w:t>
      </w:r>
    </w:p>
    <w:p>
      <w:pPr>
        <w:pStyle w:val="BookText"/>
        <w:rPr/>
      </w:pPr>
      <w:r>
        <w:rPr>
          <w:rFonts w:ascii="Amiri" w:hAnsi="Amiri" w:eastAsia="Amiri" w:cs="Amiri"/>
          <w:color w:val="111111"/>
          <w:sz w:val="28"/>
          <w:sz w:val="28"/>
          <w:szCs w:val="28"/>
          <w:rtl w:val="true"/>
          <w:lang w:bidi="ar-SA"/>
        </w:rPr>
        <w:t xml:space="preserve">الخارجية، فمقتضى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الخارجي في أموال اليتامى لعامّة المكلّفين، إن كان فيه صلاح لليتيم، أو على وجه الأصلحية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بعض الروايات على جوازه إذا كان فيه نفع لليتيم</w:t>
      </w:r>
      <w:r>
        <w:rPr>
          <w:rStyle w:val="FootnoteAnchor"/>
          <w:rtl w:val="true"/>
        </w:rPr>
        <w:footnoteReference w:id="1262"/>
      </w:r>
      <w:r>
        <w:rPr>
          <w:rFonts w:ascii="Amiri" w:hAnsi="Amiri" w:eastAsia="Amiri" w:cs="Amiri"/>
          <w:color w:val="111111"/>
          <w:sz w:val="28"/>
          <w:sz w:val="28"/>
          <w:szCs w:val="28"/>
          <w:rtl w:val="true"/>
          <w:lang w:bidi="ar-SA"/>
        </w:rPr>
        <w:t>وفي بعض آخر جواز خلط ماله بمال اليتيم واشتراكهما في الأكل</w:t>
      </w:r>
      <w:r>
        <w:rPr>
          <w:rStyle w:val="FootnoteAnchor"/>
          <w:rtl w:val="true"/>
        </w:rPr>
        <w:footnoteReference w:id="1263"/>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فَإِخْوَانُكُمْ 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الاحتمال، لا تنافي الآية ما نحن بصدده؛ من نفوذ تصرّفات الجدّ بيعاً وشراءً ونحوهما،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المقصود به أعمّ منها ومن التصرّفات الاعتبارية، والجمع بين الإرشاد إلى الحكم الوضعي والتحريم تكليفاً لا مانع منه، وليس من الاستعمال في أكثر من معنى واحد؛ لما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الأوامر والنواهي لا تستعمل في النفسيات والإرشاديات وغيرهما إلاّ في معناهما؛ أي البعث والزجر، وإنّما يختلف المتفاهم العرفي منهما باختلاف المتعلّقات</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الصَّلَوةِ </w:t>
      </w:r>
    </w:p>
    <w:p>
      <w:pPr>
        <w:pStyle w:val="BookText"/>
        <w:rPr/>
      </w:pP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67"/>
      </w:r>
      <w:r>
        <w:rPr>
          <w:rFonts w:ascii="Amiri" w:hAnsi="Amiri" w:eastAsia="Amiri" w:cs="Amiri"/>
          <w:color w:val="111111"/>
          <w:sz w:val="28"/>
          <w:sz w:val="28"/>
          <w:szCs w:val="28"/>
          <w:rtl w:val="true"/>
          <w:lang w:bidi="ar-SA"/>
        </w:rPr>
        <w:t>يفهم العرف أنّ الزجر في الأوّل والبعث في الثاني إرشاديان، لا بمعنى استعمالهما في الإرشادية؛ فإنّه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الصلاة لمّا كانت مطلوبة، ولها صحّة وفساد وشروط وموانع، يفهم العرف من الزجر عن الصلاة في شيء، أنّ ذلك الشيء مانع، ولأجل ذلك تعلّق بها الزجر فيه، وأنّ الوضوء شرط، ولهذا تعلّق به الأمر حال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تعلّق بشيء له ملحوظية نفسية،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الزَّكَوةَ</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منهما أنّ مطلوبية أداء الزكاة نفسية، ومبغوضية الشرب كذلك، وفي الموردين لم يستعمل اللفظ هيئة ومادّة إلاّ في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أعمّ من البيع ونحوه، والأكل ونحوه، يفهم العرف من عدم القرب والزجر عن التصرّف الاعتباري، أنّه إرشاد إلى البطلان، وعن الأكل ونحوه أنّه محرّم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الأعمّ، كانت النسبة بينها وبين ما دلّ على نفوذ تصرّفات الجدّ، العموم من وجه، فيتعارضان في اليتيم إذا لم يكن تصرّفه على وجه أحسن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إن كانت الآية بصدد بيان الزجر عن التصرّفات إلاّ على الوجه المذكور، تكون الروايات بلسانها حاكمة عليها؛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w:t>
      </w:r>
      <w:r>
        <w:rPr>
          <w:rStyle w:val="FootnoteAnchor"/>
          <w:rtl w:val="true"/>
        </w:rPr>
        <w:footnoteReference w:id="1269"/>
      </w:r>
      <w:r>
        <w:rPr>
          <w:rFonts w:ascii="Amiri" w:hAnsi="Amiri" w:eastAsia="Amiri" w:cs="Amiri"/>
          <w:color w:val="111111"/>
          <w:sz w:val="28"/>
          <w:sz w:val="28"/>
          <w:szCs w:val="28"/>
          <w:rtl w:val="true"/>
          <w:lang w:bidi="ar-SA"/>
        </w:rPr>
        <w:t xml:space="preserve">يفهم منه عرفاً أنّ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مال الأب، لا اعتبار مال الابن، </w:t>
      </w:r>
    </w:p>
    <w:p>
      <w:pPr>
        <w:pStyle w:val="BookText"/>
        <w:rPr/>
      </w:pPr>
      <w:r>
        <w:rPr>
          <w:rFonts w:ascii="Amiri" w:hAnsi="Amiri" w:eastAsia="Amiri" w:cs="Amiri"/>
          <w:color w:val="111111"/>
          <w:sz w:val="28"/>
          <w:sz w:val="28"/>
          <w:szCs w:val="28"/>
          <w:rtl w:val="true"/>
          <w:lang w:bidi="ar-SA"/>
        </w:rPr>
        <w:t xml:space="preserve">ولا اعتبار مالهما،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للأب</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فرض ثبوت المال للابن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وجه للحكومة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المتفاهم من هذا التركيب ونحوه أنّ المال مال الأب بحسب التنزيل، لا الابن، ولهذا تمسّك به الأئمّة علیهم السلام في جواز التصرّف، ولو كان اعتبار ملكيته في قبال الأب محفوظاً، ولم يكن التنزيل موجباً لإفناء اعتبارها، لما كان وجه للتمسّك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صدرت في مقام إثبات أنّ الملك للأب خاصّة،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وما في يده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المخاطبات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بصدد تحديد التصرّفات بعد فرض جوازها لقوم،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التصرّف، لا بدّ وأن يكون تصرّفه على وجه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بلسانها حاكمة على دليل نفوذ التصرّف لو كان الدليل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يتناول من ماله، ويتصرّف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فيوجب عدم وصول النوبة إلى ما ذكر، ويكون حاكماً على مفاد الآية</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إنّما هو بعد تسليم بعض ما لا يكون مسلّماً، وسيأتي التعرّض له إن شاء اللّه تعالى</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5204_140817"/>
      <w:bookmarkStart w:id="687" w:name="pg15204_140817"/>
      <w:bookmarkEnd w:id="687"/>
    </w:p>
    <w:p>
      <w:pPr>
        <w:pStyle w:val="Heading4"/>
        <w:numPr>
          <w:ilvl w:val="3"/>
          <w:numId w:val="1"/>
        </w:numPr>
        <w:rPr/>
      </w:pPr>
      <w:bookmarkStart w:id="688" w:name="pg15204_140817"/>
      <w:bookmarkStart w:id="689" w:name="__RefHeading___Toc2759158_2142443653"/>
      <w:bookmarkStart w:id="690" w:name="_Toc255"/>
      <w:bookmarkEnd w:id="688"/>
      <w:bookmarkEnd w:id="689"/>
      <w:r>
        <w:rPr>
          <w:rtl w:val="true"/>
        </w:rPr>
        <w:t>مسألة ولاية الفقيه</w:t>
      </w:r>
      <w:bookmarkEnd w:id="690"/>
    </w:p>
    <w:p>
      <w:pPr>
        <w:pStyle w:val="Heading5"/>
        <w:numPr>
          <w:ilvl w:val="4"/>
          <w:numId w:val="1"/>
        </w:numPr>
        <w:rPr/>
      </w:pPr>
      <w:bookmarkStart w:id="691" w:name="__RefHeading___Toc2759160_2142443653"/>
      <w:bookmarkStart w:id="692" w:name="_Toc256"/>
      <w:bookmarkEnd w:id="691"/>
      <w:r>
        <w:rPr>
          <w:rtl w:val="true"/>
        </w:rPr>
        <w:t>إشارة</w:t>
      </w:r>
      <w:bookmarkEnd w:id="692"/>
    </w:p>
    <w:p>
      <w:pPr>
        <w:pStyle w:val="BookText"/>
        <w:rPr/>
      </w:pPr>
      <w:r>
        <w:rPr>
          <w:rFonts w:ascii="Amiri" w:hAnsi="Amiri" w:eastAsia="Amiri" w:cs="Amiri"/>
          <w:color w:val="111111"/>
          <w:sz w:val="28"/>
          <w:sz w:val="28"/>
          <w:szCs w:val="28"/>
          <w:rtl w:val="true"/>
          <w:lang w:bidi="ar-SA"/>
        </w:rPr>
        <w:t>ومن جملة أولياء التصرّف في مال من لا يستقلّ بالتصرّف في ماله الحاكم، وهو الفقيه الجامع لشرائط الفتوى، ولا بأس بالتعرّض لولاية الفقيه مطلقاً بوجه إجمالي، فإنّ التفصيل يحتاج إلى إفراد رسالة لا يسعها المجال، فنقول</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759162_2142443653"/>
      <w:bookmarkStart w:id="694" w:name="_Toc257"/>
      <w:bookmarkEnd w:id="693"/>
      <w:r>
        <w:rPr>
          <w:rtl w:val="true"/>
        </w:rPr>
        <w:t>ضرورة الحكومة الإسلامية</w:t>
      </w:r>
      <w:bookmarkEnd w:id="69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نظر إجمالاً إلى أحكام الإسلام وبسطها في جميع شؤون المجتمع؛ من العباديات التي هي وظائف بين العباد وخالقهم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وإن كانت فيهما أيضاً جهات اجتماعية وسياسية مربوطة بالحياة والمعيشة الدنيوية، وقد غفل عنها المسلمون، ولا سيّما مثل ما في الاجتماع في الحجّ في مهبط الوحي ومركز ظهور الإسلام، ومع الأسف، قد أغفلوا بركات هذا الاجتماع الذي سهّل تحقّقه لهم الشارع الأقدس بوجه لا يتحقّق لسائر الدول والملل إلاّ مع جهاد عظيم، ومصارف خطيرة، ولو كان لهم رشد سياسي واجتماعي، أمكن لهم حلّ الكثير من المسائل المبتلى بها؛ بتبادل الأفكار، والتفاهم والتفكير في حاجاتهم السياسية </w:t>
      </w:r>
    </w:p>
    <w:p>
      <w:pPr>
        <w:pStyle w:val="BookText"/>
        <w:rPr/>
      </w:pPr>
      <w:r>
        <w:rPr>
          <w:rFonts w:ascii="Amiri" w:hAnsi="Amiri" w:eastAsia="Amiri" w:cs="Amiri"/>
          <w:color w:val="111111"/>
          <w:sz w:val="28"/>
          <w:sz w:val="28"/>
          <w:szCs w:val="28"/>
          <w:rtl w:val="true"/>
          <w:lang w:bidi="ar-SA"/>
        </w:rPr>
        <w:t xml:space="preserve">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القوانين الاقتصادية والحقوقية والاجتماعية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ليس عبارة عن الأحكام العبادية والأخلاقية فحسب، كما زعم كثير من شبّان المسلمين بل وشيوخهم؛ وذلك للتبليغات المشؤومة المسمومة المستمرّة من الأجانب وعمّالهم في بلاد المسلمين طيلة التأريخ؛ لأجل إسقاط الإسلام والمنتسبين إليه عن أعين الشبّان وطلاّب العلوم الحديثة، وإيجاد الافتراق والتباغض بين المسلمين قديمهم وحديثهم، وقد وفّقوا لذلك إلى حدّ لا يتيسّر لنا رفع هذه المزعمة والتهمة بسهولة، وفي أوقات غير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طليعتهم الروحانيون وطلاّب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ضدّ تبليغات أعداء الإسلام بأيّة وسيلة ممكنة، حتّى يظهر أنّ الإسلام قام لتأسيس حكومة عادلة، فيها قوانين مربوطة بالماليات وبيت المال، وأخذها من جميع الطبقات على نهج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وقوانين مربوطة بالجزائيات قصاصاً وحدّاً وديةً؛ بوجه لو عمل بها لقلّت الجنايات لو لم تنقطع، وانقطعت بذلك المفاسد المترتّبة عليها، كالتي تترتّب على استعمال المسكرات من الجنايات والفواحش إلى ما شاء اللّه تعالى، وما تترتّب على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وقوانين مربوطة بالقضاء والحقوق على نهج عدل وسهل، من غير إتلاف الوقت والمال، كما هو المشاهد في المحاكم الفعلية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وقوانين مربوطة بالجهاد والدفاع والمعاهدات بين دولة الإسلام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فالإسلام أسّس حكومة لا على نهج الاستبداد المحكّم فيه رأي الفرد وميوله النفسانية في المجتمع، ولا على نهج المشروطة أو الجمهورية المؤسّسة على القوانين البشرية، التي تفرض تحكيم آراء جماعة من البشر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حكومة تستوحي وتستمدّ في جميع مجالاتها من القانون الإلهي، وليس لأحد من الولاة الاستبداد برأيه، بل جميع ما يجري في الحكومة وشؤونها ولوازمها لا بدّ وأن يكون على طبق القانون الإلهي، حتّى الإطاعة لولاة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للوالي أن يعمل في الموضوعات على طبق الصلاح للمسلمين، أو لأهل حوزته، وليس ذلك استبداداً بالرأي، بل هو على طبق الصلاح، فرأيه تبع للصلاح كعمله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الأحكام المربوطة بالماليات، أو السياسيات، أو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تنسخ، بل تبقى إلى يوم القيامة، ونفس بقاء تلك الأحكام يقضي بضرورة حكومة وولاية، تضمن حفظ سيادة القانون الإلهي، وتتكفّل بإجرائه، ولا يمكن إجراء أحكام اللّه إلاّ بها؛ لئلاّ يلزم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حفظ النظام من الواجبات الأكيدة، واختلال اُمور المسلمين من الاُمور المبغوضة، ولا يقام بذا، ولا يسدّ هذا إلاّ بوالٍ وحكومة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حفظ ثغور المسلمين من التهاجم، وبلادهم عن غلبة المعتدين، واجب عقلاً وشرعاً، ولا يمكن ذلك إلاّ بتشكيل الحكومة، وكلّ ذلك من أوضح ما يحتاج إليه المسلمون، ولا يعقل ترك ذلك من الحكيم الصانع</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دليل الإمامة، بعينه دليل على لزوم الحكومة بعد غيبة وليّ الأمر </w:t>
      </w:r>
    </w:p>
    <w:p>
      <w:pPr>
        <w:pStyle w:val="BookText"/>
        <w:rPr/>
      </w:pPr>
      <w:r>
        <w:rPr>
          <w:rFonts w:ascii="Amiri" w:hAnsi="Amiri" w:eastAsia="Amiri" w:cs="Amiri"/>
          <w:color w:val="111111"/>
          <w:sz w:val="28"/>
          <w:sz w:val="28"/>
          <w:szCs w:val="28"/>
          <w:rtl w:val="true"/>
          <w:lang w:bidi="ar-SA"/>
        </w:rPr>
        <w:t xml:space="preserve">عجّل اللّه تعالى فرجه الشريف، ولا سيّما مع هذه السنين المتمادية، ولعلّها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آلاف من السنين، والعلم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من حكمة الباري الحكيم إهمال الاُمّة الإسلامية، وعدم تعيين تكليف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يرضى الحكيم بالهرج والمرج واختلال النظام، ولم يأتِ بشرع قاطع للعذر؛ لئلاّ تكون للناس 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وإن كان من واضحات العقل؛ فإنّ لزوم الحكومة لبسط العدالة، والتعليم والتربية، وحفظ النظم، ورفع الظلم، وسدّ الثغور، والمنع عن تجاوز الأجانب، من أوضح أحكام العقول، من غير فرق بين عصر وعصر، أو مصر ومصر، ومع ذلك فقد دلّ عليه الدليل الشرعي أيضاً،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ليس شيء ممّا يحتاج إليه الناس إلاّ وقد جاء فيه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مرازم،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أنزل اللّه تعالى فيه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1274"/>
      </w:r>
      <w:r>
        <w:rPr>
          <w:rFonts w:ascii="Amiri" w:hAnsi="Amiri" w:eastAsia="Amiri" w:cs="Amiri"/>
          <w:color w:val="111111"/>
          <w:sz w:val="28"/>
          <w:sz w:val="28"/>
          <w:szCs w:val="28"/>
          <w:rtl w:val="true"/>
          <w:lang w:bidi="ar-SA"/>
        </w:rPr>
        <w:t xml:space="preserve">، ونظيرها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حجّة الوداع</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w:t>
      </w:r>
    </w:p>
    <w:p>
      <w:pPr>
        <w:pStyle w:val="BookText"/>
        <w:rPr/>
      </w:pPr>
      <w:r>
        <w:rPr>
          <w:rFonts w:ascii="Amiri" w:hAnsi="Amiri" w:eastAsia="Amiri" w:cs="Amiri"/>
          <w:color w:val="111111"/>
          <w:sz w:val="28"/>
          <w:sz w:val="28"/>
          <w:szCs w:val="28"/>
          <w:rtl w:val="true"/>
          <w:lang w:bidi="ar-SA"/>
        </w:rPr>
        <w:t>حتّى بيّنت للاُمّة جميع ما تحتاج إليه</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وأيّة حاجة كالحاجة إلى تعيين من يدبّر أمر الاُمّة، ويحفظ نظام بلاد المسلمين طيلة الزمان، ومدى الدهر في عصر الغيبة، مع بقاء أحكام الإسلام التي لا يمكن بسطها إلاّ بيد والي المسلمين، وسائس الاُمّة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جيّد</w:t>
      </w:r>
      <w:r>
        <w:rPr>
          <w:rStyle w:val="FootnoteAnchor"/>
          <w:rtl w:val="true"/>
        </w:rPr>
        <w:footnoteReference w:id="1277"/>
      </w:r>
      <w:r>
        <w:rPr>
          <w:rFonts w:ascii="Amiri" w:hAnsi="Amiri" w:eastAsia="Amiri" w:cs="Amiri"/>
          <w:color w:val="111111"/>
          <w:sz w:val="28"/>
          <w:sz w:val="28"/>
          <w:szCs w:val="28"/>
          <w:rtl w:val="true"/>
          <w:lang w:bidi="ar-SA"/>
        </w:rPr>
        <w:t xml:space="preserve">، عن الفضل بن شاذان،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اُولي الأمر، وأمر بطاعتهم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على حدّ محدود، واُمروا أن لا يتعدّوا ذلك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فسادهم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يثبت ذلك ولا يقوم إلاّ بأن يجعل عليهم فيه أميناً، يمنعهم من التعدّي والدخول فيما حظر عليهم؛ لأنّه إن لم يكن ذلك كذلك، لكان أحد لا يترك لذّته ومنفعته لفساد غيره، فجعل عليهم قيّماً يمنعهم من الفساد، ويقيم فيهم الحدود والأحكام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لا نجد فرقة من الفرق، ولا ملّة من الملل، بقوا وعاشوا إلاّ بقيّم ورئيس لما لا بدّ لهم من أمر الدين والدنيا، فلم يجز في حكمة الحكيم أن يترك الخلق ممّا يعلم أنّه لا بدّ لهم منه، ولا قوام لهم إلاّ به، فيقاتلون به عدوّهم، ويقسمون به فيئهم، ويقيم لهم جمعتهم وجماعتهم، ويمنع ظالمهم من مظلومهم</w:t>
      </w:r>
      <w:r>
        <w:rPr>
          <w:rFonts w:eastAsia="Amiri" w:cs="Amiri" w:ascii="Amiri" w:hAnsi="Amiri"/>
          <w:color w:val="111111"/>
          <w:sz w:val="28"/>
          <w:szCs w:val="28"/>
          <w:rtl w:val="true"/>
          <w:lang w:bidi="ar-SA"/>
        </w:rPr>
        <w:t xml:space="preserve">. </w:t>
      </w:r>
      <w:bookmarkStart w:id="695" w:name="pg15204_140822"/>
    </w:p>
    <w:p>
      <w:pPr>
        <w:pStyle w:val="BookText"/>
        <w:rPr/>
      </w:pPr>
      <w:bookmarkEnd w:id="69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يجعل لهم إماماً قيّماً أميناً حافظاً مستودعاً، لدرست الملّة، وذهب الدين، وغيّرت السنّة والأحكام، ولزاد فيه المبتدعون، ونقص منه الملحدون، وشبّهوا ذلك على المسلمين؛ لأ نّا قد وجدنا الخلق منقوصين، محتاجين غير كاملين، مع اختلافهم واختلاف أهوائهم وتشتّت أنحائهم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يجعل لهم قيّماً حافظاً لما جاء به الرسول، لفسدوا على نحو ما بيّنّا، وغيّرت الشرائع والسنن والأحكام والإيمان، وكان في ذلك فساد الخلق أجمعين</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والإمامة نظاماً للاُمّة</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والطاعة نظاماً للملّة، والإمامة لمّاً من الفرقة</w:t>
      </w:r>
      <w:r>
        <w:rPr>
          <w:rFonts w:eastAsia="Amiri" w:cs="Amiri" w:ascii="Amiri" w:hAnsi="Amiri"/>
          <w:color w:val="111111"/>
          <w:sz w:val="28"/>
          <w:szCs w:val="28"/>
          <w:rtl w:val="true"/>
          <w:lang w:bidi="ar-SA"/>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على لزوم بقاء الولاية والرئاسة العامّة</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759164_2142443653"/>
      <w:bookmarkStart w:id="697" w:name="_Toc258"/>
      <w:bookmarkEnd w:id="696"/>
      <w:r>
        <w:rPr>
          <w:rtl w:val="true"/>
        </w:rPr>
        <w:t>الكلام في شخص الوالي</w:t>
      </w:r>
      <w:bookmarkEnd w:id="69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ما وضح ذلك، يبقى الكلام في شخص الوالي، ولا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الأئمّة والولاة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الوصيّين أمير المؤمنين، وأولاده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 بعد سلف </w:t>
      </w:r>
      <w:bookmarkStart w:id="698" w:name="pg15204_140823"/>
    </w:p>
    <w:p>
      <w:pPr>
        <w:pStyle w:val="BookText"/>
        <w:rPr/>
      </w:pPr>
      <w:bookmarkEnd w:id="698"/>
      <w:r>
        <w:rPr>
          <w:rFonts w:ascii="IRNazanin" w:hAnsi="IRNazanin" w:eastAsia="IRNazanin"/>
          <w:color w:val="111111"/>
          <w:sz w:val="28"/>
          <w:sz w:val="28"/>
          <w:szCs w:val="28"/>
          <w:rtl w:val="true"/>
          <w:lang w:bidi="fa-IR"/>
        </w:rPr>
        <w:t xml:space="preserve">إلى زمان الغيبة، فهم ولاة الأمر، ولهم 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العامّة، والخلافة الكلّية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زمان الغيبة، فالولاية والحكومة وإن لم تجعل لشخص خاصّ، لكن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تبقيا بنحو آخر؛ لما تقدّم من عدم إمكان إهمال ذلك، لأنّهما ممّا تحتاج إليه الجماعة الإسلامية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الأدلّة على عدم إهمال ما يحتاج إليه الناس، كما تقدّم بعضها </w:t>
      </w:r>
      <w:r>
        <w:rPr>
          <w:rStyle w:val="FootnoteAnchor"/>
          <w:rtl w:val="true"/>
        </w:rPr>
        <w:footnoteReference w:id="1282"/>
      </w:r>
      <w:r>
        <w:rPr>
          <w:rFonts w:ascii="Amiri" w:hAnsi="Amiri" w:eastAsia="Amiri" w:cs="Amiri"/>
          <w:color w:val="111111"/>
          <w:sz w:val="28"/>
          <w:sz w:val="28"/>
          <w:szCs w:val="28"/>
          <w:rtl w:val="true"/>
          <w:lang w:bidi="ar-SA"/>
        </w:rPr>
        <w:t>، ودلّت على أنّ جعل الإمامة لأجل لمّ الفرقة، ونظام الملّة، وحفظ الشريعة وغيرها، والعلّة متحقّقة في زمن الغيبة، ومطلوبية النظام وحفظ الإسلام معلومة، لا ينبغي لذي مسكة إنكارها</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2759166_2142443653"/>
      <w:bookmarkStart w:id="700" w:name="_Toc259"/>
      <w:bookmarkEnd w:id="699"/>
      <w:r>
        <w:rPr>
          <w:rtl w:val="true"/>
        </w:rPr>
        <w:t>ما يعتبر في الوالي</w:t>
      </w:r>
      <w:bookmarkEnd w:id="70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الإسلامية لمّا كانت حكومة قانونية، بل حكومة القانون الإلهي فقط، وإنّما جعلت لأجل إجراء القانون، وبسط العدالة الإلهية بين الناس، لا بدّ في الوالي من صفتين، هما أساس الحكومة القانونية، ولا يعقل تحقّقها إلاّ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الكفاية داخلة في العلم بنطاقه الأوسع، ولا شبهة في لزومها في </w:t>
      </w:r>
    </w:p>
    <w:p>
      <w:pPr>
        <w:pStyle w:val="BookText"/>
        <w:rPr/>
      </w:pPr>
      <w:r>
        <w:rPr>
          <w:rFonts w:ascii="Amiri" w:hAnsi="Amiri" w:eastAsia="Amiri" w:cs="Amiri"/>
          <w:color w:val="111111"/>
          <w:sz w:val="28"/>
          <w:sz w:val="28"/>
          <w:szCs w:val="28"/>
          <w:rtl w:val="true"/>
          <w:lang w:bidi="ar-SA"/>
        </w:rPr>
        <w:t>الحاكم أيضاً،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شرط ثالث من اُسس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والظالم والفاسق، لا يعقل أن يجعلهم اللّه تعالى ولاة على المسلمين، وحكّاماً على مقدّراتهم وعلى أموالهم ونفوسهم، مع شدّة اهتمام الشارع الأقدس بذلك، ولا يعقل تحقّق إجراء القانون بما هو حقّه إلاّ بيد الوالي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عليه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الاُمّة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الأخبار اعتبار العلم</w:t>
      </w:r>
      <w:r>
        <w:rPr>
          <w:rStyle w:val="FootnoteAnchor"/>
          <w:rtl w:val="true"/>
        </w:rPr>
        <w:footnoteReference w:id="1284"/>
      </w:r>
      <w:r>
        <w:rPr>
          <w:rFonts w:ascii="Amiri" w:hAnsi="Amiri" w:eastAsia="Amiri" w:cs="Amiri"/>
          <w:color w:val="111111"/>
          <w:sz w:val="28"/>
          <w:sz w:val="28"/>
          <w:szCs w:val="28"/>
          <w:rtl w:val="true"/>
          <w:lang w:bidi="ar-SA"/>
        </w:rPr>
        <w:t xml:space="preserve">والعدل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 وكان من المسلّمات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علم الإمام والخليفة بالأحكام، بل لزوم كونه أفضل من غيره، وإنّما الخلاف في الموضوع</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خلاف بين المسلمين في لزوم الخلافة، وإنّما الخلاف في جهات </w:t>
      </w:r>
    </w:p>
    <w:p>
      <w:pPr>
        <w:pStyle w:val="BookText"/>
        <w:rPr/>
      </w:pPr>
      <w:r>
        <w:rPr>
          <w:rFonts w:ascii="Amiri" w:hAnsi="Amiri" w:eastAsia="Amiri" w:cs="Amiri"/>
          <w:color w:val="111111"/>
          <w:sz w:val="28"/>
          <w:sz w:val="28"/>
          <w:szCs w:val="28"/>
          <w:rtl w:val="true"/>
          <w:lang w:bidi="ar-SA"/>
        </w:rPr>
        <w:t>اُخر، ولا زال طعن علمائنا على من تصدّى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جهل حكماً كذائياً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العدل، فلا ينبغي الشكّ من أحد المسلمين في اعتباره، فالعقل والنقل متوافقان في أنّ الوالي لا بدّ وأن يكون عالماً بالقوانين، وعادلاً في الناس وفي إجراء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فيرجع أمر الولاية إلى الفقيه العادل، وهو الذي يصلح لولاية المسلمين؛ إذ يجب أن يكون الوالي متّصفاً بالفقه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فإقامة الحكومة وتشكيل أساس الدولة الإسلامية، من قبيل الواجب الكفائي على الفقهاء العدول، فإن وفّق أحدهم لتشكيل الحكومة يجب على غيره الاتّباع، وإن لم يتيسّر إلاّ باجتماعهم، يجب عليهم القيام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لهم ذلك أصلاً، لم يسقط منصبهم وإن كانوا معذورين في تأسيس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فلكلّ منهم الولاية على اُمور المسلمين؛ من بيت المال إلى إجراء الحدود، بل على نفوس المسلمين إذا اقتضت الحكومة التصرّف فيها، فيجب عليهم إجراء الحدود مع الإمكان، وأخذ الصدقات والخراج والأخماس، والصرف في مصالح المسلمين وفقراء السادة وغيرهم، وسائر حوائج المسلمين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لهم في الجهات المربوطة بالحكومة، كلّ ما كان لرسول اللّه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يلزم من ذلك أن تكون رتبتهم كرتبة الأنبياء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الفضائل المعنوية أمر لا يشاركهم علیهم السلام فيه غيرهم</w:t>
      </w:r>
      <w:r>
        <w:rPr>
          <w:rFonts w:eastAsia="IRNazanin" w:cs="IRNazanin"/>
          <w:color w:val="111111"/>
          <w:sz w:val="28"/>
          <w:szCs w:val="28"/>
          <w:rtl w:val="true"/>
          <w:lang w:bidi="fa-IR"/>
        </w:rPr>
        <w:t xml:space="preserve">. </w:t>
      </w:r>
      <w:bookmarkStart w:id="701" w:name="pg15204_140826"/>
    </w:p>
    <w:p>
      <w:pPr>
        <w:pStyle w:val="Heading5"/>
        <w:numPr>
          <w:ilvl w:val="4"/>
          <w:numId w:val="1"/>
        </w:numPr>
        <w:rPr/>
      </w:pPr>
      <w:bookmarkStart w:id="702" w:name="__RefHeading___Toc2759168_2142443653"/>
      <w:bookmarkStart w:id="703" w:name="_Toc260"/>
      <w:bookmarkEnd w:id="701"/>
      <w:bookmarkEnd w:id="702"/>
      <w:r>
        <w:rPr>
          <w:rtl w:val="true"/>
        </w:rPr>
        <w:t>فالخلافة لها معنيان واصطلاحان</w:t>
      </w:r>
      <w:r>
        <w:rPr>
          <w:rtl w:val="true"/>
        </w:rPr>
        <w:t>:</w:t>
      </w:r>
      <w:bookmarkEnd w:id="7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التكوينية، وهي مختصّة بالخلّص من أوليائه، كالأنبياء المرسلين،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 لاعتباري الجعلي، كجعل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للمسلمين، أو انتخاب فلان وفلان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فالرئاسة الظاهرية الصورية أمر لم يعتن بها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لإجراء الحقّ، وهي التي أرادها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لهي أحبّ إليّ من إمرتكم</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مشيراً إلى نعل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مقام الخلافة الكبرى الإلهية، فليس هيّناً عنده، ولا قابلاً للرفض والإهمال وإلقاء الحبل على غاربه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فللفقيه العادل جميع ما للرسول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يرجع إلى الحكومة والسياسة، ولا يعقل الفرق؛ لأنّ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شخص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المجري </w:t>
      </w:r>
    </w:p>
    <w:p>
      <w:pPr>
        <w:pStyle w:val="BookText"/>
        <w:rPr/>
      </w:pPr>
      <w:r>
        <w:rPr>
          <w:rFonts w:ascii="Amiri" w:hAnsi="Amiri" w:eastAsia="Amiri" w:cs="Amiri"/>
          <w:color w:val="111111"/>
          <w:sz w:val="28"/>
          <w:sz w:val="28"/>
          <w:szCs w:val="28"/>
          <w:rtl w:val="true"/>
          <w:lang w:bidi="ar-SA"/>
        </w:rPr>
        <w:t>لأحكام الشريعة، والمقيم للحدود الإلهية، والآخذ للخراج وسائر الضرائب، والمتصرّف فيها بما هو صلاح المسلمين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الزاني مائة جلدة،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والفقيه كذلك، ويأخذون الصدقات بمنوال واحد، ومع اقتضاء المصالح يأمرون الناس بالأوامر التي للوالي، وتجب إطاعتهم</w:t>
      </w:r>
      <w:r>
        <w:rPr>
          <w:rFonts w:eastAsia="IRNazanin" w:cs="IRNazanin"/>
          <w:color w:val="111111"/>
          <w:sz w:val="28"/>
          <w:szCs w:val="28"/>
          <w:rtl w:val="true"/>
          <w:lang w:bidi="fa-IR"/>
        </w:rPr>
        <w:t xml:space="preserve">. </w:t>
      </w:r>
      <w:bookmarkStart w:id="704" w:name="pg15204_140828"/>
    </w:p>
    <w:p>
      <w:pPr>
        <w:pStyle w:val="Heading5"/>
        <w:numPr>
          <w:ilvl w:val="4"/>
          <w:numId w:val="1"/>
        </w:numPr>
        <w:rPr/>
      </w:pPr>
      <w:bookmarkStart w:id="705" w:name="__RefHeading___Toc2759170_2142443653"/>
      <w:bookmarkStart w:id="706" w:name="_Toc261"/>
      <w:bookmarkEnd w:id="704"/>
      <w:bookmarkEnd w:id="705"/>
      <w:r>
        <w:rPr>
          <w:rtl w:val="true"/>
        </w:rPr>
        <w:t>أدلّة ولاية الفقيه</w:t>
      </w:r>
      <w:bookmarkEnd w:id="706"/>
    </w:p>
    <w:p>
      <w:pPr>
        <w:pStyle w:val="Heading6"/>
        <w:numPr>
          <w:ilvl w:val="5"/>
          <w:numId w:val="1"/>
        </w:numPr>
        <w:rPr/>
      </w:pPr>
      <w:bookmarkStart w:id="707" w:name="__RefHeading___Toc2759172_2142443653"/>
      <w:bookmarkStart w:id="708" w:name="_Toc262"/>
      <w:bookmarkEnd w:id="707"/>
      <w:r>
        <w:rPr>
          <w:rtl w:val="true"/>
        </w:rPr>
        <w:t>إشارة</w:t>
      </w:r>
      <w:bookmarkEnd w:id="708"/>
    </w:p>
    <w:p>
      <w:pPr>
        <w:pStyle w:val="BookText"/>
        <w:rPr/>
      </w:pPr>
      <w:r>
        <w:rPr>
          <w:rFonts w:ascii="Amiri" w:hAnsi="Amiri" w:eastAsia="Amiri" w:cs="Amiri"/>
          <w:color w:val="111111"/>
          <w:sz w:val="28"/>
          <w:sz w:val="28"/>
          <w:szCs w:val="28"/>
          <w:rtl w:val="true"/>
          <w:lang w:bidi="ar-SA"/>
        </w:rPr>
        <w:t xml:space="preserve">فولاية الفقيه بعد تصوّر أطراف القضيّة، ليست أمراً نظرياً يحتاج إلى برهان، ومع ذلك دلّت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نذكر بعضها</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2759174_2142443653"/>
      <w:bookmarkStart w:id="710" w:name="_Toc263"/>
      <w:bookmarkEnd w:id="709"/>
      <w:r>
        <w:rPr>
          <w:rtl w:val="true"/>
        </w:rPr>
        <w:t>الاستدلال بمرسلة الفقيه</w:t>
      </w:r>
      <w:bookmarkEnd w:id="710"/>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عنّي حديثي وسنّتي</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ثلاثة</w:t>
      </w:r>
      <w:r>
        <w:rPr>
          <w:rStyle w:val="FootnoteAnchor"/>
          <w:rtl w:val="true"/>
        </w:rPr>
        <w:footnoteReference w:id="1289"/>
      </w:r>
      <w:r>
        <w:rPr>
          <w:rFonts w:ascii="Amiri" w:hAnsi="Amiri" w:eastAsia="Amiri" w:cs="Amiri"/>
          <w:color w:val="111111"/>
          <w:sz w:val="28"/>
          <w:sz w:val="28"/>
          <w:szCs w:val="28"/>
          <w:rtl w:val="true"/>
          <w:lang w:bidi="ar-SA"/>
        </w:rPr>
        <w:t>رجال كلّ يغاير الآخر، كما وأنّ محالّ نقل الحديث متفرّقة، فذكر في خلال ما يقرب من مائتي حديث،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فيعلّمونها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بسند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مشترك مع الرابع في أواخره،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يعلّمونها</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آبائه علیهم السلام نحوه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رفقائي في الجنّة</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وقريب منه عن الراوندي</w:t>
      </w:r>
      <w:r>
        <w:rPr>
          <w:rStyle w:val="FootnoteAnchor"/>
          <w:rtl w:val="true"/>
        </w:rPr>
        <w:footnoteReference w:id="1294"/>
      </w:r>
      <w:r>
        <w:rPr>
          <w:rFonts w:ascii="Amiri" w:hAnsi="Amiri" w:eastAsia="Amiri" w:cs="Amiri"/>
          <w:color w:val="111111"/>
          <w:sz w:val="28"/>
          <w:sz w:val="28"/>
          <w:szCs w:val="28"/>
          <w:rtl w:val="true"/>
          <w:lang w:bidi="ar-SA"/>
        </w:rPr>
        <w:t>وغيره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رواية معتمدة؛ لكثرة طرقها، بل لو كانت مرسلة، لكانت من مراسيل الصدوق التي لا تقصر عن مراسيل مثل ابن أبي عمير؛ فإنّ مرسلات الصدوق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ونسبه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الجزم،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ما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من المراسيل هي المعتمدة المقبولة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معهود من أوّل الإسلام، ليس فيه إبهام، والخلافة لو لم تكن ظاهرة في الولاية والحكومة، فلا أقلّ من أنّها القدر المتيقّن منها،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للخلفاء، لا محدّد لمعناها، وهو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الخلافة لنقل الرواية والسنّة لا معنى لها؛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راوياً لرواياته، حتّى يكون الخليفة قائماً مقامه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فيظهر من الرواية أنّ للعلماء جميع 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يدلّ دليل على إخراجه فيتّبع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الأئمّة علیهم السلام، في غاية الوهن؛ فإنّ التعبير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معهود، بل هم خزّان علمه تعالى، ولهم صفات جميلة إلى ما شاء اللّه، لا يناسبها الإيعاز إلى مقامهم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رواة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لو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أشخاصهم المعلومين،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وأولاده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العنوان العامّ الشامل لجميع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الاختصاص بالراوي والمحدّث دون الفقيه</w:t>
      </w:r>
      <w:r>
        <w:rPr>
          <w:rStyle w:val="FootnoteAnchor"/>
          <w:rtl w:val="true"/>
        </w:rPr>
        <w:footnoteReference w:id="1296"/>
      </w:r>
      <w:r>
        <w:rPr>
          <w:rFonts w:ascii="IRNazanin" w:hAnsi="IRNazanin" w:eastAsia="IRNazanin"/>
          <w:color w:val="111111"/>
          <w:sz w:val="28"/>
          <w:sz w:val="28"/>
          <w:szCs w:val="28"/>
          <w:rtl w:val="true"/>
          <w:lang w:bidi="fa-IR"/>
        </w:rPr>
        <w:t>، أوهن من السابق</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إلى ما ذكر في ذيله بالطرق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فيعلّمونها الناس من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فواضح؛ لأنّ المحدّث والراوي ليس دوره تعليم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إذا كان فقيهاً مثل الكليني والصدوقين ونظائرهم قدّست أسرارهم؛ فإنّ الراوي محضاً لا يمكنه العلم بأنّ ما روى هو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إذ كثير من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تصدر لبيان الحكم الواقعي؛ لكثرة ابتلائهم بولاة الجور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وليس لنا طريق إلى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ورواياته إلاّ من قبل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من غير طريقهم في غاية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إلى المرسلة التي ليس لها هذا الذيل،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إمكان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سقطت، إمّا من قلم المصنّف رحمه اللّه تعالى، أو النسّاخ؛ فإنّ في دوران الأمر بين زيادة جملة وسقوطها يكون الثاني أولى، لغاية بعد الأوّل، وزيادة وقوع الثاني عند الاستنساخ، وإن كان هو أيضاً خلاف الأصل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المطلوب من بسط السنّة، هو بسط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وروايتها، لا ما ينسب إليه ولو كان كذباً وعلى خلاف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يتيسّر له إحراز السنّة، وعلاج المتعارضين بالموازين التي قرّرت في محلّها؛ ممّا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وتشخيص المخالف للكتاب والسنّة عن الموافق لهما، هو المجتهد المتبحّر والمحدّث الفقيه، لا ناقل الحديث كائناً من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مناسبة الحكم والموضوع ترشدنا إلى ذلك؛ فإنّ منصب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من قبله، لا يعقل أن يكون لرجل عامّي غير مميّز لأحكام اللّه تعالى؛ بمجرّد حكاية أحاديث، فهو كالمستنسخ للأحاديث</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جعل الخلافة للفقهاء كونهم في عرض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وسيجيء دفعه</w:t>
      </w:r>
      <w:r>
        <w:rPr>
          <w:rStyle w:val="FootnoteAnchor"/>
          <w:rtl w:val="true"/>
        </w:rPr>
        <w:footnoteReference w:id="1297"/>
      </w:r>
      <w:r>
        <w:rPr>
          <w:rFonts w:ascii="Amiri" w:hAnsi="Amiri" w:eastAsia="Amiri" w:cs="Amiri"/>
          <w:color w:val="111111"/>
          <w:sz w:val="28"/>
          <w:sz w:val="28"/>
          <w:szCs w:val="28"/>
          <w:rtl w:val="true"/>
          <w:lang w:bidi="ar-SA"/>
        </w:rPr>
        <w:t>بعد ذكر الروايات</w:t>
      </w:r>
      <w:r>
        <w:rPr>
          <w:rFonts w:eastAsia="Amiri" w:cs="Amiri" w:ascii="Amiri" w:hAnsi="Amiri"/>
          <w:color w:val="111111"/>
          <w:sz w:val="28"/>
          <w:szCs w:val="28"/>
          <w:rtl w:val="true"/>
          <w:lang w:bidi="ar-SA"/>
        </w:rPr>
        <w:t xml:space="preserve">. </w:t>
      </w:r>
      <w:bookmarkStart w:id="711" w:name="pg15204_140832"/>
    </w:p>
    <w:p>
      <w:pPr>
        <w:pStyle w:val="Heading6"/>
        <w:numPr>
          <w:ilvl w:val="5"/>
          <w:numId w:val="1"/>
        </w:numPr>
        <w:rPr/>
      </w:pPr>
      <w:bookmarkStart w:id="712" w:name="__RefHeading___Toc2759176_2142443653"/>
      <w:bookmarkStart w:id="713" w:name="_Toc264"/>
      <w:bookmarkEnd w:id="711"/>
      <w:bookmarkEnd w:id="712"/>
      <w:r>
        <w:rPr>
          <w:rtl w:val="true"/>
        </w:rPr>
        <w:t>الاستدلال برواية علي بن أبي حمزة</w:t>
      </w:r>
      <w:bookmarkEnd w:id="71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سندها من يناقش فيه إلاّ علي بن أبي حمزة البطائني، وهو ضعيف على المعروف</w:t>
      </w:r>
      <w:r>
        <w:rPr>
          <w:rStyle w:val="FootnoteAnchor"/>
          <w:rtl w:val="true"/>
        </w:rPr>
        <w:footnoteReference w:id="1299"/>
      </w:r>
      <w:r>
        <w:rPr>
          <w:rFonts w:ascii="Amiri" w:hAnsi="Amiri" w:eastAsia="Amiri" w:cs="Amiri"/>
          <w:color w:val="111111"/>
          <w:sz w:val="28"/>
          <w:sz w:val="28"/>
          <w:szCs w:val="28"/>
          <w:rtl w:val="true"/>
          <w:lang w:bidi="ar-SA"/>
        </w:rPr>
        <w:t>، وقد نقل توثيقه عن بعض</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بأخباره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أوثق منه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الاُمور وإن لم تثبت وثاقته مع تضعيف علماء الرجال وغيرهم</w:t>
      </w:r>
      <w:r>
        <w:rPr>
          <w:rStyle w:val="FootnoteAnchor"/>
          <w:rtl w:val="true"/>
        </w:rPr>
        <w:footnoteReference w:id="1303"/>
      </w:r>
      <w:r>
        <w:rPr>
          <w:rFonts w:ascii="Amiri" w:hAnsi="Amiri" w:eastAsia="Amiri" w:cs="Amiri"/>
          <w:color w:val="111111"/>
          <w:sz w:val="28"/>
          <w:sz w:val="28"/>
          <w:szCs w:val="28"/>
          <w:rtl w:val="true"/>
          <w:lang w:bidi="ar-SA"/>
        </w:rPr>
        <w:t xml:space="preserve">إيّاه، لكن لا منافاة بين ضعفه والعمل برواياته؛ اتّكالاً على قول شيخ </w:t>
      </w:r>
    </w:p>
    <w:p>
      <w:pPr>
        <w:pStyle w:val="BookText"/>
        <w:rPr/>
      </w:pPr>
      <w:r>
        <w:rPr>
          <w:rFonts w:ascii="Amiri" w:hAnsi="Amiri" w:eastAsia="Amiri" w:cs="Amiri"/>
          <w:color w:val="111111"/>
          <w:sz w:val="28"/>
          <w:sz w:val="28"/>
          <w:szCs w:val="28"/>
          <w:rtl w:val="true"/>
          <w:lang w:bidi="ar-SA"/>
        </w:rPr>
        <w:t>الطائفة، وشهادته بعمل الطائفة برواياته، وعمل الأصحاب جابر للضعف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كثير من المشايخ وأصحاب الإجماع عنه، كابن أبي عمير، وصفوان ابن يحيى، والحسن بن محبوب، وأحمد بن محمّد بن أبي نصر، ويونس بن عبد الرحمان، وأبان بن عثمان، وأبي بصير، وحمّاد بن عيسى، والحسن بن علي الوشّاء، والحسين بن سعيد، وعثمان بن عيسى، وغيرهم ممّن يبلغون خمسين رجلاً، فالرواية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بطريق آخر</w:t>
      </w:r>
      <w:r>
        <w:rPr>
          <w:rStyle w:val="FootnoteAnchor"/>
          <w:rtl w:val="true"/>
        </w:rPr>
        <w:footnoteReference w:id="1304"/>
      </w:r>
      <w:r>
        <w:rPr>
          <w:rFonts w:ascii="Amiri" w:hAnsi="Amiri" w:eastAsia="Amiri" w:cs="Amiri"/>
          <w:color w:val="111111"/>
          <w:sz w:val="28"/>
          <w:sz w:val="28"/>
          <w:szCs w:val="28"/>
          <w:rtl w:val="true"/>
          <w:lang w:bidi="ar-SA"/>
        </w:rPr>
        <w:t xml:space="preserve">بلا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زيادة اللفظة، وأمّا سقوطها فليس ببعيد وإن كان خلاف الأصل في نفسه، لكن في الدوران يقدّم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التناسب بين الحكم والموضوع يؤيّد ذلك؛ فإنّ الثلمة التي لا يسدّها شيء، والتعليل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إلاّ على الفقيه المؤمن، ولهذا ورد 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الاُخرى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فليس فيها تلك الجملة، </w:t>
      </w:r>
    </w:p>
    <w:p>
      <w:pPr>
        <w:pStyle w:val="BookText"/>
        <w:rPr/>
      </w:pPr>
      <w:r>
        <w:rPr>
          <w:rFonts w:ascii="Amiri" w:hAnsi="Amiri" w:eastAsia="Amiri" w:cs="Amiri"/>
          <w:color w:val="111111"/>
          <w:sz w:val="28"/>
          <w:sz w:val="28"/>
          <w:szCs w:val="28"/>
          <w:rtl w:val="true"/>
          <w:lang w:bidi="ar-SA"/>
        </w:rPr>
        <w:t xml:space="preserve">ولهذا فليس من البعيد 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علم بالضرورة ومرّت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الإسلام نظاماً وحكومة بجميع شؤونها </w:t>
      </w:r>
      <w:r>
        <w:rPr>
          <w:rStyle w:val="FootnoteAnchor"/>
          <w:rtl w:val="true"/>
        </w:rPr>
        <w:footnoteReference w:id="1307"/>
      </w:r>
      <w:r>
        <w:rPr>
          <w:rFonts w:ascii="Amiri" w:hAnsi="Amiri" w:eastAsia="Amiri" w:cs="Amiri"/>
          <w:color w:val="111111"/>
          <w:sz w:val="28"/>
          <w:sz w:val="28"/>
          <w:szCs w:val="28"/>
          <w:rtl w:val="true"/>
          <w:lang w:bidi="ar-SA"/>
        </w:rPr>
        <w:t xml:space="preserve">، لا يبقى شكّ في أنّ الفقيه لا يكون حصناً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 البلد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يكون حافظاً لجميع الشؤون؛ من بسط العدالة، وإجراء الحدود، وسدّ الثغور، وأخذ الأخاريج والضرائب، وصرفها في مصالح المسلمين، ونصب الولاة في الأصقاع، وإلاّ فصرف الأحكام ليس بإسلام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الحكومة بشؤونها، والأحكام قوانين الإسلام، وهي شأن من شؤونها، بل الأحكام مطلوبات بالعرض، واُمور آلية لإجرائها وبسط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الفقيه حصناً للإسلام كحصن سور المدينة لها، لا معنى له إلاّ كونه والياً، له نحو ما لرسول اللّه وللأئمّة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على جميع الاُمور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الجنود بإذن اللّه 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تقوم الرعية إلاّ بهم</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تقوم الرعية إلاّ بالجنود، فكذلك لا يقوم الإسلام إلاّ بالفقهاء الذين </w:t>
      </w:r>
      <w:bookmarkStart w:id="714" w:name="pg15204_140835"/>
    </w:p>
    <w:p>
      <w:pPr>
        <w:pStyle w:val="BookText"/>
        <w:rPr/>
      </w:pPr>
      <w:bookmarkEnd w:id="714"/>
      <w:r>
        <w:rPr>
          <w:rFonts w:ascii="Amiri" w:hAnsi="Amiri" w:eastAsia="Amiri" w:cs="Amiri"/>
          <w:color w:val="111111"/>
          <w:sz w:val="28"/>
          <w:sz w:val="28"/>
          <w:szCs w:val="28"/>
          <w:rtl w:val="true"/>
          <w:lang w:bidi="ar-SA"/>
        </w:rPr>
        <w:t>هم حصون الإسلام، وقيام الإسلام هو إجراء جميع أحكامه، ولا يمكن إلاّ بالوالي الذي هو حصن</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2759178_2142443653"/>
      <w:bookmarkStart w:id="716" w:name="_Toc265"/>
      <w:bookmarkEnd w:id="715"/>
      <w:r>
        <w:rPr>
          <w:rtl w:val="true"/>
        </w:rPr>
        <w:t>الاستدلال بموثّقة السكوني</w:t>
      </w:r>
      <w:bookmarkEnd w:id="716"/>
    </w:p>
    <w:p>
      <w:pPr>
        <w:pStyle w:val="BookText"/>
        <w:rPr/>
      </w:pPr>
      <w:r>
        <w:rPr>
          <w:rFonts w:ascii="Amiri" w:hAnsi="Amiri" w:eastAsia="Amiri" w:cs="Amiri"/>
          <w:color w:val="111111"/>
          <w:sz w:val="28"/>
          <w:sz w:val="28"/>
          <w:szCs w:val="28"/>
          <w:rtl w:val="true"/>
          <w:lang w:bidi="ar-SA"/>
        </w:rPr>
        <w:t>وبما ذكرناه ظهرت دلالة سائر الروايات، ولا يحتاج في بيان دلالتها إلى إتعاب النفس، كموثّقة</w:t>
      </w:r>
      <w:r>
        <w:rPr>
          <w:rStyle w:val="FootnoteAnchor"/>
          <w:rtl w:val="true"/>
        </w:rPr>
        <w:footnoteReference w:id="1309"/>
      </w:r>
      <w:r>
        <w:rPr>
          <w:rFonts w:ascii="IRNazanin" w:hAnsi="IRNazanin" w:eastAsia="IRNazanin"/>
          <w:color w:val="111111"/>
          <w:sz w:val="28"/>
          <w:sz w:val="28"/>
          <w:szCs w:val="28"/>
          <w:rtl w:val="true"/>
          <w:lang w:bidi="fa-IR"/>
        </w:rPr>
        <w:t xml:space="preserve">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ما لم يدخلوا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الصحيح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إلاّ أنّ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فاحذروهم على أديانكم</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717" w:name="pg15204_140836"/>
    </w:p>
    <w:p>
      <w:pPr>
        <w:pStyle w:val="BookText"/>
        <w:rPr/>
      </w:pPr>
      <w:bookmarkEnd w:id="717"/>
      <w:r>
        <w:rPr>
          <w:rFonts w:ascii="IRNazanin" w:hAnsi="IRNazanin" w:eastAsia="IRNazanin"/>
          <w:color w:val="111111"/>
          <w:sz w:val="28"/>
          <w:sz w:val="28"/>
          <w:szCs w:val="28"/>
          <w:rtl w:val="true"/>
          <w:lang w:bidi="fa-IR"/>
        </w:rPr>
        <w:t xml:space="preserve">وكيف 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بالتقريب المتقدّم، يفيد كونهم اُمناء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الشؤون المتعلّقة برسالته، وأوضحها زعامة الاُمّة، وبسط العدالة الاجتماعية، وما لها من المقدّمات والأسباب واللوازم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فأمين الرسول أمين في جميع شؤونه، وليس شأن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الأحكام فقط، حتّى يكون الفقيه أميناً فيه، بل المهمّ إجراء الأحكام، والأمانة فيها أن يجريها على ما هي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ويؤكّد ذلك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حيث قال في علل الإمامة والأمر بطاعتهم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لمّا وقفوا على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يقوم إلاّ بأن يجعل عليهم فيه أميناً، يمنعهم من التعدّي والدخول فيما حظر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عليهم قيّماً يمنعهم من الفساد، ويقيم فيهم الحدود</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ضمّ إلى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منه أنّهم اُمناء الرسل لأجل ما ذكره؛ من إجراء الحدود، والمنع عن التعدّي، والمنع عن اندراس الإسلام، وتغيّر السنّة والأحكام، فالفقهاء اُمناء الرسل وحصون الإسلام؛ لهذه الخصوصية وغيرها، وهو عبارة اُخرى عن الولاية المطلقة</w:t>
      </w:r>
      <w:r>
        <w:rPr>
          <w:rFonts w:eastAsia="IRNazanin" w:cs="IRNazanin"/>
          <w:color w:val="111111"/>
          <w:sz w:val="28"/>
          <w:szCs w:val="28"/>
          <w:rtl w:val="true"/>
          <w:lang w:bidi="fa-IR"/>
        </w:rPr>
        <w:t>.</w:t>
      </w:r>
    </w:p>
    <w:p>
      <w:pPr>
        <w:pStyle w:val="Heading6"/>
        <w:numPr>
          <w:ilvl w:val="5"/>
          <w:numId w:val="1"/>
        </w:numPr>
        <w:rPr/>
      </w:pPr>
      <w:bookmarkStart w:id="718" w:name="__RefHeading___Toc2759180_2142443653"/>
      <w:bookmarkStart w:id="719" w:name="_Toc266"/>
      <w:bookmarkEnd w:id="718"/>
      <w:r>
        <w:rPr>
          <w:rtl w:val="true"/>
        </w:rPr>
        <w:t>الاستدلال بالتوقيع المبارك</w:t>
      </w:r>
      <w:bookmarkEnd w:id="719"/>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المبارك المنسوب إلى صاحب الأمر روحي فداه، وعجّل اللّه تعالى فرجه، نقله الصدوق، عن محمّد بن محمّد بن عصام، عن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w:t>
      </w:r>
    </w:p>
    <w:p>
      <w:pPr>
        <w:pStyle w:val="BookText"/>
        <w:rPr/>
      </w:pPr>
      <w:r>
        <w:rPr>
          <w:rFonts w:ascii="Amiri" w:hAnsi="Amiri" w:eastAsia="Amiri" w:cs="Amiri"/>
          <w:color w:val="111111"/>
          <w:sz w:val="28"/>
          <w:sz w:val="28"/>
          <w:szCs w:val="28"/>
          <w:rtl w:val="true"/>
          <w:lang w:bidi="ar-SA"/>
        </w:rPr>
        <w:t>كتاباً قد سألت فيه عن مسائل أشكلت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التوقيع بخطّ مولانا صاحب الزمان 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قدّس سرّه روايته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بسنده إلى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من جهة إسحاق بن يعقوب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 فتارة من ناحية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أنّه ليس المراد بها أحكامها، بل نفس الحوادث، مضافاً إلى أنّ الرجوع في الأحكام إلى الفقهاء من أصحابهم علیهم السلام، كان في عصر الغيبة من الواضحات عند الشيعة، فيبعد السؤال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والمظنون أنّ السؤال كان بهذا العنوان، فأراد السائل الاستفسار عن تكليفه أو تكليف الاُمّة في الحوادث الواقعة لهم، ومن البعيد أن يعدّ السائل عدّة حوادث في السؤال، 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الحوادث كذا، مشيراً إلى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يظهر منه أنّ بعض الحوادث التي لا تكون من قبيل بيان الأحكام، يكون المرجع فيها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من ناحية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حجّتي عليكم، وأنا حجّة اللّه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المعصوم حجّة اللّه، ليس معناه أنّه مبيّن الأحكام فقط؛ </w:t>
      </w:r>
    </w:p>
    <w:p>
      <w:pPr>
        <w:pStyle w:val="BookText"/>
        <w:rPr/>
      </w:pPr>
      <w:r>
        <w:rPr>
          <w:rFonts w:ascii="Amiri" w:hAnsi="Amiri" w:eastAsia="Amiri" w:cs="Amiri"/>
          <w:color w:val="111111"/>
          <w:sz w:val="28"/>
          <w:sz w:val="28"/>
          <w:szCs w:val="28"/>
          <w:rtl w:val="true"/>
          <w:lang w:bidi="ar-SA"/>
        </w:rPr>
        <w:t>فإنّ زرارة ومحمّد بن مسلم وأشباههما أيضاً أقوالهم حجّة، وليس لأحد ردّهم وترك العمل برواياتهم،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المراد بكونه وكون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على العباد، أنّ اللّه تعالى يحتجّ بوجودهم وسيرتهم وأعمالهم وأقوالهم، على العباد في جميع شؤونهم، ومنها العدل في جميع شؤون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الاُمراء وخلفاء الجور، وقطع اللّه تعالى بسيرته عذرهم في التعدّي عن الحدود، والتجاوز والتفريط في بيت مال المسلمين، والتخلّف عن الأحكام، فهو حجّة على العباد بجميع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سائر الحجج، ولا سيّما وليّ الأمر الذي يبسط العدل في العباد، ويملأ الأرض قسطاً وعدلاً، ويحكم فيهم بحكومة عادلة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حجج اللّه على العباد أيضاً؛ بمعنى أنّه لو رجعوا إلى غيرهم في الاُمور الشرعية والأحكام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تدبير اُمور المسلمين، وتمشية سياستهم، وما يتعلّق بالحكومة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لهم في ذلك مع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غلبت سلاطين الجور، وسلبت القدرة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عذراً عقلياً مع كونهم أولياء الاُمور من قبل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حجج اللّه على العباد، والفقهاء حجج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له لهم؛ بواسطة جعلهم حجّة على العباد، ولا إشكال في دلالته لولا ضعفه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الواضح من مذهب الشيعة، أنّ كون الإمام حجّة اللّه تعالى، عبارة اُخرى عن منصبه الإلهي وولايته على الاُمّة بجميع شؤون الولاية، لا كونه مرجعاً في الأحكام فقط، وعليه فيستفاد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حجّتي عليكم، </w:t>
      </w:r>
      <w:bookmarkStart w:id="720" w:name="pg15204_140839"/>
    </w:p>
    <w:p>
      <w:pPr>
        <w:pStyle w:val="BookText"/>
        <w:rPr/>
      </w:pPr>
      <w:bookmarkEnd w:id="720"/>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ما هو لي من قبل اللّه تعالى، لهم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هذا يرجع إلى جعل إلهي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من قبله للفقهاء، فلا بدّ للإخراج من هذه الكلّية من دليل مخرج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العدل ليس نبياً ولا شقيّاً، فهو وصيّ، والوصيّ له ما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أنّ القضاء للإمام والرئيس العالم العادل، ولمّا ثبت كون القضاء للفقيه، ثبت أنّه الرئيس والوصيّ، فتدبّر</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2759182_2142443653"/>
      <w:bookmarkStart w:id="722" w:name="_Toc267"/>
      <w:bookmarkEnd w:id="721"/>
      <w:r>
        <w:rPr>
          <w:rtl w:val="true"/>
        </w:rPr>
        <w:t>الاستدلال بمقبولة عمر بن حنظلة</w:t>
      </w:r>
      <w:bookmarkEnd w:id="722"/>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فتحاكما إلى السلطان أو إلى القضاة، أيحلّ ذلك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وقد أمر اللّه أن يكفر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 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المقبولات التي دار عليها رحى القضاء، وعمل الأصحاب بها حتّى اتّصفت بالمقبولة، فضعفها سنداً بعمر بن حنظلة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الشواهد الكثيرة المذكورة في محلّها </w:t>
      </w:r>
      <w:r>
        <w:rPr>
          <w:rStyle w:val="FootnoteAnchor"/>
          <w:rtl w:val="true"/>
        </w:rPr>
        <w:footnoteReference w:id="1321"/>
      </w:r>
      <w:r>
        <w:rPr>
          <w:rFonts w:ascii="Amiri" w:hAnsi="Amiri" w:eastAsia="Amiri" w:cs="Amiri"/>
          <w:color w:val="111111"/>
          <w:sz w:val="28"/>
          <w:sz w:val="28"/>
          <w:szCs w:val="28"/>
          <w:rtl w:val="true"/>
          <w:lang w:bidi="ar-SA"/>
        </w:rPr>
        <w:t>، لو لم تدلّ على وثاقته، فلا أقلّ من دلالتها على حسنه، فلا إشكال من جهة السند</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فلأجل تمسّك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 فلا بدّ من النظر إليها، ومقدار دلالتها، حتّى يتبيّن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 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شبهة في شمول الحكم للقضاء الذي هو شأن القاضي، والحكم من الولاة والاُمراء،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الولاة والحكّام أن يحكموا بالعدل والنصفة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فِى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323"/>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آمَنُوا أَطِيعُوا اللّه‌َ وَأَطِيعُوا الرَّسُولَ وَأُولِى الأَمْرِ مِنْكُمْ فَإِنْ تَنَازَعْتُمْ فِى شَىْ‌ءٍ فَرُدُّوهُ إِ 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شبهة أيضاً في أنّ مطلق المنازعات داخلة فيه؛ سواء كانت في الاختلاف في ثبوت شيء ولا ثبوته، أو التنازع الحاصل في سلب حقّ معلوم من شخص أو أشخاص، أو التنازع الحاصل بين طائفتين المنجرّ إلى قتل وغيره، التي كان المرجع بحسب النوع فيها هو الوالي لا القاضي، ولا سيّما بملاحظة ذكره عقيب وجوب إطاعة الرسول واُولي الأمر؛ فإنّ إطاعتهما بما هي إطاعتهما، هي الائتمار بأوامرهم المربوطة بالوالي</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بها إطاعتهما في الأحكام الإلهية؛ ضرورة أنّ إطاعة الأوامر </w:t>
      </w:r>
    </w:p>
    <w:p>
      <w:pPr>
        <w:pStyle w:val="BookText"/>
        <w:rPr/>
      </w:pPr>
      <w:r>
        <w:rPr>
          <w:rFonts w:ascii="IRNazanin" w:hAnsi="IRNazanin" w:eastAsia="IRNazanin"/>
          <w:color w:val="111111"/>
          <w:sz w:val="28"/>
          <w:sz w:val="28"/>
          <w:szCs w:val="28"/>
          <w:rtl w:val="true"/>
          <w:lang w:bidi="fa-IR"/>
        </w:rPr>
        <w:t xml:space="preserve">الإلهية إطاعة للّه، لا إطاعة لهما، فلو صلّى قاصداً إطاعة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إطاعة أوامرهم السلطانية إطاعة للّه أيضاً؛ لأمره تعالى بإطاعتهم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 لَى الَّذِينَ يَزْعُمُونَ أَنّهمْ آمَنُوا بِمَا أُنْزِلَ إِلَيْكَ وَمَا اُنزِلَ مِنْ قَبْلِكَ يُرِيدُونَ أَنْ يَتَحَاكَمُوا إِ 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أيضاً مفادها أعمّ من التحاكم إلى القضاة وإلى الولاة،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خصوص السلاطين والاُمراء؛ لأنّ الطغيان والمبالغة فيه مناسب لهم لا للقضاة، ولو أطلق على القضاة يكون لضرب من التأويل، أو بتبع السلاطين الذين هم الأصل في الطغيان، ويظهر من المقبولة التعميم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منازعة في دين أو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شبهة في شموله للمنازعات التي تقع بين الناس فيما يرجع فيه إلى القضاة، كدعوى أنّ فلاناً مديون مع إنكاره، ودعوى أنّه وارث ونحو ذلك، وفيما يرجع فيه إلى الولاة والاُمراء، كالتنازع الحاصل بينهما لأجل عدم أداء دينه، أو إرثه بعد 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المنازعات مرجعها الاُمراء، فإذا قتل ظالم شخصاً من طائفة، ووقع النزاع بين الطائفتين، لا مرجع لرفعه إلاّ الولاة</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أو ميراث، من باب المثال، والمقصود استفادة </w:t>
      </w:r>
    </w:p>
    <w:p>
      <w:pPr>
        <w:pStyle w:val="BookText"/>
        <w:rPr/>
      </w:pPr>
      <w:r>
        <w:rPr>
          <w:rFonts w:ascii="Amiri" w:hAnsi="Amiri" w:eastAsia="Amiri" w:cs="Amiri"/>
          <w:color w:val="111111"/>
          <w:sz w:val="28"/>
          <w:sz w:val="28"/>
          <w:szCs w:val="28"/>
          <w:rtl w:val="true"/>
          <w:lang w:bidi="ar-SA"/>
        </w:rPr>
        <w:t>التكليف في مطلق المنازعات، والاستفسار عن المرجع فيها، ولهذا أكّد الكلام لرفع الإبهام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إلى السلطان، أو إلى القضاة، ومن الواضح عدم تدخّل الخلفاء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المرافعات التي ترجع إلى القضاة،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 على الولاة أوضح، بل لولا القرائن لكان الظاهر منه خصوص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الطغاة من الولاة فيه، ولا سيّما مع مناسبات الحكم والموضوع، ومع استشهاده بالآية التي هي ظاهرة فيهم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ذلك يمكن أيضاً أن يقال بالتعميم؛ للمناسبات المغروسة في الأذهان، فيكون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استفساراً عن المرجع في البابين، واختصاصه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مقطوع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للحاكم في التنازع، فليس لصاحب الحقّ الرجوع إلى ولاة الجور، ولا إلى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بمورد تعيين الحكم، فلا شبهة في عدم إرادة خصوصه، بل ذكر من باب المثال، وإلاّ فالرجوع إلى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الرضا من الطرفين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الفقيه حاكماً فيما هو من شؤون القضاء، وما هو من شؤون الولاية</w:t>
      </w:r>
      <w:r>
        <w:rPr>
          <w:rFonts w:eastAsia="Amiri" w:cs="Amiri" w:ascii="Amiri" w:hAnsi="Amiri"/>
          <w:color w:val="111111"/>
          <w:sz w:val="28"/>
          <w:szCs w:val="28"/>
          <w:rtl w:val="true"/>
          <w:lang w:bidi="ar-SA"/>
        </w:rPr>
        <w:t xml:space="preserve">. </w:t>
      </w:r>
      <w:bookmarkStart w:id="723" w:name="pg15204_140844"/>
    </w:p>
    <w:p>
      <w:pPr>
        <w:pStyle w:val="BookText"/>
        <w:rPr/>
      </w:pPr>
      <w:bookmarkEnd w:id="723"/>
      <w:r>
        <w:rPr>
          <w:rFonts w:ascii="Amiri" w:hAnsi="Amiri" w:eastAsia="Amiri" w:cs="Amiri"/>
          <w:color w:val="111111"/>
          <w:sz w:val="28"/>
          <w:sz w:val="28"/>
          <w:szCs w:val="28"/>
          <w:rtl w:val="true"/>
          <w:lang w:bidi="ar-SA"/>
        </w:rPr>
        <w:t xml:space="preserve">فالفقيه وليّ الأمر في البابين، وحاكم في القسمين، ولا سيّما مع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الأوامر أحكام، فأوامر اللّه ونواهيه 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يكون القضاء أعمّ من قضاء القاضي، وأمر الوالي وحكمه،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وكيف كان لا ينبغي الإشكال في التعميم</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2759184_2142443653"/>
      <w:bookmarkStart w:id="725" w:name="_Toc268"/>
      <w:bookmarkEnd w:id="724"/>
      <w:r>
        <w:rPr>
          <w:rtl w:val="true"/>
        </w:rPr>
        <w:t>الاستشهاد بمشهورة أبي خديجة</w:t>
      </w:r>
      <w:bookmarkEnd w:id="725"/>
    </w:p>
    <w:p>
      <w:pPr>
        <w:pStyle w:val="BookText"/>
        <w:rPr/>
      </w:pPr>
      <w:r>
        <w:rPr>
          <w:rFonts w:ascii="Amiri" w:hAnsi="Amiri" w:eastAsia="Amiri" w:cs="Amiri"/>
          <w:color w:val="111111"/>
          <w:sz w:val="28"/>
          <w:sz w:val="28"/>
          <w:szCs w:val="28"/>
          <w:rtl w:val="true"/>
          <w:lang w:bidi="ar-SA"/>
        </w:rPr>
        <w:t>بل يمكن الاستشهاد على أنّ المراد من القضاء المربوط بالقضاة غير ما هو مربوط بالسلطان، بمشهورة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والعطاء، 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صدرها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المنازعات التي يرجع فيها إلى القضاة، ومن تحذيره بعد ذلك من الإرجاع إلى السلطان الجائر، وجعله </w:t>
      </w:r>
    </w:p>
    <w:p>
      <w:pPr>
        <w:pStyle w:val="BookText"/>
        <w:rPr/>
      </w:pPr>
      <w:r>
        <w:rPr>
          <w:rFonts w:ascii="Amiri" w:hAnsi="Amiri" w:eastAsia="Amiri" w:cs="Amiri"/>
          <w:color w:val="111111"/>
          <w:sz w:val="28"/>
          <w:sz w:val="28"/>
          <w:szCs w:val="28"/>
          <w:rtl w:val="true"/>
          <w:lang w:bidi="ar-SA"/>
        </w:rPr>
        <w:t xml:space="preserve">مقابلاً للأوّل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هي المنازعات التي يرجع فيها إلى السلطان لرفع التجاوز والتعدّي، لا لفصل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تنقدح شبهة في بعض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إمامته، إذا نصب للإمارة أو القضاء شخصاً أو أشخاصاً، كان أمده إلى زمان إمامته، وبعد وفاته وانتقال الإمامة إلى من بعده يبطل النصب وينعزل الولاة والقضاة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 لا يخفى؛ فإنّه مع الغضّ عن أنّ مقتضى المذهب أنّ الإمام إمام حيّاً وميّتاً وقائماً وقاعداً، أنّ النصب لمنصب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نصب الولاة، أو القضاة، أو نصب المتولّي للوقف، أو القيّم على السفهاء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بموت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في طريقة العقلاء، أنّه مع تغيير السلطان أو هيئة الدولة ونحوهما، لا ينعزل الولاة والقضاة وغيرهم من المنصوبين من قبلهم، ولا يحتاجون إلى نصب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للرئيس الجديد عزل من نصبه السابق وتغييره، ومع عدمه تبقى المناصب على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يعقل هدم الأئمّة اللاحقين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الإمام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 نّه يرجع إمّا إلى نصب غير الفقهاء العدول، وإرجاع الأمر إليهم، فمع صلاحية الفقهاء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يكشف عنها نصب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 ترجيح غيرهم المرجوح بالنسبة إليهم عليهم، ولو كان عدلاً إمامياً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كالضروري لزوم كون الوالي عالماً بالقوانين، والجاهل </w:t>
      </w:r>
    </w:p>
    <w:p>
      <w:pPr>
        <w:pStyle w:val="BookText"/>
        <w:rPr/>
      </w:pPr>
      <w:r>
        <w:rPr>
          <w:rFonts w:ascii="Amiri" w:hAnsi="Amiri" w:eastAsia="Amiri" w:cs="Amiri"/>
          <w:color w:val="111111"/>
          <w:sz w:val="28"/>
          <w:sz w:val="28"/>
          <w:szCs w:val="28"/>
          <w:rtl w:val="true"/>
          <w:lang w:bidi="ar-SA"/>
        </w:rPr>
        <w:t>لا يصلح لهذا المنصب، ولا لمنصب القضاء</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إرجاعهم إلى ولاة الجور وقضاته، وهو ظاهر الفساد، كالإهمال لهذا الأمر الضروري الذي تحتاج إليه الاُمم، ولا يعقل بقاء عيشهم إلاّ بذلك، فمن نصبه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إلى زمان ظهور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 الضروري في الفقه أنّ نصبه باقٍ، ولا زال تمسّك الفقهاء بمقبولة عمر بن حنظلة لإثبات منصب القضاء للفقهاء</w:t>
      </w:r>
      <w:r>
        <w:rPr>
          <w:rStyle w:val="FootnoteAnchor"/>
          <w:rtl w:val="true"/>
        </w:rPr>
        <w:footnoteReference w:id="1330"/>
      </w:r>
      <w:r>
        <w:rPr>
          <w:rFonts w:ascii="Amiri" w:hAnsi="Amiri" w:eastAsia="Amiri" w:cs="Amiri"/>
          <w:color w:val="111111"/>
          <w:sz w:val="28"/>
          <w:sz w:val="28"/>
          <w:szCs w:val="28"/>
          <w:rtl w:val="true"/>
          <w:lang w:bidi="ar-SA"/>
        </w:rPr>
        <w:t>، كما أنّ من فهم منها الأعمّ استدلّ بها لذلك</w:t>
      </w:r>
      <w:r>
        <w:rPr>
          <w:rStyle w:val="FootnoteAnchor"/>
          <w:rtl w:val="true"/>
        </w:rPr>
        <w:footnoteReference w:id="1331"/>
      </w:r>
      <w:r>
        <w:rPr>
          <w:rFonts w:ascii="IRNazanin" w:hAnsi="IRNazanin" w:eastAsia="IRNazanin"/>
          <w:color w:val="111111"/>
          <w:sz w:val="28"/>
          <w:sz w:val="28"/>
          <w:szCs w:val="28"/>
          <w:rtl w:val="true"/>
          <w:lang w:bidi="fa-IR"/>
        </w:rPr>
        <w:t>،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شبهة اُخرى، وهي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الأمر، وله نصب الولاة والقضاة، لكن لم تكن يده مبسوطة، بل كان في سيطرة خلفاء الجور، فلا أثر لجعل منصب الولاية لأشخاص لا يمكن لهم القيام بأمرها، وأمّا نصب القضاة فله أثر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وجود أثر في الجملة في جعل الولاية أيضاً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المرجع للشيعة يوجب رجوعهم إليه ولو سرّاً في كثير من الاُمور، كما نشاهد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الجعل سرّاً سياسياً عميقاً، وهو طرح حكومة عادلة إلهية، وتهيئة بعض أسبابها، حتّى لا يتحيّر المفكّرون لو وفّقهم اللّه لتشكيل حكومة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زائداً على الطرح بعثهم إلى ذلك، كما هو واضح</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تصدّى بعض المفكّرين لطرح حكومة وتخطيطها في السجن؛ </w:t>
      </w:r>
    </w:p>
    <w:p>
      <w:pPr>
        <w:pStyle w:val="BookText"/>
        <w:rPr/>
      </w:pPr>
      <w:r>
        <w:rPr>
          <w:rFonts w:ascii="Amiri" w:hAnsi="Amiri" w:eastAsia="Amiri" w:cs="Amiri"/>
          <w:color w:val="111111"/>
          <w:sz w:val="28"/>
          <w:sz w:val="28"/>
          <w:szCs w:val="28"/>
          <w:rtl w:val="true"/>
          <w:lang w:bidi="ar-SA"/>
        </w:rPr>
        <w:t xml:space="preserve">برجاء تحقّقها في الآتي، ووفّق بعضهم لذلك حتّى في عصرنا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خلفاء بخصوصهم، وهم الأئمّة الأطهار صلوات اللّه عليهم، وفي نصبهم وتعيينهم مصالح،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اُمّة عظيمة بلغت 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كبيراً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الغالب في العظماء من الأنبياء وغيرهم الشروع في الطرح أو العمل من الصفر تقريباً،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قام بالرسالة ولم يؤمن به في أوّل تبليغه إلاّ طفل صغير السنّ عظيم الشأن، وامرأة جليلة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قام بأعباء الرسالة ونشر الدعوة عن عزم راسخ، وإرادة قويّة، وقوّة قدسية، غير آيس من حصول مقصده، وجاهد وتحمّل المشاقّ طيلة حياته، حتّى بلغ الأمر إلى أن نشر الإسلام في العالم، وبلغت عدّة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سبعمائة مليوناً، وستزيد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أسّس بهذا الجعل أساساً قويماً للاُمّة وللمذهب؛ بحيث لو نشر هذا الطرح والتأسيس في مجتمع التشيّع، وأبلغه الفقهاء والمفكّرون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إلى المجامع العلمية وذوي الأفكار الراقية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ذلك موجباً لانتباه الاُمّة والتفاتهم إليه، وخصوصاً طبقة الشبّان، فلعلّه يصير موجباً لقيام شخص أو أشخاص بتأسيس حكومة إسلامية عادلة، تقطع أيادي الأجانب من بلاد المسلمين</w:t>
      </w:r>
      <w:r>
        <w:rPr>
          <w:rFonts w:eastAsia="Amiri" w:cs="Amiri" w:ascii="Amiri" w:hAnsi="Amiri"/>
          <w:color w:val="111111"/>
          <w:sz w:val="28"/>
          <w:szCs w:val="28"/>
          <w:rtl w:val="true"/>
          <w:lang w:bidi="ar-SA"/>
        </w:rPr>
        <w:t xml:space="preserve">. </w:t>
      </w:r>
      <w:bookmarkStart w:id="726" w:name="pg15204_140848"/>
    </w:p>
    <w:p>
      <w:pPr>
        <w:pStyle w:val="BookText"/>
        <w:rPr/>
      </w:pPr>
      <w:bookmarkEnd w:id="726"/>
      <w:r>
        <w:rPr>
          <w:rFonts w:ascii="Amiri" w:hAnsi="Amiri" w:eastAsia="Amiri" w:cs="Amiri"/>
          <w:color w:val="111111"/>
          <w:sz w:val="28"/>
          <w:sz w:val="28"/>
          <w:szCs w:val="28"/>
          <w:rtl w:val="true"/>
          <w:lang w:bidi="ar-SA"/>
        </w:rPr>
        <w:t>واللازم على العلماء الأعلام والمبلّغين أيّدهم اللّه تعالى أن يقوموا بهذا الأمر الحيوي، ويزيلوا اليأس من قلوبهم وقلوب الطلاّب والمحصّلين وسائر الناس، فإنّه مبدأ الخمود والقعود عن الوصول إلى الحقّ</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2759186_2142443653"/>
      <w:bookmarkStart w:id="728" w:name="_Toc269"/>
      <w:bookmarkEnd w:id="727"/>
      <w:r>
        <w:rPr>
          <w:rtl w:val="true"/>
        </w:rPr>
        <w:t>الاستدلال بصحيحة القدّاح</w:t>
      </w:r>
      <w:bookmarkEnd w:id="72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أبي البختري</w:t>
      </w:r>
      <w:r>
        <w:rPr>
          <w:rStyle w:val="FootnoteAnchor"/>
          <w:rtl w:val="true"/>
        </w:rPr>
        <w:footnoteReference w:id="1335"/>
      </w:r>
      <w:r>
        <w:rPr>
          <w:rFonts w:ascii="Amiri" w:hAnsi="Amiri" w:eastAsia="Amiri" w:cs="Amiri"/>
          <w:color w:val="111111"/>
          <w:sz w:val="28"/>
          <w:sz w:val="28"/>
          <w:szCs w:val="28"/>
          <w:rtl w:val="true"/>
          <w:lang w:bidi="ar-SA"/>
        </w:rPr>
        <w:t>مع اختلاف في التعبير</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سهو في قلم النراقي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رواية أبي البختري بالصحة</w:t>
      </w:r>
      <w:r>
        <w:rPr>
          <w:rStyle w:val="FootnoteAnchor"/>
          <w:rtl w:val="true"/>
        </w:rPr>
        <w:footnoteReference w:id="1336"/>
      </w:r>
      <w:r>
        <w:rPr>
          <w:rFonts w:ascii="Amiri" w:hAnsi="Amiri" w:eastAsia="Amiri" w:cs="Amiri"/>
          <w:color w:val="111111"/>
          <w:sz w:val="28"/>
          <w:sz w:val="28"/>
          <w:szCs w:val="28"/>
          <w:rtl w:val="true"/>
          <w:lang w:bidi="ar-SA"/>
        </w:rPr>
        <w:t>، مع أنّها ضعيفة، ولا يبعد أن يكون مراده صحيحة القدّاح، وعند الكتب وقع سهو من قلمه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مقتضى كون الفقهاء ورثة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وسائر المرسلين الذين لهم الولاية العامّة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كلّ ما كان لهم إليهم، إلاّ ما ثبت أنّه غير ممكن الانتقال، ولا شبهة في أنّ الولاية قابلة للانتقال، كالسلطنة التي كانت عند أهل الجور موروثة خلفاً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المراد بالولاية هي الولاية الكلّية الإلهية، التي دارت على لسان العرفاء، وبعض أهل الفلسفة، بل المراد هي الولاية الجعلية الاعتبارية، كالسلطنة العرفية وسائر المناصب العقلائية، كالخلافة التي جعلها اللّه تعالى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وفرّع عليها الحكم بالحقّ بين الناس، وكنصب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تعالى خليفة ووليّاً على الاُمّة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الضروري أنّ هذه أمر قابل للانتقال والتوريث، ويشهد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فعليه تكون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يرجع إلى الحكومة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إلى الفقهاء</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xml:space="preserve">،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العلماء</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ما لا يخفى؛ ضرورة أنّه مع عدم القرينة،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في الفقهاء غير الأئمّة علیهم السلام، فراجع ما ورد في العلماء والعالم والعلم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ينطبق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فهو قرينة على أنّهم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قوله في ذيل رواية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بشيء منها فقد أخذ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 عمّن تأخذونه؛ فإنّ فينا أهل البيت</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إلى آخره، أمراً متوجّهاً إلى العلماء؛ بأنّ علمهم لا بدّ وأن يؤخذ من معدن الرسالة، حتّى يصير العالم بواسطته وارثاً للأنبياء، وليس مطلق العلم كذلك، أو متوجّهاً إلى الاُمّة بأن يأخذوا علمهم من ورثة الأنبياء؛ أي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المراد بهم فقهاؤنا رضوان اللّه عليهم، وأعلى اللّه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وأوهن منه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وراثة الأنبياء بما هم أنبياء، لا تقتضي إلاّ تبليغ الأحكام؛ فإنّ الوصف العنواني مأخوذ في القضيّة، وشأن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التبليغ</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ورّاث موسى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صحّت الوراثة في جميع مالهم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لأنّ هذا التحليل خارج عن فهم العرف، ولا ينقدح في الأذهان من هذه العبارة إلاّ الوراثة من موسى وعيسى وغيرهم، ولا سيّما مع إتيان الجمع في الأنبياء؛ فإنّ الظاهر منه إرادة أفرادهم، ويكون العنوان مشيراً إليهم، لا مأخوذاً</w:t>
      </w:r>
    </w:p>
    <w:p>
      <w:pPr>
        <w:pStyle w:val="BookText"/>
        <w:rPr/>
      </w:pPr>
      <w:r>
        <w:rPr>
          <w:rFonts w:ascii="Amiri" w:hAnsi="Amiri" w:eastAsia="Amiri" w:cs="Amiri"/>
          <w:color w:val="111111"/>
          <w:sz w:val="28"/>
          <w:sz w:val="28"/>
          <w:szCs w:val="28"/>
          <w:rtl w:val="true"/>
          <w:lang w:bidi="ar-SA"/>
        </w:rPr>
        <w:t>بنحو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ذلك، فلا شبهة في أنّ ما ثبت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لا بدّ وأن يورث،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ونحن لا نريد إلاّ إثبات وراثة هذا المعنى؛ إذ فيه جميع المطالب،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متفاهم العرف واحد، وإن ورد الفرق بينهما في الروايات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يرى في منامه، ويسمع الصوت، ولا يعاين الملك، والرسول يسمع الصوت، ويرى في المنام، ويعاين الملك</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شبهة في أنّ الوراثة ليست بهذا المعنى الذي في الروايات؛ ضرورة أنّ الفقهاء لم تكن منزلتهم كذلك، بل المراد في الرواية هو النبي المأمور بالإبلاغ، وهو الرسول عيناً، فحينئذٍ إذا ثبت شيء للرسول، ثبت للفقيه بالوراثة، كوجوب الإطاعة ونحوها، فلا شبهة من هذه الجهة أيضاً</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شبهة اُخرى، وهي أنّ احتفاف الرواية بتعظيم العلماء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وأنّ الملائكة بالنسبة إليهم كذا، وأنّ الموجودات </w:t>
      </w:r>
    </w:p>
    <w:p>
      <w:pPr>
        <w:pStyle w:val="BookText"/>
        <w:rPr/>
      </w:pPr>
      <w:r>
        <w:rPr>
          <w:rFonts w:ascii="IRNazanin" w:hAnsi="IRNazanin" w:eastAsia="IRNazanin"/>
          <w:color w:val="111111"/>
          <w:sz w:val="28"/>
          <w:sz w:val="28"/>
          <w:szCs w:val="28"/>
          <w:rtl w:val="true"/>
          <w:lang w:bidi="fa-IR"/>
        </w:rPr>
        <w:t xml:space="preserve">تستغفر لطالب العلم، وأنّ فضلهم كذا،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 ولكن ورّثوا العلم،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يمنع عن فهم عموم التوريث</w:t>
      </w:r>
      <w:r>
        <w:rPr>
          <w:rStyle w:val="FootnoteAnchor"/>
          <w:rtl w:val="true"/>
        </w:rPr>
        <w:footnoteReference w:id="1346"/>
      </w:r>
      <w:r>
        <w:rPr>
          <w:rFonts w:ascii="Amiri" w:hAnsi="Amiri" w:eastAsia="Amiri" w:cs="Amiri"/>
          <w:color w:val="111111"/>
          <w:sz w:val="28"/>
          <w:sz w:val="28"/>
          <w:szCs w:val="28"/>
          <w:rtl w:val="true"/>
          <w:lang w:bidi="ar-SA"/>
        </w:rPr>
        <w:t>، وإن لم يبعد ولو لأجل المناسبات التي ذكرناها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يفهم منها انحصار إرث الأنبياء في العلم أو الرواية؛ ضرورة 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شتّى، ورثها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أورثوا أحاديث من أحاديثهم</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 xml:space="preserve">لا يراد به الحصر، بل المراد منه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أورثوا العلم بدل الدرهم والدينار، فالحصر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الحصر، بل لا تفيد إلاّ التأكيد والتثبيت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الحديث منافٍ لما سبق وهادم للولاية، في غاية الفساد؛ للزوم أن يكون هادماً لوراثة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وهو ضروري البطلان</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لا منافاة بينه وبين ما سبق؛ لأنّ الأخبار السابقة دالّة على النصب،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إرثه إلاّ العلم ولم يورّث غيره، لكن كما أنّه 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ونصبهم للخلافة على الخلق أجمعين، جعل الفقهاء خلفاء ونصبهم للخلافة الجزئية</w:t>
      </w:r>
      <w:r>
        <w:rPr>
          <w:rFonts w:eastAsia="IRNazanin" w:cs="IRNazanin"/>
          <w:color w:val="111111"/>
          <w:sz w:val="28"/>
          <w:szCs w:val="28"/>
          <w:rtl w:val="true"/>
          <w:lang w:bidi="fa-IR"/>
        </w:rPr>
        <w:t xml:space="preserve">. </w:t>
      </w:r>
      <w:bookmarkStart w:id="729" w:name="pg15204_140853"/>
    </w:p>
    <w:p>
      <w:pPr>
        <w:pStyle w:val="BookText"/>
        <w:rPr/>
      </w:pPr>
      <w:bookmarkEnd w:id="729"/>
      <w:r>
        <w:rPr>
          <w:rFonts w:ascii="IRNazanin" w:hAnsi="IRNazanin" w:eastAsia="IRNazanin"/>
          <w:color w:val="111111"/>
          <w:sz w:val="28"/>
          <w:sz w:val="28"/>
          <w:szCs w:val="28"/>
          <w:rtl w:val="true"/>
          <w:lang w:bidi="fa-IR"/>
        </w:rPr>
        <w:t xml:space="preserve">والفرق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الفقهاء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بين السلطان وبين الاُمراء المنصوبين من قبله في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الخلافة للفقهاء، لا يكون في عرض جعلها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فإنّ لازم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على الكلّ، أنّه وليّ على قاطبة الخلق من غير استثناء، فهو وليّ وأمير على الحسنين سلام اللّه عليهما، وعلى الفقهاء، وعلى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جعل الخلافة الجزئية للفقهاء، لا يفهم منه إلاّ أنّهم تحت سلطة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أمير على الكلّ، مع أنّ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أسهل التصرّفات</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2759188_2142443653"/>
      <w:bookmarkStart w:id="731" w:name="_Toc270"/>
      <w:bookmarkEnd w:id="730"/>
      <w:r>
        <w:rPr>
          <w:rtl w:val="true"/>
        </w:rPr>
        <w:t>الاستدلال بروايات اُخر</w:t>
      </w:r>
      <w:bookmarkEnd w:id="731"/>
    </w:p>
    <w:p>
      <w:pPr>
        <w:pStyle w:val="BookText"/>
        <w:rPr/>
      </w:pPr>
      <w:r>
        <w:rPr>
          <w:rFonts w:ascii="Amiri" w:hAnsi="Amiri" w:eastAsia="Amiri" w:cs="Amiri"/>
          <w:color w:val="111111"/>
          <w:sz w:val="28"/>
          <w:sz w:val="28"/>
          <w:szCs w:val="28"/>
          <w:rtl w:val="true"/>
          <w:lang w:bidi="ar-SA"/>
        </w:rPr>
        <w:t xml:space="preserve">وبما ذكرنا يظهر الوجه في دلالة روايات اُخر غير سديدة الأسناد،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الفقيه في هذا الوقت كمنزلة الأنبياء من بني إسرائيل</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الأنبياء ممّن لهم الولاية على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وكالرواية المرويّة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أفتخر يوم القيامة بعلماء اُمّتي،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اُمّتي كسائر أنبياء قبلي</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عبدالواحد 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وهي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الشهداء،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والأحكام على أيدي العلماء باللّه، الاُمناء على حلاله وحرامه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وإن كانت مرسلة، لكن اعتمد على الكتاب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قدّس سرّه</w:t>
      </w:r>
      <w:r>
        <w:rPr>
          <w:rFonts w:eastAsia="Amiri" w:cs="Amiri" w:ascii="Amiri" w:hAnsi="Amiri"/>
          <w:color w:val="111111"/>
          <w:sz w:val="28"/>
          <w:szCs w:val="28"/>
          <w:rtl w:val="true"/>
          <w:lang w:bidi="ar-SA"/>
        </w:rPr>
        <w:t>»</w:t>
      </w:r>
      <w:r>
        <w:rPr>
          <w:rStyle w:val="FootnoteAnchor"/>
          <w:rtl w:val="true"/>
        </w:rPr>
        <w:footnoteReference w:id="1353"/>
      </w:r>
      <w:r>
        <w:rPr>
          <w:rFonts w:ascii="IRNazanin" w:hAnsi="IRNazanin" w:eastAsia="IRNazanin"/>
          <w:color w:val="111111"/>
          <w:sz w:val="28"/>
          <w:sz w:val="28"/>
          <w:szCs w:val="28"/>
          <w:rtl w:val="true"/>
          <w:lang w:bidi="fa-IR"/>
        </w:rPr>
        <w:t>، ومتنها موافق للاعتبار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الرواية وذيلها شاهد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تدبّرت فيها صدراً وذيلاً، ترى أنّ وجهة الكلام لا تختصّ بعصر دون عصر، وبمصر دون مصر، بل كلام صادر لضرب دستور كلّي للعلماء قاطبة في كلّ عصر ومصر؛ للحثّ على القيام بالأمر بالمعروف، والنهي عن المنكر في مقابل الظلمة، وتعييرهم على تركهما؛ طمعاً في الظلمة، أو خوفاً منهم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عصابة المسلمين؛ بأنّ المهابة التي في قلوب الأعداء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بما يرجى عندكم من القيام بحقّ اللّه، وإن كنتم عن </w:t>
      </w:r>
    </w:p>
    <w:p>
      <w:pPr>
        <w:pStyle w:val="BookText"/>
        <w:rPr/>
      </w:pPr>
      <w:r>
        <w:rPr>
          <w:rFonts w:ascii="Amiri" w:hAnsi="Amiri" w:eastAsia="Amiri" w:cs="Amiri"/>
          <w:color w:val="111111"/>
          <w:sz w:val="28"/>
          <w:sz w:val="28"/>
          <w:szCs w:val="28"/>
          <w:rtl w:val="true"/>
          <w:lang w:bidi="ar-SA"/>
        </w:rPr>
        <w:t>أكثر حقّه تقصّرون، فاستخففتم بحقّ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جرى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ترون عهود اللّه منقوضة فلا تفزعون، وأنتم لبعض ذمم آبائكم تفزعون، وذمّة رسول اللّه مخفورة، والعمي والبكم والزمنى في المدائن مهملة لا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وبالإدهان والمصانعة عند الظلمة تأمنون، كلّ ذلك ممّا أمر اللّه به من النهي والتناهي وأنتم عنه غافلون، وأنتم أشدّ مصيبة لما غلبتم عليه من منازل العلماء لو كنتم تسعون، ذلك بأنّ مجاري الاُمور والأحكام على أيدي العلماء باللّه، الاُمناء على حلاله وحرامه، فأنتم المسلوبون تلك المنزلة، وما سلبتم ذلك إلاّ بتفرّقكم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ممّا هي وعظ ودستور لقاطبة المسلمين، حاضرهم وغائبهم، الموجود منهم ومن سيوجد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والعدول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 الاُمناء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لتعميم الحكم بالنسبة إلى جميع العلماء العدول الذين هم اُمناء اللّه على حلاله وحرامه، بل انطباق هذا العنوان على غير الأئمّة أظهر؛ إذ توصيفهم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بذلك يحتاج إلى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من الخبر شموله لهم ولسائر العلماء في العصور المتأخّرة؛ للمناسبات التي هي عامّة لجميع الأعصار، بل لا يبعد دعوى ظهور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وذيلاً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باللّه له مقام فوق مقام الفقهاء</w:t>
      </w:r>
      <w:r>
        <w:rPr>
          <w:rStyle w:val="FootnoteAnchor"/>
          <w:rtl w:val="true"/>
        </w:rPr>
        <w:footnoteReference w:id="1355"/>
      </w:r>
      <w:r>
        <w:rPr>
          <w:rFonts w:ascii="IRNazanin" w:hAnsi="IRNazanin" w:eastAsia="IRNazanin"/>
          <w:color w:val="111111"/>
          <w:sz w:val="28"/>
          <w:sz w:val="28"/>
          <w:szCs w:val="28"/>
          <w:rtl w:val="true"/>
          <w:lang w:bidi="fa-IR"/>
        </w:rPr>
        <w:t xml:space="preserve">، فاسد؛ لأنّ المراد بالعالم </w:t>
      </w:r>
    </w:p>
    <w:p>
      <w:pPr>
        <w:pStyle w:val="BookText"/>
        <w:rPr/>
      </w:pPr>
      <w:r>
        <w:rPr>
          <w:rFonts w:ascii="Amiri" w:hAnsi="Amiri" w:eastAsia="Amiri" w:cs="Amiri"/>
          <w:color w:val="111111"/>
          <w:sz w:val="28"/>
          <w:sz w:val="28"/>
          <w:szCs w:val="28"/>
          <w:rtl w:val="true"/>
          <w:lang w:bidi="ar-SA"/>
        </w:rPr>
        <w:t>باللّه ليس معنى فلسفياً أو عرفانياً، كما أنّه في صدر الرواية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العالم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نظر إلى الرواية، وتعميم وجهة الخطاب فيها، لا ينبغي له التأمّل في ظهورها في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ثبوت كونهم ولاة، لا مانع من التمسّك بما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قيل</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السلطان العادل، ولو كان فيه إطلاق يقيّد بما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الولاية للفقهاء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جميع ما ثبتت لهم الولاية فيه؛ من جهة كونهم سلاطين على الاُمّة، ولا بدّ في الإخراج عن هذه الكلّية في مورد من دلالة دليل دالّ على اختصاصه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الكذائي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 </w:t>
      </w:r>
    </w:p>
    <w:p>
      <w:pPr>
        <w:pStyle w:val="BookText"/>
        <w:rPr/>
      </w:pPr>
      <w:r>
        <w:rPr>
          <w:rFonts w:ascii="Amiri" w:hAnsi="Amiri" w:eastAsia="Amiri" w:cs="Amiri"/>
          <w:color w:val="111111"/>
          <w:sz w:val="28"/>
          <w:sz w:val="28"/>
          <w:szCs w:val="28"/>
          <w:rtl w:val="true"/>
          <w:lang w:bidi="ar-SA"/>
        </w:rPr>
        <w:t>الإمام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فإنّه يثبت مثل ذلك للفقهاء العدول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ما ورد في باب الحدود مراراً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على نفسه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الإمام أن يقيم الحدّ عليه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ولا يحتاج إلى بيّنة مع نظره؛ لأنّه أمين اللّه في خلقه</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الإمام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الإمام بالإفطار</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إلى غير ذلك من الموارد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أدلّة ثبوت الولاية من قبلهم كافية في إثبات ذلك للفقيه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الغضّ عن الأدلّة الخاصّة الدالّة على الثبوت للفقيه، كما في الحدود وغيرها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732" w:name="pg15204_140858"/>
    </w:p>
    <w:p>
      <w:pPr>
        <w:pStyle w:val="Heading5"/>
        <w:numPr>
          <w:ilvl w:val="4"/>
          <w:numId w:val="1"/>
        </w:numPr>
        <w:rPr/>
      </w:pPr>
      <w:bookmarkStart w:id="733" w:name="__RefHeading___Toc2759190_2142443653"/>
      <w:bookmarkStart w:id="734" w:name="_Toc271"/>
      <w:bookmarkEnd w:id="732"/>
      <w:bookmarkEnd w:id="733"/>
      <w:r>
        <w:rPr>
          <w:rtl w:val="true"/>
        </w:rPr>
        <w:t xml:space="preserve">عدم ثبوت ما يختصّ للمعصوم </w:t>
      </w:r>
      <w:r>
        <w:rPr>
          <w:rtl w:val="true"/>
        </w:rPr>
        <w:t>(</w:t>
      </w:r>
      <w:r>
        <w:rPr>
          <w:rtl w:val="true"/>
        </w:rPr>
        <w:t>عليه السّلام</w:t>
      </w:r>
      <w:r>
        <w:rPr>
          <w:rtl w:val="true"/>
        </w:rPr>
        <w:t xml:space="preserve">) </w:t>
      </w:r>
      <w:r>
        <w:rPr>
          <w:rtl w:val="true"/>
        </w:rPr>
        <w:t>للفقيه</w:t>
      </w:r>
      <w:bookmarkEnd w:id="734"/>
    </w:p>
    <w:p>
      <w:pPr>
        <w:pStyle w:val="Heading6"/>
        <w:numPr>
          <w:ilvl w:val="5"/>
          <w:numId w:val="1"/>
        </w:numPr>
        <w:rPr/>
      </w:pPr>
      <w:bookmarkStart w:id="735" w:name="__RefHeading___Toc2759192_2142443653"/>
      <w:bookmarkStart w:id="736" w:name="_Toc272"/>
      <w:bookmarkEnd w:id="735"/>
      <w:r>
        <w:rPr>
          <w:rtl w:val="true"/>
        </w:rPr>
        <w:t>بيانه</w:t>
      </w:r>
      <w:bookmarkEnd w:id="736"/>
    </w:p>
    <w:p>
      <w:pPr>
        <w:pStyle w:val="BookText"/>
        <w:rPr/>
      </w:pPr>
      <w:r>
        <w:rPr>
          <w:rFonts w:ascii="IRNazanin" w:hAnsi="IRNazanin" w:eastAsia="IRNazanin"/>
          <w:color w:val="111111"/>
          <w:sz w:val="28"/>
          <w:sz w:val="28"/>
          <w:szCs w:val="28"/>
          <w:rtl w:val="true"/>
          <w:lang w:bidi="fa-IR"/>
        </w:rPr>
        <w:t xml:space="preserve">ثمّ إنّا قد أشرنا سابقاً إلى أنّ ما ثبت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جهة ولايته وسلطنته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للفقيه، وأمّا إذا ثبتت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من غير هذه الناحية فلا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على طلاق زوجة الرجل، أو بيع ماله، أو أخذه منه ولو لم تقتضه المصلحة العامّة، لم يثبت ذلك للفقيه، ولا دلالة للأدلّة المتقدّمة على ثبوتها له حتّى يكون الخروج القطعي من قبيل التخصيص</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2759194_2142443653"/>
      <w:bookmarkStart w:id="738" w:name="_Toc273"/>
      <w:bookmarkEnd w:id="737"/>
      <w:r>
        <w:rPr>
          <w:rtl w:val="true"/>
        </w:rPr>
        <w:t xml:space="preserve">حكم سهم الإمام </w:t>
      </w:r>
      <w:r>
        <w:rPr>
          <w:rtl w:val="true"/>
        </w:rPr>
        <w:t>(</w:t>
      </w:r>
      <w:r>
        <w:rPr>
          <w:rtl w:val="true"/>
        </w:rPr>
        <w:t>عليه السّلام</w:t>
      </w:r>
      <w:r>
        <w:rPr>
          <w:rtl w:val="true"/>
        </w:rPr>
        <w:t>)</w:t>
      </w:r>
      <w:bookmarkEnd w:id="738"/>
    </w:p>
    <w:p>
      <w:pPr>
        <w:pStyle w:val="BookText"/>
        <w:rPr/>
      </w:pPr>
      <w:r>
        <w:rPr>
          <w:rFonts w:ascii="Amiri" w:hAnsi="Amiri" w:eastAsia="Amiri" w:cs="Amiri"/>
          <w:color w:val="111111"/>
          <w:sz w:val="28"/>
          <w:sz w:val="28"/>
          <w:szCs w:val="28"/>
          <w:rtl w:val="true"/>
          <w:lang w:bidi="ar-SA"/>
        </w:rPr>
        <w:t>فحينئذٍ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فإنّه بناءً على كونه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دليل على ولاية الفقيه عليه، ولذا تشبّثوا فيه باُمور غير مرضيّة</w:t>
      </w:r>
      <w:r>
        <w:rPr>
          <w:rStyle w:val="FootnoteAnchor"/>
          <w:rtl w:val="true"/>
        </w:rPr>
        <w:footnoteReference w:id="1364"/>
      </w:r>
      <w:r>
        <w:rPr>
          <w:rFonts w:ascii="Amiri" w:hAnsi="Amiri" w:eastAsia="Amiri" w:cs="Amiri"/>
          <w:color w:val="111111"/>
          <w:sz w:val="28"/>
          <w:sz w:val="28"/>
          <w:szCs w:val="28"/>
          <w:rtl w:val="true"/>
          <w:lang w:bidi="ar-SA"/>
        </w:rPr>
        <w:t xml:space="preserve">، وادّعى بعضهم العلم برضى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المصارف المعهودة لحفظ الحوزات العلمية ونحوها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كيف يحصل القطع بذلك، أفلا يحتمل أن يكون الصرف في </w:t>
      </w:r>
      <w:bookmarkStart w:id="739" w:name="pg15204_140859"/>
    </w:p>
    <w:p>
      <w:pPr>
        <w:pStyle w:val="BookText"/>
        <w:rPr/>
      </w:pPr>
      <w:bookmarkEnd w:id="739"/>
      <w:r>
        <w:rPr>
          <w:rFonts w:ascii="Amiri" w:hAnsi="Amiri" w:eastAsia="Amiri" w:cs="Amiri"/>
          <w:color w:val="111111"/>
          <w:sz w:val="28"/>
          <w:sz w:val="28"/>
          <w:szCs w:val="28"/>
          <w:rtl w:val="true"/>
          <w:lang w:bidi="ar-SA"/>
        </w:rPr>
        <w:t xml:space="preserve">بعض الجهات أرجح في نظره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كالصرف في ردّ الكتب الضالّة الموجبة لانحراف المسلمين، ولا سيّما شبّانهم، وكالصرف في الدفاع عن حوزة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علم لنا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القطع لا تخلو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قطع الفقيه بالرضا، لكنّه لا يفيد ذلك لغيره؛ فإنّ كلّ آخذ لا بدّ له في صحّة تصرّفه من القطع برضاه، وليس الأمر مربوطاً بالتقليد ونحوه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الشأن في ثبوت المالكية لهم علیهم السلام، والذي يظهر لي من مجموع الأدلّة في مطلق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فيه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سهم السادة كثّر اللّه نسلهم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أفادوا</w:t>
      </w:r>
      <w:r>
        <w:rPr>
          <w:rFonts w:eastAsia="IRNazanin" w:cs="IRNazanin"/>
          <w:color w:val="111111"/>
          <w:sz w:val="28"/>
          <w:szCs w:val="28"/>
          <w:rtl w:val="true"/>
          <w:lang w:bidi="fa-IR"/>
        </w:rPr>
        <w:t>:</w:t>
      </w:r>
    </w:p>
    <w:p>
      <w:pPr>
        <w:pStyle w:val="Heading6"/>
        <w:numPr>
          <w:ilvl w:val="5"/>
          <w:numId w:val="1"/>
        </w:numPr>
        <w:rPr/>
      </w:pPr>
      <w:bookmarkStart w:id="740" w:name="__RefHeading___Toc2759196_2142443653"/>
      <w:bookmarkStart w:id="741" w:name="_Toc274"/>
      <w:bookmarkEnd w:id="740"/>
      <w:r>
        <w:rPr>
          <w:rtl w:val="true"/>
        </w:rPr>
        <w:t>بيان سهم السادة</w:t>
      </w:r>
      <w:bookmarkEnd w:id="741"/>
    </w:p>
    <w:p>
      <w:pPr>
        <w:pStyle w:val="BookText"/>
        <w:rPr/>
      </w:pPr>
      <w:r>
        <w:rPr>
          <w:rFonts w:ascii="Amiri" w:hAnsi="Amiri" w:eastAsia="Amiri" w:cs="Amiri"/>
          <w:color w:val="111111"/>
          <w:sz w:val="28"/>
          <w:sz w:val="28"/>
          <w:szCs w:val="28"/>
          <w:rtl w:val="true"/>
          <w:lang w:bidi="ar-SA"/>
        </w:rPr>
        <w:t>أمّا في سهم السادة، فلأنّه لا شبهة في أنّهم مصرف له، لا أنّهم مالكون لجميع السهام الثلاثة؛ ضرورة أنّ الفقر شرط في أخذه، والمراد به عدم واجدية مؤونة سنته 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الوالي أن يعطي السادة مؤونة سنتهم من السهام الثلاثة، فلو زادت عن مؤونتهم كانت للوالي، ولو نقصت عنها كان عليه جبران النقص من سائر ما في بيت المال، كما دلّ عليه الدليل، ولا شبهة في أنّ نصف الخمس يزيد عن حاجة السادة بما لا يحصى</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سابقاً إلى أنّ جعل الخمس في جميع الغنائم والأرباح، دليل على </w:t>
      </w:r>
    </w:p>
    <w:p>
      <w:pPr>
        <w:pStyle w:val="BookText"/>
        <w:rPr/>
      </w:pPr>
      <w:r>
        <w:rPr>
          <w:rFonts w:ascii="Amiri" w:hAnsi="Amiri" w:eastAsia="Amiri" w:cs="Amiri"/>
          <w:color w:val="111111"/>
          <w:sz w:val="28"/>
          <w:sz w:val="28"/>
          <w:szCs w:val="28"/>
          <w:rtl w:val="true"/>
          <w:lang w:bidi="ar-SA"/>
        </w:rPr>
        <w:t>أنّ للإسلام دولة وحكومة</w:t>
      </w:r>
      <w:r>
        <w:rPr>
          <w:rStyle w:val="FootnoteAnchor"/>
          <w:rtl w:val="true"/>
        </w:rPr>
        <w:footnoteReference w:id="1366"/>
      </w:r>
      <w:r>
        <w:rPr>
          <w:rFonts w:ascii="Amiri" w:hAnsi="Amiri" w:eastAsia="Amiri" w:cs="Amiri"/>
          <w:color w:val="111111"/>
          <w:sz w:val="28"/>
          <w:sz w:val="28"/>
          <w:szCs w:val="28"/>
          <w:rtl w:val="true"/>
          <w:lang w:bidi="ar-SA"/>
        </w:rPr>
        <w:t>، وقد جعل الخمس لأجل نوائب الحكومة الإسلامية، لا لأجل سدّ حاجات السادة فحسب؛ إذ نصف خمس سوق كبير من أسواق المسلمين كافٍ لذلك، بل الخمس هو لجميع نوائب الوالي، ومنها سدّ حاجة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مرسلة حمّاد بن عيسى،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الخمس كَمَلاً، ونصف الخمس الباقي بين أهل بيته، فسهم ليتاماهم، وسهم لمساكينهم، وسهم لأبناء سبيلهم، يقسم بينهم على الكفاف والسعة ما يستغنون به في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عنهم شيء فهو للوالي، وإن 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الزيادة التي ترجع إلى الوالي، إنّما هي لسدّ نوائبه من جميع احتياجات الدولة الإسلامية،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رضوان اللّه عليه،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جاء في القرآن من ذكر معايش الخلق وأسبابها، فقد أعلمنا سبحانه ذلك من </w:t>
      </w:r>
    </w:p>
    <w:p>
      <w:pPr>
        <w:pStyle w:val="BookText"/>
        <w:rPr/>
      </w:pPr>
      <w:r>
        <w:rPr>
          <w:rFonts w:ascii="Amiri" w:hAnsi="Amiri" w:eastAsia="Amiri" w:cs="Amiri"/>
          <w:color w:val="111111"/>
          <w:sz w:val="28"/>
          <w:sz w:val="28"/>
          <w:szCs w:val="28"/>
          <w:rtl w:val="true"/>
          <w:lang w:bidi="ar-SA"/>
        </w:rPr>
        <w:t>خمسة أوجه، وجه الإمارة ووجه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وجه الإمارة،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شَى‌ءٍ فَأَنَّ للّه‌ِ خُمُسَهُ وَلِلرَّسُولِ وَلِذِى الْقُرْبى وَالْيَتَامَى وَالْمَسَاكِينِ</w:t>
      </w:r>
      <w:r>
        <w:rPr>
          <w:rFonts w:eastAsia="Amiri" w:cs="Amiri" w:ascii="Amiri" w:hAnsi="Amiri"/>
          <w:color w:val="111111"/>
          <w:sz w:val="28"/>
          <w:szCs w:val="28"/>
          <w:rtl w:val="true"/>
          <w:lang w:bidi="ar-SA"/>
        </w:rPr>
        <w:t>»</w:t>
      </w:r>
      <w:r>
        <w:rPr>
          <w:rStyle w:val="FootnoteAnchor"/>
          <w:rtl w:val="true"/>
        </w:rPr>
        <w:footnoteReference w:id="1369"/>
      </w:r>
      <w:r>
        <w:rPr>
          <w:rFonts w:ascii="IRNazanin" w:hAnsi="IRNazanin" w:eastAsia="IRNazanin"/>
          <w:color w:val="111111"/>
          <w:sz w:val="28"/>
          <w:sz w:val="28"/>
          <w:szCs w:val="28"/>
          <w:rtl w:val="true"/>
          <w:lang w:bidi="fa-IR"/>
        </w:rPr>
        <w:t>فجعل للّه خمس الغنائم</w:t>
      </w:r>
      <w:r>
        <w:rPr>
          <w:rFonts w:eastAsia="IRNazanin" w:cs="IRNazanin"/>
          <w:color w:val="111111"/>
          <w:sz w:val="28"/>
          <w:szCs w:val="28"/>
          <w:rtl w:val="true"/>
          <w:lang w:bidi="fa-IR"/>
        </w:rPr>
        <w:t>...»</w:t>
      </w:r>
      <w:r>
        <w:rPr>
          <w:rStyle w:val="FootnoteAnchor"/>
          <w:rtl w:val="true"/>
        </w:rPr>
        <w:footnoteReference w:id="137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كيف جعل الخمس بأجمعه من وجوه الإمارة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شبهة في أنّ السهام لا تقسم بين الطوائف الثلاث على السواء، بل هو موكول إلى نظر الوالي، ففي 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أليس إنّما كان يعطي على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الإمام</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الروايات التي وردت في تقسيم الخمس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 منهم إلى غيرهم</w:t>
      </w:r>
      <w:r>
        <w:rPr>
          <w:rFonts w:eastAsia="Amiri" w:cs="Amiri" w:ascii="Amiri" w:hAnsi="Amiri"/>
          <w:color w:val="111111"/>
          <w:sz w:val="28"/>
          <w:szCs w:val="28"/>
          <w:rtl w:val="true"/>
          <w:lang w:bidi="ar-SA"/>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الجعل التشريعي الابتدائي، أو على مورد قلّة الخمس وعدم الكفاية</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ما ورد متكرّراً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سهم اللّه لرسول اللّه، وسهم </w:t>
      </w:r>
      <w:bookmarkStart w:id="742" w:name="pg15204_140862"/>
    </w:p>
    <w:p>
      <w:pPr>
        <w:pStyle w:val="BookText"/>
        <w:rPr/>
      </w:pPr>
      <w:bookmarkEnd w:id="742"/>
      <w:r>
        <w:rPr>
          <w:rFonts w:ascii="IRNazanin" w:hAnsi="IRNazanin" w:eastAsia="IRNazanin"/>
          <w:color w:val="111111"/>
          <w:sz w:val="28"/>
          <w:sz w:val="28"/>
          <w:szCs w:val="28"/>
          <w:rtl w:val="true"/>
          <w:lang w:bidi="fa-IR"/>
        </w:rPr>
        <w:t>رسول اللّه للإمام</w:t>
      </w:r>
      <w:r>
        <w:rPr>
          <w:rFonts w:eastAsia="IRNazanin" w:cs="IRNazanin"/>
          <w:color w:val="111111"/>
          <w:sz w:val="28"/>
          <w:szCs w:val="28"/>
          <w:rtl w:val="true"/>
          <w:lang w:bidi="fa-IR"/>
        </w:rPr>
        <w:t>»</w:t>
      </w:r>
      <w:r>
        <w:rPr>
          <w:rStyle w:val="FootnoteAnchor"/>
          <w:rtl w:val="true"/>
        </w:rPr>
        <w:footnoteReference w:id="137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الزائد يرجع إلى الوالي، والتقسيم بنظره</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كما لا يخفى، هذا جملة من الكلام في سهم السادات</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2759198_2142443653"/>
      <w:bookmarkStart w:id="744" w:name="_Toc275"/>
      <w:bookmarkEnd w:id="743"/>
      <w:r>
        <w:rPr>
          <w:rtl w:val="true"/>
        </w:rPr>
        <w:t xml:space="preserve">بيان سهم الإمام </w:t>
      </w:r>
      <w:r>
        <w:rPr>
          <w:rtl w:val="true"/>
        </w:rPr>
        <w:t>(</w:t>
      </w:r>
      <w:r>
        <w:rPr>
          <w:rtl w:val="true"/>
        </w:rPr>
        <w:t>عليه السّلام</w:t>
      </w:r>
      <w:r>
        <w:rPr>
          <w:rtl w:val="true"/>
        </w:rPr>
        <w:t>)</w:t>
      </w:r>
      <w:bookmarkEnd w:id="744"/>
    </w:p>
    <w:p>
      <w:pPr>
        <w:pStyle w:val="BookText"/>
        <w:rPr/>
      </w:pPr>
      <w:r>
        <w:rPr>
          <w:rFonts w:ascii="IRNazanin" w:hAnsi="IRNazanin" w:eastAsia="IRNazanin"/>
          <w:color w:val="111111"/>
          <w:sz w:val="28"/>
          <w:sz w:val="28"/>
          <w:szCs w:val="28"/>
          <w:rtl w:val="true"/>
          <w:lang w:bidi="fa-IR"/>
        </w:rPr>
        <w:t xml:space="preserve">وأمّا في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 المفهوم من الكتاب والسنّة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الأئمّة الطاهرين 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أولياء التصرّف في السهم كلّ في عصره، لا أنّه ملك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شَى‌ءٍ فَأَنَّ للّه‌ِ خُمُسَهُ وَلِلرَّسُولِ وَلِذِى القُرْبى</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 xml:space="preserve">إلى آخره، ظاهر فيما ذكرناه عند التأمّل؛ فإنّه لا إشكال في أنّ مالكيته تعالى للسهم ليست كمالكية زيد لثوبه؛ أي المالكية الاعتبارية، ضرورة عدم اعتبار العقلاء 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تعالى؛ بحيث لو وكّل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ببيعه خرج عن ملكه، ودخل ثمنه فيه، وهذا واضح</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اعتبار الملكية الاعتبارية له تعالى ولرسول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لا عرضاً، ولا طولاً، بل الطولية لا ترجع إلى محصّل، ولتحقيقه مقام آخر</w:t>
      </w:r>
      <w:r>
        <w:rPr>
          <w:rStyle w:val="FootnoteAnchor"/>
          <w:rtl w:val="true"/>
        </w:rPr>
        <w:footnoteReference w:id="13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للّه هو للرسول</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والملكية التكوينية التي قد تمور في بعض الألسن موراً </w:t>
      </w:r>
      <w:r>
        <w:rPr>
          <w:rStyle w:val="FootnoteAnchor"/>
          <w:rtl w:val="true"/>
        </w:rPr>
        <w:footnoteReference w:id="1378"/>
      </w:r>
      <w:r>
        <w:rPr>
          <w:rFonts w:ascii="Amiri" w:hAnsi="Amiri" w:eastAsia="Amiri" w:cs="Amiri"/>
          <w:color w:val="111111"/>
          <w:sz w:val="28"/>
          <w:sz w:val="28"/>
          <w:szCs w:val="28"/>
          <w:rtl w:val="true"/>
          <w:lang w:bidi="ar-SA"/>
        </w:rPr>
        <w:t>، ممّا لا صحّة لها في مثل المقام الذي هو مقام بيان حكم فقهي عقلائي، لا بيان الدقائق الفلسفية والعرفانية، مع أنّ القرائن قائمة على عدم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مالكية التصرّف والأولوية من كلّ أحد، فلا مانع من اعتبارها له تعالى عند العقلاء، بل يرى العقلاء أنّه تعالى أولى بالتصرّف في كلّ مال ونفس وإن كانت ماهية الأولوية أمراً اعتبارياً، لكنّها اعتبار معقول واقع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تعالى وليّ أمره، فحينئذٍ إن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ولاية التصرّف، فلا إشكال فيه بحسب اعتبار العقلاء، ولا بحسب ظواهر الأدلّة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وتؤكّده وحدة السياق؛ ضرورة أنّ التفكيك خلاف الظاهر يحتاج إلى دلالة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حمل على الملكية الاعتبارية؛ بحيث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نحو مالكيته الشخصية لثوبه وفرسه، فمع أنّه يستلزم التفكيك المخالف للظاهر، مخالف للنصّ والفتوى</w:t>
      </w:r>
      <w:r>
        <w:rPr>
          <w:rStyle w:val="FootnoteAnchor"/>
          <w:rtl w:val="true"/>
        </w:rPr>
        <w:footnoteReference w:id="1379"/>
      </w:r>
      <w:r>
        <w:rPr>
          <w:rFonts w:ascii="Amiri" w:hAnsi="Amiri" w:eastAsia="Amiri" w:cs="Amiri"/>
          <w:color w:val="111111"/>
          <w:sz w:val="28"/>
          <w:sz w:val="28"/>
          <w:szCs w:val="28"/>
          <w:rtl w:val="true"/>
          <w:lang w:bidi="ar-SA"/>
        </w:rPr>
        <w:t xml:space="preserve">فإنّ كونه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التوريث لورثته، </w:t>
      </w:r>
    </w:p>
    <w:p>
      <w:pPr>
        <w:pStyle w:val="BookText"/>
        <w:rPr/>
      </w:pPr>
      <w:r>
        <w:rPr>
          <w:rFonts w:ascii="IRNazanin" w:hAnsi="IRNazanin" w:eastAsia="IRNazanin"/>
          <w:color w:val="111111"/>
          <w:sz w:val="28"/>
          <w:sz w:val="28"/>
          <w:szCs w:val="28"/>
          <w:rtl w:val="true"/>
          <w:lang w:bidi="fa-IR"/>
        </w:rPr>
        <w:t xml:space="preserve">والأخبار المتظافرة تدلّ على أنّ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شَى‌ءٍ فَأَنَّ ِللّه‌ِ خُمُسَهُ وَلِلرَّسُولِ وَلِذِى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وما كان لرسول اللّه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مالكاً شخصاً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بطلان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مالك بجهة الرئاسة والولاية، إن كان المراد أنّ الولاية جهة تعليلية وواسطة في الثبوت؛ فإنّ التوالي الفاسدة لازمة على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احتمال أن يكون المالك هو جهة الرئاسة، لا نفس الرئيس، وإنّما الوالي وليّ على هذا المملوك</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 بعده في نفسه؛ فإنّ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الوصف قائماً </w:t>
      </w:r>
    </w:p>
    <w:p>
      <w:pPr>
        <w:pStyle w:val="BookText"/>
        <w:rPr/>
      </w:pPr>
      <w:r>
        <w:rPr>
          <w:rFonts w:ascii="Amiri" w:hAnsi="Amiri" w:eastAsia="Amiri" w:cs="Amiri"/>
          <w:color w:val="111111"/>
          <w:sz w:val="28"/>
          <w:sz w:val="28"/>
          <w:szCs w:val="28"/>
          <w:rtl w:val="true"/>
          <w:lang w:bidi="ar-SA"/>
        </w:rPr>
        <w:t xml:space="preserve">بشخص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الأذهان، يحتاج ثبوته إلى دلالة ناصّة أو ظاهرة، موجب للتفكيك المخالف للظاهر أيضاً؛ فإنّ كونه للّه ليس معناه مالكية جهة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الاُلوهية مالكة، فهو أفحش، مع لزوم تفكيك أفحش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ذلك لا يوجب حفظ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 لو كان ظاهراً فيها كما قيل</w:t>
      </w:r>
      <w:r>
        <w:rPr>
          <w:rStyle w:val="FootnoteAnchor"/>
          <w:rtl w:val="true"/>
        </w:rPr>
        <w:footnoteReference w:id="1382"/>
      </w:r>
      <w:r>
        <w:rPr>
          <w:rFonts w:ascii="Amiri" w:hAnsi="Amiri" w:eastAsia="Amiri" w:cs="Amiri"/>
          <w:color w:val="111111"/>
          <w:sz w:val="28"/>
          <w:sz w:val="28"/>
          <w:szCs w:val="28"/>
          <w:rtl w:val="true"/>
          <w:lang w:bidi="ar-SA"/>
        </w:rPr>
        <w:t>ضرورة أ نّه على هذا الفرض ليس الرسول مالكاً، بل الرئاسة مالكة، وإنّما الرئيس مالك التصرّف، وهذا الاحتمال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احتمال آخر، وهو أنّ اللّه تعالى وليّ أصالة وحقّاً، والرسول وليّ من قبله، وبعد رسول اللّه يكون الإمام وليّاً من قبل اللّه أو من قبل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فالسهام الثلاثة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تحت ولايته؛ فإنّ في عصره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وبعد ارتحاله صارت السهام تحت ولايته وتصرّفه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الروايات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لرسول اللّه فهو للإمام</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ليس المراد منه أنّه في زمان رسول اللّه كذلك، بل المراد أنّ ما كان له صار بعد وفاته للإمام، كما صرّح به بعض الروايات، كرواية حمّاد بن عيسى الطويلة،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فسهم اللّه </w:t>
      </w:r>
    </w:p>
    <w:p>
      <w:pPr>
        <w:pStyle w:val="BookText"/>
        <w:rPr/>
      </w:pPr>
      <w:r>
        <w:rPr>
          <w:rFonts w:ascii="Amiri" w:hAnsi="Amiri" w:eastAsia="Amiri" w:cs="Amiri"/>
          <w:color w:val="111111"/>
          <w:sz w:val="28"/>
          <w:sz w:val="28"/>
          <w:szCs w:val="28"/>
          <w:rtl w:val="true"/>
          <w:lang w:bidi="ar-SA"/>
        </w:rPr>
        <w:t>وسهم رسول اللّه لاُولي الأمر من بعد رسول اللّه</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ينافي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وراثة، وسهم مقسوم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القسم الثالث للإمام حال إمامته، لا حال إمامة غيره، ولهذا كانت الأسهم جميعاً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لم يكونا إمامين في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نكتة جعل السهام ثلاثة، مع أنّ حكمها في جميع الأعصار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لسهم اللّه حكم غير ما لسهم رسول اللّه، وكذا سهم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بيان مقام ولاية الرسول وذوي القربى، وتعظيمهم بأن جعل اللّه تعالى سهماً لنفسه، وسهماً لرسول اللّه، وسهماً للإمام بعده، وجعل رسول اللّه وليّاً على السهام كالإمام في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تثليث سهام السادة، فلبيان أنّ اليتامى والمساكين وأبناء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ويكون ارتزاقهم منها، كبيان المصرف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في مفاد الآية والروايات، يظهر له أنّ الخمس بجميع سهامه من بيت المال، والوالي وليّ التصرّف فيه، ونظره متّبع بحسب المصالح العامّة للمسلمين، وعليه إدارة معاش الطوائف الثلاث من السهم المقرّر ارتزاقهم منه حسب ما يرى</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أمر الزكوات بيده في عصره؛ يجعل السهام في مصارفها حسب ما يرى من المصالح، هذا كلّه في السهمين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الأنفال أيضاً لم تكن ملكاً لرسول اللّه والأئمّة صلوات اللّه عليهم أجمعين، بل لهم ملك التصرّف، وبيانه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أظهر من آية الخمس</w:t>
      </w:r>
      <w:r>
        <w:rPr>
          <w:rStyle w:val="FootnoteAnchor"/>
          <w:rtl w:val="true"/>
        </w:rPr>
        <w:footnoteReference w:id="1386"/>
      </w:r>
      <w:r>
        <w:rPr>
          <w:rFonts w:ascii="Amiri" w:hAnsi="Amiri" w:eastAsia="Amiri" w:cs="Amiri"/>
          <w:color w:val="111111"/>
          <w:sz w:val="28"/>
          <w:sz w:val="28"/>
          <w:szCs w:val="28"/>
          <w:rtl w:val="true"/>
          <w:lang w:bidi="ar-SA"/>
        </w:rPr>
        <w:t xml:space="preserve">فيما ذكرناه؛ لعدم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كالنصّ بأنّ ما للّه وما للرسول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اللّه تعالى وليّ في التصرّف في الأنفال، لا مالك لها كمالكية زيد لثوبه، وكذا الرسول بمقتضى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فجميع ما ورد في الأخبار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الأنفال لرسول اللّه ولنا بعده</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xml:space="preserve">يراد منه أنّهم أولياء التصرّف، ففي رواية حمّاد،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يسدّ بذلك المال جميع ما ينوبه؛ من مثل إعطاء المؤلّفة قلوبهم، وغير ذلك ممّا ينوبه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والأنفال إلى الوالي</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وإن لم يكن المقام محلّ بحثها، لكن لا تنبغي الشبهة في أنّ الأنفال أيضاً ليست ملكاً شخصياً، يرثها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ورثة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ضروري الفقه، ففي الأنفال ونحوها تأتي الاحتمالات المتقدّمة</w:t>
      </w:r>
      <w:r>
        <w:rPr>
          <w:rStyle w:val="FootnoteAnchor"/>
          <w:rtl w:val="true"/>
        </w:rPr>
        <w:footnoteReference w:id="1390"/>
      </w:r>
      <w:r>
        <w:rPr>
          <w:rFonts w:ascii="Amiri" w:hAnsi="Amiri" w:eastAsia="Amiri" w:cs="Amiri"/>
          <w:color w:val="111111"/>
          <w:sz w:val="28"/>
          <w:sz w:val="28"/>
          <w:szCs w:val="28"/>
          <w:rtl w:val="true"/>
          <w:lang w:bidi="ar-SA"/>
        </w:rPr>
        <w:t>في السهم، والأظهر فيها ما تقدّم، ومقتضى ولايته أنّ له أخذ بعض الأنفال لنفسه لو اقتضت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يكون الفقيه في عصر الغيبة وليّاً للأمر ولجميع 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له، ومنه الخمس، من غير فرق بين سهم الإمام وسهم السادة، بل له الولاية على الأنفال والفيء، والتفصيل في محلّه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للفقيه جميع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قام الدليل على أنّ الثابت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جهة ولايته وسلطنته، بل لجهات شخصية؛ تشريفاً له، أو دلّ الدليل على أنّ الشيء الفلاني وإن كان من شؤون الحكومة والسلطنة، لكن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منه، كما اشتهر ذلك في الجهاد غير الدفاعي</w:t>
      </w:r>
      <w:r>
        <w:rPr>
          <w:rStyle w:val="FootnoteAnchor"/>
          <w:rtl w:val="true"/>
        </w:rPr>
        <w:footnoteReference w:id="1392"/>
      </w:r>
      <w:r>
        <w:rPr>
          <w:rFonts w:ascii="Amiri" w:hAnsi="Amiri" w:eastAsia="Amiri" w:cs="Amiri"/>
          <w:color w:val="111111"/>
          <w:sz w:val="28"/>
          <w:sz w:val="28"/>
          <w:szCs w:val="28"/>
          <w:rtl w:val="true"/>
          <w:lang w:bidi="ar-SA"/>
        </w:rPr>
        <w:t>، وإن كان فيه بحث وتأمّل</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ورد ثبوته للإمام، أو السلطان، أو والي المسلمين، أو وليّ الأمر، أو للرسول، أو النبي، أو ما يشابهها من العناوين، يثبت بأدلّة الولاية للفقيه</w:t>
      </w:r>
      <w:r>
        <w:rPr>
          <w:rFonts w:eastAsia="Amiri" w:cs="Amiri" w:ascii="Amiri" w:hAnsi="Amiri"/>
          <w:color w:val="111111"/>
          <w:sz w:val="28"/>
          <w:szCs w:val="28"/>
          <w:rtl w:val="true"/>
          <w:lang w:bidi="ar-SA"/>
        </w:rPr>
        <w:t xml:space="preserve">. </w:t>
      </w:r>
      <w:bookmarkStart w:id="745" w:name="pg15204_140869"/>
    </w:p>
    <w:p>
      <w:pPr>
        <w:pStyle w:val="BookText"/>
        <w:rPr/>
      </w:pPr>
      <w:bookmarkEnd w:id="745"/>
      <w:r>
        <w:rPr>
          <w:rFonts w:ascii="Amiri" w:hAnsi="Amiri" w:eastAsia="Amiri" w:cs="Amiri"/>
          <w:color w:val="111111"/>
          <w:sz w:val="28"/>
          <w:sz w:val="28"/>
          <w:szCs w:val="28"/>
          <w:rtl w:val="true"/>
          <w:lang w:bidi="ar-SA"/>
        </w:rPr>
        <w:t xml:space="preserve">نعم، لا يثبت للفقيه ما شكّ في ثبوته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علم عدم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بعض الأعلام قدّس سرّه موارد، وادّعى عدم ثبوتها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ممّا شكّ فيه</w:t>
      </w:r>
      <w:r>
        <w:rPr>
          <w:rStyle w:val="FootnoteAnchor"/>
          <w:rtl w:val="true"/>
        </w:rPr>
        <w:footnoteReference w:id="1393"/>
      </w:r>
      <w:r>
        <w:rPr>
          <w:rFonts w:ascii="Amiri" w:hAnsi="Amiri" w:eastAsia="Amiri" w:cs="Amiri"/>
          <w:color w:val="111111"/>
          <w:sz w:val="28"/>
          <w:sz w:val="28"/>
          <w:szCs w:val="28"/>
          <w:rtl w:val="true"/>
          <w:lang w:bidi="ar-SA"/>
        </w:rPr>
        <w:t>، وأكثر الموارد المذكورة ثابت لهم وللفقيه؛ لكونها من شؤون الحكومة والسلطنة أو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لو ثبت للقاضي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لا يكون من شؤون الحكومة، ثبت ذلك للفقيه؛ لأنّه القاضي المنصوب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والتفصيل والنظر في كلّ مورد يحتاج إلى تطويل الكلام، وهو خارج عن وضع الرسالة</w:t>
      </w:r>
      <w:r>
        <w:rPr>
          <w:rFonts w:eastAsia="IRNazanin" w:cs="IRNazanin"/>
          <w:color w:val="111111"/>
          <w:sz w:val="28"/>
          <w:szCs w:val="28"/>
          <w:rtl w:val="true"/>
          <w:lang w:bidi="fa-IR"/>
        </w:rPr>
        <w:t>.</w:t>
      </w:r>
    </w:p>
    <w:p>
      <w:pPr>
        <w:pStyle w:val="Heading6"/>
        <w:numPr>
          <w:ilvl w:val="5"/>
          <w:numId w:val="1"/>
        </w:numPr>
        <w:rPr/>
      </w:pPr>
      <w:bookmarkStart w:id="746" w:name="__RefHeading___Toc2759200_2142443653"/>
      <w:bookmarkStart w:id="747" w:name="_Toc276"/>
      <w:bookmarkEnd w:id="746"/>
      <w:r>
        <w:rPr>
          <w:rtl w:val="true"/>
        </w:rPr>
        <w:t>حكم الاُمور الحسبية</w:t>
      </w:r>
      <w:bookmarkEnd w:id="747"/>
    </w:p>
    <w:p>
      <w:pPr>
        <w:pStyle w:val="BookText"/>
        <w:rPr/>
      </w:pPr>
      <w:r>
        <w:rPr>
          <w:rFonts w:ascii="Amiri" w:hAnsi="Amiri" w:eastAsia="Amiri" w:cs="Amiri"/>
          <w:color w:val="111111"/>
          <w:sz w:val="28"/>
          <w:sz w:val="28"/>
          <w:szCs w:val="28"/>
          <w:rtl w:val="true"/>
          <w:lang w:bidi="ar-SA"/>
        </w:rPr>
        <w:t xml:space="preserve">ثمّ إنّ الاُمور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علم بعدم رضا الشارع الأقدس بإهمالها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لها متصدّياً خاصّاً أو عامّاً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ثبت أنّها كانت منوطة بنظر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ثابتة للفقيه بأدلّة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عنها، لو احتمل أنّ إجراءها لا بدّ وأن يكون بنظر شخص كالفقيه العادل، أو الشخص العادل، أو الثقة، فاللازم الأخذ بالمتيقّن، وهو الفقيه العادل الثقة، وإن تردّد بين المتباينين لا بدّ وأن تجرى بنظرهما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حفظ النظام، وسدّ ثغور المسلمين، وحفظ شبّانهم من الانحراف عن الإسلام، ومنع التبليغ المضادّ للإسلام ونحوها، من أوضح </w:t>
      </w:r>
    </w:p>
    <w:p>
      <w:pPr>
        <w:pStyle w:val="BookText"/>
        <w:rPr/>
      </w:pPr>
      <w:r>
        <w:rPr>
          <w:rFonts w:ascii="Amiri" w:hAnsi="Amiri" w:eastAsia="Amiri" w:cs="Amiri"/>
          <w:color w:val="111111"/>
          <w:sz w:val="28"/>
          <w:sz w:val="28"/>
          <w:szCs w:val="28"/>
          <w:rtl w:val="true"/>
          <w:lang w:bidi="ar-SA"/>
        </w:rPr>
        <w:t>الحسبيات، ولا يمكن الوصول إليها إلاّ بتشكيل حكومة عادلة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الغضّ عن أدلّة الولاية، لا شكّ في أنّ الفقهاء العدول هم القدر المتيقّن، فلا بدّ من دخالة نظرهم، ولزوم كون الحكومة بإذنهم، ومع فقدهم أو عجزهم عن القيام بها، يجب ذلك على المسلمين العدول، ولا بدّ من استئذانهم الفقيه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الحكومة للفقهاء العدول، قد ينقدح في الأذهان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عاجزون عن تمشية الاُمور السياسية والعسكرية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وقع لذلك بعد ما نرى أنّ التدبير والإدارة في كلّ دولة بتشريك مساعي عدد كبير من المتخصّصين وأرباب البصيرة، والسلاطين ورؤساء الجمهوريات من العهود البعيدة إلى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عالمين بفنون السياسة والقيادة للجيش، بل الاُمور جرت على أيدي المتخصّصين في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 من يترأّس الحكومة شخصاً عادلاً، فلا محالة ينتخب الوزراء والعمّال العدول، أو صحيحي العمل، فيقلّ الظلم والفساد والتعدّي في بيت مال المسلمين، وفي أعراضهم ونفوسهم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في زمان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جميع الاُمور بيده الشريفة، بل كان له ولاة وقضاة ورؤساء للجيش ونحوهم، والآن ترى أنّ تمشية الاُمور السياسية أو العسكرية وتنظيم البلاد وحفظ الثغور كلّ موكولة إلى شخص أو أشخاص ذوي الصلاحية بنظرهم</w:t>
      </w:r>
      <w:r>
        <w:rPr>
          <w:rFonts w:eastAsia="Amiri" w:cs="Amiri" w:ascii="Amiri" w:hAnsi="Amiri"/>
          <w:color w:val="111111"/>
          <w:sz w:val="28"/>
          <w:szCs w:val="28"/>
          <w:rtl w:val="true"/>
          <w:lang w:bidi="ar-SA"/>
        </w:rPr>
        <w:t xml:space="preserve">. </w:t>
      </w:r>
      <w:bookmarkStart w:id="748" w:name="pg15204_140871"/>
    </w:p>
    <w:p>
      <w:pPr>
        <w:pStyle w:val="Heading5"/>
        <w:numPr>
          <w:ilvl w:val="4"/>
          <w:numId w:val="1"/>
        </w:numPr>
        <w:rPr/>
      </w:pPr>
      <w:bookmarkStart w:id="749" w:name="__RefHeading___Toc2759202_2142443653"/>
      <w:bookmarkStart w:id="750" w:name="_Toc277"/>
      <w:bookmarkEnd w:id="748"/>
      <w:bookmarkEnd w:id="749"/>
      <w:r>
        <w:rPr>
          <w:rtl w:val="true"/>
        </w:rPr>
        <w:t>النسبة بين أدلّة ولاية الفقيه وأدلّة الحثّ على المعروف</w:t>
      </w:r>
      <w:bookmarkEnd w:id="750"/>
    </w:p>
    <w:p>
      <w:pPr>
        <w:pStyle w:val="BookText"/>
        <w:rPr/>
      </w:pPr>
      <w:r>
        <w:rPr>
          <w:rFonts w:ascii="IRNazanin" w:hAnsi="IRNazanin" w:eastAsia="IRNazanin"/>
          <w:color w:val="111111"/>
          <w:sz w:val="28"/>
          <w:sz w:val="28"/>
          <w:szCs w:val="28"/>
          <w:rtl w:val="true"/>
          <w:lang w:bidi="fa-IR"/>
        </w:rPr>
        <w:t xml:space="preserve">ثمّ إنّه قد يتخيّل وقوع المعارضة بين أدلّة جعل الولاية للفقيه، وبين أمثال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الشيخ الأعظم قدّس سرّه لذلك،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تصديق المعارضة، وكون النسبة بينهما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التوقيع المبارك حاكم على تلك الروايات</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تلك الروايات لا يراد بها مطلق المعروف مقابل المنكر، حتّى يدخل فيه جميع الراجحات حتّى الصلاة والصوم، وجميع ما للرسول والإمام صلوات اللّه عليهما والفقهاء، كي يلزم الهرج والمرج، ويكون لكلّ شخص التدخّل في شؤون الحكومة وفي أموال الناس، إذا كان التصرّف صلاحاً وذا نفع</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تلك الروايات ما يختلّ به نظام الفقه، بل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مستحبّة، بل أحكاماً 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البعث إلى فعال </w:t>
      </w:r>
    </w:p>
    <w:p>
      <w:pPr>
        <w:pStyle w:val="BookText"/>
        <w:rPr/>
      </w:pPr>
      <w:r>
        <w:rPr>
          <w:rFonts w:ascii="Amiri" w:hAnsi="Amiri" w:eastAsia="Amiri" w:cs="Amiri"/>
          <w:color w:val="111111"/>
          <w:sz w:val="28"/>
          <w:sz w:val="28"/>
          <w:szCs w:val="28"/>
          <w:rtl w:val="true"/>
          <w:lang w:bidi="ar-SA"/>
        </w:rPr>
        <w:t xml:space="preserve">الخير، مثل البرّ والصلة بالنسبة إلى الإخوان المسلمين، ومثل ذلك لا يصلح لمعارضة أدلّة الأحكام الإلزامية،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 من وجه أحلّه اللّه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ومثل أدلّة الولاية</w:t>
      </w:r>
      <w:r>
        <w:rPr>
          <w:rStyle w:val="FootnoteAnchor"/>
          <w:rtl w:val="true"/>
        </w:rPr>
        <w:footnoteReference w:id="1399"/>
      </w:r>
      <w:r>
        <w:rPr>
          <w:rFonts w:ascii="Amiri" w:hAnsi="Amiri" w:eastAsia="Amiri" w:cs="Amiri"/>
          <w:color w:val="111111"/>
          <w:sz w:val="28"/>
          <w:sz w:val="28"/>
          <w:szCs w:val="28"/>
          <w:rtl w:val="true"/>
          <w:lang w:bidi="ar-SA"/>
        </w:rPr>
        <w:t>التي قطعت أيدي غير الفقهاء عند التصدّي لها مع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راجعت أبواب المعروف ترى وضوح ما ذكرناه، ففي 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شيء سوى الزكاة، فتقرّبوا إلى اللّه عزّ وجلّ بالبرّ وصلة الرحم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من الشيعة، فكأنّه كره ما سمع منّا فيهم،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إذا كان المؤمن غنيّاً وصولاً رحيماً، له معروف إلى أصحابه، أعطاه اللّه أجر ما ينفق في البرّ مرّتين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غير واحد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حيث إنّ الظاهر منها أنّ المعروف عبارة عن إعطاء شيء زائداً على الزكاة، أو أعمّ منه ومن التواصل والتعارف، فالروايات المذكورة أجنبيّة عن المورد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يظهر حال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مثل ذلك الحكم الأخلاقي الاستحبابي لا يصلح لمعارضة أدلّة الأحكام الإلزامية،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ولا مثل أدلّة الولاية،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سلّمنا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النطاق الواسع منه، فالظاهر أنّ النسبة بينه وبين أدلّة الولاية العموم المطلق؛ لأنّ كلّ ما يتولّى الفقيه فهو من المعروف، وبعض المعروف ليس ممّا يتولّى الفقيه بعنوان الولاية والفقاهة، كصلة الرحم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لا يوجب انقلاب النسبة، مع أنّ الخروج غير مسلّم عند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كون النسبة عموماً من وجه، لكن تقدّم أدلّة الولاية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لخروج موضوعه عن كونه معروفاً بأدلّتها؛ لأنّ تصرّف غير الوليّ في شؤون الولاية من المنكرات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لأجل أنّ مثل هذه الأخبار لا تتعرّض لفاعل المعروف، وإنّما يستفاد ذلك </w:t>
      </w:r>
    </w:p>
    <w:p>
      <w:pPr>
        <w:pStyle w:val="BookText"/>
        <w:rPr/>
      </w:pPr>
      <w:r>
        <w:rPr>
          <w:rFonts w:ascii="Amiri" w:hAnsi="Amiri" w:eastAsia="Amiri" w:cs="Amiri"/>
          <w:color w:val="111111"/>
          <w:sz w:val="28"/>
          <w:sz w:val="28"/>
          <w:szCs w:val="28"/>
          <w:rtl w:val="true"/>
          <w:lang w:bidi="ar-SA"/>
        </w:rPr>
        <w:t>من إطلاقها، وبعد ورود التحديد والتقييد يقدّم ذلك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أدلّة ولاية الفقيه على الضعيف مثل الصغير والمجنون ونحوهما، تخرج الموضوع عن كونه ضعيفاً؛ فإنّ المتفاهم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لم يقدر على فعل كذائي، ولم يكن له من يتكفّله، فعونه راجح، فالحاكم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كان، أو إماماً، أو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أمره، فيخرج عن الضعيف المنظور في مثل الرواية، أو يخرج عن الحكم بعد جعل اللّه تعالى عوناً له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يراد به التصرّف في مال الصغير الذي له وليّ، كالأب والجدّ، والأمر سهل بعد وضوح المطلب</w:t>
      </w:r>
      <w:r>
        <w:rPr>
          <w:rFonts w:eastAsia="Amiri" w:cs="Amiri" w:ascii="Amiri" w:hAnsi="Amiri"/>
          <w:color w:val="111111"/>
          <w:sz w:val="28"/>
          <w:szCs w:val="28"/>
          <w:rtl w:val="true"/>
          <w:lang w:bidi="ar-SA"/>
        </w:rPr>
        <w:t xml:space="preserve">. </w:t>
      </w:r>
      <w:bookmarkStart w:id="751" w:name="pg15204_140875"/>
    </w:p>
    <w:p>
      <w:pPr>
        <w:pStyle w:val="Heading4"/>
        <w:numPr>
          <w:ilvl w:val="3"/>
          <w:numId w:val="1"/>
        </w:numPr>
        <w:rPr/>
      </w:pPr>
      <w:bookmarkStart w:id="752" w:name="__RefHeading___Toc2759204_2142443653"/>
      <w:bookmarkStart w:id="753" w:name="_Toc278"/>
      <w:bookmarkEnd w:id="751"/>
      <w:bookmarkEnd w:id="752"/>
      <w:r>
        <w:rPr>
          <w:rtl w:val="true"/>
        </w:rPr>
        <w:t>مسألة ولاية عدول المؤمنين</w:t>
      </w:r>
      <w:bookmarkEnd w:id="753"/>
    </w:p>
    <w:p>
      <w:pPr>
        <w:pStyle w:val="Heading5"/>
        <w:numPr>
          <w:ilvl w:val="4"/>
          <w:numId w:val="1"/>
        </w:numPr>
        <w:rPr/>
      </w:pPr>
      <w:bookmarkStart w:id="754" w:name="__RefHeading___Toc2759206_2142443653"/>
      <w:bookmarkStart w:id="755" w:name="_Toc279"/>
      <w:bookmarkEnd w:id="754"/>
      <w:r>
        <w:rPr>
          <w:rtl w:val="true"/>
        </w:rPr>
        <w:t>البحث في الحسبيّات</w:t>
      </w:r>
      <w:bookmarkEnd w:id="755"/>
    </w:p>
    <w:p>
      <w:pPr>
        <w:pStyle w:val="BookText"/>
        <w:rPr/>
      </w:pPr>
      <w:r>
        <w:rPr>
          <w:rFonts w:ascii="Amiri" w:hAnsi="Amiri" w:eastAsia="Amiri" w:cs="Amiri"/>
          <w:color w:val="111111"/>
          <w:sz w:val="28"/>
          <w:sz w:val="28"/>
          <w:szCs w:val="28"/>
          <w:rtl w:val="true"/>
          <w:lang w:bidi="ar-SA"/>
        </w:rPr>
        <w:t>لو فقد الفقيه، أو لم يمكن الوصول إليه، أو الاستجازة منه، فلا إشكال في جواز بعض التصرّفات لعدول المؤمنين، لكن يقع الكلام في حدود التصرّفات الجائزة، وفي كون العادل حينئذٍ وليّاً كما أنّ الفقيه وليّ أو لا؟</w:t>
      </w:r>
    </w:p>
    <w:p>
      <w:pPr>
        <w:pStyle w:val="BookText"/>
        <w:rPr/>
      </w:pPr>
      <w:r>
        <w:rPr>
          <w:rFonts w:ascii="Amiri" w:hAnsi="Amiri" w:eastAsia="Amiri" w:cs="Amiri"/>
          <w:color w:val="111111"/>
          <w:sz w:val="28"/>
          <w:sz w:val="28"/>
          <w:szCs w:val="28"/>
          <w:rtl w:val="true"/>
          <w:lang w:bidi="ar-SA"/>
        </w:rPr>
        <w:t>ومحصّل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قد يقع في الحسبيات؛ أي التي لا يرضى الشارع الأقدس بإهمالها، وتكون مطلوبة مطلقاً، وقد يقع في مقتضى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اُحرز عقلاً أو بالأدلّة الشرعية أنّ الشيء الفلاني مطلوب مطلقاً، ولم يكن لنظر شخص دخالة فيه، فلا إشكال في وجوبه كفاية على كلّ مكلّف ولو كان كافراً، وإذا تحقّق سقط عن غيره، ونظيره في التكاليف إنقاذ الغريق</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نظر شخص أو أشخاص دخيلاً فيه، فإن اُحرز بدليل أنّ للشخص الفلاني أو الصنف الفلاني النظر خاصّة، يتّبع الدليل، ومع فقده، فإن اُحرز أنّ </w:t>
      </w:r>
    </w:p>
    <w:p>
      <w:pPr>
        <w:pStyle w:val="BookText"/>
        <w:rPr/>
      </w:pPr>
      <w:r>
        <w:rPr>
          <w:rFonts w:ascii="Amiri" w:hAnsi="Amiri" w:eastAsia="Amiri" w:cs="Amiri"/>
          <w:color w:val="111111"/>
          <w:sz w:val="28"/>
          <w:sz w:val="28"/>
          <w:szCs w:val="28"/>
          <w:rtl w:val="true"/>
          <w:lang w:bidi="ar-SA"/>
        </w:rPr>
        <w:t>نظره بنحو الإطلاق شرط، سقط التكليف بفقده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اُحرز أنّ فقده لا يوجب السقوط والمطلوبية، فإن اُحرز حينئذٍ أنّ النظر لا يختصّ بشخص أو صنف، فالباقون على السواء في توجّه التكليف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اُحرز دخالة نظر أحد بخصوصه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دخالة نظر، ودار الأمر بين الأقلّ والأكثر، يؤخذ بالقدر المتيقّن، كما لو احتمل أنّ نظر الفقيه أو العادل أو المسلم دخيل، فالمسلم العادل الفقيه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دار الأمر بين المتباينين، لا بدّ وأن يجتمع نظرهما، فمع الاجتماع يصحّ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فقد أحدهما، فإن اُحرز عدم السقوط قام الآخر بالأمر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فقد أيضاً، واُحرز عدم السقوط قام غيره، إلى أن تصل النوبة إلى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احتمالات ناشئة من عدم إحراز السقوط في مورد أو موارد، لا يهمّنا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الحسبيات المذكورة لا دليل على نصب الشارع للتصدّي لما ذكر، حتّى يكون كلّ متصدّ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أو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منصوباً من قبل الشرع؛ بحيث يترتّب على ولايته ما يترتّب على ولاية الفقيه؛ من نصب غيره، وعزله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يستفاد من البيان المتقدّم إلاّ وجوب تصدّيه، وعدم جواز إهماله، فإذا انحصر دليل ولاية عدول المؤمنين عليها بذلك، لا يستفاد منه ولايتهم عليها عند فقد الفقيه الذي هو وليّ الأمر، كما أنّه لو لم يتمّ دليل ولاية الفقيه </w:t>
      </w:r>
      <w:bookmarkStart w:id="756" w:name="pg15204_140877"/>
    </w:p>
    <w:p>
      <w:pPr>
        <w:pStyle w:val="BookText"/>
        <w:rPr/>
      </w:pPr>
      <w:bookmarkEnd w:id="756"/>
      <w:r>
        <w:rPr>
          <w:rFonts w:ascii="Amiri" w:hAnsi="Amiri" w:eastAsia="Amiri" w:cs="Amiri"/>
          <w:color w:val="111111"/>
          <w:sz w:val="28"/>
          <w:sz w:val="28"/>
          <w:szCs w:val="28"/>
          <w:rtl w:val="true"/>
          <w:lang w:bidi="ar-SA"/>
        </w:rPr>
        <w:t>لم يثبت في الحسبيات ولايته عليها</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759208_2142443653"/>
      <w:bookmarkStart w:id="758" w:name="_Toc280"/>
      <w:bookmarkEnd w:id="757"/>
      <w:r>
        <w:rPr>
          <w:rtl w:val="true"/>
        </w:rPr>
        <w:t>مقتضی الأخبار الخاصّة</w:t>
      </w:r>
      <w:bookmarkEnd w:id="758"/>
    </w:p>
    <w:p>
      <w:pPr>
        <w:pStyle w:val="Heading6"/>
        <w:numPr>
          <w:ilvl w:val="5"/>
          <w:numId w:val="1"/>
        </w:numPr>
        <w:rPr/>
      </w:pPr>
      <w:bookmarkStart w:id="759" w:name="__RefHeading___Toc2759210_2142443653"/>
      <w:bookmarkStart w:id="760" w:name="_Toc281"/>
      <w:bookmarkEnd w:id="759"/>
      <w:r>
        <w:rPr>
          <w:rtl w:val="true"/>
        </w:rPr>
        <w:t>إشارة</w:t>
      </w:r>
      <w:bookmarkEnd w:id="760"/>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الأخبار الخاصّة، فلا بدّ من ذكرها، وبيان مقدار دلالتها؛ ليتّضح الأمر</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2759212_2142443653"/>
      <w:bookmarkStart w:id="762" w:name="_Toc282"/>
      <w:bookmarkEnd w:id="761"/>
      <w:r>
        <w:rPr>
          <w:rtl w:val="true"/>
        </w:rPr>
        <w:t>دلالة صحيحة ابن بزيع على ولاية العدول</w:t>
      </w:r>
      <w:bookmarkEnd w:id="762"/>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ولم يوص، فرفع أمره إلى قاضي الكوفة، فصيّر عبدالحميد القيّم بماله، وكان الرجل خلّف ورثةً صغاراً ومتاعاً وجواري، فباع عبدالحميد المتاع، فلمّا أراد بيع الجواري ضعف قلبه عن بيعهنّ؛ إذ لم يكن الميّت صيّر إليه وصيّته، وكان قيامه فيها بأمر القاضي؛ لأنّهنّ 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ولا يوصي إلى أحد، ويخلّف جواري، فيقيم القاضي رجلاً منّا ليبيعهنّ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بذلك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قلبه؛ لأنّهن فروج، فما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 ومثل عبدالحميد فلا بأس</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قدّس سرّه نحوها،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عبدالحميد بن سالم القيّم بماله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والمحتمل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 عبد الحميد القيّم بماله، هو القيّم بالمعنى المصطلح؛ أي نصبه قيّماً لذلك،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الاحتمال، لا تدلّ الرواية على جعل مثل عبدالحميد منصوباً لتكفّل أمر الصغار، بل الظاهر منها أنّ من شرائط نصب القيّم أن يكون متّصفاً بما اتّصف به محمّد بن إسماعيل وعبدالحميد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القيّم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نصب قاضي الكوفة، لا أنّه جعل مثلهما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إن فهمنا منها أنّ الإنفاذ متعلّق بعنوان كلّ منصوب من قبل قضاتهم إذا كان مثلهما، تدلّ على جعل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إنفاذاً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منصوب من قبلهم، من دون نصب منه بنفسه لمثلهما، فلا يستفاد منها ما هو المقصود، بل ولا جواز تصرّف مثلهما في أموال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المحتمل إنفاذه في تلك القضيّة الشخصية، لو لم نقل بأنّه ظاهرها بملاحظة صدرها وذيلها،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الإقامة بأمر البيع؛ أي جعله متصدّياً للبيع،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لمثلهما في البيع، لا نصب وجعل ولاية منه، حتّى يكون مثلهما وليّاً كالفقيه، ليكون له نصب غيره وعزله، ولا يكون التصدّي من قبيل الحسبيات، حتّى لا يجوز التصدّي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ترك الاستفصال في المورد يمكن استفادة جواز التصدّي للبيع ولو لم يصل إلى حدّ الضرورة، لكن لا تلزم منه الولاية بالمعنى المذكور، فغاية الأمر استفادة جواز التصرّف لمثلهما، لا الولاية على الصغير أو على اُموره</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على الشقّ الثاني من السؤال،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أحمد بن محمّد بن عيسى الراوي عن محمّد بن إسماعيل، كان مردّداً في رواية محمّد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القاضي،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أيضاً النصب وجعل الولاية، بل غاية الأمر دلالته على جواز التصرّف بيعاً وشراءً ونحوهما لمثلهما، ولو لم يبلغ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استفادة عموم الحكم موقوفة على إحراز كونه بصدد الإجازة مطلقاً، أو في مقام بيان الحكم الكلّي الشرعي، وهما محلّ إشكال في المورد؛ لأنّ ظهور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 الشرعي، إنّما يكون في غير ما كانت الإجازة فيه بيده، كما لا يخفى على المتأمّل، وعموم الإجازة أيضاً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فرضه، فبقاؤها بعد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كلام؛ لأنّ الإجازة غير جعل المنصب، فلا بدّ في بقائها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القاضي رجلاً منّا ليبيعهنّ، هو الاحتمال الثاني؛ إذ لا معنى للنصب والولاية على البيع، بل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 عبدالحميد القيّم بماله، ذلك أيضاً؛ للفرق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صدرها وذيلها أنّ القاضي أمره بالبيع، وجعله قائماً بأمره، لا القيّم على الصغار أو المال، كالقيّم على الوقف لو كان له اعتبار صحيح في مثل المال الذي أراد بيعه، فإنّ اعتبار التولية ونصب الوليّ في مثله محلّ إشكال، لو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الترديد في سؤال محمّد بن إسماعيل يمنع عن الأخذ بأحد الطرفين، فلا يظهر من الرواية إلاّ جواز تصدّي مثلهما للبيع</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المتيقّن من مورد الجواز هو استجماع صفاتهما الاحتمالية التي يحتمل </w:t>
      </w:r>
    </w:p>
    <w:p>
      <w:pPr>
        <w:pStyle w:val="BookText"/>
        <w:rPr/>
      </w:pPr>
      <w:r>
        <w:rPr>
          <w:rFonts w:ascii="Amiri" w:hAnsi="Amiri" w:eastAsia="Amiri" w:cs="Amiri"/>
          <w:color w:val="111111"/>
          <w:sz w:val="28"/>
          <w:sz w:val="28"/>
          <w:szCs w:val="28"/>
          <w:rtl w:val="true"/>
          <w:lang w:bidi="ar-SA"/>
        </w:rPr>
        <w:t xml:space="preserve">دخلها في الإجازة، كالتشيّع، والفقاهة، والعدالة، والوثاقة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بينهما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التدبير، وغاية الاحتياط في العمل،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دائر بين الاحتمالات</w:t>
      </w:r>
      <w:r>
        <w:rPr>
          <w:rStyle w:val="FootnoteAnchor"/>
          <w:rtl w:val="true"/>
        </w:rPr>
        <w:footnoteReference w:id="1405"/>
      </w:r>
      <w:r>
        <w:rPr>
          <w:rFonts w:ascii="Amiri" w:hAnsi="Amiri" w:eastAsia="Amiri" w:cs="Amiri"/>
          <w:color w:val="111111"/>
          <w:sz w:val="28"/>
          <w:sz w:val="28"/>
          <w:szCs w:val="28"/>
          <w:rtl w:val="true"/>
          <w:lang w:bidi="ar-SA"/>
        </w:rPr>
        <w:t>، غير وجيه؛ ضرورة أنّ التشيّع أو الفقاهة أو حسن التدبير صرفاً، لا يعقل أن يكون مورد الإجازة ولو مع اتّصافه بالخيانة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كفاية العدالة والوثاقة، لا يوجب الحكم بالجواز بعد احتمال دخالة غيرهما بنحو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إثبات الفقاهة لمحمّد وعبدالحميد،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عبدالحميد ليس صاحب كتاب</w:t>
      </w:r>
      <w:r>
        <w:rPr>
          <w:rStyle w:val="FootnoteAnchor"/>
          <w:rtl w:val="true"/>
        </w:rPr>
        <w:footnoteReference w:id="1406"/>
      </w:r>
      <w:r>
        <w:rPr>
          <w:rFonts w:ascii="Amiri" w:hAnsi="Amiri" w:eastAsia="Amiri" w:cs="Amiri"/>
          <w:color w:val="111111"/>
          <w:sz w:val="28"/>
          <w:sz w:val="28"/>
          <w:szCs w:val="28"/>
          <w:rtl w:val="true"/>
          <w:lang w:bidi="ar-SA"/>
        </w:rPr>
        <w:t>، بل المقصود احتمال كونه فقيهاً، وعدم ذكر الكتاب له أو عدم كونه ذا كتاب أو أصل، لا يدلّ على سلب الفقاهة عنه، بل كونه صاحب كتاب لا يدلّ على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لشخص كتب في الأبواب المختلفة وقدم راسخ في الفقه، تثبت به فقاهته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عدم فقاهة عبدالحميد أو ابن بزيع، ومع الاحتمال لا دليل على الجواز بدونها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الفقاهة مناف لإطلاق المفهوم، الدالّ على ثبوت البأس مع عدم الفقيه ولو مع تعذّره</w:t>
      </w:r>
      <w:r>
        <w:rPr>
          <w:rStyle w:val="FootnoteAnchor"/>
          <w:rtl w:val="true"/>
        </w:rPr>
        <w:footnoteReference w:id="1407"/>
      </w:r>
      <w:r>
        <w:rPr>
          <w:rFonts w:ascii="Amiri" w:hAnsi="Amiri" w:eastAsia="Amiri" w:cs="Amiri"/>
          <w:color w:val="111111"/>
          <w:sz w:val="28"/>
          <w:sz w:val="28"/>
          <w:szCs w:val="28"/>
          <w:rtl w:val="true"/>
          <w:lang w:bidi="ar-SA"/>
        </w:rPr>
        <w:t xml:space="preserve">، غير ظاهر؛ فإنّه مع ورود </w:t>
      </w:r>
      <w:bookmarkStart w:id="763" w:name="pg15204_140881"/>
    </w:p>
    <w:p>
      <w:pPr>
        <w:pStyle w:val="BookText"/>
        <w:rPr/>
      </w:pPr>
      <w:bookmarkEnd w:id="763"/>
      <w:r>
        <w:rPr>
          <w:rFonts w:ascii="Amiri" w:hAnsi="Amiri" w:eastAsia="Amiri" w:cs="Amiri"/>
          <w:color w:val="111111"/>
          <w:sz w:val="28"/>
          <w:sz w:val="28"/>
          <w:szCs w:val="28"/>
          <w:rtl w:val="true"/>
          <w:lang w:bidi="ar-SA"/>
        </w:rPr>
        <w:t xml:space="preserve">الإشكال في احتمال العدالة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الإطلاق دالّ على ثبوت البأس في تكفّل الفاسق ولو مع تعذّر العادل، وهو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مفروض الواقعة حال وجود الفقيه، بل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مثله لا يكون العادل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إطلاق السؤال وترك الاستفصال، دليل على أنّ البيع لم يكن ضرورياً ومن الحسبيات التي لا يجوز أن تهمل، بل ويجب إقدام العادل عليها مع فقد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الإطلاق يقتضي المنع مع وجود الفقيه وتعذّره، وهو قابل للتقييد عند التعذّر في الحسبيات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كونهما فقيهين عادلين، لا مجال لاستفادة الجواز لمطلق العدول، ومع احتمال كونهما محتاطين غاية الاحتياط، أو كونهما مدبّرين دقيقي النظر في المعاملات، لا يصحّ إثبات الجواز للفقيه العادل إلاّ مع استجماعه للأوصاف المحتملة</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2759214_2142443653"/>
      <w:bookmarkStart w:id="765" w:name="_Toc283"/>
      <w:bookmarkEnd w:id="764"/>
      <w:r>
        <w:rPr>
          <w:rtl w:val="true"/>
        </w:rPr>
        <w:t>دلالة صحيحة الأشعري على ولاية العدول</w:t>
      </w:r>
      <w:bookmarkEnd w:id="76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وترك أولاداً ذكراناً وغلماناً صغاراً، وترك جواري ومماليك، هل يستقيم أن تباع الجواري؟</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يموت بغير وصيّة، وله ورثة صغار وكبار، أيحلّ شراء خدمه ومتاعه من غير أن يتولّى القاضي بيع ذلك، فإن تولاّه قاضٍ قد تراضوا به، ولم يستأمره الخليفة، أيطيب الشراء منه أم لا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الأكابر من ولده معه في البيع فلا بأس به إذا رضي الورثة بالبيع وقام عدل في ذلك</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فيها ما تقدّم في رواية ابن بزيع؛ من احتمال نصب شرعي، أو إجازة شرعية إلهية، أو نصب سلطاني، أو إجازة منه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يحتمل فيها الإجازة الشخصية؛ لأنّ الظاهر من السؤال والجواب هو التكليف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النصب بالنسبة إلى نفس الصغير، فلا وجه له، لا فيها ولا في غيرها من الروايات، كما أنّه لا ظهور لها ولا لغيرها إلاّ في أصل الجواز، لا النصب بالنسبة إلى المال أيضاً لو كان للنصب وجه صحّة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الجواز حكماً شرعياً، وأن يكون إجازة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 لا ظهور لكلامه في بيان الحكم الإلهي في مثل المقام الذي كان له ولاية أمره، بل هو محتمل، كما أنّ الإجازة السلطانية أيضاً محتملة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الأكابر من ولده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احتمالين</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الذي تراضوا به، ويكون المراد أنّ القاضي المذكور إذا باع بمحضر عدل لا بأس به، فتدلّ على لزوم نظارة </w:t>
      </w:r>
      <w:bookmarkStart w:id="766" w:name="pg15204_140883"/>
    </w:p>
    <w:p>
      <w:pPr>
        <w:pStyle w:val="BookText"/>
        <w:rPr/>
      </w:pPr>
      <w:bookmarkEnd w:id="766"/>
      <w:r>
        <w:rPr>
          <w:rFonts w:ascii="Amiri" w:hAnsi="Amiri" w:eastAsia="Amiri" w:cs="Amiri"/>
          <w:color w:val="111111"/>
          <w:sz w:val="28"/>
          <w:sz w:val="28"/>
          <w:szCs w:val="28"/>
          <w:rtl w:val="true"/>
          <w:lang w:bidi="ar-SA"/>
        </w:rPr>
        <w:t>العدل في البيع، وأمّا جواز استقلاله بذلك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الجائر لا دخالة لفعله في الصحّة، فهي ناشئة من نظر العدل محضاً، فتدلّ الرواية التزاماً على الصحّة لو أوقعه بنفسه، وله وجه لو دلّت على أنّ العدل رضي بذلك، وهو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الضمير إلى المشتري، ويكون المراد إلغاء عمل القاضي، وتوقّف الصحّة في قسمة الأكابر على رضاهم، وفي قسمة الصغير على قيام العدل في البيع؛ أي يكون البيع برضا الكبير والعدل، فتدلّ على أنّ فعل العدل نافذ في حصّة الصغير، فتتمّ الدلالة، وهذا أوفق بمناسبة الحكم والموضوع</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2759216_2142443653"/>
      <w:bookmarkStart w:id="768" w:name="_Toc284"/>
      <w:bookmarkEnd w:id="767"/>
      <w:r>
        <w:rPr>
          <w:rtl w:val="true"/>
        </w:rPr>
        <w:t>دلالة موثّقة سماعة على ولاية العدول</w:t>
      </w:r>
      <w:bookmarkEnd w:id="76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وله بنون وبنات صغار وكبار من غير وصيّة، وله خدم ومماليك وعقد كيف يصنع الورثة بقسمة ذلك الميراث؟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فأسهم</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لا تدلّ إلاّ على جواز التقسيم أو الإسهام، من غير دلالة على الولاية على الصغير أو على ماله، ولا الدلالة على كون الجواز حكماً إلهياً، أو إجازة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في </w:t>
      </w:r>
      <w:bookmarkStart w:id="769" w:name="pg15204_140884"/>
    </w:p>
    <w:p>
      <w:pPr>
        <w:pStyle w:val="BookText"/>
        <w:rPr/>
      </w:pPr>
      <w:bookmarkEnd w:id="769"/>
      <w:r>
        <w:rPr>
          <w:rFonts w:ascii="Amiri" w:hAnsi="Amiri" w:eastAsia="Amiri" w:cs="Amiri"/>
          <w:color w:val="111111"/>
          <w:sz w:val="28"/>
          <w:sz w:val="28"/>
          <w:szCs w:val="28"/>
          <w:rtl w:val="true"/>
          <w:lang w:bidi="ar-SA"/>
        </w:rPr>
        <w:t>جميع الروايات ما مرّ</w:t>
      </w:r>
      <w:r>
        <w:rPr>
          <w:rStyle w:val="FootnoteAnchor"/>
          <w:rtl w:val="true"/>
        </w:rPr>
        <w:footnoteReference w:id="1413"/>
      </w:r>
      <w:r>
        <w:rPr>
          <w:rFonts w:ascii="Amiri" w:hAnsi="Amiri" w:eastAsia="Amiri" w:cs="Amiri"/>
          <w:color w:val="111111"/>
          <w:sz w:val="28"/>
          <w:sz w:val="28"/>
          <w:szCs w:val="28"/>
          <w:rtl w:val="true"/>
          <w:lang w:bidi="ar-SA"/>
        </w:rPr>
        <w:t>من الكلام في بقاء إجازته بعد ارتحاله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اُحرز كون الحكم شرعياً إلهياً، أو اُحرز كونه سلطانياً،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ببقائه بعد رحلته،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تردّد بينهما، وعلم ببقائه حتّى على فرض كونه سلطانياً، وكذا لو علم أنّه سلطاني، وشكّ في بقائه؛ لجريان الاستصحاب على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تردّد بينهما، وعلمنا ببقائه على فرض كونه شرعياً، وعدم بقائه على الفرض الآخر، أو شكّ في بقائه على هذا الفرض، فالظاهر عدم جريان استصحاب الكلّي؛ لأنّ الجامع المتيقّن ليس حكماً شرعياً، ولا سلطانياً، ولا موضوعاً ذا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استصحاب الفرد المردّد؛ لذلك الوجه بعينه، ولأنّ الشكّ ليس في بقاء الفرد المردّد، بل في بقاء ما 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دليل على ولاية العدل أو الثقة، ولا على جواز تصرّفه في مال الأيتام في زمان الغيبة إذا لم يكن الأمر من الحسبيات، وأمّا فيها فله التصرّف مع فقد الفقيه، واتّصافه بما يحتمل دخالته في الجواز</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2759218_2142443653"/>
      <w:bookmarkStart w:id="771" w:name="_Toc285"/>
      <w:bookmarkEnd w:id="770"/>
      <w:r>
        <w:rPr>
          <w:rtl w:val="true"/>
        </w:rPr>
        <w:t>حول كفاية الوثاقة</w:t>
      </w:r>
      <w:bookmarkEnd w:id="771"/>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صحيحة إسماعيل اعتبار العدالة، ومقتضى موثّقة سماعة اعتبار الوثاقة،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العدالة إنّما هو في البيع والشراء </w:t>
      </w:r>
    </w:p>
    <w:p>
      <w:pPr>
        <w:pStyle w:val="BookText"/>
        <w:rPr/>
      </w:pPr>
      <w:r>
        <w:rPr>
          <w:rFonts w:ascii="Amiri" w:hAnsi="Amiri" w:eastAsia="Amiri" w:cs="Amiri"/>
          <w:color w:val="111111"/>
          <w:sz w:val="28"/>
          <w:sz w:val="28"/>
          <w:szCs w:val="28"/>
          <w:rtl w:val="true"/>
          <w:lang w:bidi="ar-SA"/>
        </w:rPr>
        <w:t>وسائر التصرّفات الناقلة، واعتبار الوثاقة إنّما هو في مثل التقسيم وتمييز المشتركات،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كلّ من الدليلين اعتبار الوصف في كلّ التصرّفات، فهل الاعتبار بالوثاقة، وإنّما ذكرت العدالة لأجل ذلك ولو بالمناسبة في المقام؟</w:t>
      </w:r>
    </w:p>
    <w:p>
      <w:pPr>
        <w:pStyle w:val="BookText"/>
        <w:rPr/>
      </w:pPr>
      <w:r>
        <w:rPr>
          <w:rFonts w:ascii="Amiri" w:hAnsi="Amiri" w:eastAsia="Amiri" w:cs="Amiri"/>
          <w:color w:val="111111"/>
          <w:sz w:val="28"/>
          <w:sz w:val="28"/>
          <w:szCs w:val="28"/>
          <w:rtl w:val="true"/>
          <w:lang w:bidi="ar-SA"/>
        </w:rPr>
        <w:t>أو أنّ الاعتبار بالعدالة، والوثاقة بنحو الإطلاق إذا نسبت إلى الشخص، تكون مساوقة للعدالة،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الروايات في العدالة</w:t>
      </w:r>
      <w:r>
        <w:rPr>
          <w:rStyle w:val="FootnoteAnchor"/>
          <w:rtl w:val="true"/>
        </w:rPr>
        <w:footnoteReference w:id="1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الوثاقة والعدالة اُخذتا على نحو الطريقية إلى حصول التصرّف حسب مصلحة الصغير، ولا تكونان معتبرتين على نحو الموضوعية</w:t>
      </w:r>
      <w:r>
        <w:rPr>
          <w:rStyle w:val="FootnoteAnchor"/>
          <w:rtl w:val="true"/>
        </w:rPr>
        <w:footnoteReference w:id="14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أردؤها الأخير؛ فإنّ ذلك يؤدّي إلى الهرج والمرج، مضافاً إلى عدم الدليل عليه، حتّى يمكن الخروج عن مقتضى القواعد والأدلّة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الوثاقة هي العدالة، بلا بيّنة ولا سيّما في المورد الذي كان الموضوع فيه الجهات المالية؛ فإنّها فيها بمعنى كونه معتمداً عليه، كما أنّ الأمر كذلك عرفاً ولغة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 الروايات بمعنى العدالة، غير وجيهة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زكريّا بن آدم</w:t>
      </w:r>
      <w:r>
        <w:rPr>
          <w:rStyle w:val="FootnoteAnchor"/>
          <w:rtl w:val="true"/>
        </w:rPr>
        <w:footnoteReference w:id="1416"/>
      </w:r>
      <w:r>
        <w:rPr>
          <w:rFonts w:ascii="Amiri" w:hAnsi="Amiri" w:eastAsia="Amiri" w:cs="Amiri"/>
          <w:color w:val="111111"/>
          <w:sz w:val="28"/>
          <w:sz w:val="28"/>
          <w:szCs w:val="28"/>
          <w:rtl w:val="true"/>
          <w:lang w:bidi="ar-SA"/>
        </w:rPr>
        <w:t>، أو العمري وابنه</w:t>
      </w:r>
      <w:r>
        <w:rPr>
          <w:rStyle w:val="FootnoteAnchor"/>
          <w:rtl w:val="true"/>
        </w:rPr>
        <w:footnoteReference w:id="1417"/>
      </w:r>
      <w:r>
        <w:rPr>
          <w:rFonts w:ascii="Amiri" w:hAnsi="Amiri" w:eastAsia="Amiri" w:cs="Amiri"/>
          <w:color w:val="111111"/>
          <w:sz w:val="28"/>
          <w:sz w:val="28"/>
          <w:szCs w:val="28"/>
          <w:rtl w:val="true"/>
          <w:lang w:bidi="ar-SA"/>
        </w:rPr>
        <w:t xml:space="preserve">الذين هم عدول وثقات، لكن لا دلالة لذلك على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الإمامي، بل اُطلقت بمعناها الذي هو كون الشخص معتمداً عليه، وكون المورد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وكيلاً من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استعمال اللفظ في 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رفع اليد عن ظهور صحيحة إسماعيل بن سعد في دخالة العنوان، لا وجه له إلاّ بعض الاعتبارات</w:t>
      </w:r>
      <w:r>
        <w:rPr>
          <w:rStyle w:val="FootnoteAnchor"/>
          <w:rtl w:val="true"/>
        </w:rPr>
        <w:footnoteReference w:id="1418"/>
      </w:r>
      <w:r>
        <w:rPr>
          <w:rFonts w:ascii="Amiri" w:hAnsi="Amiri" w:eastAsia="Amiri" w:cs="Amiri"/>
          <w:color w:val="111111"/>
          <w:sz w:val="28"/>
          <w:sz w:val="28"/>
          <w:szCs w:val="28"/>
          <w:rtl w:val="true"/>
          <w:lang w:bidi="ar-SA"/>
        </w:rPr>
        <w:t>التي لا يمكن الركون إليها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يقع التعارض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به إذا رضي الورثة وقام عدل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الصحيحة،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قام رجل ثقة قاسمهم ذلك كلّه </w:t>
      </w:r>
    </w:p>
    <w:p>
      <w:pPr>
        <w:pStyle w:val="BookText"/>
        <w:rPr/>
      </w:pP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الموثّقة، نظير التعارض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عدل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مفهوم الشرط أيضاً أو عينه ولو بحسب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الأكابر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تعليق الحكم فيهما، وكذا الحال في المعطوف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للمستقبل، متضمّن معنى الشرط</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كانت العدالة أخصّ من الوثاقة يمكن التقييد، فتصير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وإن كان بينهما العموم من وجه ولو بحسب مقام الإثبات؛ حيث جعل الشارع ظهور الصلاح أمارة تعبّدية للعدالة ولو لم يحصل بها الظنّ، فضلاً عن الوثوق، فيأتي فيه ما فصّل في الاُصول في باب تعدّد الشرط ووحدة الجزاء</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عدم المفهوم لصحيحة إسماعيل، ووجوده في موثّقة سماعة بناءً على المفهوم في الشرط، يقع التعارض بين ظهور أخذ عنوان العدالة في الموضوعية، وبين حصر الموضوع في الثقة بناءً على أنّ بين العنوانين عموماً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الموثّقة دلالات ثلاث، ومداليل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الدخالة، وكون الثقة تمام الموضوع لأجل الإطلاق، وكون الموضوع منحصراً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الصحيحة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الدخالة، وكونها تمام الموضوع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 بينهما في أصل الدخالة، ولا في تمامية الموضوع، بل التعارض بين الحصر اللازم منه نفي دخالة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ثبوت دخالة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على الحصر دلالة وضعية لفظية، ويقدّم ذلك على ظهور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أخذ العنوان في الموضوع في الدخالة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اليد عن ظهور مفاد الصحيحة، ويحمل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بما أنّه ثقة، فيكون الموضوع هو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الظهورين متكافئان؛ فإنّ دلالة الموثّقة على الحصر، ودلالة الصحيحة على اعتبار العدالة، تسقطان بالمعارضة، وتبقى دلالة الموثّقة في دخالة الثقة وكونه تمام الموضوع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على الحصر بإطلاق أداة الشرط، أو الشرط، أو الجزاء،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ظهور أخذ العنوان في الموضوعية، وكونه بياناً يرفع به موضوع الإطلاق، يؤخذ بالصحيحة في موضوعية العدالة</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الموثّقة،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قابل للتفكيك بالنسبة إلى مقتضياته، ترفع اليد عن اقتضائه الحصر، ويؤخذ بمقتضاه بالنسبة إلى تمام الموضوعية، فتكون العدالة تمام الموضوع، والوثاقة أيضاً تمام الموضوع، كموضوعية كلّ من الجريان والكرّية للاعتصام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جرى من قلم بعض الأعلام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أمثال ذلك لا بدّ فيها من الالتزام بالجامع</w:t>
      </w:r>
      <w:r>
        <w:rPr>
          <w:rStyle w:val="FootnoteAnchor"/>
          <w:rtl w:val="true"/>
        </w:rPr>
        <w:footnoteReference w:id="1423"/>
      </w:r>
      <w:r>
        <w:rPr>
          <w:rFonts w:ascii="Amiri" w:hAnsi="Amiri" w:eastAsia="Amiri" w:cs="Amiri"/>
          <w:color w:val="111111"/>
          <w:sz w:val="28"/>
          <w:sz w:val="28"/>
          <w:szCs w:val="28"/>
          <w:rtl w:val="true"/>
          <w:lang w:bidi="ar-SA"/>
        </w:rPr>
        <w:t>، لا يصغى إليه؛ لكون المقام أجنبيّاً عن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التفكيك تحمل الموثّقة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الغضّ عن أدلّة العلاج في المتعارضين، وإلاّ فالظاهر الترجيح للصحيحة؛ لذلك، ولشهرة موضوعية العدل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الروايات المربوطة بالعدل والثقة، هو التصرّف في مال اليتيم بيعاً وقسمةً، فهل يصحّ إسراء الحكم إلى نفس اليتيم وإلى المجنون نفساً ومالاً، وإلى الغائب والمحجور عليه؟</w:t>
      </w:r>
    </w:p>
    <w:p>
      <w:pPr>
        <w:pStyle w:val="BookText"/>
        <w:rPr/>
      </w:pPr>
      <w:r>
        <w:rPr>
          <w:rFonts w:ascii="Amiri" w:hAnsi="Amiri" w:eastAsia="Amiri" w:cs="Amiri"/>
          <w:color w:val="111111"/>
          <w:sz w:val="28"/>
          <w:sz w:val="28"/>
          <w:szCs w:val="28"/>
          <w:rtl w:val="true"/>
          <w:lang w:bidi="ar-SA"/>
        </w:rPr>
        <w:t>الظاهر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احتمال إنشاء الإجازة بنفس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الإجازة والإنشاء لموضوع لا تكون إجازة لموضوع آخر مغاير له، وما قرع الأسماع من إلغاء الخصوصية ليس هذا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كاشف عن إجازة سابقة؛ فإنّ الموضوع الخاصّ لا يكشف عن موضوع أعمّ أو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 بعدم الفرق بين النفس والمال، أو بين المجنون ومثله وبين الصغير، غير مغنٍ عن الحقّ، ودعوى القطع عهدتها على القاطع، وأ نّى لنا القطع بذلك؟</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وكذا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حكم إلهي؛ فإنّ غاية ما يمكن دعواه هو إلغاء الخصوصية بالنسبة إلى سائر التصرّفات غير البيع والقسمة، كالإجارة والمضاربة </w:t>
      </w:r>
    </w:p>
    <w:p>
      <w:pPr>
        <w:pStyle w:val="BookText"/>
        <w:rPr/>
      </w:pPr>
      <w:r>
        <w:rPr>
          <w:rFonts w:ascii="Amiri" w:hAnsi="Amiri" w:eastAsia="Amiri" w:cs="Amiri"/>
          <w:color w:val="111111"/>
          <w:sz w:val="28"/>
          <w:sz w:val="28"/>
          <w:szCs w:val="28"/>
          <w:rtl w:val="true"/>
          <w:lang w:bidi="ar-SA"/>
        </w:rPr>
        <w:t>ونحوها، أو بالنسبة إلى اليتيم وإسراء الحكم إلى صغير جنّ والده، أو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نفس الصغير فلا، فضلاً عن إسراء الحكم إلى غيره؛ من المجنون والغائب ونحوهما، فإنّ ذلك قياس 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أدلّة ولاية الفقيه لا تنافي ولاية العدل، أو جواز تصرّفه بلا ولاية، إن استندنا فيها إلى ما لا تدلّ إلاّ على جعل الولاية له،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w:t>
      </w:r>
      <w:r>
        <w:rPr>
          <w:rStyle w:val="FootnoteAnchor"/>
          <w:rtl w:val="true"/>
        </w:rPr>
        <w:footnoteReference w:id="1425"/>
      </w:r>
      <w:r>
        <w:rPr>
          <w:rFonts w:ascii="Amiri" w:hAnsi="Amiri" w:eastAsia="Amiri" w:cs="Amiri"/>
          <w:color w:val="111111"/>
          <w:sz w:val="28"/>
          <w:sz w:val="28"/>
          <w:szCs w:val="28"/>
          <w:rtl w:val="true"/>
          <w:lang w:bidi="ar-SA"/>
        </w:rPr>
        <w:t>فإنّ جعل الولاية في أمر أو اُمور للفقيه لا ينافي جعلها لغيره، أو إجازة التصرّف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استندنا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الهيئة على التعيينية دلالة لفظية وضعية، أو اللفظ منصرف إليها، يقع التخالف بينه وبين ما دلّ على جواز تصرّف العدل والثقة، لكن المبنى ساقط، مع أنّه قابل للجمع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الإطلاق حملها عليها، يكون دليل تصدّي العدل بياناً يرفع به موضوع الإطلاق، مع أنّ المبنى أيضاً غير وجيه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البناء على التعيينية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تمامية الحجّة عقلاً، أو عند العقلاء كما قرّرنا في الاُصول</w:t>
      </w:r>
      <w:r>
        <w:rPr>
          <w:rStyle w:val="FootnoteAnchor"/>
          <w:rtl w:val="true"/>
        </w:rPr>
        <w:footnoteReference w:id="1427"/>
      </w:r>
      <w:r>
        <w:rPr>
          <w:rFonts w:ascii="Amiri" w:hAnsi="Amiri" w:eastAsia="Amiri" w:cs="Amiri"/>
          <w:color w:val="111111"/>
          <w:sz w:val="28"/>
          <w:sz w:val="28"/>
          <w:szCs w:val="28"/>
          <w:rtl w:val="true"/>
          <w:lang w:bidi="ar-SA"/>
        </w:rPr>
        <w:t xml:space="preserve">، فمع بيان من المولى </w:t>
      </w:r>
    </w:p>
    <w:p>
      <w:pPr>
        <w:pStyle w:val="BookText"/>
        <w:rPr/>
      </w:pPr>
      <w:r>
        <w:rPr>
          <w:rFonts w:ascii="Amiri" w:hAnsi="Amiri" w:eastAsia="Amiri" w:cs="Amiri"/>
          <w:color w:val="111111"/>
          <w:sz w:val="28"/>
          <w:sz w:val="28"/>
          <w:szCs w:val="28"/>
          <w:rtl w:val="true"/>
          <w:lang w:bidi="ar-SA"/>
        </w:rPr>
        <w:t>ولو منفصلاً يرتفع موضوع الاحتجاج، سواء كان بين الدليلين عموم من وجه، أو تساوٍ،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استندنا إلى ما دلّ على الحصر،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والأحكام على أيدي العلماء باللّه</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حيث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تقريب الحصر في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w:t>
      </w:r>
      <w:r>
        <w:rPr>
          <w:rStyle w:val="FootnoteAnchor"/>
          <w:rtl w:val="true"/>
        </w:rPr>
        <w:footnoteReference w:id="14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r>
        <w:rPr>
          <w:rStyle w:val="FootnoteAnchor"/>
          <w:rtl w:val="true"/>
        </w:rPr>
        <w:footnoteReference w:id="1430"/>
      </w:r>
      <w:r>
        <w:rPr>
          <w:rFonts w:ascii="IRNazanin" w:hAnsi="IRNazanin" w:eastAsia="IRNazanin"/>
          <w:color w:val="111111"/>
          <w:sz w:val="28"/>
          <w:sz w:val="28"/>
          <w:szCs w:val="28"/>
          <w:rtl w:val="true"/>
          <w:lang w:bidi="fa-IR"/>
        </w:rPr>
        <w:t>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الخلافة والوراثة ثبوت كلّ 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إلاّ ما دلّ الدليل فيه على خلافه،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مقتضاه أنّ كلّ ما ثبت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له، وممّا ثبت له حصر الولاية به في عصره، ولازمه النفي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مقتضى خلافة الفقهاء ووراثتهم حصر الولاية بهم، ونفي ثبوتها لغيرهم، ولازم حصرها بهم حصر كلّ ما هو من شؤون الولاية بهم، ومنها التصرّف والتصدّي لأمر الصغار، فيقع التعارض بينهما وبين ما دلّ على ثبوت ذلك للعدل</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يسهّل الخطب أنّ بين الدليلين عموماً مطلقاً؛ لأنّ الثابت للفقيه كلّ التصرّفات الثابتة للوالي، ومنها التصرّف في مال الأيتام، ولازم الحصر نفي جميع ذلك عن غيره، وما دلّ على ثبوت التصرّف الخاصّ للعدل يخصّص عموم الحصر، </w:t>
      </w:r>
      <w:bookmarkStart w:id="772" w:name="pg15204_140892"/>
    </w:p>
    <w:p>
      <w:pPr>
        <w:pStyle w:val="BookText"/>
        <w:rPr/>
      </w:pPr>
      <w:bookmarkEnd w:id="772"/>
      <w:r>
        <w:rPr>
          <w:rFonts w:ascii="Amiri" w:hAnsi="Amiri" w:eastAsia="Amiri" w:cs="Amiri"/>
          <w:color w:val="111111"/>
          <w:sz w:val="28"/>
          <w:sz w:val="28"/>
          <w:szCs w:val="28"/>
          <w:rtl w:val="true"/>
          <w:lang w:bidi="ar-SA"/>
        </w:rPr>
        <w:t>أو يقيّد إطلاقه، كما أنّ عموم ولاية الفقيه مخصّص بأدلّة ولاية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عموم ولايته أو إطلاقها قابل للتخصيص والتقييد، كذلك إطلاق الحصر أو عمومه، ففي المقام ثبتت الولاية للفقيه، وجاز التصرّف للعادل؛ بناءً على ثبوت الحكم للعدل في زمان الغيبة، لكن قد عرفت الإشكال فيه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2759220_2142443653"/>
      <w:bookmarkStart w:id="774" w:name="_Toc286"/>
      <w:bookmarkEnd w:id="773"/>
      <w:r>
        <w:rPr>
          <w:rtl w:val="true"/>
        </w:rPr>
        <w:t>حول مزاحمة فقيه لفقيه آخر</w:t>
      </w:r>
      <w:bookmarkEnd w:id="774"/>
    </w:p>
    <w:p>
      <w:pPr>
        <w:pStyle w:val="BookText"/>
        <w:rPr/>
      </w:pPr>
      <w:r>
        <w:rPr>
          <w:rFonts w:ascii="Amiri" w:hAnsi="Amiri" w:eastAsia="Amiri" w:cs="Amiri"/>
          <w:color w:val="111111"/>
          <w:sz w:val="28"/>
          <w:sz w:val="28"/>
          <w:szCs w:val="28"/>
          <w:rtl w:val="true"/>
          <w:lang w:bidi="ar-SA"/>
        </w:rPr>
        <w:t>ثمّ إنّه هل تجوز مزاحمة عدل للآخر ؟</w:t>
      </w:r>
    </w:p>
    <w:p>
      <w:pPr>
        <w:pStyle w:val="BookText"/>
        <w:rPr/>
      </w:pPr>
      <w:r>
        <w:rPr>
          <w:rFonts w:ascii="Amiri" w:hAnsi="Amiri" w:eastAsia="Amiri" w:cs="Amiri"/>
          <w:color w:val="111111"/>
          <w:sz w:val="28"/>
          <w:sz w:val="28"/>
          <w:szCs w:val="28"/>
          <w:rtl w:val="true"/>
          <w:lang w:bidi="ar-SA"/>
        </w:rPr>
        <w:t>لا بأس بتفصيل الكلام في صور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فقيه لفقيه آخر، ولا بدّ من فرض الكلام كبروياً؛ أي جواز المزاحمة وعدمه في موارد تحقّقها، وأمّا التكلّم في حصول المزاحمة في بعض الموارد وعدمه، أو الشكّ في الموضوع، فهو خارج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المزاحمة كثيرة جدّاً بعد ثبوت الولاية المطلقة للفقيه، نظير ما إذا نصب المتولّي للوقف أو القيّم على الصغار، فهل للآخر ضمّ آخر إلى المنصوب، أو عزل ما نصبه الآخر، ونصب غيره أو لا؟</w:t>
      </w:r>
    </w:p>
    <w:p>
      <w:pPr>
        <w:pStyle w:val="BookText"/>
        <w:rPr/>
      </w:pPr>
      <w:r>
        <w:rPr>
          <w:rFonts w:ascii="Amiri" w:hAnsi="Amiri" w:eastAsia="Amiri" w:cs="Amiri"/>
          <w:color w:val="111111"/>
          <w:sz w:val="28"/>
          <w:sz w:val="28"/>
          <w:szCs w:val="28"/>
          <w:rtl w:val="true"/>
          <w:lang w:bidi="ar-SA"/>
        </w:rPr>
        <w:t>ولو أخذ فقيه الأخماس والزكوات وجعلها في مكان، فهل للآخر التصرّف فيها بلا إذن الأوّل وبسطها في محالّها ؟ وهكذا في سائر موارد المزاحمة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الشيخ قدّس سرّه</w:t>
      </w:r>
      <w:r>
        <w:rPr>
          <w:rStyle w:val="FootnoteAnchor"/>
          <w:rtl w:val="true"/>
        </w:rPr>
        <w:footnoteReference w:id="1432"/>
      </w:r>
      <w:r>
        <w:rPr>
          <w:rFonts w:ascii="Amiri" w:hAnsi="Amiri" w:eastAsia="Amiri" w:cs="Amiri"/>
          <w:color w:val="111111"/>
          <w:sz w:val="28"/>
          <w:sz w:val="28"/>
          <w:szCs w:val="28"/>
          <w:rtl w:val="true"/>
          <w:lang w:bidi="ar-SA"/>
        </w:rPr>
        <w:t>وغيره</w:t>
      </w:r>
      <w:r>
        <w:rPr>
          <w:rStyle w:val="FootnoteAnchor"/>
          <w:rtl w:val="true"/>
        </w:rPr>
        <w:footnoteReference w:id="1433"/>
      </w:r>
      <w:r>
        <w:rPr>
          <w:rFonts w:ascii="Amiri" w:hAnsi="Amiri" w:eastAsia="Amiri" w:cs="Amiri"/>
          <w:color w:val="111111"/>
          <w:sz w:val="28"/>
          <w:sz w:val="28"/>
          <w:szCs w:val="28"/>
          <w:rtl w:val="true"/>
          <w:lang w:bidi="ar-SA"/>
        </w:rPr>
        <w:t>من مثال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دخل فقيه في </w:t>
      </w:r>
    </w:p>
    <w:p>
      <w:pPr>
        <w:pStyle w:val="BookText"/>
        <w:rPr/>
      </w:pPr>
      <w:r>
        <w:rPr>
          <w:rFonts w:ascii="Amiri" w:hAnsi="Amiri" w:eastAsia="Amiri" w:cs="Amiri"/>
          <w:color w:val="111111"/>
          <w:sz w:val="28"/>
          <w:sz w:val="28"/>
          <w:szCs w:val="28"/>
          <w:rtl w:val="true"/>
          <w:lang w:bidi="ar-SA"/>
        </w:rPr>
        <w:t>مقدّمات فعل ووضع يده عليه، هل للآخر مباشرة نفس الفعل الذي لم يقع من الأوّل ؟ فالظاهر أنّه ليس من باب المزاحمة؛ لأنّ الثاني لم يزاحم الأوّل في وضع يده، ولا في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ومباشرة نفس البيع الذي لم يتكفّله الآخر، ليست مزاحمة، لا في المقدّمات، ولا في ذي المقدّمة، بخلاف ما ذكرناه من الأمثلة، فإنّها من باب المزاحمة،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إشكال في عدم الإشكال الثبوتي في المقام؛ فإنّ مزاحمة أحد الفقيهين للآخر ليست كمزاحمة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يكون جوازها مخالفاً للمذهب، فلو ورد دليل ظاهره ذلك، لا بدّ وأن يأوّل أو يطرح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للرسول صلی الله علیه و آله وسلم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يجيز مزاحمته في بعض الاُمور، ففي الحقيقة لا يكون ذلك مزاحمة، بل الإجازة تخرجه عن 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دليل على جواز مخالفة الفقيه، لا مانع من العمل به، لكنّ الشأن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لولاية الفقهاء لو كان ما دلّ على نيابتهم وولايتهم، فهل يمكن إطلاقه لحال المزاحمة؟</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القيود التي تأتي من قبل الحكم، لا يمكن أن تؤخذ في الموضوع، فالتقييد بها محال، ومعه لا مجال للإطلاق</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قيل في التوصّلي والتعبّدي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قصد الامتثال لا يمكن أخذه </w:t>
      </w:r>
    </w:p>
    <w:p>
      <w:pPr>
        <w:pStyle w:val="BookText"/>
        <w:rPr/>
      </w:pPr>
      <w:r>
        <w:rPr>
          <w:rFonts w:ascii="Amiri" w:hAnsi="Amiri" w:eastAsia="Amiri" w:cs="Amiri"/>
          <w:color w:val="111111"/>
          <w:sz w:val="28"/>
          <w:sz w:val="28"/>
          <w:szCs w:val="28"/>
          <w:rtl w:val="true"/>
          <w:lang w:bidi="ar-SA"/>
        </w:rPr>
        <w:t>في الموضوع، فلا يمكن التقييد ولا الإطلاق</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تزاحم الوليّين المنصوبين في تصرّفهما، مترتّباً على جعل الولاية؛ لأنّ الشكّ ليس في جواز مزاحمة شخص لشخص، ولا عالم لعالم، بل في جواز مزاحمة وليّ منصوب لوليّ كذلك، فهو متأخّر عن جعل الولاية، ولا يمكن تقييد الدليل به، فلا يمكن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رأي من ذهب إلى الامتناع في تلك المسألة</w:t>
      </w:r>
      <w:r>
        <w:rPr>
          <w:rStyle w:val="FootnoteAnchor"/>
          <w:rtl w:val="true"/>
        </w:rPr>
        <w:footnoteReference w:id="1435"/>
      </w:r>
      <w:r>
        <w:rPr>
          <w:rFonts w:ascii="Amiri" w:hAnsi="Amiri" w:eastAsia="Amiri" w:cs="Amiri"/>
          <w:color w:val="111111"/>
          <w:sz w:val="28"/>
          <w:sz w:val="28"/>
          <w:szCs w:val="28"/>
          <w:rtl w:val="true"/>
          <w:lang w:bidi="ar-SA"/>
        </w:rPr>
        <w:t>، لكن المقرّر في محلّه عدمه</w:t>
      </w:r>
      <w:r>
        <w:rPr>
          <w:rStyle w:val="FootnoteAnchor"/>
          <w:rtl w:val="true"/>
        </w:rPr>
        <w:footnoteReference w:id="1436"/>
      </w:r>
      <w:r>
        <w:rPr>
          <w:rFonts w:ascii="Amiri" w:hAnsi="Amiri" w:eastAsia="Amiri" w:cs="Amiri"/>
          <w:color w:val="111111"/>
          <w:sz w:val="28"/>
          <w:sz w:val="28"/>
          <w:szCs w:val="28"/>
          <w:rtl w:val="true"/>
          <w:lang w:bidi="ar-SA"/>
        </w:rPr>
        <w:t>، ولهذا رجّحنا أصالة التوصّلية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المقام وباب التعبّدي والتوصّلي فرقاً؛ فإنّ الحكم هاهنا منحلّ إلى أحكام، لأنّ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منحلّ إلى جعل الوراثة والخلافة لكلّ فقيه فقيه، بل ليس ذلك من باب الانحلال، وإنّما يستفاد من صيغة الجمع بدلالة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يأتي من قبل حكم موضوع، مأخوذاً في موضوع حكم آخر، ولا إشكال فيه، وإنّما الإشكال فيما إذا اُخذ ما يأتي من قبل الحكم في موضوع نفس هذا الحكم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الفساد المتوهّم بحاله؛ لأنّ الجعل في العمومات واحد على </w:t>
      </w:r>
    </w:p>
    <w:p>
      <w:pPr>
        <w:pStyle w:val="BookText"/>
        <w:rPr/>
      </w:pPr>
      <w:r>
        <w:rPr>
          <w:rFonts w:ascii="Amiri" w:hAnsi="Amiri" w:eastAsia="Amiri" w:cs="Amiri"/>
          <w:color w:val="111111"/>
          <w:sz w:val="28"/>
          <w:sz w:val="28"/>
          <w:szCs w:val="28"/>
          <w:rtl w:val="true"/>
          <w:lang w:bidi="ar-SA"/>
        </w:rPr>
        <w:t>الموضوعات المتعدّدة، ومع وحدته وعرضية الحكم بالنسبة إلى تمام الأفراد والموضوعات يأتي الإشكال،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إشكال آخر في إمكان الإطلاق، وهو أنّ التزاحم لا يكون بين الأحكام المتعلّقة بالطبائع، ولا بين الحكم المتعلّق بطبيعة وبين الفرد الخارجي، بل التزاحم بين الفردين في وجودهما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الصلاة لا يزاحم وجوب الإزالة، ولا يزاحم الإزالة الخارجية، بل المزاحمة بين وجود الصلاة والإزالة في وقت واحد، فلا يمكن الجمع بينهما للتزاحم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والأحكام في باب المطلقات متعلّقة بالطبائع، ولا يعقل إسراؤها إلى الأفراد الخارجية، بل ولا إلى القيود اللاحقة بالطبائع؛ لأنّ الطبيعة بما هي لا قيد لها، ولا يمكن مرآتيتها للأفراد، والقيود بما هي أجنبيّة عن</w:t>
      </w:r>
    </w:p>
    <w:p>
      <w:pPr>
        <w:pStyle w:val="BookText"/>
        <w:rPr/>
      </w:pPr>
      <w:r>
        <w:rPr>
          <w:rFonts w:ascii="Amiri" w:hAnsi="Amiri" w:eastAsia="Amiri" w:cs="Amiri"/>
          <w:color w:val="111111"/>
          <w:sz w:val="28"/>
          <w:sz w:val="28"/>
          <w:szCs w:val="28"/>
          <w:rtl w:val="true"/>
          <w:lang w:bidi="ar-SA"/>
        </w:rPr>
        <w:t>نفس الطبيعة، وإن لحقت بها في العقل، أو اتّحدت معها في الخارج</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فالمزاحمة التي بين الأفراد متأخّرة عن الجعل والمجعول بمرتبتين أو مراتب، وفي مثله لا يعقل الإطلاق بالنسبة إلى المتأخّر وبالنسبة إلى مورد التزاحم، كما لا يعقل أن يكون المنشئ للحكم ناظراً من الطبيعة إلى الأفراد، فضلاً عن النظر إلى مزاحمة فرد لفرد آخر من موضوع آخر</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لا يعقل إطلاق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المزاحمة بين فرد من التصرّف لفقيه، وفرد آخر من التصرّف لفقيه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سلّمنا إمكان الإطلاق، لكن لا يقتضي إطلاق الولاية على أموال الصغار والأوقاف العامّة والأخماس والزكوات وغير ذلك، جواز المزاحمة؛ لأنّ حكم الولاية حيثي على الاُمور المذكورة، وليس مقتضى الإطلاق إلاّ ثبوت هذا الحكم الحيثي عليها، لا جواز المزاحمة للفقيه الذي يرجع إلى تحديد سلطنته الذي هو نحو 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فإنّه لا يقتضي حلّية البهيمة التي للغير، وإن اقتضى حلّيتها من جهة كونها بهيمة حتّى حال كونها مال الغير، وله نظائر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ثابتة عليه حتّى حال كونه تحت يد فقيه آخر، لكن لا يقتضي ذلك ولاية على الفقيه، ولا جواز التصرّف في سلطانه، ولا منافاة بين الحكم الحيثي والحكم الفعلي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فبهيمة الأنعام حلال من حيث هي بهيمة، وحرام من حيث كونها ملكاً للغير، ولا يستفاد من أدلّة الولاية ولاية الفقهاء بعضهم على بعض، بل لا يعقل أن يكون فقيه وليّاً على فقيه ومولّى عليه</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سلطة فقيه على مال ونحوه سلطة بحقّ، ولا بدّ في رفعها من السلطة عليه، ولا تكفي السلطة على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مقتضى الولاية دفع سلطنة الغاصب واليد الجائرة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لكلّ فقيه كلّ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 الأدلّة أنّ كلّ فقيه خليفة ووارث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ليس لأحد مزاحمته تكليفاً ووضعاً، سواء كان المزاحم فقيهاً وخليفة له أم لا، وهذا ينتقل إلى كلّ فقيه، ولازمه عدم جواز مزاحمة أحد له، فقيهاً وخليفةً كان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مقابل ذلك أنّ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يزاحم كلّ أحد، خليفة كان أم لا، وهذا أيضاً قابل للانتقال والتوريث، لكنّهما معاً غير ممكني التوريث؛ للزوم التناقض، فحينئذٍ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ترجيح بينهما، فلا يصحّ الحكم بأحد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الظاهر الذي لا ينكر أنّ الترجيح لوراثة عدم المزاحمة؛ فإنّ ذلك موافق للاعتبار العقلائي وحكم العقل وبناء الحكومات، وأمّا توريث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إلى الهرج، وجواز مزاحمة هذا لهذا،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تنكره العقول، ومخالف لطريقة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الوجه قيام الدليل الاجتهادي على عدم جواز المزاحمة، وبطلان تصرّف المزاحم وحرمته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مزاحمة فقيه لفقيه من قبيل مزاحمة النبي لنفسه</w:t>
      </w:r>
      <w:r>
        <w:rPr>
          <w:rStyle w:val="FootnoteAnchor"/>
          <w:rtl w:val="true"/>
        </w:rPr>
        <w:footnoteReference w:id="1443"/>
      </w:r>
      <w:r>
        <w:rPr>
          <w:rFonts w:ascii="IRNazanin" w:hAnsi="IRNazanin" w:eastAsia="IRNazanin"/>
          <w:color w:val="111111"/>
          <w:sz w:val="28"/>
          <w:sz w:val="28"/>
          <w:szCs w:val="28"/>
          <w:rtl w:val="true"/>
          <w:lang w:bidi="fa-IR"/>
        </w:rPr>
        <w:t xml:space="preserve">، غفلة عن أنّ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أجنبيّ عن تنزيلهم منزلة نفسه، بل مضادّ له؛ لأنّ الخلافة والوراثة لازمهما التعدّد ولحاظه، وهو </w:t>
      </w:r>
    </w:p>
    <w:p>
      <w:pPr>
        <w:pStyle w:val="BookText"/>
        <w:rPr/>
      </w:pPr>
      <w:r>
        <w:rPr>
          <w:rFonts w:ascii="Amiri" w:hAnsi="Amiri" w:eastAsia="Amiri" w:cs="Amiri"/>
          <w:color w:val="111111"/>
          <w:sz w:val="28"/>
          <w:sz w:val="28"/>
          <w:szCs w:val="28"/>
          <w:rtl w:val="true"/>
          <w:lang w:bidi="ar-SA"/>
        </w:rPr>
        <w:t>يخالف التنزيل والهوهوية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وجه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الفقيه كمنزلة الأنبياء في بني إسرائيل</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على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عمّا تقدّم، وشككنا في الولاية مع المزاحمة،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فقيه جامع للشرائط، وعند تصدّيه لم يكن الآخر جامعاً للشرائط، إمّا لعدم اجتهاده حال تصدّي الأوّل، أو عدم عدالته ثمّ صار جامعاً، فيشكّ في ولايته، وجواز مزاحمته حينئذٍ للآخر، فمقتضى الأصل عدم الولاية؛ فإنّه حال تصدّي الأوّل لم يكن وليّاً، فيستصحب عدمها، والحكم الكلّي على العنوان، لم يكن منطبقاً عليه قبل تصدّي الأوّل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تصدّيه حال جامعية الآخر للشرائط، فحينئذٍ إن أحرزنا من الأدلّة 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للفقيه، لكن احتملنا أنّ سبق أحد من الفقهاء موجب لسقوط ولاية غيره حال تصدّيه، نستصحب ولايته الثابتة قبل تصدّي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نحرز ذلك لكن احتملناه، مع احتمال أنّ الولاية المحدودة مجعولة له، دار الأمر بين الفرد القصير والطويل، فلو كان المجعول الولاية المحدودة كانت مقطوعة الزوال</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مطلقة، فإن لم نحتمل على هذا الفرض السقوط كانت مقطوعة البقاء، وإن احتملناه كانت محتملة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الاستصحاب في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كون الولاية الكلّية المشتركة المنتزعة من المجعولين حكماً إلهياً أو موضوعة له، وإلاّ فلا يجري، وهذا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عنه، فأصالة عدم الولاية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حكومتها على أصالة 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 كما ذكر في محلّه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الكلّي متوقّف على أمر غير مرضيّ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ظهر ممّا مرّ حكم ما إذا شرع الفقيه في مقدّمات عمل، كالمقاولة على البيع، وإرسال الساعي لجمع الزكاة في ناحية، أو المقدّر لتقدير مساحة الأراضي الخراجية؛ مقدّمة لجعل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فإنّه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في المقدّمات، ليس لأحد الدخالة بنحو من الأنحاء فيها ولا في ذيها، كما لا إشكال فيه، فهذا الأمر ينتقل إلى الفقهاء؛ أي إلى كلّ واحد منهم، بمقتضى الوراثة والخلافة وإطلاقهما</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لأحد من الفقهاء الدخول فيما دخل فيه فقيه آخر؛ لذلك، لا لما أفاده الشيخ قدّس سرّه</w:t>
      </w:r>
      <w:r>
        <w:rPr>
          <w:rStyle w:val="FootnoteAnchor"/>
          <w:rtl w:val="true"/>
        </w:rPr>
        <w:footnoteReference w:id="1446"/>
      </w:r>
      <w:r>
        <w:rPr>
          <w:rFonts w:ascii="Amiri" w:hAnsi="Amiri" w:eastAsia="Amiri" w:cs="Amiri"/>
          <w:color w:val="111111"/>
          <w:sz w:val="28"/>
          <w:sz w:val="28"/>
          <w:szCs w:val="28"/>
          <w:rtl w:val="true"/>
          <w:lang w:bidi="ar-SA"/>
        </w:rPr>
        <w:t>، حتّى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مزاحمة إمام لإمام آخر لا دليل على عدم جوازها </w:t>
      </w:r>
      <w:r>
        <w:rPr>
          <w:rStyle w:val="FootnoteAnchor"/>
          <w:rtl w:val="true"/>
        </w:rPr>
        <w:footnoteReference w:id="1447"/>
      </w:r>
      <w:r>
        <w:rPr>
          <w:rFonts w:ascii="Amiri" w:hAnsi="Amiri" w:eastAsia="Amiri" w:cs="Amiri"/>
          <w:color w:val="111111"/>
          <w:sz w:val="28"/>
          <w:sz w:val="28"/>
          <w:szCs w:val="28"/>
          <w:rtl w:val="true"/>
          <w:lang w:bidi="ar-SA"/>
        </w:rPr>
        <w:t>، وقد مرّ</w:t>
      </w:r>
      <w:r>
        <w:rPr>
          <w:rStyle w:val="FootnoteAnchor"/>
          <w:rtl w:val="true"/>
        </w:rPr>
        <w:footnoteReference w:id="1448"/>
      </w:r>
      <w:r>
        <w:rPr>
          <w:rFonts w:ascii="Amiri" w:hAnsi="Amiri" w:eastAsia="Amiri" w:cs="Amiri"/>
          <w:color w:val="111111"/>
          <w:sz w:val="28"/>
          <w:sz w:val="28"/>
          <w:szCs w:val="28"/>
          <w:rtl w:val="true"/>
          <w:lang w:bidi="ar-SA"/>
        </w:rPr>
        <w:t>أنّ لسان الأدلّة آبٍ عن إفادة ما ذكره الشيخ قدّس سرّه، هذا حال مزاحمة فقيه لفقيه آخر</w:t>
      </w:r>
      <w:r>
        <w:rPr>
          <w:rFonts w:eastAsia="Amiri" w:cs="Amiri" w:ascii="Amiri" w:hAnsi="Amiri"/>
          <w:color w:val="111111"/>
          <w:sz w:val="28"/>
          <w:szCs w:val="28"/>
          <w:rtl w:val="true"/>
          <w:lang w:bidi="ar-SA"/>
        </w:rPr>
        <w:t xml:space="preserve">. </w:t>
      </w:r>
      <w:bookmarkStart w:id="775" w:name="pg15204_140900"/>
    </w:p>
    <w:p>
      <w:pPr>
        <w:pStyle w:val="Heading5"/>
        <w:numPr>
          <w:ilvl w:val="4"/>
          <w:numId w:val="1"/>
        </w:numPr>
        <w:rPr/>
      </w:pPr>
      <w:bookmarkStart w:id="776" w:name="__RefHeading___Toc2759222_2142443653"/>
      <w:bookmarkStart w:id="777" w:name="_Toc287"/>
      <w:bookmarkEnd w:id="775"/>
      <w:bookmarkEnd w:id="776"/>
      <w:r>
        <w:rPr>
          <w:rtl w:val="true"/>
        </w:rPr>
        <w:t>جواز مزاحمة الفقيه لغيره</w:t>
      </w:r>
      <w:bookmarkEnd w:id="777"/>
    </w:p>
    <w:p>
      <w:pPr>
        <w:pStyle w:val="BookText"/>
        <w:rPr/>
      </w:pPr>
      <w:r>
        <w:rPr>
          <w:rFonts w:ascii="Amiri" w:hAnsi="Amiri" w:eastAsia="Amiri" w:cs="Amiri"/>
          <w:color w:val="111111"/>
          <w:sz w:val="28"/>
          <w:sz w:val="28"/>
          <w:szCs w:val="28"/>
          <w:rtl w:val="true"/>
          <w:lang w:bidi="ar-SA"/>
        </w:rPr>
        <w:t>وأمّا مزاحمة الفقيه لغيره ممّن يجوز له التصدّي، فلا إشكال في جوازها؛ لأنّ غاية ما دلّت عليه الأدلّة جواز قيام العدل أو الثقة ببيع مال الأيتام، وغاية ما يمكن الاستفادة منها جواز مطلق التصرّفات في أموالهم مع المصلحة، وأمّا كونهما وليّين عليهم، أو على أموالهم، فلا دليل عليه كما مرّ</w:t>
      </w:r>
      <w:r>
        <w:rPr>
          <w:rStyle w:val="FootnoteAnchor"/>
          <w:rtl w:val="true"/>
        </w:rPr>
        <w:footnoteReference w:id="1449"/>
      </w:r>
      <w:r>
        <w:rPr>
          <w:rFonts w:ascii="IRNazanin" w:hAnsi="IRNazanin" w:eastAsia="IRNazanin"/>
          <w:color w:val="111111"/>
          <w:sz w:val="28"/>
          <w:sz w:val="28"/>
          <w:szCs w:val="28"/>
          <w:rtl w:val="true"/>
          <w:lang w:bidi="fa-IR"/>
        </w:rPr>
        <w:t xml:space="preserve">، فضلاً عن كونهما بمنزلة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فحينئذٍ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مزاحمة الفقيه لغيره، خرجت منه مزاحمة فقيه لفقيه آخر كما مرّ</w:t>
      </w:r>
      <w:r>
        <w:rPr>
          <w:rStyle w:val="FootnoteAnchor"/>
          <w:rtl w:val="true"/>
        </w:rPr>
        <w:footnoteReference w:id="1450"/>
      </w:r>
      <w:r>
        <w:rPr>
          <w:rFonts w:ascii="Amiri" w:hAnsi="Amiri" w:eastAsia="Amiri" w:cs="Amiri"/>
          <w:color w:val="111111"/>
          <w:sz w:val="28"/>
          <w:sz w:val="28"/>
          <w:szCs w:val="28"/>
          <w:rtl w:val="true"/>
          <w:lang w:bidi="ar-SA"/>
        </w:rPr>
        <w:t xml:space="preserve">وبقي الباقي، هذا إذا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شروع العدل في المقدّمات، وإلاّ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جواز مزاحمة عدل لعدل آخر، هذا لو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الدخول في المقدّمة، وإلاّ فلا شبهة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العدل وليّ من قبل اللّه على الأيتام وأموالهم، فلا مجال لتصرّف غيره مع وجوده، كما لا مجال للتصرّف في مال الصغير لغير الأب والجدّ مع وجود أحدهما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أنّ المجعول للعدل هو الولاية من قبل اللّه، أو صرف جواز التصرّف، أو الولاية من قبل الإمام والنصب من قبله، لا يصحّ التمسّك بإطلاق دليل الخلافة والوراثة؛ لأنّ الشبهة مصداقية بالنسبة إليه، لدوران الأمر بين ما </w:t>
      </w:r>
      <w:bookmarkStart w:id="778" w:name="pg15204_140901"/>
    </w:p>
    <w:p>
      <w:pPr>
        <w:pStyle w:val="BookText"/>
        <w:rPr/>
      </w:pPr>
      <w:bookmarkEnd w:id="778"/>
      <w:r>
        <w:rPr>
          <w:rFonts w:ascii="IRNazanin" w:hAnsi="IRNazanin" w:eastAsia="IRNazanin"/>
          <w:color w:val="111111"/>
          <w:sz w:val="28"/>
          <w:sz w:val="28"/>
          <w:szCs w:val="28"/>
          <w:rtl w:val="true"/>
          <w:lang w:bidi="fa-IR"/>
        </w:rPr>
        <w:t xml:space="preserve">لا يكون من شؤون الولاية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 نصباً شرعياً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يكون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سهل بعد ما ظهر أن لا دليل على جواز تصدّي العدل في زمان الغيبة في غير الحسبيات، ولا فيها مع وجود الفقيه</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2759224_2142443653"/>
      <w:bookmarkStart w:id="780" w:name="_Toc288"/>
      <w:bookmarkEnd w:id="779"/>
      <w:r>
        <w:rPr>
          <w:rtl w:val="true"/>
        </w:rPr>
        <w:t>حول جواز تصرّف الكلّ في مال اليتيم مع المصلحة</w:t>
      </w:r>
      <w:bookmarkEnd w:id="780"/>
    </w:p>
    <w:p>
      <w:pPr>
        <w:pStyle w:val="BookText"/>
        <w:rPr/>
      </w:pPr>
      <w:r>
        <w:rPr>
          <w:rFonts w:ascii="Amiri" w:hAnsi="Amiri" w:eastAsia="Amiri" w:cs="Amiri"/>
          <w:color w:val="111111"/>
          <w:sz w:val="28"/>
          <w:sz w:val="28"/>
          <w:szCs w:val="28"/>
          <w:rtl w:val="true"/>
          <w:lang w:bidi="ar-SA"/>
        </w:rPr>
        <w:t>ثمّ إنّه قد يتوهّم من ظاهر بعض الآيات والروايات، جواز تصرّف كلّ أحد في مال اليتيم إذا كانت فيه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الاستثناء جواز تصرّف كلّ من كان مورد النهي عن القرب في ماله، إذا كان على وجه صالح أو أصلح</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جريان النزاع الذي في مفهوم الشرط في مفهوم الاستثناء أيضاً، وهو أنّ المفهوم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xml:space="preserve">هل هو قضيّة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غير البالغ حدّه ينجّسه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الشيخ الأعظم قدّس سرّه</w:t>
      </w:r>
      <w:r>
        <w:rPr>
          <w:rStyle w:val="FootnoteAnchor"/>
          <w:rtl w:val="true"/>
        </w:rPr>
        <w:footnoteReference w:id="1453"/>
      </w:r>
      <w:r>
        <w:rPr>
          <w:rFonts w:ascii="Amiri" w:hAnsi="Amiri" w:eastAsia="Amiri" w:cs="Amiri"/>
          <w:color w:val="111111"/>
          <w:sz w:val="28"/>
          <w:sz w:val="28"/>
          <w:szCs w:val="28"/>
          <w:rtl w:val="true"/>
          <w:lang w:bidi="ar-SA"/>
        </w:rPr>
        <w:t xml:space="preserve">أو قضيّة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التنجيس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4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اقتفينا </w:t>
      </w:r>
      <w:r>
        <w:rPr>
          <w:rStyle w:val="FootnoteAnchor"/>
          <w:rtl w:val="true"/>
        </w:rPr>
        <w:footnoteReference w:id="1455"/>
      </w:r>
      <w:r>
        <w:rPr>
          <w:rFonts w:ascii="Amiri" w:hAnsi="Amiri" w:eastAsia="Amiri" w:cs="Amiri"/>
          <w:color w:val="111111"/>
          <w:sz w:val="28"/>
          <w:sz w:val="28"/>
          <w:szCs w:val="28"/>
          <w:rtl w:val="true"/>
          <w:lang w:bidi="ar-SA"/>
        </w:rPr>
        <w:t>في ذلك أثر المحقّق المزبور،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 الماء شيء من النجاسات إلاّ إذا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مفهومه إلاّ أنّه إذا كان قليلاً انتقضت القضيّة الكلّية التي في المستثنى منه، ولازم ذلك ثبوت حكم جزئي للمستثنى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يفيد إلاّ القضيّة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المقام الذي كان النهي متعلّقاً بكلّ المكلّفين؛ فإنّ الاستثناء فيه لا يفيد إلاّ سلب النهي عن عموم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اقربوا ماله بوجه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مفهوماً له؛ ضرورة عدم وجوب ذلك على جميع المكلّفين أو بعضهم، ولا جواز ذلك مقابل النهي؛ فإنّ الجواز أيضاً ليس مفهوماً له، بل المفهوم سلب عدم قربهم جميعاً، وهو ينتقض بجواز قرب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يسلّم ما ذكر، لكن إثبات القضيّة الكلّية أيضاً مشكل، فلا أقلّ من الإجمال والرجوع إلى سائر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القضيّة الجزئية هناك إنّما هو لأجل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المنطوق، ولازمه ما ذكر من الجزئية؛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القضيّة الجزئية، وكذا إذا اُخذ مثل العنوان في المنطوق في الجملة الاستثنائية</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عدم أخذ العنوان، فلا محيص عن الالتزام بأنّ المفهوم كلّي كما في </w:t>
      </w:r>
    </w:p>
    <w:p>
      <w:pPr>
        <w:pStyle w:val="BookText"/>
        <w:rPr/>
      </w:pPr>
      <w:r>
        <w:rPr>
          <w:rFonts w:ascii="Amiri" w:hAnsi="Amiri" w:eastAsia="Amiri" w:cs="Amiri"/>
          <w:color w:val="111111"/>
          <w:sz w:val="28"/>
          <w:sz w:val="28"/>
          <w:szCs w:val="28"/>
          <w:rtl w:val="true"/>
          <w:lang w:bidi="ar-SA"/>
        </w:rPr>
        <w:t>المقام، فمفهوم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جواز القرب للجميع،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اقربوا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هو إخراج ما دخل في المستثنى منه بالإرادة الاستعمالية، فيعلم أنّ الجدّ يغاير الاستعمال، فألفاظ المستثنى منه استعملت في معانيها الواقعية، ولولا الاستثناء لحكمنا بأنّ ما اُريد في الاستعمال موافق للجدّ، فبالاستثناء نكشف أنّ الجدّ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فالاستثناء تقطيع عن الحكم السابق بمقدار المستثنى، لا حكم مقابل للمستثنى منه ابتداءً، وإنّما لازم هذا الإخراج والتقطيع ثبوت حكم مقابل للمستثنى منه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بمفاده الأوّلي حكماً مخالفاً للمستثنى منه، هو حرمة الإكرام أو جوازه أو غيرهما، بل يخرج الفسّاق عن وجوبه، فلا يدلّ إلاّ على نفيه، وإن كان 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خلوّ الواقعة عن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مغاير للوجوب من غير تعيين واحد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إنّما يقطع الاستثناء حرمة القرب بالوجه الصالح أو الأصلح، فيكون مفاده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 تقربوا عند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أعمّ من نفي العموم، ليكون مفهومه قضيّة جزئية، أو عموم النفي، ليكون قضيّة كلّية، فلا يمكن إلاّ إثبات الجزئية؛ لكونها قدراً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الصناعة في الاستثناء مع الحفاظ على قاعدة الاستثناء، وأنّه إخراج لما دخل في الاستعمال</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ينقدح في أذهاننا من الحكم المنافي، فيقال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اقربوا </w:t>
      </w:r>
    </w:p>
    <w:p>
      <w:pPr>
        <w:pStyle w:val="BookText"/>
        <w:rPr/>
      </w:pPr>
      <w:r>
        <w:rPr>
          <w:rFonts w:ascii="Amiri" w:hAnsi="Amiri" w:eastAsia="Amiri" w:cs="Amiri"/>
          <w:color w:val="111111"/>
          <w:sz w:val="28"/>
          <w:sz w:val="28"/>
          <w:szCs w:val="28"/>
          <w:rtl w:val="true"/>
          <w:lang w:bidi="ar-SA"/>
        </w:rPr>
        <w:t>بالوجه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تكرّر السماع عن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الاستثناء من النفي إثبات، ومن الإثبات نفي</w:t>
      </w:r>
      <w:r>
        <w:rPr>
          <w:rStyle w:val="FootnoteAnchor"/>
          <w:rtl w:val="true"/>
        </w:rPr>
        <w:footnoteReference w:id="1456"/>
      </w:r>
      <w:r>
        <w:rPr>
          <w:rFonts w:ascii="Amiri" w:hAnsi="Amiri" w:eastAsia="Amiri" w:cs="Amiri"/>
          <w:color w:val="111111"/>
          <w:sz w:val="28"/>
          <w:sz w:val="28"/>
          <w:szCs w:val="28"/>
          <w:rtl w:val="true"/>
          <w:lang w:bidi="ar-SA"/>
        </w:rPr>
        <w:t>، فتوهّم أنّ المقصود أنّ المفاد الأوّلي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تهن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أهنهم وبالعكس، مع أنّ الاستثناء إخراج عن السابق، والمفهوم ما ذكرناه، لا إثبات لحكم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ما ذكرناه أمر مجزوم به في الموارد التي اُخذت العناوين الكلّية أو الماهيات في المستثنى منه،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 الماء شيء إلاّ إذا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وأمّا في مثل الآية الكريمة فلا جزم بذلك، ومعه فاستفادة العموم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يفهم العموم في مثل الآية بلا نظر إلى الاعتبار في الاستثناء، والعهدة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ذلك، وتسليم كون الحكم عمومياً، لا بدّ في إثبات أنّ العمل بالأصلح أو الصالح تمام الموضوع للجواز؛ من إحراز كون الآية بصدد بيان حكم المستثنى، كما أنّها بصدد بيان حكم المستثنى منه، ومع إحراز عدمه أو عدم إحرازه، لا يصحّ التمسّك بها لرفع الشكّ في دخالة بعض اُمور اُخر في الموضوع، كالإجازة من الأولياء</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كونها إلاّ في مقام بيان حكم المستثنى منه، كما يظهر من قوله تعالى قبل ذكر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ثمّ عدّ محرّمات منها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فالقائل جلّ وعلا في مقام بيان المحرّمات، فحينئذٍ يكون قوله ذلك في مقام بيان حرمة التصرّف في مال اليتيم بغير صلاح، لا في مقام بيان التصرّف بصلاح، حتّى يتمسّك بإطلاقه لرفع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يسلّم إحراز عدمه، فلا أقلّ من تسليم عدم إحراز كونه في مقام البيان، فاحتمال كون لزوم التصرّف بإذن الوالي أو الوليّ لا دافع له، فلا يفيد العموم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تفيد كون التصرّف بوجه أصلح تمام الموضوع للحكم، فغير صحيح؛ ضرورة أنّ العناية بحفظ مال الأيتام، تقتضي أن لا يكون الأمر هرجاً، وأن يكون التصدّي من أشخاص صالحين محتاطين، لا من كلّ مكلّف ولو كان فاسقاً خائناً مدّعياً للإصلاح والصلاح والإحسان؛ حيث معها لا يجوز تضمينه، ويؤدّي إلى تضييع مال الأيتام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 لُونَكَ عَنِ الْيَتَامَى قُلْ إِصْلاَحٌ لَهُمْ خَيْرٌ وَإِنْ تُخَالِطُوهُمْ فَإِخْوَانُكُمْ 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على جواز التصرّف الإصلاحي لكلّ أحد</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فإنّ الظاهر منه مع الغضّ عن الروايات، أنّ السؤال مربوط بنفس اليتامى لا بأموالهم،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التربية الصالحة،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ترغيب في حسن المعاشرة معهم نحو معاشرة الإخوان بعضهم مع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فرض أنّ السؤال مربوط بأموال اليتامى، لكن لم يعلم أنّ السائلين أولياء الأيتام الشرعيون، أو العرفيون، أو أشخاص آخرون، فلعلّهم أولياء شرعيون من الوصيّ أو القيّم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فاستفادة العموم منه غير 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في أموالهم إلاّ بإذن من له الإذن، كما هو حال الإخوان بعضهم مع بعض، حيث إنّ الاُخوّة لازمها عدم التصرّف إلاّ بإذنه، أو بإذن من له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في الباب، فيظهر منها عدم العموم، ففي صحيحة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فِى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أخرج كلّ من كان عنده يتيم، وسألوا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 لُونَكَ عَنِ الْيَتَامى قُلْ إِصْلاَحٌ لَهُمْ خَيْرٌ وَإِنْ تُخَالِطُوهُمْ فَإِخْوَانُكُمْ 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البعيد أن يكون اليتامى وأموالهم تحت أيدي الأشخاص بلا إذن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ممّن له الإذن، فلا يبعد أن يكون السائلون أولياء الأيتام بنحو القيمومة أو الوصاية، ومن البعيد جدّاً أن يكون الأمر بنحو الهرج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رواية أبي الصباح</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1462"/>
      </w:r>
      <w:r>
        <w:rPr>
          <w:rFonts w:ascii="Amiri" w:hAnsi="Amiri" w:eastAsia="Amiri" w:cs="Amiri"/>
          <w:color w:val="111111"/>
          <w:sz w:val="28"/>
          <w:sz w:val="28"/>
          <w:szCs w:val="28"/>
          <w:rtl w:val="true"/>
          <w:lang w:bidi="ar-SA"/>
        </w:rPr>
        <w:t>ذكرت كيفية المخالطة مع الأيتام التي في حجورهم،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تكون الكيفية المذكورة فيها لأجل مراعاة الأيتام؛ حيث إنّ إفرادهم في المأكل والمشرب، وجعل طعامهم ممتازاً عن طعام عيال من يتولّى أمرهم، يوجب إدراك الأيتام الخفّة وألم اليتم، وفي ذلك ضربة روحية للأيتام، مخالفة لصلاحهم، ومضرّة بمستقبلهم، فأجاز اللّه تعالى الاختلاط بنحو الاُخوّة وإرادة الإصلاح، وهو يعلم المفسد من المصلح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الآية ولا الروايات على جواز تصرّف كلّ أحد بقصد الإصلاح، فلا يمكن رفع اليد عن القواعد لأجلها</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تدلّ على ذلك الروايات الواردة في جواز بعض التصرّفات الجزئية في أموالهم، إذا كان على وجه الصلاح أو عدم الفساد، لمن دخل بعض البيوت التي فيها الأيتام تحت أيدي أوليائهم الشرعيين أو العرفيين، كرواية الكاهلي </w:t>
      </w:r>
      <w:bookmarkStart w:id="781" w:name="pg15204_140908"/>
    </w:p>
    <w:p>
      <w:pPr>
        <w:pStyle w:val="BookText"/>
        <w:rPr/>
      </w:pPr>
      <w:bookmarkEnd w:id="781"/>
      <w:r>
        <w:rPr>
          <w:rFonts w:ascii="Amiri" w:hAnsi="Amiri" w:eastAsia="Amiri" w:cs="Amiri"/>
          <w:color w:val="111111"/>
          <w:sz w:val="28"/>
          <w:sz w:val="28"/>
          <w:szCs w:val="28"/>
          <w:rtl w:val="true"/>
          <w:lang w:bidi="ar-SA"/>
        </w:rPr>
        <w:t>الآتية</w:t>
      </w:r>
      <w:r>
        <w:rPr>
          <w:rStyle w:val="FootnoteAnchor"/>
          <w:rtl w:val="true"/>
        </w:rPr>
        <w:footnoteReference w:id="1463"/>
      </w:r>
      <w:r>
        <w:rPr>
          <w:rFonts w:ascii="Amiri" w:hAnsi="Amiri" w:eastAsia="Amiri" w:cs="Amiri"/>
          <w:color w:val="111111"/>
          <w:sz w:val="28"/>
          <w:sz w:val="28"/>
          <w:szCs w:val="28"/>
          <w:rtl w:val="true"/>
          <w:lang w:bidi="ar-SA"/>
        </w:rPr>
        <w:t xml:space="preserve">وغيرها </w:t>
      </w:r>
      <w:r>
        <w:rPr>
          <w:rStyle w:val="FootnoteAnchor"/>
          <w:rtl w:val="true"/>
        </w:rPr>
        <w:footnoteReference w:id="1464"/>
      </w:r>
      <w:r>
        <w:rPr>
          <w:rFonts w:ascii="Amiri" w:hAnsi="Amiri" w:eastAsia="Amiri" w:cs="Amiri"/>
          <w:color w:val="111111"/>
          <w:sz w:val="28"/>
          <w:sz w:val="28"/>
          <w:szCs w:val="28"/>
          <w:rtl w:val="true"/>
          <w:lang w:bidi="ar-SA"/>
        </w:rPr>
        <w:t>ممّا هي أجنبيّة عن جواز تصرّف كلّ أحد في أموالهم، ونفوذ التصرّفات الاعتبارية من كلّ أحد حتّى بالرغم من الأولياء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الروايات الواردة في الاتّجار بمال اليتيم</w:t>
      </w:r>
      <w:r>
        <w:rPr>
          <w:rStyle w:val="FootnoteAnchor"/>
          <w:rtl w:val="true"/>
        </w:rPr>
        <w:footnoteReference w:id="1465"/>
      </w:r>
      <w:r>
        <w:rPr>
          <w:rFonts w:ascii="Amiri" w:hAnsi="Amiri" w:eastAsia="Amiri" w:cs="Amiri"/>
          <w:color w:val="111111"/>
          <w:sz w:val="28"/>
          <w:sz w:val="28"/>
          <w:szCs w:val="28"/>
          <w:rtl w:val="true"/>
          <w:lang w:bidi="ar-SA"/>
        </w:rPr>
        <w:t>فإنّها أيضاً مربوطة بالأولياء الشرعيين أو العرفيين، الذين كان مال الأيتام تحت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لم يكن في وقت من الأوقات أمر الصغار والأيتام هرجاً؛ كان لكلّ شخص أخذ أموالهم لحفظها أو المضاربة بها، مع أنّ أكثر ما وردت في هذا المنوال في مقام بيان أحكام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تصرّف كلّ أحد بلا إذن الأولياء، فراجع كتاب الزكاة والتجارة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تلك الروايات اختلاف لا بدّ في جمعها وتحقيقها من النظر فيها في محلّها</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759226_2142443653"/>
      <w:bookmarkStart w:id="783" w:name="_Toc289"/>
      <w:bookmarkEnd w:id="782"/>
      <w:r>
        <w:rPr>
          <w:rtl w:val="true"/>
        </w:rPr>
        <w:t>اعتبار المصلحة في تصرّفات غير الأب والجدّ</w:t>
      </w:r>
      <w:bookmarkEnd w:id="783"/>
    </w:p>
    <w:p>
      <w:pPr>
        <w:pStyle w:val="Heading6"/>
        <w:numPr>
          <w:ilvl w:val="5"/>
          <w:numId w:val="1"/>
        </w:numPr>
        <w:rPr/>
      </w:pPr>
      <w:bookmarkStart w:id="784" w:name="__RefHeading___Toc2759228_2142443653"/>
      <w:bookmarkStart w:id="785" w:name="_Toc290"/>
      <w:bookmarkEnd w:id="784"/>
      <w:r>
        <w:rPr>
          <w:rtl w:val="true"/>
        </w:rPr>
        <w:t>إشارة</w:t>
      </w:r>
      <w:bookmarkEnd w:id="785"/>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يعتبر في تصرّفات غير الأب والجدّ ملاحظة الغبطة والمصلحة، أو لا يعتبر إلاّ عدم المفسدة؟ </w:t>
      </w:r>
      <w:bookmarkStart w:id="786" w:name="pg15204_140909"/>
    </w:p>
    <w:p>
      <w:pPr>
        <w:pStyle w:val="BookText"/>
        <w:rPr/>
      </w:pPr>
      <w:bookmarkEnd w:id="786"/>
      <w:r>
        <w:rPr>
          <w:rFonts w:ascii="Amiri" w:hAnsi="Amiri" w:eastAsia="Amiri" w:cs="Amiri"/>
          <w:color w:val="111111"/>
          <w:sz w:val="28"/>
          <w:sz w:val="28"/>
          <w:szCs w:val="28"/>
          <w:rtl w:val="true"/>
          <w:lang w:bidi="ar-SA"/>
        </w:rPr>
        <w:t>وجهان، مقتضى الأصل الأوّلي ذلك، لكن مقتضى أدلّة ولاية الفقيه عدم اعتبار المصلحة، كما كان الأمر كذلك للأولياء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هي الأدلّة الخاصّة، كعموم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ولا بأس بصرف الكلام في مفاده بقدر اقتضاء المقام تبعاً للمشايخ</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7" w:name="__RefHeading___Toc2759230_2142443653"/>
      <w:bookmarkStart w:id="788" w:name="_Toc291"/>
      <w:bookmarkEnd w:id="787"/>
      <w:r>
        <w:rPr>
          <w:rtl w:val="true"/>
        </w:rPr>
        <w:t xml:space="preserve">حول مفاد آية </w:t>
      </w:r>
      <w:r>
        <w:rPr>
          <w:rtl w:val="true"/>
        </w:rPr>
        <w:t>«</w:t>
      </w:r>
      <w:r>
        <w:rPr>
          <w:rtl w:val="true"/>
        </w:rPr>
        <w:t>وَلاَ تَقْرَبُوا مَالَ الْيَتِيمِ</w:t>
      </w:r>
      <w:r>
        <w:rPr>
          <w:rtl w:val="true"/>
        </w:rPr>
        <w:t>»</w:t>
      </w:r>
      <w:bookmarkEnd w:id="78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ليس معناه الحقيقي، بل هو كناية عن معنى آخر، يحتمل أن يكون كناية عن التصرّفات الخارجية الوجودية، كالأكل والشرب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التصرّفات الاعتبارية، كالبيع والإجارة ونحوهما، أو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التصرّفات الخارجية وتركها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التصرّفات الاعتبارية وتركها، أو عنهما وعن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أمر ثبوتي جامع لجميع التصرّفات ونحوها، حتّى نحو الإبقاء تحت اليد الملازم لترك التصرّف، فإنّه أيضاً ثبوتي، هذا بحسب الاحتمال</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يعقل الجمع بين التصرّفات وتركها؛ لعدم الجامع بين الفعل والترك، وعدم إمكان الكناية عن الفعل والترك؛ أي الشيء ونقيضه أو ضدّه، ضرورة عدم </w:t>
      </w:r>
    </w:p>
    <w:p>
      <w:pPr>
        <w:pStyle w:val="BookText"/>
        <w:rPr/>
      </w:pPr>
      <w:r>
        <w:rPr>
          <w:rFonts w:ascii="Amiri" w:hAnsi="Amiri" w:eastAsia="Amiri" w:cs="Amiri"/>
          <w:color w:val="111111"/>
          <w:sz w:val="28"/>
          <w:sz w:val="28"/>
          <w:szCs w:val="28"/>
          <w:rtl w:val="true"/>
          <w:lang w:bidi="ar-SA"/>
        </w:rPr>
        <w:t>إمكان استلزام شيء لهما، وعدم إمكان الانتقال إلى الشيء ونقيضه أو ضدّه بكناية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إرادة التصرّفات الخارجية وتركها، أو الاعتبارية وتركها، أو هما وتركهما، ساقط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الاحتمال الأوّل كون النهي تكليفياً، ولازم الثاني كونه إرشاداً إلى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الثالث التكليف في التصرّفات الخارجية، والإرشاد في الاعتبارية، لا بمعنى استعمال النهي في التكليف، أو الوضع، أو فيهما، بل بما نبّهنا عليه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النواهي والأوامر لم تستعمل إلاّ في معانيها؛ أي الزجر والبعث</w:t>
      </w:r>
      <w:r>
        <w:rPr>
          <w:rStyle w:val="FootnoteAnchor"/>
          <w:rtl w:val="true"/>
        </w:rPr>
        <w:footnoteReference w:id="1469"/>
      </w:r>
      <w:r>
        <w:rPr>
          <w:rFonts w:ascii="Amiri" w:hAnsi="Amiri" w:eastAsia="Amiri" w:cs="Amiri"/>
          <w:color w:val="111111"/>
          <w:sz w:val="28"/>
          <w:sz w:val="28"/>
          <w:szCs w:val="28"/>
          <w:rtl w:val="true"/>
          <w:lang w:bidi="ar-SA"/>
        </w:rPr>
        <w:t>، لكن لازم الزجر عن معنى نفسي هو المنع عنه بنفسه، فيعلم منه التكليف، وعن معنى آليّ أو مترقّب منه الصحّة والفساد هو الإرشاد إلى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w:t>
      </w:r>
      <w:r>
        <w:rPr>
          <w:rStyle w:val="FootnoteAnchor"/>
          <w:rtl w:val="true"/>
        </w:rPr>
        <w:footnoteReference w:id="1470"/>
      </w:r>
      <w:r>
        <w:rPr>
          <w:rFonts w:ascii="Amiri" w:hAnsi="Amiri" w:eastAsia="Amiri" w:cs="Amiri"/>
          <w:color w:val="111111"/>
          <w:sz w:val="28"/>
          <w:sz w:val="28"/>
          <w:szCs w:val="28"/>
          <w:rtl w:val="true"/>
          <w:lang w:bidi="ar-SA"/>
        </w:rPr>
        <w:t>زجر يفهم منه الإرشاد إلى عدم الصحّة عرفاً،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تفهم منه مبغوضية الشرب، فإذا جمع بين الموضوعين يفهم التكليف فيما يناسبه، والوضع كذلك</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المأخوذ كناية، إن كان القرب المكاني، فالمعنى الكنائي لا بدّ وأن يكون مناسباً له حتّى ينتقل منه إليه، وهو التصرّفات الخارجية الملازمة للقرب المكاني، كالأكل والشرب والركوب ونحوها، دون التصرّفات </w:t>
      </w:r>
    </w:p>
    <w:p>
      <w:pPr>
        <w:pStyle w:val="BookText"/>
        <w:rPr/>
      </w:pPr>
      <w:r>
        <w:rPr>
          <w:rFonts w:ascii="Amiri" w:hAnsi="Amiri" w:eastAsia="Amiri" w:cs="Amiri"/>
          <w:color w:val="111111"/>
          <w:sz w:val="28"/>
          <w:sz w:val="28"/>
          <w:szCs w:val="28"/>
          <w:rtl w:val="true"/>
          <w:lang w:bidi="ar-SA"/>
        </w:rPr>
        <w:t>الاعتبارية، فإنّها غير مناسبة للقرب والبعد المكانيين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 الكناية عن التصرّفات الاعتبارية، لا بدّ فيه من تأويل، كتنزيلها منزلة التصرّفات الخارجية الملازمة للقرب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أعمّ من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كالمنسوب إلى المعاني والمجرّدات،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قريب من ربّه، وهو تعالى أقرب إليه من حبل الوريد، والمعنى الكذائي قريب إلى الفهم، أو 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الكناية به عن التصرّفات الاعتبارية المحضة، كعقد البيع والإجارة من الفضولي مع عدم تماسّه مع العين؛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نحو قرب، والتصرّف الاعتباري نحو قرب، أو لا؟</w:t>
      </w:r>
    </w:p>
    <w:p>
      <w:pPr>
        <w:pStyle w:val="BookText"/>
        <w:rPr/>
      </w:pPr>
      <w:r>
        <w:rPr>
          <w:rFonts w:ascii="Amiri" w:hAnsi="Amiri" w:eastAsia="Amiri" w:cs="Amiri"/>
          <w:color w:val="111111"/>
          <w:sz w:val="28"/>
          <w:sz w:val="28"/>
          <w:szCs w:val="28"/>
          <w:rtl w:val="true"/>
          <w:lang w:bidi="ar-SA"/>
        </w:rPr>
        <w:t xml:space="preserve">وهذا أوجه؛ لأنّ كون القرب موضوعاً لمعنى عامّ، أو مراداً به معنى عامّ، ليس معناه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العامّة الصادقة على كلّ موجود ووجود؛ ضرورة لزوم اعتبار نحو من القرب بين الشيئين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من المعاني الإضافية والنسبية، فلا يطلقان إلاّ في مورد يكون بين الشيئين نحو قرب وبعد، كقرب المكانة، وقرب النسب، وأمّا مجرّد إجراء عقد غير مؤثّر في العوضين، فليس قرباً، ولا مقابله بعداً، فلا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بمعناه العامّ إلاّ بتأويل، كتنزيل ذلك منزلة التصرّف الخارجي</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يصدق على 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وإلاّ لزمت حرمته؛ لحرمة التصرّف في مال الغير،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مسامحة وتأويل، فالعقد على مال اليتيم ليس قرباً منه </w:t>
      </w:r>
    </w:p>
    <w:p>
      <w:pPr>
        <w:pStyle w:val="BookText"/>
        <w:rPr/>
      </w:pPr>
      <w:r>
        <w:rPr>
          <w:rFonts w:ascii="Amiri" w:hAnsi="Amiri" w:eastAsia="Amiri" w:cs="Amiri"/>
          <w:color w:val="111111"/>
          <w:sz w:val="28"/>
          <w:sz w:val="28"/>
          <w:szCs w:val="28"/>
          <w:rtl w:val="true"/>
          <w:lang w:bidi="ar-SA"/>
        </w:rPr>
        <w:t>بوجه ولو فرض وضعه لمعنى أعمّ من 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المكاني والزماني مبنيّ على تشبيه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 ذلك، فلا شبهة في أنّ المتبادر منهما إلى الأذهان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المكاني أو الزماني ولو لأجل الانصراف، فلا بدّ من حمل الكلام مع عدم القرينة على ذلك، ولمّا لم يكن للقرب الزماني هاهنا وجه، فهو محمول على المكاني، فيكون ذلك قرينة على أنّ المكنّى عنه هو التصرّفات الخارجية الملازمة للقرب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القرائن الكثيرة الموجودة في المقام، تجعل الكلام ظاهراً في التصرّفات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هو الأعيان الخارجية، وهو مال اليتيم، والقرب والبعد عن الأعيان ظاهر في المكاني منه،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بيت اليتيم أو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إلاّ النهي عن القرب المكاني، ومال اليتيم أمر منتزع من الأعيان كالبيت والثوب، وعنوان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للتصرّفات الاعتبارية</w:t>
      </w:r>
      <w:r>
        <w:rPr>
          <w:rStyle w:val="FootnoteAnchor"/>
          <w:rtl w:val="true"/>
        </w:rPr>
        <w:footnoteReference w:id="1471"/>
      </w:r>
      <w:r>
        <w:rPr>
          <w:rFonts w:ascii="Amiri" w:hAnsi="Amiri" w:eastAsia="Amiri" w:cs="Amiri"/>
          <w:color w:val="111111"/>
          <w:sz w:val="28"/>
          <w:sz w:val="28"/>
          <w:szCs w:val="28"/>
          <w:rtl w:val="true"/>
          <w:lang w:bidi="ar-SA"/>
        </w:rPr>
        <w:t>، ساقط لا يعتنى به كما لا يخفى</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إذا تعلّق بعنوان له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ظاهراً في الحرمة التكليفية، ومال اليتيم له نفسية، فالنهي </w:t>
      </w:r>
    </w:p>
    <w:p>
      <w:pPr>
        <w:pStyle w:val="BookText"/>
        <w:rPr/>
      </w:pPr>
      <w:r>
        <w:rPr>
          <w:rFonts w:ascii="Amiri" w:hAnsi="Amiri" w:eastAsia="Amiri" w:cs="Amiri"/>
          <w:color w:val="111111"/>
          <w:sz w:val="28"/>
          <w:sz w:val="28"/>
          <w:szCs w:val="28"/>
          <w:rtl w:val="true"/>
          <w:lang w:bidi="ar-SA"/>
        </w:rPr>
        <w:t>المتعلّق به ظاهر في التكليفية، فلا بدّ من كون المراد به التصرّفات الخارجية؛ فإنّ مجرّد العقد على مال اليتيم ليس بحرام جزماً، كما أنّ العقد الفضولي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وقعت تلك الآية الشريفة خلالها كلّها محرّمات نفسية، وفيها بعض الواجبات النفسية، والظهور السياقي نحو ظهور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 في صدر الآيات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ظاهر بلا ريب في المحرّمات التكليفية عند الإطلاق، فيدلّ ذلك على أنّ المتلوّ كلّه من المحرّمات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مجرّد بيع مال اليتيم وإجارته ونحوهما لا تكون محرّمة، فيستكشف منه أنّ المراد هو التصرّفات الخارجية التي هي محرّمة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الآية الكريمة وقعت في سورة الإسراء في خلال آيات المحرّمات والواجبات والمواعظ والحكم، وفي ذيلها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الإشارة متوجّهة إلى جميع المذكورات التي هي من الحكم والنصائح، وهو يدلّ على أنّ النهي تكليفي لا إرشادي؛ فإنّ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ليس من الحكم والنصائح، فإذا كان الحكم تكليفياً، فلا بدّ وأن يتعلّق بالتصرّفات العينية، لا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الآية الكريمة كسائر ما وردت في حرمة أكل مال اليتيم، ولا تعرّض لها لنحو البيع والإجارة ونحوها، كما لا تتعرّض سائر الآيات التي هي في خلالها للحكم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لا يفهم منه إلاّ الحرمة التكليفية، ولا تفهم منه حرمة إجارة الزانية للزنا وبطلانها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لا يدلّ إلاّ على حرمتها، لا على بطلان الاكتساب بها، ولا فرق بينهما وبين الآية الكريمة، فبناء على ذلك تكون الآية الكريمة أجنبيّة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الأفضل، أو مجرّد الحسن، وأمّا إرادة الخالي عن المفسدة فبعيدة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تحقيقه من بيان أمر، وهو أنّه قد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أن يراد بالنهي عن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التصرّفات الاعتبارية كالبيع والصلح، أو الخارجية كالأكل والشرب، أو هما معاً، أو أمر ثبوتي أعمّ منهما ومن الإبقاء الملازم للترك</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المكنّى عنه إمّا عنوان وحداني لا تكثّر فيه، كعنوان التصرّف الاعتباري، أو الخارجي، أو مطلق الأمر الثبوتي الأعمّ</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عنوان ناظر إلى الكثرات، مثل كلّ تصرّف، أو كلّ أمر ثبوتي؛ ممّا يدلّ </w:t>
      </w:r>
    </w:p>
    <w:p>
      <w:pPr>
        <w:pStyle w:val="BookText"/>
        <w:rPr/>
      </w:pPr>
      <w:r>
        <w:rPr>
          <w:rFonts w:ascii="Amiri" w:hAnsi="Amiri" w:eastAsia="Amiri" w:cs="Amiri"/>
          <w:color w:val="111111"/>
          <w:sz w:val="28"/>
          <w:sz w:val="28"/>
          <w:szCs w:val="28"/>
          <w:rtl w:val="true"/>
          <w:lang w:bidi="ar-SA"/>
        </w:rPr>
        <w:t>على الكثرة، ونحوه ما إذا كان الملحوظ عناوين التصرّفات، نحو الأكل والشرب، أو 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الملحوظ والمكنّى عنه العنوان الوحداني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الثبوتي الأعمّ من التصرّفات والإبقاء، من غير لحاظ المصاديق والكثرات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الأحسن تفضيلاً إن كان التفضيل في المصاديق، لا في الحيثيات والكيفيات؛ فإنّ المفروض أنّ العنوان المأخوذ وحداني غير ناظر إلى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فتفضيل هذا العنوان غير معقول؛ لعدم كون شيء مقابله يكون مفضّلاً عليه، فالعنوان جامع لجميع ما يتصوّر من التصرّفات ونحوها، وليس شيء منها خارجاً عنه يكون مفضّلاً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التفضيل في الكيفية، فلا يعقل إلاّ إذا قدّر في الكلام تقدير مناسب له؛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مال اليتيم بكيفية وخصلة إلاّ الكيفية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الفرض، هذا إذا اُريد المعنى الوحداني الجامع 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اُريد الجامع الوحداني من الاُمور الاعتبارية، فالتفضيل لا بدّ وأن يقع بينه وبين غيره من الترك والتصرّف الخارجي، وكذا الكلام في الجامع بين التصرّفات الخارجية أو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اُريد بالمكنّى عنه الأفراد والكثرات، فلا مانع من التفضيل فيها بعضها على بعض</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 المراد الأحسن من كلّ شيء، فلازمه عدم الجواز لو كان جميع التصرّفات أو بعضها متساوية لا تفضيل فيها، أو لا يكون في بعض التصرّفات حسن؛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اُريد الأحسن من الترك، فلازمه جواز البيع مثلاً لو كان أحسن من تركه وإن كانت الإجارة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لوازم التفضيل، ممّا لا داعي لذكرها مع بطلان أصل المبنى، كما لا داعي لذكر الاحتمالات ولوازمها على فرض تقدير الكيفية والخصلة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المكنّى عنه هو التصرّفات الاعتبارية، فهل تلاحظ الأحسنية في نفس تلك التصرّفات فقط، أو الأحسنية في الجهة المالية الأعمّ من التصرّفات، أو الأعمّ منها ومن الجهات المعنوية الخارجية المربوطة باليتيم وصلاحه؟</w:t>
      </w:r>
    </w:p>
    <w:p>
      <w:pPr>
        <w:pStyle w:val="BookText"/>
        <w:rPr/>
      </w:pPr>
      <w:r>
        <w:rPr>
          <w:rFonts w:ascii="Amiri" w:hAnsi="Amiri" w:eastAsia="Amiri" w:cs="Amiri"/>
          <w:color w:val="111111"/>
          <w:sz w:val="28"/>
          <w:sz w:val="28"/>
          <w:szCs w:val="28"/>
          <w:rtl w:val="true"/>
          <w:lang w:bidi="ar-SA"/>
        </w:rPr>
        <w:t>ولازم الاحتمال الأوّل هو جواز بيع نصف داره مشاعاً إذا كان أصلح من سائر المعاملات، وإن كان حصول الشركة موجباً للضرر أكثر من النفع الحاصل من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 جوازه وإن كان الشريك فاسداً مؤذياً شارباً للخمر موجباً لفساد الطفل، إن كانت الجهات المالية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المتفاهم من الآية على فرض كونها في مقام البيان في المستثنى أيضاً، هو لحاظ مصالح اليتيم من جميع الجهات، لا من الجهات المالية فقط</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هنا مشتريان،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صالح، توجب الشركة معه وجاهة الطفل وتربيته الصالحة النافعة له طيلة حياته،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فاسق خائن، توجب شركته سقوط الطفل عن الوجاهة وعن أعين الناس، وكان الأوّل يشتري بأقلّ من الثاني، ليس للوليّ قصر نظره على المالية، بل لا بدّ من ملاحظة مصلحة الطفل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الأحسن من حيث الجهات المالية فقط، بل المتفاهم أنّ الآية سيقت لمراعاة حال اليتيم وحفظ مصالحه، لا لمصلحته المالية فقط، فلا بدّ للوليّ من مراعاة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 بناءً على أنّ اللازم مراعاة مصلحة اليتيم،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الحسن، وكانت معاملات متفاضلة، بعضها أعلى من بعض، وتساوت في الجهات الاُخرى، ليس للوليّ بيعه إلاّ بالأغلى ثمناً؛ لأنّ الأدون وإن كان مشتملاً على المصلحة والحسن، لكن إذا لوحظ صلاح اليتيم لا يكون صلاحه إلاّ البيع بالأغلى، لا بما دونه؛ لأنّه خلاف صلاحه عرفاً، ويعدّ الوليّ خائناً عاملاً على خلاف صلاحه، ففي هذه الحيثية يشترك الحسن مع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احتمالين،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تقدير المفضّل عليه، وهو خلاف الأصل، كما لا يبعد أن يكون الثاني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الدوران بينهما، فالترجيح غير معلوم، فيلزم منه إجمال يسري إلى المستثنى منه، ولازمه عدم حجّيته إلاّ في المتيقّن، وهو التصرّف بلا صلاح وحسن، فلا يمكن الاستفادة من الآية الكريمة إلاّ عدم جواز التصرّف بلا مصلحة، وأمّا لزوم مراعاة الأصلح فلا، فلو دلّ دليل على صحّة التصرّف مع المصلحة، لا تعارضه الآية الكريمة</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الكلام في الآية الشريفة، وقد تقدّم أنّ الظاهر منها هو الحرمة </w:t>
      </w:r>
    </w:p>
    <w:p>
      <w:pPr>
        <w:pStyle w:val="BookText"/>
        <w:rPr/>
      </w:pPr>
      <w:r>
        <w:rPr>
          <w:rFonts w:ascii="Amiri" w:hAnsi="Amiri" w:eastAsia="Amiri" w:cs="Amiri"/>
          <w:color w:val="111111"/>
          <w:sz w:val="28"/>
          <w:sz w:val="28"/>
          <w:szCs w:val="28"/>
          <w:rtl w:val="true"/>
          <w:lang w:bidi="ar-SA"/>
        </w:rPr>
        <w:t>التكليفية المتعلّقة بالتصرّفات الخارجية</w:t>
      </w:r>
      <w:r>
        <w:rPr>
          <w:rStyle w:val="FootnoteAnchor"/>
          <w:rtl w:val="true"/>
        </w:rPr>
        <w:footnoteReference w:id="1477"/>
      </w:r>
      <w:r>
        <w:rPr>
          <w:rFonts w:ascii="Amiri" w:hAnsi="Amiri" w:eastAsia="Amiri" w:cs="Amiri"/>
          <w:color w:val="111111"/>
          <w:sz w:val="28"/>
          <w:sz w:val="28"/>
          <w:szCs w:val="28"/>
          <w:rtl w:val="true"/>
          <w:lang w:bidi="ar-SA"/>
        </w:rPr>
        <w:t>، كما تقدّم أنّ الآية ليست بصدد البيان في المستثنى</w:t>
      </w:r>
      <w:r>
        <w:rPr>
          <w:rStyle w:val="FootnoteAnchor"/>
          <w:rtl w:val="true"/>
        </w:rPr>
        <w:footnoteReference w:id="1478"/>
      </w:r>
      <w:r>
        <w:rPr>
          <w:rFonts w:ascii="Amiri" w:hAnsi="Amiri" w:eastAsia="Amiri" w:cs="Amiri"/>
          <w:color w:val="111111"/>
          <w:sz w:val="28"/>
          <w:sz w:val="28"/>
          <w:szCs w:val="28"/>
          <w:rtl w:val="true"/>
          <w:lang w:bidi="ar-SA"/>
        </w:rPr>
        <w:t>، وعليه فكلّ ما قلنا أو قيل في الاحتمالات الجارية في المستثنى</w:t>
      </w:r>
      <w:r>
        <w:rPr>
          <w:rStyle w:val="FootnoteAnchor"/>
          <w:rtl w:val="true"/>
        </w:rPr>
        <w:footnoteReference w:id="1479"/>
      </w:r>
      <w:r>
        <w:rPr>
          <w:rFonts w:ascii="Amiri" w:hAnsi="Amiri" w:eastAsia="Amiri" w:cs="Amiri"/>
          <w:color w:val="111111"/>
          <w:sz w:val="28"/>
          <w:sz w:val="28"/>
          <w:szCs w:val="28"/>
          <w:rtl w:val="true"/>
          <w:lang w:bidi="ar-SA"/>
        </w:rPr>
        <w:t>، مبنيّ على فرض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تعرّضت للتصرّفات الاعتبارية، كصحيحة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 مات وترك أولاداً صغاراً، وترك مماليك له؛ غلماناً وجواري، ولم يوص، فما ترى فيمن يشتري منهم الجارية فيتّخذها اُمّ ولد، وما ترى في بيعهم؟</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لهم وليّ يقوم بأمرهم باع عليهم ونظر لهم، وكان مأجوراً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منهم الجارية فيتّخذها اُمّ ولد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بذلك إذا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أنفذ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القيّم لهم الناظر فيما يصلحهم، فليس لهم أن يرجعوا فيما صنع القيّم لهم الناظر فيما يصلحهم</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منها أنّ التصرّف الاعتباري يختصّ بالقيّم والوليّ، وليس لغيرهما ذلك، وصحّة تصرّف القيّم والوليّ موقوفة على كونه ذا مصلحة؛ ضرورة ظهور عناية واضحة في ذلك بتكراره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عليهم ونظر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مراعاة صلاحهم،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 لهم الناظر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القيمومة لا تكفي للصحّة والنفوذ، بل لا بدّ منها ومن مراعاة المصلحة، ويظهر منه أنّ القيّم موظّف بالنظر فيما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تشمل من عدا الأب خاصّة، أو من عدا الأب ووصيّه من سائر الأولياء، جدّاً كان، أو وصيّه القيّم عليهم، أو فقيهاً، أو القيّم من قبله، أو عدول المؤمنين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بولايتهم، خرج منها الجدّ بالأدلّة المتقدّمة،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تعرّضت للتصرّفات الخارجية، كرواية عبداللّه بن يحيى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يبعد أن تكون صحيحة، أو حسنة كالصحيحة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ومعه خادم لهم، فنقعد على بساطهم، ونشرب من مائهم، ويخدمنا خادمهم، وربّما طعمنا فيه الطعام من عند صاحبنا، وفيه من طعامهم، فما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عليهم منفعة لهم فلا بأس، وإن كان فيه ضرر فلا</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يخفى عليكم،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السؤال عن جواز الدخول في بيت اليتيم، والتصرّف في أمواله،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المجوّز للدخول والتصرّف كونه منفعة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المنفعة المترتّبة على نفس الدخول مجوّزة، كما لو كان في دخوله جلب أنظار المحسنين إلى الأيتام، أو الأعمّ منها وممّا تترتّب على دخوله، كما لو كان معه محسن يريد جلب نظره إليهم، أو دخل وأراد إهداء هديّة نافعة لهم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الرواية سؤالاً وجواباً ناظرة إلى عوض التصرّفات، فضلاً عن عوض المثل، ولا ناظرة إلى الضمان فيما أتلف أو تصرّف فيه، بل ناظرة إلى المنافع الغالبة المترتّبة على الدخول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لمراعاة حال الأيتام، والكفيل لهم، والداخلين على الكفلاء؛ فإنّ في المنع مطلقاً ضيقاً على الكفيل والواردين عليه، وفي التجويز مطلقاً تصرّفاً في مال الأيتام بلا وجه، وضرراً عليهم، فأجاز الشارع الأقدس للداخل عليهم الدخول بشرط كونه منفعة لهم؛ بحيث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دخول فلان كان بنفع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أنّ الداخل إذا تصرّف في مالهم وأدّى عوضه، لا يكون دخوله بنفعهم عرفاً، وليس المراد جزماً تعقّب تصرّفه بشيء مساوٍ للإضرار بهم، فضلاً عن كونه أقلّ</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الذي تلاحظ الزيادة بالنسبة إليه هو الدخول في بيت اليتيم، والقعود على بساطه، والأكل من طعامه، فما يتعقّبه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يصل إلى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بالإضافة إلى ذلك الأصل، فمع تعقّب التصرّفات بشيء لا بأس، </w:t>
      </w:r>
    </w:p>
    <w:p>
      <w:pPr>
        <w:pStyle w:val="BookText"/>
        <w:rPr/>
      </w:pPr>
      <w:r>
        <w:rPr>
          <w:rFonts w:ascii="Amiri" w:hAnsi="Amiri" w:eastAsia="Amiri" w:cs="Amiri"/>
          <w:color w:val="111111"/>
          <w:sz w:val="28"/>
          <w:sz w:val="28"/>
          <w:szCs w:val="28"/>
          <w:rtl w:val="true"/>
          <w:lang w:bidi="ar-SA"/>
        </w:rPr>
        <w:t>لكن أتى بالشرطية الثانية لدفع توهّم أنّ مجرّد التعقيب بشيء كافٍ في الجواز، فلا بدّ أن لا يكون معه ضرر أصلاً، ثمّ حمل كلام الشيخ الأعظم قدّس سرّه</w:t>
      </w:r>
      <w:r>
        <w:rPr>
          <w:rStyle w:val="FootnoteAnchor"/>
          <w:rtl w:val="true"/>
        </w:rPr>
        <w:footnoteReference w:id="1482"/>
      </w:r>
      <w:r>
        <w:rPr>
          <w:rFonts w:ascii="Amiri" w:hAnsi="Amiri" w:eastAsia="Amiri" w:cs="Amiri"/>
          <w:color w:val="111111"/>
          <w:sz w:val="28"/>
          <w:sz w:val="28"/>
          <w:szCs w:val="28"/>
          <w:rtl w:val="true"/>
          <w:lang w:bidi="ar-SA"/>
        </w:rPr>
        <w:t>على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حقيق به</w:t>
      </w:r>
      <w:r>
        <w:rPr>
          <w:rStyle w:val="FootnoteAnchor"/>
          <w:rtl w:val="true"/>
        </w:rPr>
        <w:footnoteReference w:id="148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ينبغي أن يصدر من مثله؛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منفعة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لمراعاة حال اليتيم، ولا شبهة في أنّ من أتلف من ماله عشرة دنانير، ثمّ عقّب ذلك بإهداء دينار له،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دخوله على اليتيم منفعة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عقّبه بمثل ما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أمثال المقام لا بدّ من الرجوع إلى العرف، لا التحليلات العقلية الموجبة للخروج عن فهم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من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 لمراعاة حال الأيتام، يظهر عدم التنافي بين مفهومي الشرطيتين؛ فإنّ القرينة في المقام قائمة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زائد على ما أتلف على اليتيم، زيادةً يقال معها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دخوله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الميزان الشرطية الاُولى ومفهومها، فذكر الثانية لبيان مصداق من المفهوم، ولعلّ ما ذكر جار في غير المقام أيضاً، فتحمل الشرطية الثانية على بيان مصداق من مفهوم الاُولى في جميع الموارد إلاّ فيما دلّ الدليل على خلافه، ولو لم يسلّم في سائر المقامات ففي المقام لا بدّ من تسليمه؛ لقيام القرينة عليه، فتدبّر</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الداخل إن رأى أنّ في دخوله منفعة للأيتام مع لحاظ </w:t>
      </w:r>
    </w:p>
    <w:p>
      <w:pPr>
        <w:pStyle w:val="BookText"/>
        <w:rPr/>
      </w:pPr>
      <w:r>
        <w:rPr>
          <w:rFonts w:ascii="Amiri" w:hAnsi="Amiri" w:eastAsia="Amiri" w:cs="Amiri"/>
          <w:color w:val="111111"/>
          <w:sz w:val="28"/>
          <w:sz w:val="28"/>
          <w:szCs w:val="28"/>
          <w:rtl w:val="true"/>
          <w:lang w:bidi="ar-SA"/>
        </w:rPr>
        <w:t>ما أتلف عليه جاز، وإلاّ لم يجز، سواء كان ضرراً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تكون الإجازة مختصّة بأشباه ما في الخبر؛ من الدخول على من تكفّل الأيتام واختلط بهم، كما في الروايات المتقدّمة</w:t>
      </w:r>
      <w:r>
        <w:rPr>
          <w:rStyle w:val="FootnoteAnchor"/>
          <w:rtl w:val="true"/>
        </w:rPr>
        <w:footnoteReference w:id="1484"/>
      </w:r>
      <w:r>
        <w:rPr>
          <w:rFonts w:ascii="Amiri" w:hAnsi="Amiri" w:eastAsia="Amiri" w:cs="Amiri"/>
          <w:color w:val="111111"/>
          <w:sz w:val="28"/>
          <w:sz w:val="28"/>
          <w:szCs w:val="28"/>
          <w:rtl w:val="true"/>
          <w:lang w:bidi="ar-SA"/>
        </w:rPr>
        <w:t>المفسّرة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xml:space="preserve">إلى آخره، فأجاز الشارع الأقدس للكفيل الاختلاط بالأيتام في الأكل والشرب ونحوهما؛ لنكتة احتملناها سابقاً </w:t>
      </w:r>
      <w:r>
        <w:rPr>
          <w:rStyle w:val="FootnoteAnchor"/>
          <w:rtl w:val="true"/>
        </w:rPr>
        <w:footnoteReference w:id="1486"/>
      </w:r>
      <w:r>
        <w:rPr>
          <w:rFonts w:ascii="IRNazanin" w:hAnsi="IRNazanin" w:eastAsia="IRNazanin"/>
          <w:color w:val="111111"/>
          <w:sz w:val="28"/>
          <w:sz w:val="28"/>
          <w:szCs w:val="28"/>
          <w:rtl w:val="true"/>
          <w:lang w:bidi="fa-IR"/>
        </w:rPr>
        <w:t>، وأجاز للداخل الاختلاط بهم مع حصول النفع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غير هذه الصورة وأشباهها فمشكل، وإن احتمل جوازه مطلقاً؛ نظراً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أنّ تمام الموضوع مراعاة حال اليتيم وحصول النفع له، سواء كان في بيت كفيل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فإنّ إيصال النفع لا يتوقّف على التصرّف في ماله، والخروج عن القواعد مشكل، خصوصاً مع احتمال أن تكون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الداخل والمدخول عليه والأيتام جميعاً، كما أشرنا إليه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يصحّ إلحاق التصرّفات المعاملية بالتصرّفات المباشرية الخارجية، الواردة في حسنة الكاهلي بدعوى الأولوية</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لانتفاع المتصرّف دون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عدم الضرر والمفسدة، لجاز معه التصرّف الراجع إلى اليتيم بالأولوية؛ </w:t>
      </w:r>
    </w:p>
    <w:p>
      <w:pPr>
        <w:pStyle w:val="BookText"/>
        <w:rPr/>
      </w:pPr>
      <w:r>
        <w:rPr>
          <w:rFonts w:ascii="Amiri" w:hAnsi="Amiri" w:eastAsia="Amiri" w:cs="Amiri"/>
          <w:color w:val="111111"/>
          <w:sz w:val="28"/>
          <w:sz w:val="28"/>
          <w:szCs w:val="28"/>
          <w:rtl w:val="true"/>
          <w:lang w:bidi="ar-SA"/>
        </w:rPr>
        <w:t>حيث إنّه ليس فيه إلاّ تحمّل كلفة اليتيم</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مضافاً إلى أنّ تلك الأولويات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في الفقه، وليس لأحد دعوى القطع بعد ما نرى في الفقه ما لا يصل إليه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المبنى غير وجيه؛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اليتيم زائداً عمّا أتلف عليه</w:t>
      </w:r>
      <w:r>
        <w:rPr>
          <w:rStyle w:val="FootnoteAnchor"/>
          <w:rtl w:val="true"/>
        </w:rPr>
        <w:footnoteReference w:id="1489"/>
      </w:r>
      <w:r>
        <w:rPr>
          <w:rFonts w:ascii="Amiri" w:hAnsi="Amiri" w:eastAsia="Amiri" w:cs="Amiri"/>
          <w:color w:val="111111"/>
          <w:sz w:val="28"/>
          <w:sz w:val="28"/>
          <w:szCs w:val="28"/>
          <w:rtl w:val="true"/>
          <w:lang w:bidi="ar-SA"/>
        </w:rPr>
        <w:t>، فلا وجه لدعوى الأولوية، وإلحاق المشابه بالمشابه باطل وقياس،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إلحاق الأولى أيضاً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المحتمل قريباً في إجازة الداخل هو مراعاة الوارد والمورود عليه والأيتام جميعاً </w:t>
      </w:r>
      <w:r>
        <w:rPr>
          <w:rStyle w:val="FootnoteAnchor"/>
          <w:rtl w:val="true"/>
        </w:rPr>
        <w:footnoteReference w:id="1490"/>
      </w:r>
      <w:r>
        <w:rPr>
          <w:rFonts w:ascii="Amiri" w:hAnsi="Amiri" w:eastAsia="Amiri" w:cs="Amiri"/>
          <w:color w:val="111111"/>
          <w:sz w:val="28"/>
          <w:sz w:val="28"/>
          <w:szCs w:val="28"/>
          <w:rtl w:val="true"/>
          <w:lang w:bidi="ar-SA"/>
        </w:rPr>
        <w:t>، ومع هذا الاحتمال لا يمكن إلحاق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صحيحة علي بن رئاب</w:t>
      </w:r>
      <w:r>
        <w:rPr>
          <w:rStyle w:val="FootnoteAnchor"/>
          <w:rtl w:val="true"/>
        </w:rPr>
        <w:footnoteReference w:id="1491"/>
      </w:r>
      <w:r>
        <w:rPr>
          <w:rFonts w:ascii="Amiri" w:hAnsi="Amiri" w:eastAsia="Amiri" w:cs="Amiri"/>
          <w:color w:val="111111"/>
          <w:sz w:val="28"/>
          <w:sz w:val="28"/>
          <w:szCs w:val="28"/>
          <w:rtl w:val="true"/>
          <w:lang w:bidi="ar-SA"/>
        </w:rPr>
        <w:t>الواردة في التصرّف المعاملي تدفع هذه المزعمة؛ لما عرفت من أنّ الظاهر منها اختصاص صحّة تلك التصرّفات بالوليّ، ولا تنفذ من غيره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رواية الكاهلي</w:t>
      </w:r>
      <w:r>
        <w:rPr>
          <w:rStyle w:val="FootnoteAnchor"/>
          <w:rtl w:val="true"/>
        </w:rPr>
        <w:footnoteReference w:id="1493"/>
      </w:r>
      <w:r>
        <w:rPr>
          <w:rFonts w:ascii="Amiri" w:hAnsi="Amiri" w:eastAsia="Amiri" w:cs="Amiri"/>
          <w:color w:val="111111"/>
          <w:sz w:val="28"/>
          <w:sz w:val="28"/>
          <w:szCs w:val="28"/>
          <w:rtl w:val="true"/>
          <w:lang w:bidi="ar-SA"/>
        </w:rPr>
        <w:t xml:space="preserve">التي يظهر منها اشتراط جواز تصرّف الداخل بحصول منفعة للأيتام، قد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 xml:space="preserve">وفي روايات جواز مخالطة اليتيم التي لم يشترط فيها </w:t>
      </w:r>
    </w:p>
    <w:p>
      <w:pPr>
        <w:pStyle w:val="BookText"/>
        <w:rPr/>
      </w:pPr>
      <w:r>
        <w:rPr>
          <w:rFonts w:ascii="Amiri" w:hAnsi="Amiri" w:eastAsia="Amiri" w:cs="Amiri"/>
          <w:color w:val="111111"/>
          <w:sz w:val="28"/>
          <w:sz w:val="28"/>
          <w:szCs w:val="28"/>
          <w:rtl w:val="true"/>
          <w:lang w:bidi="ar-SA"/>
        </w:rPr>
        <w:t>المنفعة</w:t>
      </w:r>
      <w:r>
        <w:rPr>
          <w:rStyle w:val="FootnoteAnchor"/>
          <w:rtl w:val="true"/>
        </w:rPr>
        <w:footnoteReference w:id="1495"/>
      </w:r>
      <w:r>
        <w:rPr>
          <w:rFonts w:ascii="Amiri" w:hAnsi="Amiri" w:eastAsia="Amiri" w:cs="Amiri"/>
          <w:color w:val="111111"/>
          <w:sz w:val="28"/>
          <w:sz w:val="28"/>
          <w:szCs w:val="28"/>
          <w:rtl w:val="true"/>
          <w:lang w:bidi="ar-SA"/>
        </w:rPr>
        <w:t>، تمسّك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يتوهّم نحو منافاة بينهما، على ما استظهرناه من رواية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مع زيادة عن ثمن المثل، بمقدار يقال معه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الدخول على الأيتام منفعة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الاختلاط شاهدة على أنّ المراد بالمصلح عدم المفسد</w:t>
      </w:r>
      <w:r>
        <w:rPr>
          <w:rStyle w:val="FootnoteAnchor"/>
          <w:rtl w:val="true"/>
        </w:rPr>
        <w:footnoteReference w:id="1496"/>
      </w:r>
      <w:r>
        <w:rPr>
          <w:rFonts w:ascii="Amiri" w:hAnsi="Amiri" w:eastAsia="Amiri" w:cs="Amiri"/>
          <w:color w:val="111111"/>
          <w:sz w:val="28"/>
          <w:sz w:val="28"/>
          <w:szCs w:val="28"/>
          <w:rtl w:val="true"/>
          <w:lang w:bidi="ar-SA"/>
        </w:rPr>
        <w:t>، فتحمل رواية الكاهلي على ذلك، فتصير النتيجة كفاية أداء مقدار ما أتلف من مال الأيتام في جواز الدخول، وهو المراد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زعم غير وجيه؛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كون الأيتام في منازل من يكفلهم مختلطين بهم غير ممتازين في المأكل والمشرب عنهم وعن أطفالهم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يمسّوا ألم اليتم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بل مصالح كثيرة، ربّما ترجّح على المصالح المادّية، بل ربّما تورث في المستقبل تأهّلهم لجلب المنافع المادّية أيضاً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فإجازة الاختلاط والأكل على مأدبة واحدة كالإخوان وكالآباء والأولاد، إجازة لأمر ذي مصلحة ومنفعة، فلا تنافي بينها وبين رواية الكاهلي لدى التأمّل</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ما ذكرناه</w:t>
      </w:r>
      <w:r>
        <w:rPr>
          <w:rStyle w:val="FootnoteAnchor"/>
          <w:rtl w:val="true"/>
        </w:rPr>
        <w:footnoteReference w:id="1498"/>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w:t>
      </w:r>
      <w:r>
        <w:rPr>
          <w:rStyle w:val="FootnoteAnchor"/>
          <w:rtl w:val="true"/>
        </w:rPr>
        <w:footnoteReference w:id="1499"/>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كونه في مقام بيان حكم المستثنى، وأنّ الإجمال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الإجمال في المستثنى منه، فلا يكون حجّة إلاّ في الحرمة بغير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 وبين روايتي ابن رئاب والكاهلي، سواء اُريد بالآية الكريمة التصرّفات الاعتبارية، أو الخارجية، أو كلاهما،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في الجملتين، وبنينا على ظهور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التفضيل،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منها التصرّفات الاعتبارية، يقع التعارض بينها وبين صحيحة ابن رئاب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مفهوم الآية يقتضي جواز تصرّف كلّ أحد إذا كان على الوجه الأحسن، والصحيحة قصرت نفوذ التصرّف في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اعتبرت الأحسنية، والظاهر من الصحيحة كفاية المصلحة والحسن في تصرّف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بتخصيص الآية بها،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الرواية قصر جواز التصرّف بالوليّ، وإنّما استفدنا منها كفاية المصلحة لأجل التوصيف الوارد فيها،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لزم التخصيص الأكثري المستهجن، يجب طرح الرواية والأخذ بالآية، وإلاّ 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الرواية نفوذ تصرّف الوليّ إذا كان بوجه حسن، تقيّد الآية الشريفة بها، فتصير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نفوذ تصرّف كلّ أحد على أن يكون بالوجه الأحسن إلاّ الأولياء؛ فإنّ تصرّفهم نافذ بالوجه الحسن</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الكلام فيما إذا اُريد بالآية التصرّفات العينية الخارجية، وكذا إذا اُريد الأمران، ولا داعي لطول الكلام بعد فساد المبنى</w:t>
      </w:r>
      <w:r>
        <w:rPr>
          <w:rFonts w:eastAsia="Amiri" w:cs="Amiri" w:ascii="Amiri" w:hAnsi="Amiri"/>
          <w:color w:val="111111"/>
          <w:sz w:val="28"/>
          <w:szCs w:val="28"/>
          <w:rtl w:val="true"/>
          <w:lang w:bidi="ar-SA"/>
        </w:rPr>
        <w:t xml:space="preserve">. </w:t>
      </w:r>
      <w:bookmarkStart w:id="789" w:name="pg15204_140926"/>
    </w:p>
    <w:p>
      <w:pPr>
        <w:pStyle w:val="Heading4"/>
        <w:numPr>
          <w:ilvl w:val="3"/>
          <w:numId w:val="1"/>
        </w:numPr>
        <w:rPr/>
      </w:pPr>
      <w:bookmarkStart w:id="790" w:name="__RefHeading___Toc2759232_2142443653"/>
      <w:bookmarkStart w:id="791" w:name="_Toc292"/>
      <w:bookmarkEnd w:id="789"/>
      <w:bookmarkEnd w:id="790"/>
      <w:r>
        <w:rPr>
          <w:rtl w:val="true"/>
        </w:rPr>
        <w:t>مسألة جواز نقل المصحف إلى الكافر</w:t>
      </w:r>
      <w:bookmarkEnd w:id="791"/>
    </w:p>
    <w:p>
      <w:pPr>
        <w:pStyle w:val="BookText"/>
        <w:rPr/>
      </w:pPr>
      <w:r>
        <w:rPr>
          <w:rFonts w:ascii="Amiri" w:hAnsi="Amiri" w:eastAsia="Amiri" w:cs="Amiri"/>
          <w:color w:val="111111"/>
          <w:sz w:val="28"/>
          <w:sz w:val="28"/>
          <w:szCs w:val="28"/>
          <w:rtl w:val="true"/>
          <w:lang w:bidi="ar-SA"/>
        </w:rPr>
        <w:t>عن المشهور عدم جواز نقل المصحف إلى الكافر</w:t>
      </w:r>
      <w:r>
        <w:rPr>
          <w:rStyle w:val="FootnoteAnchor"/>
          <w:rtl w:val="true"/>
        </w:rPr>
        <w:footnoteReference w:id="1500"/>
      </w:r>
      <w:r>
        <w:rPr>
          <w:rFonts w:ascii="Amiri" w:hAnsi="Amiri" w:eastAsia="Amiri" w:cs="Amiri"/>
          <w:color w:val="111111"/>
          <w:sz w:val="28"/>
          <w:sz w:val="28"/>
          <w:szCs w:val="28"/>
          <w:rtl w:val="true"/>
          <w:lang w:bidi="ar-SA"/>
        </w:rPr>
        <w:t>، والظاهر أنّ هذا العنوان بمناسبة كتاب البيع، وإلاّ فمقتضى الأدلّة على فرض تماميتها عدم تملّك الكافر له، وهو أعمّ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تمحيص البحث في ذلك مع قطع النظر عن طريان عناوين اُخر، كعنوان الإهانة، ولزوم التنجيس؛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بالكافر، مضافاً إلى عدم تماميته</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الإهانة، فلا إشكال في حرمتها، لكن تعلّق الحكم بهذا العنوان لا يسري إلى عنوان البيع المتّحد معه في الخارج، على ما حقّق في اجتماع الأمر والنهي</w:t>
      </w:r>
      <w:r>
        <w:rPr>
          <w:rStyle w:val="FootnoteAnchor"/>
          <w:rtl w:val="true"/>
        </w:rPr>
        <w:footnoteReference w:id="1501"/>
      </w:r>
      <w:r>
        <w:rPr>
          <w:rFonts w:ascii="Amiri" w:hAnsi="Amiri" w:eastAsia="Amiri" w:cs="Amiri"/>
          <w:color w:val="111111"/>
          <w:sz w:val="28"/>
          <w:sz w:val="28"/>
          <w:szCs w:val="28"/>
          <w:rtl w:val="true"/>
          <w:lang w:bidi="ar-SA"/>
        </w:rPr>
        <w:t>، فلا يكون البيع بعنوانه محرّماً، مع أنّ التحريم لا يوجب البطلان، بل لازمه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في دعوى لزوم الإهانة</w:t>
      </w:r>
      <w:r>
        <w:rPr>
          <w:rStyle w:val="FootnoteAnchor"/>
          <w:rtl w:val="true"/>
        </w:rPr>
        <w:footnoteReference w:id="1502"/>
      </w:r>
      <w:r>
        <w:rPr>
          <w:rFonts w:ascii="Amiri" w:hAnsi="Amiri" w:eastAsia="Amiri" w:cs="Amiri"/>
          <w:color w:val="111111"/>
          <w:sz w:val="28"/>
          <w:sz w:val="28"/>
          <w:szCs w:val="28"/>
          <w:rtl w:val="true"/>
          <w:lang w:bidi="ar-SA"/>
        </w:rPr>
        <w:t xml:space="preserve">، فإنّها ممنوعة في أصل النقل والتملّك الاعتباريين، بل وفي التسليط الاعتباري والخارجي أيضاً،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عدّة من الملوك كتاباً يدعوهم إلى الإسلام، وكتب فيه آية من الكتاب العزيز،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 لى كَلِمَةٍ سَوَاءٍ بَيْنَنَا وَبَيْنَكُمْ</w:t>
      </w:r>
      <w:r>
        <w:rPr>
          <w:rFonts w:eastAsia="Amiri" w:cs="Amiri" w:ascii="Amiri" w:hAnsi="Amiri"/>
          <w:color w:val="111111"/>
          <w:sz w:val="28"/>
          <w:szCs w:val="28"/>
          <w:rtl w:val="true"/>
          <w:lang w:bidi="ar-SA"/>
        </w:rPr>
        <w:t>...»</w:t>
      </w:r>
      <w:r>
        <w:rPr>
          <w:rStyle w:val="FootnoteAnchor"/>
          <w:rtl w:val="true"/>
        </w:rPr>
        <w:footnoteReference w:id="1503"/>
      </w:r>
      <w:r>
        <w:rPr>
          <w:rFonts w:ascii="IRNazanin" w:hAnsi="IRNazanin" w:eastAsia="IRNazanin"/>
          <w:color w:val="111111"/>
          <w:sz w:val="28"/>
          <w:sz w:val="28"/>
          <w:szCs w:val="28"/>
          <w:rtl w:val="true"/>
          <w:lang w:bidi="fa-IR"/>
        </w:rPr>
        <w:t>إلى آخره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التسليط الخارجي إهانة لما فعل؛ فإنّ أجزاء المصحف كنفسه، إلاّ أن يفرّق بين الأجزاء التي وقعت بين الكلام الخارجي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النقل ونحوه إهانة للكتاب، بل لعلّ نشره 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التشبّث بحرمة التنجيس</w:t>
      </w:r>
      <w:r>
        <w:rPr>
          <w:rStyle w:val="FootnoteAnchor"/>
          <w:rtl w:val="true"/>
        </w:rPr>
        <w:footnoteReference w:id="1505"/>
      </w:r>
      <w:r>
        <w:rPr>
          <w:rFonts w:ascii="Amiri" w:hAnsi="Amiri" w:eastAsia="Amiri" w:cs="Amiri"/>
          <w:color w:val="111111"/>
          <w:sz w:val="28"/>
          <w:sz w:val="28"/>
          <w:szCs w:val="28"/>
          <w:rtl w:val="true"/>
          <w:lang w:bidi="ar-SA"/>
        </w:rPr>
        <w:t>لعدم الملازمة بين النقل والتسليط وبين التنجيس، ولو تمّ ذلك لما اختصّ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حرمة التنجيس لا توجب حرمة البيع أو النقل أو التسليط،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مقدّمة الحرام</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ويتلوهما في الضعف دعوى استفادة الحكم من حرمة التنجيس بالأولوية القطعية، وهي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هي آية نفي السبيل</w:t>
      </w:r>
      <w:r>
        <w:rPr>
          <w:rStyle w:val="FootnoteAnchor"/>
          <w:rtl w:val="true"/>
        </w:rPr>
        <w:footnoteReference w:id="1506"/>
      </w:r>
      <w:r>
        <w:rPr>
          <w:rFonts w:ascii="Amiri" w:hAnsi="Amiri" w:eastAsia="Amiri" w:cs="Amiri"/>
          <w:color w:val="111111"/>
          <w:sz w:val="28"/>
          <w:sz w:val="28"/>
          <w:szCs w:val="28"/>
          <w:rtl w:val="true"/>
          <w:lang w:bidi="ar-SA"/>
        </w:rPr>
        <w:t>والنبوي المشهور</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الآية الكريمة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حسب ما في التفاسير</w:t>
      </w:r>
      <w:r>
        <w:rPr>
          <w:rStyle w:val="FootnoteAnchor"/>
          <w:rtl w:val="true"/>
        </w:rPr>
        <w:footnoteReference w:id="1508"/>
      </w:r>
      <w:r>
        <w:rPr>
          <w:rFonts w:ascii="Amiri" w:hAnsi="Amiri" w:eastAsia="Amiri" w:cs="Amiri"/>
          <w:color w:val="111111"/>
          <w:sz w:val="28"/>
          <w:sz w:val="28"/>
          <w:szCs w:val="28"/>
          <w:rtl w:val="true"/>
          <w:lang w:bidi="ar-SA"/>
        </w:rPr>
        <w:t xml:space="preserve">وغيرها </w:t>
      </w:r>
      <w:r>
        <w:rPr>
          <w:rStyle w:val="FootnoteAnchor"/>
          <w:rtl w:val="true"/>
        </w:rPr>
        <w:footnoteReference w:id="1509"/>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النصر، أو بمعنى الحجّة في الدنيا، أو الآخرة، أو بمعنى السلطنة الاعتبارية،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معناه، وهو الطريق في جميع الاستعمالات التي وقعت في الكتاب الكريم وغيره، ومواردها كثيرة جدّاً في الكتاب العزيز، لكن اُريد منه في بعضها معناه الحقيقي بحسب الجدّ، وفي أغلبها المعنى المجازي بنحو الحقيقة الادّعائية،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الْمُجْرِمِينَ</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الْمُفْسِدِينَ</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الرُّشْدِ</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الغَىِّ</w:t>
      </w:r>
      <w:r>
        <w:rPr>
          <w:rFonts w:eastAsia="Amiri" w:cs="Amiri" w:ascii="Amiri" w:hAnsi="Amiri"/>
          <w:color w:val="111111"/>
          <w:sz w:val="28"/>
          <w:szCs w:val="28"/>
          <w:rtl w:val="true"/>
          <w:lang w:bidi="ar-SA"/>
        </w:rPr>
        <w:t>»</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516"/>
      </w:r>
      <w:r>
        <w:rPr>
          <w:rFonts w:ascii="Amiri" w:hAnsi="Amiri" w:eastAsia="Amiri" w:cs="Amiri"/>
          <w:color w:val="111111"/>
          <w:sz w:val="28"/>
          <w:sz w:val="28"/>
          <w:szCs w:val="28"/>
          <w:rtl w:val="true"/>
          <w:lang w:bidi="ar-SA"/>
        </w:rPr>
        <w:t>بدعوى كون المعنويات كالحسّيات، ونحوها آية نفي السبيل، فلم يستعمل السبيل في النصر أو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الممكن أن يكون المراد نفي جعل السبيل مطلقاً، فالمراد أنّه تعالى لن يجعل للكافرين طريقاً وسبيلاً على المؤمنين، لا في التكوين، ولا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التكوين؛ فلأنّه تعالى أيّد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بتأييدات كثيرة؛ معنوية، وصورية، وإمداد من الملائكة، والوعد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توجب قوّةً وشدّةً واطمئناناً للجيش الإسلامي،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يَكْفِيَكُمْ أَنْ يُمِدَّكُمْ رَبُّكُمْ بِثَلاَثَةِ آلاَفٍ مِنَ الْمَلاَئِكَةِ مُنْزَلِينَ</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التي توجب تقوية النفوس والاطمئنان بالفتح، وأمثال ذلك من أقوى علل النصر والفتح، مضافاً إلى واقعياتها؛ من نزول الملائكة وإمدادهم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جعل طرقاً كثيرة للمؤمنين على الكافرين في التكوين، ولم يجعل ولن يجعل للكافرين على المؤمنين طريقاً وسبيلاً؛ إذ لم يؤيّدهم بتأييد صوري أو معنوي يوجب تقويتهم وغلبتهم، فهذه التأييدات والسبل اُمور زائدة على ما هو المشترك بين طوائف البشر؛ من إعطاء العقل، والقوّة،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في التكوين، بل جعل لهم عليهم سبيلاً بل طرقاً وسبلاً، وكذا لم يجعل طريقاً لهم على المؤمنين في الاحتجاج؛ فإنّ كتاب المؤمنين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بل حجّة المؤمنين حجّة ظاهرة قويّة</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التشريع؛ فلأنّه لن يجعل اللّه للكافرين سلطة اعتبارية على المؤمنين، مثل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وسلطاناً على الناس، ومن بعده خلفاءه المعصومين عليهم الصلاة والسلام، ومن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باللّه الاُمناء </w:t>
      </w:r>
    </w:p>
    <w:p>
      <w:pPr>
        <w:pStyle w:val="BookText"/>
        <w:rPr/>
      </w:pPr>
      <w:r>
        <w:rPr>
          <w:rFonts w:ascii="Amiri" w:hAnsi="Amiri" w:eastAsia="Amiri" w:cs="Amiri"/>
          <w:color w:val="111111"/>
          <w:sz w:val="28"/>
          <w:sz w:val="28"/>
          <w:szCs w:val="28"/>
          <w:rtl w:val="true"/>
          <w:lang w:bidi="ar-SA"/>
        </w:rPr>
        <w:t>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طريق وسبيل لن يجعله لهم عليهم، كما أنّ الحجّة للمؤمنين على الكافرين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السبيل مطلقاً لازمه نفي جميع السبل تكويناً وتشريعاً، فلم يكن الأمر دائراً بين أحد المعاني، كما يظهر من المفسّرين وغيرهم</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الغضّ عن صدر الآية، وأمّا مع ملاحظته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 فَإِنْ كَانَ لَكُمْ فَتْحٌ مِنَ اللّه‌ِ قَالُوا أَ لَمْ نَكُنْ مَعَكُمْ وَإِنْ كَانَ لِلْكَافِرِينَ نَصِيبٌ قَالُوا أَ لَمْ نَسْتَحْوِذْ عَلَيْكُمْ وَنَمْنَعْكُمْ مِنَ الْمُؤْمِنِينَ فَاللّه‌ُ يَحْكُمُ بَيْنَكُمْ يَوْمَ الْقِيَامَةِ وَلَنْ يَجْعَلَ اللّه‌ُ</w:t>
      </w:r>
      <w:r>
        <w:rPr>
          <w:rFonts w:eastAsia="Amiri" w:cs="Amiri" w:ascii="Amiri" w:hAnsi="Amiri"/>
          <w:color w:val="111111"/>
          <w:sz w:val="28"/>
          <w:szCs w:val="28"/>
          <w:rtl w:val="true"/>
          <w:lang w:bidi="ar-SA"/>
        </w:rPr>
        <w:t>...»</w:t>
      </w:r>
      <w:r>
        <w:rPr>
          <w:rStyle w:val="FootnoteAnchor"/>
          <w:rtl w:val="true"/>
        </w:rPr>
        <w:footnoteReference w:id="152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وقوعه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يَحْكُمُ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دليل على أنّ المراد نفي السبيل في القيامة</w:t>
      </w:r>
      <w:r>
        <w:rPr>
          <w:rStyle w:val="FootnoteAnchor"/>
          <w:rtl w:val="true"/>
        </w:rPr>
        <w:footnoteReference w:id="1527"/>
      </w:r>
      <w:r>
        <w:rPr>
          <w:rFonts w:ascii="Amiri" w:hAnsi="Amiri" w:eastAsia="Amiri" w:cs="Amiri"/>
          <w:color w:val="111111"/>
          <w:sz w:val="28"/>
          <w:sz w:val="28"/>
          <w:szCs w:val="28"/>
          <w:rtl w:val="true"/>
          <w:lang w:bidi="ar-SA"/>
        </w:rPr>
        <w:t>، وأنت خبير بأنّه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ذلك لنكتة مذكورة في الصدر،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فَتْحٌ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الفتح منه تعالى وبتأييده وإمداده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لهم نصيب فلم يسمّه فتحاً، ولا نسبه إلى نفسه</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هذه التفرقة؛ وأنّ النصيب الذي لهم ليس بإمداد من اللّه وتأييد وجعل سبيل، بخلاف فتح المسلمين، فإنّه فتح من قبل اللّه، وجعل سبيل للمسلمين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مع ذلك لا توجب تلك المناسبة صرف الكبرى إلى خصوص المورد، فلا يبعد استفادة مطلق السبيل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إسراء الحكم من المؤمنين إلى كتاب اللّه وسائر المقدّسات،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النقل إليهم، أو بطلانه، أو عدم تملّك الكافر إيّاها، إمّا بدعوى أنّ تسلّطهم عليها سبيل على المؤمنين</w:t>
      </w:r>
      <w:r>
        <w:rPr>
          <w:rStyle w:val="FootnoteAnchor"/>
          <w:rtl w:val="true"/>
        </w:rPr>
        <w:footnoteReference w:id="1528"/>
      </w:r>
      <w:r>
        <w:rPr>
          <w:rFonts w:ascii="Amiri" w:hAnsi="Amiri" w:eastAsia="Amiri" w:cs="Amiri"/>
          <w:color w:val="111111"/>
          <w:sz w:val="28"/>
          <w:sz w:val="28"/>
          <w:szCs w:val="28"/>
          <w:rtl w:val="true"/>
          <w:lang w:bidi="ar-SA"/>
        </w:rPr>
        <w:t>، أو بأنّ علّة نفي السبيل موجودة فيها؛ فإنّ حرمة القرآن أعظم من حرمة المؤمنين</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فإنّ مالكية الكتاب ونحوه من كتب الأحاديث والفقه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المالك مسلّطاً على ماله بالبيع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سبيلاً على المؤمنين،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نشرها في بلاد الكفّار، وبسط المعارف الإلهية والأحكام والشرائع الإسلامية في أصقاعهم، نحو سبيل للمؤمنين على الكافرين، وطريق لهم عليهم لنفوذ الأحكام والحقائق الإسلامية في قلوبهم، ولعلّ ذلك يوجب انصرافهم أو تزلزلهم عن تلك الخرافات الموجودة في كتبهم التي حرّفت عن أصلها</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يتّضح أنّ علّة نفي السبيل على المؤمنين احترام المؤمن، بل يمكن أن يكون له وجه سياسي، هو عطف نظر المسلمين إلى لزوم الخروج عن سلطة الكفّار بأيّة وسيلة ممكنة؛ فإنّ تسلّطهم عليهم وعلى بلادهم ليس من اللّه تعالى؛ فإنّه لن يجعل للكافرين عليهم سبيلاً وسلطة، لئلاّ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التسلّط كان </w:t>
      </w:r>
    </w:p>
    <w:p>
      <w:pPr>
        <w:pStyle w:val="BookText"/>
        <w:rPr/>
      </w:pPr>
      <w:r>
        <w:rPr>
          <w:rFonts w:ascii="Amiri" w:hAnsi="Amiri" w:eastAsia="Amiri" w:cs="Amiri"/>
          <w:color w:val="111111"/>
          <w:sz w:val="28"/>
          <w:sz w:val="28"/>
          <w:szCs w:val="28"/>
          <w:rtl w:val="true"/>
          <w:lang w:bidi="ar-SA"/>
        </w:rPr>
        <w:t>بتقدير من اللّه وقضائه، ولا بدّ من التسليم له والرضا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تسليم للذلّ والظلم، وأبى اللّه تعالى ذلك؛ فإنّ العزّة للّه ولرسوله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النكتة السياسية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نشر الكتاب العزيز مع ما له من المحاسن والمعاني العالية والاُسلوب الخاصّ به، ومع اشتماله على الحقائق والمعارف التي تخلو منها سائر الكتب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كالتوراة والأناجيل الموجودة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بل لازم، والمسلمون مأمورون بتبليغ الإسلام والأحكام، وأحسن وسيلة لذلك نشر كتاب اللّه تعالى في بلاد الكفّار، وكذا نشر سائر الكتب المقدّسة المشتملة على الأخبار والمعارف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حفظ القرآن وسائر المقدّسات عن الوصول إليهم، خلاف مذاق الشارع الأقدس؛ من لزوم تبليغ الإسلام، وبسط أحكامه، ولزوم هداية الناس مع الإمكان بأيّة وسيلة ممكنة، واحتمال مسّ الكتاب أحياناً لا يزاحم تلك المصلحة الغالبة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في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مكاتيبه الشريفة المشتملة على آية كريمة من القرآن إلى السلاطين المعاصرين له</w:t>
      </w:r>
      <w:r>
        <w:rPr>
          <w:rStyle w:val="FootnoteAnchor"/>
          <w:rtl w:val="true"/>
        </w:rPr>
        <w:footnoteReference w:id="1530"/>
      </w:r>
      <w:r>
        <w:rPr>
          <w:rFonts w:ascii="Amiri" w:hAnsi="Amiri" w:eastAsia="Amiri" w:cs="Amiri"/>
          <w:color w:val="111111"/>
          <w:sz w:val="28"/>
          <w:sz w:val="28"/>
          <w:szCs w:val="28"/>
          <w:rtl w:val="true"/>
          <w:lang w:bidi="ar-SA"/>
        </w:rPr>
        <w:t>، مع احتمال مسّهم إيّاها؛ وذلك لأهمّية إبلاغ الإسلام وتبليغ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متّبع على عدم الجواز فلا مناص من العمل به، لكن لا دليل عليه؛ إذ قد عرفت عدم دلالة الآية الكريمة</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كونه </w:t>
      </w:r>
    </w:p>
    <w:p>
      <w:pPr>
        <w:pStyle w:val="BookText"/>
        <w:rPr/>
      </w:pPr>
      <w:r>
        <w:rPr>
          <w:rFonts w:ascii="Amiri" w:hAnsi="Amiri" w:eastAsia="Amiri" w:cs="Amiri"/>
          <w:color w:val="111111"/>
          <w:sz w:val="28"/>
          <w:sz w:val="28"/>
          <w:szCs w:val="28"/>
          <w:rtl w:val="true"/>
          <w:lang w:bidi="ar-SA"/>
        </w:rPr>
        <w:t>معتمداً عليه؛ لكونه مشهوراً بين الفريقين على ما شهد به الأعلام</w:t>
      </w:r>
      <w:r>
        <w:rPr>
          <w:rStyle w:val="FootnoteAnchor"/>
          <w:rtl w:val="true"/>
        </w:rPr>
        <w:footnoteReference w:id="1531"/>
      </w:r>
      <w:r>
        <w:rPr>
          <w:rFonts w:ascii="IRNazanin" w:hAnsi="IRNazanin" w:eastAsia="IRNazanin"/>
          <w:color w:val="111111"/>
          <w:sz w:val="28"/>
          <w:sz w:val="28"/>
          <w:szCs w:val="28"/>
          <w:rtl w:val="true"/>
          <w:lang w:bidi="fa-IR"/>
        </w:rPr>
        <w:t xml:space="preserve">، والشيخ الصدوق قدّس سرّه نسبه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w:t>
      </w:r>
      <w:r>
        <w:rPr>
          <w:rStyle w:val="FootnoteAnchor"/>
          <w:rtl w:val="true"/>
        </w:rPr>
        <w:footnoteReference w:id="1532"/>
      </w:r>
      <w:r>
        <w:rPr>
          <w:rFonts w:ascii="Amiri" w:hAnsi="Amiri" w:eastAsia="Amiri" w:cs="Amiri"/>
          <w:color w:val="111111"/>
          <w:sz w:val="28"/>
          <w:sz w:val="28"/>
          <w:szCs w:val="28"/>
          <w:rtl w:val="true"/>
          <w:lang w:bidi="ar-SA"/>
        </w:rPr>
        <w:t>، فهو من المراسيل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دلالته على حرمة نقل المصحف وغيره من المقدّسات إلى الكفّار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هو الظاهر منه من كونه جملة إخبارية؛ فلأنّه محمول إمّا على كون الإسلام يعلو على سائر الأديان حجّة وبرهاناً،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أي ليعليه على الأديان حجّة وبرهاناً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على غلبته على الأديان خارجاً،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فلا ربط له بالمقصود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الحمل على إرادة الإنشاء جدّاً من الجملة الإخبارية؛ فلأ نّه يكون المفاد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أن يعلو، ولا بدّ ألاّ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أن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حثّ المسلمين وتحريضهم على الجهد في علوّ الإسلام حجّة وغلبة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فعليه يكون نشر كتب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طليعتها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وسائل علوّه وغلبة حجّته، بل دخيلاً في غلبته خارجاً أيضاً، فلو لم تدلّ الرواية على لزوم نشره بالنقل إليهم وغيره، فلا تدلّ على ما راموه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حرمة النقل، أو عدم تملّك الكافر إيّاه، أو سائر الكتب المقدّسة، فمقتضى القاعدة صحّة نقله إليه وتملّكه له، على نحو ما صحّ للمسلم</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في هذا الجزء، والحمد للّه أوّلاً وآخراً،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5204_140937"/>
      <w:bookmarkStart w:id="793" w:name="pg15204_140937"/>
      <w:bookmarkEnd w:id="793"/>
    </w:p>
    <w:p>
      <w:pPr>
        <w:pStyle w:val="Heading2"/>
        <w:numPr>
          <w:ilvl w:val="1"/>
          <w:numId w:val="1"/>
        </w:numPr>
        <w:rPr/>
      </w:pPr>
      <w:bookmarkStart w:id="794" w:name="pg15204_140937"/>
      <w:bookmarkStart w:id="795" w:name="__RefHeading___Toc2759234_2142443653"/>
      <w:bookmarkStart w:id="796" w:name="_Toc293"/>
      <w:bookmarkEnd w:id="794"/>
      <w:bookmarkEnd w:id="795"/>
      <w:r>
        <w:rPr>
          <w:rtl w:val="true"/>
        </w:rPr>
        <w:t>الفهارس العامّة</w:t>
      </w:r>
      <w:bookmarkEnd w:id="796"/>
    </w:p>
    <w:p>
      <w:pPr>
        <w:pStyle w:val="Heading3"/>
        <w:numPr>
          <w:ilvl w:val="2"/>
          <w:numId w:val="1"/>
        </w:numPr>
        <w:rPr/>
      </w:pPr>
      <w:bookmarkStart w:id="797" w:name="__RefHeading___Toc2759236_2142443653"/>
      <w:bookmarkStart w:id="798" w:name="_Toc294"/>
      <w:bookmarkEnd w:id="797"/>
      <w:r>
        <w:rPr>
          <w:rtl w:val="true"/>
        </w:rPr>
        <w:t>اشارة</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5204_140939"/>
      <w:bookmarkStart w:id="800" w:name="pg15204_140939"/>
      <w:bookmarkEnd w:id="800"/>
    </w:p>
    <w:p>
      <w:pPr>
        <w:pStyle w:val="Heading3"/>
        <w:numPr>
          <w:ilvl w:val="2"/>
          <w:numId w:val="1"/>
        </w:numPr>
        <w:rPr/>
      </w:pPr>
      <w:bookmarkStart w:id="801" w:name="pg15204_140939"/>
      <w:bookmarkStart w:id="802" w:name="__RefHeading___Toc2759238_2142443653"/>
      <w:bookmarkStart w:id="803" w:name="_Toc295"/>
      <w:bookmarkEnd w:id="801"/>
      <w:bookmarkEnd w:id="802"/>
      <w:r>
        <w:rPr>
          <w:rtl w:val="true"/>
        </w:rPr>
        <w:t>فهرس الآيات الكريمة</w:t>
      </w:r>
      <w:bookmarkEnd w:id="803"/>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 لَكُمُ الْخَيْطُ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الْيَتَامَى قُلْ إِصْلاَحٌ لَهُمْ خَيْرٌ وَإِنْ تُخَالِطُوهُمْ فَإِخْوَانُكُمْ وَاللّه‌ُ يَعْلَمُ الْمُفْسِدَ مِنَ الْمُصْلِحِ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لَهُمْ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فَإِخْوَانُكُمْ وَاللّه‌ُ يَعْلَمُ الْمُفْسِدَ مِنَ الْمُصْلِحِ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فَإِخْوَانُكُمْ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يَعْلَمُ الْمُفْسِدَ مِنَ الْمُصْلِحِ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الَّذِى بِيَدِهِ عُقْدَةُ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مِنَ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وَأَنْتُمْ أَذِلَّةٌ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الْيَتَامَى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الَّتِى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 وَاكْسُوهُمْ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 فَإِنْ آنَسْتُمْ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فِى بُطُونِهِمْ نَاراً وَسَيَصْلَوْنَ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أَمْوَالَكُمْ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 ْمُرُكُمْ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 يُّهَا الَّذِينَ آمَنُوا أَطِيعُوا اللّه‌َ وَأَطِيعُوا الرَّسُولَ وَأُولِى الْأَمْرِ مِنْكُمْ فَإِنْ تَنَازَعْتُمْ فِى شَىْ‌ءٍ فَرُدُّوهُ إِلَى اللّه‌ِ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 لَى الَّذِينَ يَزْعُمُونَ أَنَّهُمْ آمَنُوا بِمَا أُنزِلَ إِلَيْكَ وَمَا اُنْزِلَ مِنْ قَبْلِكَ 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يَتَحَاكَمُوا إِلَى الطَّاغُوتِ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وَقَدْ أُمِرُوا أَنْ يَكْفُرُوا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فَتْحٌ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الْأَنْفَالِ قُلِ الْأَنْفَالُ 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نَّمَا غَنِمْتُمْ مِنْ شَىْ‌ءٍ فَأَنَّ للّه‌ِ خُمُسَهُ وَلِلرَّسُولِ وَلِذِى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شَىْ‌ءٍ فَأَنَّ للّه‌ِ خُمُسَهُ وَلِلرَّسُولِ وَلِذِى الْقُرْبى وَالْيَتَامَى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يُغْنِى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فَتَمَسَّكُمُ النَّارُ وَمَا لَكُمْ مِنْ دُونِ اللّه‌ِ مِنْ أَوْلِيَآءَ ثُمَّ لاَ تُنْصَرُونَ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فِى الأَرْضِ فَاحْكُمْ بَيْنَ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يُغْنِى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الاْءِنْسَانُ عَلَى نَفْسِهِ 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bookmarkStart w:id="804" w:name="pg15204_140949"/>
    </w:p>
    <w:p>
      <w:pPr>
        <w:pStyle w:val="Heading3"/>
        <w:numPr>
          <w:ilvl w:val="2"/>
          <w:numId w:val="1"/>
        </w:numPr>
        <w:rPr/>
      </w:pPr>
      <w:bookmarkStart w:id="805" w:name="__RefHeading___Toc2759240_2142443653"/>
      <w:bookmarkStart w:id="806" w:name="_Toc296"/>
      <w:bookmarkEnd w:id="804"/>
      <w:bookmarkEnd w:id="805"/>
      <w:r>
        <w:rPr>
          <w:rtl w:val="true"/>
        </w:rPr>
        <w:t>فهرس الأحاديث الشريفة</w:t>
      </w:r>
      <w:bookmarkEnd w:id="806"/>
    </w:p>
    <w:p>
      <w:pPr>
        <w:pStyle w:val="BookText"/>
        <w:rPr/>
      </w:pPr>
      <w:r>
        <w:rPr>
          <w:rFonts w:ascii="Amiri" w:hAnsi="Amiri" w:eastAsia="Amiri" w:cs="Amiri"/>
          <w:color w:val="111111"/>
          <w:sz w:val="28"/>
          <w:sz w:val="28"/>
          <w:szCs w:val="28"/>
          <w:rtl w:val="true"/>
          <w:lang w:bidi="ar-SA"/>
        </w:rPr>
        <w:t xml:space="preserve">اتّباع السلطان، فإذا فعلوا ذلك فاحذروهم على دينكم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اتّقوا الحكومة؛ فإنّ الحكومة إنّما هي للإمام العالم بالقضاء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أحبّ إليّ أن ترضى بقول الجدّ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إذا أتى عليه ثلاث عشرة سنة، فإن احتلم قبل ذلك فقد وجب عليه الصلاة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إذا أقامت معه بعد ما أفاقت فهو رضاً منها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إذا بلغ الحلم كتبت عليه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إذا رضي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إذا زوّجت فقد انقطع ملك الوصيّ عنها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إذا شهد عند الإمام شاهدان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إذا صمت حين يعلم ذلك فقد أقرّ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إذا علمت أ نّها لا تفسد ولا تضيّع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إذا علمت أ نّها لا تفسد ولا تضيّع ، يدفع إليها مالها </w:t>
      </w:r>
      <w:r>
        <w:rPr>
          <w:rFonts w:eastAsia="Amiri" w:cs="Amiri" w:ascii="Amiri" w:hAnsi="Amiri"/>
          <w:color w:val="111111"/>
          <w:sz w:val="28"/>
          <w:szCs w:val="28"/>
          <w:lang w:bidi="ar-SA"/>
        </w:rPr>
        <w:t>31</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الأكابر من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الأكابر من ولده معه في البيع فلا بأس به إذا رضي الورثة بالبيع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إذا كان القيّم به مثلك ومثل عبدالحميد فلا بأس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إذا كان القيّم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إذا كان بينهما نحاس أو ذهب فلا بأس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إذا كره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إذا كره الغائب لم يجز النكاح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إذا مات المؤمن الفقيه ثلم في الإسلام ثلمة لا يسدّها شيء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إذا مات المؤمن بكت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إذا مات المؤمن بكت عليه الملائكة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استوثق من مالك ما استطعت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الإسلام يعلو ولا يعلى عليه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اشتر لنا به شاة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أفتخر يوم القيامة بعلماء اُمّتي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اُمّتي كسائر أنبياء قبلي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أفلا يجعلون فيها ذهباً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أفلا يجعلون فيها ذهباً لمكان زيادتها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الذين يأتون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الذين يأتون من بعدي، يروون عنّي حديثي وسنّتي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الذي هوى الجدّ أحقّ بالجارية ؛ لأ نّها وأباها للجدّ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أليس إن شاء 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أليس إن شاء ترك، وإن شاء أخذ؟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أمّا الحجّة فقد مضت بما فيها لا تردّ، وأمّا المعتق فهو ردّ في الرقّ </w:t>
      </w:r>
      <w:r>
        <w:rPr>
          <w:rFonts w:eastAsia="Amiri" w:cs="Amiri" w:ascii="Amiri" w:hAnsi="Amiri"/>
          <w:color w:val="111111"/>
          <w:sz w:val="28"/>
          <w:szCs w:val="28"/>
          <w:lang w:bidi="ar-SA"/>
        </w:rPr>
        <w:t>185</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تزويجه فهو صحيح ، وأمّا طلاقه فينبغي أن تحبس عليه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علمت أنّ القلم يرفع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أما علمت أنّ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أما علمت أنّ اللّه رفع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أمر الإمام بالإفطار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كلّ متاع كنت تجده في الوقت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أنّ الابنة ووالدها لجدّها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إنّ الأنبياء لم يورّثوا ديناراً ولا درهماً، ولكن ورّثوا العلم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أنّ الأنفال لرسول اللّه ولنا بعده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إنّ الجارية ليست مثل الغلام، إنّ الجارية إذا تزوّجت ودخل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 الجدّ إذا زوّج ابنة ابنه، وكان أبوها حيّاً، وكان الجدّ مرضيّاً، جاز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إنّ الخلق لمّا وقفوا على حدّ 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أنّ الزائد يرجع إلى الوالي، والتقسيم بنظره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إنّ اللّه تبارك وتعالى أنزل في القرآن تبيان كلّ شيء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أنّ المهر على الذي زوّجها، وإنّما صار عليه المهر؛ لأ نّه دلّسها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إنّ النكاح أحرى أن يحتاط فيه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أمير المؤمنين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أن تشتري معها ثوباً أو متاعاً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إنّ ذلك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إذا ظهر الجور؟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القوم سيفتنون بأموالهم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أنّ سهم اللّه لرسول اللّه، وسهم رسول اللّه للإمام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إن شاء ترك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إنّ شيعتنا من ذلك وآباءهم في حلّ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الصبيان خطأ، يحمل على العاقلة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 قام رجل ثقة قاسمهم ذلك كلّه فلا بأس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انقطاع يتم اليتيم بالاحتلام، وهو أشدّه، وإن احتلم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كان أبواهما اللذان زوّجاهما فنعم جائز، ولكن لهما الخيار إذا أدركا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إن كان الشيء قائماً بعينه ردّ على صاحبه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إن كان ربح فلليتيم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إن كان ربح فلليتيم، وإن كان وضيعة فالذي أعطى ضامن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كان في دخولكم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إن كان في دخولكم عليهم منفعة لهم فلا بأس، وإن كان فيه ضرر فلا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إن كان في دخولكم منفعة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إن كان قد مسّها في الفرج فإنّ طلاقها جائز عليها وعليه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إن كان لهم وليّ يقوم بأمرهم باع عليهم ونظر لهم، وكان مأجوراً فيهم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إنّما أتى شيئاً حلالاً، وليس بعاصٍ للّه، إنّما عصى سيّده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إنّما جاء بأبيه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أبي وقد ظلمني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إنّ مال الولد للوالد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أنّ ما لرسول اللّه فهو للإمام </w:t>
      </w:r>
      <w:r>
        <w:rPr>
          <w:rFonts w:eastAsia="IRNazanin" w:cs="IRNazanin"/>
          <w:color w:val="111111"/>
          <w:sz w:val="28"/>
          <w:szCs w:val="28"/>
          <w:lang w:bidi="fa-IR"/>
        </w:rPr>
        <w:t>703</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للّه هو للرسول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هي بما يرجى عندكم من القيام بحقّ اللّه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إنّما يحلّل الكلام، ويحرّم الكلام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أ نّه كان يقول في المجنون والمعتوه الذي لا يفيق والصبيّ الذي لم يبلغ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إنّه لم يعصِ اللّه، إنّما عصى سيّده، فإذا أجازه فهو له جائز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إنّه لم يعصِ اللّه، وإنّما عصى سيّده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إنّه لو كان الربا حلالاً، لترك الناس التجارات وما يحتاجون إليه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أ نّه نهى عن بيع ما ليس عندك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 نّه يُمسك أربعاً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إنّي لذات يوم عند زياد بن عبداللّه، إذ جاء رجل يستعدي على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اُولئك رفقائي في الجنّة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أي عروة، ائت الجلب فاشتر لنا شاة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بارك اللّه في صفقة يمينك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باع عليهم ونظر لهم </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 xml:space="preserve">بأنّ الأب وماله لوالده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بأنّ الولد وماله للوالد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بأ نّهم حجّتي عليكم، وأنا حجّة اللّه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بقدر ما أتلف من ماله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بقدر ما ذهب من ماله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بيع ما ليس عندي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تحمله العاقلة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تدفع إلى مولاها هي وولدها، وعلى مولاها أن يدفع ولدها إلى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ترثه إن مات، ولا يرثها؛ لأنّ لها الخيار، ولا خيار عليها </w:t>
      </w:r>
      <w:r>
        <w:rPr>
          <w:rFonts w:eastAsia="Amiri" w:cs="Amiri" w:ascii="Amiri" w:hAnsi="Amiri"/>
          <w:color w:val="111111"/>
          <w:sz w:val="28"/>
          <w:szCs w:val="28"/>
          <w:lang w:bidi="ar-SA"/>
        </w:rPr>
        <w:t>175</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 الوليدة على مواليها، والولد للرجل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تقوّم الجارية، ويغرم ثمنها للشركاء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جاز عليه أمره، إلاّ أن يكون سفيهاً أو ضعيفاً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الجبر من السلطان، والإكراه من الزوجة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الجبر من السلطان، ويكون الإكراه من الزوجة والاُمّ والأب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الجدّ أولى بذلك ما لم يكن مضارّاً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جعلته حاكماً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الجنود بإذن اللّه حصون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الحجّة قد مضت بما فيها لا تردّ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حرام بيعها وثمنها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خذ الربح، وأعطه النصف وأحلّه، إنّ هذا رجل تائب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درهم منه أعظم من سبعين زنية بذات محرم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ذاك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أرأيت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كيف يصنع؟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ذاك إلى سيّده، إن شاء أجازه، وإن شاء فرّق بينهما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ذلك إقرار منهم، أنت على نكاحك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ذلك إلى مولاه، إن شاء فرّق بينهما، وإن شاء أجاز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ذلك فساد على أصحابه، فلا يستطيعون بيعه ولا مؤاجرته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ذلك لمولاه، إن شاء فرّق بينهما، وإن شاء أجاز نكاحهما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اُكرهوا عليه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يعلمون وما اضطرّوا إليه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سبحان اللّه، ما أجور هذا الحُكم وأفسده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أحرى أن يحتاط فيه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السلطان وليّ من لا وليّ له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صنائع المعروف تقي مصارع السوء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 xml:space="preserve">ضمن بقدر ما أتلف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ضمنوا ما شهدوا به وغرموا، وإن لم يكن قضي طرحت شهادتهم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العلماء باللّه الاُمناء على حلاله وحرامه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العلماء حكّام على الناس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علموا أ نّك تزوّجت؟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على كتاب اللّه وسنّة نبيّه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على ما شرط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عمد الصبيّ خطأ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عمد الصبيّ وخطأه واحد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عمده خطأ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عمده خطأ يحمل على العاقلة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عمدهما خطأ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عمدهما خطأ تحمله العاقلة، وقد رفع عنهما القلم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عمده وخطأُه سواء </w:t>
      </w:r>
      <w:r>
        <w:rPr>
          <w:rFonts w:eastAsia="IRNazanin" w:cs="IRNazanin"/>
          <w:color w:val="111111"/>
          <w:sz w:val="28"/>
          <w:szCs w:val="28"/>
          <w:lang w:bidi="fa-IR"/>
        </w:rPr>
        <w:t>43</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وخطأه واحد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عونك الضعيف من أفضل الصدقة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غرمه بما جنت يده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الغصب كلّه مردود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فاحذروهم على أديانكم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فإذا كانوا لا يعلمون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فإذا لم يكن إلى أجل كان أجود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فارجعوا فيها إلى رواة حديثنا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فاشتر لنا شاة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فأمّا وجه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للّه خمس الغنائم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فإن جاوزها وهلك المال فهو ضامن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فانظروا علمكم هذا عمّن تأخذونه؛ فإنّ فينا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اُولي الأمر، وأمر بطاعتهم؟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فإن لم يقدر على العبد كان ثمنه الذي نقد في الشيء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فإنّهم حجّتي عليكم، وأنا حجّة اللّه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فإنّي قد جعلته حاكماً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منكم جاريتكم فلانة وهذا المتاع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فجعل عليهم قيّماً يمنعهم من الفساد، ويقيم فيهم الحدود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 xml:space="preserve">فرار من باطل إلى حقّ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فسهم اللّه وسهم رسول اللّه لاُولي الأمر من بعد رسول اللّه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فعلى الإمام أن يفتديه، ولا يملك ولد حرّ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فعلى الإمام أن يقيم الحدّ عليه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ففرض اللّه الإيمان تطهيراً من الشرك </w:t>
      </w:r>
      <w:r>
        <w:rPr>
          <w:rFonts w:eastAsia="Amiri" w:cs="Amiri" w:ascii="Amiri" w:hAnsi="Amiri"/>
          <w:color w:val="111111"/>
          <w:sz w:val="28"/>
          <w:szCs w:val="28"/>
          <w:lang w:bidi="ar-SA"/>
        </w:rPr>
        <w:t>660</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الفقهاء اُمناء الرسل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بأس به إذا رضي الورثة وقام عدل في ذلك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فلا يخرج منهم إلى غيرهم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فليرضوا به حكماً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فليمسك عنه وليّه ماله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فمن أخذ بشيء منها فقد أخذ حظّاً وافراً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في الرهن إذا ضاع من عند المرتهن من غير أن يستهلكه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فيعلّمونها الناس من بعدي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اُمناء الرسل ما لم يدخلوا في الدنيا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 ونسيانها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قد جلست مجلساً لا يجلسه إلاّ نبي، أو وصيّ نبي، أو شقيّ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قد رفع عنهما القلم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قد زوّجتكها على ما تحسن من القرآن، فعلّمها إيّاه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 برصاء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عليه رجلان بأ نّه سرق، فقطع يده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وأبوه 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قضى في وليدة باعها ابن سيّدها وأبوه غائب، فاشتراها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قوته بغير سرف إذا اضطرّ إليه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القيّم لهم الناظر فيما يصلحهم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كان محمّد بن المنكدر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واللّه إنّا لنعلم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أجير يعطى الاُجرة على أن يصلح فيفسد، فهو ضامن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كما غرّ الرجل وخدعه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لا، إذا كان ناظراً له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لا بأس بألف درهم ودرهم بألف درهم ودينارين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لا بأس بأن يشتري الطعام وليس هو عند صاحبه حالاًّ، وإلى أجل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بأس بذلك إذا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أنفذ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القيّم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لا بأس بذلك، اشترها ولا تواجبه البيع قبل أن تستوجبها أو تشتريها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لا بأس بذلك، إنّ أبي كان أجرأ على أهل المدينة منّي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لا بأس بذلك، إنّما البيع بعد ما يشتريه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لا بأس بذلك، قد فعل ذلك أبي، وأمرني أن أفعل ذلك في شيء كان عليه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لا بأس به، إنّما يحلّل الكلام، ويحرّم الكلام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لا بأس به، قد أمرني أبي ففعلت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لا بأس به؛ من أجل أنّ أباه قد أذن له في ذلك وهو حيّ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لا بيع إلاّ فيما تملك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لا بيع إلاّ فيما تملكه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لا تبع ما لا تملك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لا تقربنّه فلا تقربنّه </w:t>
      </w:r>
      <w:r>
        <w:rPr>
          <w:rFonts w:eastAsia="Amiri" w:cs="Amiri" w:ascii="Amiri" w:hAnsi="Amiri"/>
          <w:color w:val="111111"/>
          <w:sz w:val="28"/>
          <w:szCs w:val="28"/>
          <w:lang w:bidi="ar-SA"/>
        </w:rPr>
        <w:t>588</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حدّ على مجنون حتّى يفيق، ولا على صبيّ حتّى يدرك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خير في هذا، أفلا يجعلون فيها ذهباً لمكان زيادتها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لا طلاق إلاّ فيما تملك، ولا عتق إلاّ فيما تملك، ولا بيع إلاّ فيما تملك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لا طلاق إلاّ فيما تملكه، ولا بيع إلاّ فيما تملكه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اُمّتي ما اُكرهوا عليه، وما لم يطيقوا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لا؛ لأنّ لها الخيار إذا أدركت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لأنّ لها الخيار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لأ نّها وأباها للجدّ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لا يبطل حقّ مسلم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يجوز أمره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لا يجوز بيع ما ليس يملك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لا يجوز بيع ما ليس يملك، وقد وجب الشراء من البائع على ما يملك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لا يحلّ مال امرئ مسلم إلاّ بطيبة نفس منه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لا يحلّ مال امرئ مسلم إلاّ بطيبة نفسه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لا يصلح إلاّ أن يشتري معه شيئاً آخر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لا يصلح شراؤها إلاّ أن تشتري منهم معها ثوباً أو متاعاً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لا يصلح له أن يحدث في ماله إلاّ الأكلة من الطعام، ونكاحه فاسد مردود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لا يصلح له أن يعمل به حتّى يحتلم ويدفع إليه ماله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لا يمين في غضب ولا في قطيعة رحم ولا في جبر ولا في إكراه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لا ينبغي أن يكون الوالي على الفروج والدماء والمغانم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ينجّسه شيء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لرسول اللّه، وما كان لرسول اللّه فهو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للذي لم يعلم ولم يأذن أن يفرّق بينهما، وإن شاء تركه على نكاحه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لو جاء بدينار لم يعط ألف درهم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اللهمّ بارك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اللهمّ بارك له في صفقة يمينه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له من الربح، وليس عليه من الوضيعة شيء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ليس بين الصبيان قصاص، عمدهم خطأ، يكون فيه العقل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اُحبّ أن يأخذ من مال ابنه إلاّ ما احتاج إليه ممّا لا بدّ منه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ما اُكرهوا عليه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ما خالف قول ربّنا لم نقله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ما قتل المجنون المغلوب على عقله والصبيّ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كان لأبي بسبب الإمامة فهو لي، وما كان غير ذلك فهو ميراث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المال الذي يعمل به مُضاربة له من الربح، وليس عليه من الوضيعة شيء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المال للأب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ما ليس يملك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مجاري الاُمور والأحكام على أيدي العلماء باللّه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المعروف شيء سوى الزكاة، فتقرّبوا إلى اللّه عزّ وجلّ بالبرّ وصلة الرحم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المغرور يرجع إلى من غرّه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من أجل أنّ أباه قد أذن له في ذلك وهو حيّ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من أقرّ على نفسه عند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من تحاكم إليهم في حقّ أو باطل فإنّما تحاكم إلى الطاغوت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الفقيه في هذا الوقت كمنزلة الأنبياء من بني إسرائيل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منزلة الفقيه كمنزلة الأنبياء في بني إسرائيل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من سلك طريقاً يطلب فيه علماً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من كان في يده مال بعض اليتامى، فلا يجوز أن يعطيه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الناظر فيما يصلحهم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النبي يرى في منامه، ويسمع الصوت، ولا يعاين الملك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نعم الشيء الفرار من الحرام إلى الحلال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نعم، كما يعمل بمال غيره، والربح بينهما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نعم؛ لأ نّه أخذه رهناً فيه فضل وضيّعه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نعم، يشهدون على شيء مفهوم معروف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نعم، يعزل ميراثها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نعم، يعزل ميراثها منه حتّى تدرك، وتحلف باللّه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النكاح جائز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النكاح جائز، أ يّهما أدرك كان له الخيار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كسب الإماء؛ فإنّها إن لم تجد زنت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نهى عن بيع ما ليس عندك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الواجب على الإمام إذا نظر إلى رجل 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عليه الحدّ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والإمامة نظاماً للاُمّة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والأنفال إلى الوالي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والطاعة نظاماً للملّة، والإمامة لمّاً من الفرقة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والغلام لا يجوز أمره في الشراء والبيع، ولا يخرج عن اليتم حتّى يبلغ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واللّه لهي أحبّ إليّ من إمرتكم </w:t>
      </w:r>
      <w:r>
        <w:rPr>
          <w:rFonts w:eastAsia="Amiri" w:cs="Amiri" w:ascii="Amiri" w:hAnsi="Amiri"/>
          <w:color w:val="111111"/>
          <w:sz w:val="28"/>
          <w:szCs w:val="28"/>
          <w:lang w:bidi="ar-SA"/>
        </w:rPr>
        <w:t>664</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يعلم المفسد من المصلح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وأمّا ما جاء في القرآن من ذكر معايش الخلق وأسبابها، فقد أعلمنا سبحانه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وإن احتلم ولم يؤنس منه رشده وكان سفيهاً أو ضعيفاً، فليمسك عنه وليّه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وإنّ العلماء ورثة الأنبياء، إنّ الأنبياء لم يورّثوا ديناراً ولا درهماً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وإنّما أورثوا أحاديث من أحاديثهم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وأيّ شيء يقولون في السلم؟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وبالإدهان والمصانعة عند الظلمة تأمنون، كلّ ذلك ممّا أمر اللّه به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وترك معاونة المظلومين، والركون إلى الظالمين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وثمن الخمر والنبيذ والمسكر والربا بعد 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سحت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وجب الشراء من البائع على ما يملك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وصنعت كيف؟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وعلّة تحريم الربا بالنسيئة لعلّة ذهاب المعروف، وتلف الأموال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وعلّة تحريم الربا لما نهى اللّه عزّ وجلّ عنه، ولما فيه من فساد الأموال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وعلى الذي زوّجه قيمة ثمن الولد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وقام عدل في ذلك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وقد ترون عهود اللّه منقوضة فلا تفزعون، وأنتم لبعض ذمم آبائكم تفزعون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وقد رفع عنهما القلم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وقد زوّجتكها فضمّها إليك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وقد وجب الشراء من البائع على ما يملك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ولا يقوم إلاّ بأن يجعل عليهم فيه أميناً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ولا يكون مضيّعاً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وله أن يسدّ بذلك المال جميع ما ينوبه؛ من مثل إعطاء المؤلّفة قلوبهم </w:t>
      </w:r>
      <w:r>
        <w:rPr>
          <w:rFonts w:eastAsia="Amiri" w:cs="Amiri" w:ascii="Amiri" w:hAnsi="Amiri"/>
          <w:color w:val="111111"/>
          <w:sz w:val="28"/>
          <w:szCs w:val="28"/>
          <w:lang w:bidi="ar-SA"/>
        </w:rPr>
        <w:t>705</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سهمان وراثة، وسهم مقسوم له من اللّه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صوافي الملوك ما كان في أيديهم على غير وجه الغصب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وله نصف الخمس كَمَلاً، ونصف الخمس الباقي بين أهل بيته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وليس تقوم الرعية إلاّ بهم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وما الرفقة؟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ومعونة الظالمين، والركون إليهم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ويرجع بالمهر على من غرّه بها، وإن كانت هي التي غرّته رجع به عليها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ويستحلّون حرامه بالشبهات الكاذبة، والأهواء الساهية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ويضرب الشاهدان الحدّ، ويضمنان المهر لها عن الرجل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هذا فساد على أصحابه، يقوّم قيمة، ثمّ يضمن الثمن الذي أعتقه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هو ضامن والربح بينهما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هو ضامن، والربح بينهما على ما شرط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يا أبا محمّد، إذا كان المؤمن غنيّاً وصولاً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أجر ما ينفق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يأخذ الجارية المستحقّ، ويدفع إليه المبتاع قيمة الولد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يجلد دون الحدّ، ويغرم قيمة البهيمة لصاحبها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يجوز ذلك عليه إن هو رضي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يجوز عليها تزويج الأب، ويجوز على الغلام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يعقل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يردّ إليه جاريته، ويعوّضه بما انتفع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يسعى أبوه في ثمنه حتّى يؤدّيه ويأخذ ولده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يضربان الحدّ، ويضمنان الصداق للزوج، ثمّ تعتدّ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يضمن المال، والربح بينهما </w:t>
      </w:r>
      <w:r>
        <w:rPr>
          <w:rFonts w:eastAsia="Amiri" w:cs="Amiri" w:ascii="Amiri" w:hAnsi="Amiri"/>
          <w:color w:val="111111"/>
          <w:sz w:val="28"/>
          <w:szCs w:val="28"/>
          <w:lang w:bidi="ar-SA"/>
        </w:rPr>
        <w:t>177</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يضمنان 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يضمنان الصداق للزوج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يقوّم قيمة، فيجعل على الذي أعتقه عقوبة، وإنّما جعل ذلك لما أفسده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يقوّمها قيمة عدل ثمّ يأخذها، ويكون لولده عليه ثمنها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يُمسك إحداهنّ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يمضي على نكاحه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يؤدّي من المال الذي شهد عليه بقدر ما ذهب من ماله </w:t>
      </w:r>
      <w:r>
        <w:rPr>
          <w:rFonts w:eastAsia="Amiri" w:cs="Amiri" w:ascii="Amiri" w:hAnsi="Amiri"/>
          <w:color w:val="111111"/>
          <w:sz w:val="28"/>
          <w:szCs w:val="28"/>
          <w:lang w:bidi="ar-SA"/>
        </w:rPr>
        <w:t>494</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يوقف الميراث حتّى يدرك أيّهما بقي، ثمّ يحلف باللّه ما دعاه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807" w:name="pg15204_140965"/>
    </w:p>
    <w:p>
      <w:pPr>
        <w:pStyle w:val="Heading3"/>
        <w:numPr>
          <w:ilvl w:val="2"/>
          <w:numId w:val="1"/>
        </w:numPr>
        <w:rPr/>
      </w:pPr>
      <w:bookmarkStart w:id="808" w:name="__RefHeading___Toc2759242_2142443653"/>
      <w:bookmarkStart w:id="809" w:name="_Toc297"/>
      <w:bookmarkEnd w:id="807"/>
      <w:bookmarkEnd w:id="808"/>
      <w:r>
        <w:rPr>
          <w:rtl w:val="true"/>
        </w:rPr>
        <w:t xml:space="preserve">فهرس أسماء المعصومين </w:t>
      </w:r>
      <w:r>
        <w:rPr>
          <w:rtl w:val="true"/>
        </w:rPr>
        <w:t>(</w:t>
      </w:r>
      <w:r>
        <w:rPr>
          <w:rtl w:val="true"/>
        </w:rPr>
        <w:t>عليهم السّلام</w:t>
      </w:r>
      <w:r>
        <w:rPr>
          <w:rtl w:val="true"/>
        </w:rPr>
        <w:t>)</w:t>
      </w:r>
      <w:bookmarkEnd w:id="809"/>
    </w:p>
    <w:p>
      <w:pPr>
        <w:pStyle w:val="BookText"/>
        <w:rPr/>
      </w:pPr>
      <w:r>
        <w:rPr>
          <w:rFonts w:ascii="IRNazanin" w:hAnsi="IRNazanin" w:eastAsia="IRNazanin"/>
          <w:color w:val="111111"/>
          <w:sz w:val="28"/>
          <w:sz w:val="28"/>
          <w:szCs w:val="28"/>
          <w:rtl w:val="true"/>
          <w:lang w:bidi="fa-IR"/>
        </w:rPr>
        <w:t xml:space="preserve">النبي،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نبي الإسلام</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 xml:space="preserve">علي، سيّد الوصيّين،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الأوّل</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الثالث</w:t>
      </w:r>
    </w:p>
    <w:p>
      <w:pPr>
        <w:pStyle w:val="BookText"/>
        <w:rPr/>
      </w:pPr>
      <w:r>
        <w:rPr>
          <w:rFonts w:ascii="Amiri" w:hAnsi="Amiri" w:eastAsia="Amiri" w:cs="Amiri"/>
          <w:color w:val="111111"/>
          <w:sz w:val="28"/>
          <w:sz w:val="28"/>
          <w:szCs w:val="28"/>
          <w:rtl w:val="true"/>
          <w:lang w:bidi="ar-SA"/>
        </w:rPr>
        <w:t xml:space="preserve">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الثالث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الباقر ،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الخامس</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الخامس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الصادق ،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السادس</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السادس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الكاظم، العبد الصالح، أبو إبراهيم،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السابع</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السابع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الثامن</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الثامن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العاشر</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العاشر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العسكري، أبو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الحادي عشر</w:t>
      </w:r>
    </w:p>
    <w:p>
      <w:pPr>
        <w:pStyle w:val="BookText"/>
        <w:rPr/>
      </w:pPr>
      <w:r>
        <w:rPr>
          <w:rFonts w:ascii="Amiri" w:hAnsi="Amiri" w:eastAsia="Amiri" w:cs="Amiri"/>
          <w:color w:val="111111"/>
          <w:sz w:val="28"/>
          <w:sz w:val="28"/>
          <w:szCs w:val="28"/>
          <w:rtl w:val="true"/>
          <w:lang w:bidi="ar-SA"/>
        </w:rPr>
        <w:t xml:space="preserve">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الحادي عشر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صاحب الأمر ، ولي الأمر،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الثاني عشر</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داود، النبي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bookmarkStart w:id="810" w:name="pg15204_140967"/>
    </w:p>
    <w:p>
      <w:pPr>
        <w:pStyle w:val="Heading3"/>
        <w:numPr>
          <w:ilvl w:val="2"/>
          <w:numId w:val="1"/>
        </w:numPr>
        <w:rPr/>
      </w:pPr>
      <w:bookmarkStart w:id="811" w:name="__RefHeading___Toc2759244_2142443653"/>
      <w:bookmarkStart w:id="812" w:name="_Toc298"/>
      <w:bookmarkEnd w:id="810"/>
      <w:bookmarkEnd w:id="811"/>
      <w:r>
        <w:rPr>
          <w:rtl w:val="true"/>
        </w:rPr>
        <w:t>فهرس الأعلام</w:t>
      </w:r>
      <w:bookmarkEnd w:id="812"/>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الآمدي، عبدالواحد بن محمّد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إبراهيم</w:t>
      </w:r>
    </w:p>
    <w:p>
      <w:pPr>
        <w:pStyle w:val="BookText"/>
        <w:rPr/>
      </w:pPr>
      <w:r>
        <w:rPr>
          <w:rFonts w:ascii="Amiri" w:hAnsi="Amiri" w:eastAsia="Amiri" w:cs="Amiri"/>
          <w:color w:val="111111"/>
          <w:sz w:val="28"/>
          <w:sz w:val="28"/>
          <w:szCs w:val="28"/>
          <w:rtl w:val="true"/>
          <w:lang w:bidi="ar-SA"/>
        </w:rPr>
        <w:t xml:space="preserve">إبراهيم بن عبدالحميد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ابن أشيم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الحجّاج</w:t>
      </w:r>
    </w:p>
    <w:p>
      <w:pPr>
        <w:pStyle w:val="BookText"/>
        <w:rPr/>
      </w:pPr>
      <w:r>
        <w:rPr>
          <w:rFonts w:ascii="Amiri" w:hAnsi="Amiri" w:eastAsia="Amiri" w:cs="Amiri"/>
          <w:color w:val="111111"/>
          <w:sz w:val="28"/>
          <w:sz w:val="28"/>
          <w:szCs w:val="28"/>
          <w:rtl w:val="true"/>
          <w:lang w:bidi="ar-SA"/>
        </w:rPr>
        <w:t>ابن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الحسن بن محمّد</w:t>
      </w:r>
    </w:p>
    <w:p>
      <w:pPr>
        <w:pStyle w:val="BookText"/>
        <w:rPr/>
      </w:pPr>
      <w:r>
        <w:rPr>
          <w:rFonts w:ascii="Amiri" w:hAnsi="Amiri" w:eastAsia="Amiri" w:cs="Amiri"/>
          <w:color w:val="111111"/>
          <w:sz w:val="28"/>
          <w:sz w:val="28"/>
          <w:szCs w:val="28"/>
          <w:rtl w:val="true"/>
          <w:lang w:bidi="ar-SA"/>
        </w:rPr>
        <w:t xml:space="preserve">ابن الغضائري، أحمد بن الحسين الغضائري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الحلّي، الحسن بن علي</w:t>
      </w:r>
    </w:p>
    <w:p>
      <w:pPr>
        <w:pStyle w:val="BookText"/>
        <w:rPr/>
      </w:pPr>
      <w:r>
        <w:rPr>
          <w:rFonts w:ascii="Amiri" w:hAnsi="Amiri" w:eastAsia="Amiri" w:cs="Amiri"/>
          <w:color w:val="111111"/>
          <w:sz w:val="28"/>
          <w:sz w:val="28"/>
          <w:szCs w:val="28"/>
          <w:rtl w:val="true"/>
          <w:lang w:bidi="ar-SA"/>
        </w:rPr>
        <w:t xml:space="preserve">ابن داود الحلّي، الحسن بن علي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p>
    <w:p>
      <w:pPr>
        <w:pStyle w:val="BookText"/>
        <w:rPr/>
      </w:pPr>
      <w:r>
        <w:rPr>
          <w:rFonts w:ascii="IRNazanin" w:hAnsi="IRNazanin" w:eastAsia="IRNazanin"/>
          <w:color w:val="111111"/>
          <w:sz w:val="28"/>
          <w:sz w:val="28"/>
          <w:szCs w:val="28"/>
          <w:rtl w:val="true"/>
          <w:lang w:bidi="fa-IR"/>
        </w:rPr>
        <w:t>ابن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مروان</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مسكان</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أبو الربيع</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أبو خديجة، سالم بن مكرم الجمّال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أبو ظبيان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أحمد بن محمّد</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الرشتي، حبيب اللّه بن محمّد علي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إسماعيل بن أبي الصباح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إسماعيل بن صباح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الأشعري، إسماعيل بن سعد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الأصفهاني، محمّدتقي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الأصفهاني، محمّد حسين بن عبدالرحيم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الأعمش، سليمان بن مهران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488</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Amiri" w:hAnsi="Amiri" w:eastAsia="Amiri" w:cs="Amiri"/>
          <w:color w:val="111111"/>
          <w:sz w:val="28"/>
          <w:sz w:val="28"/>
          <w:szCs w:val="28"/>
          <w:rtl w:val="true"/>
          <w:lang w:bidi="ar-SA"/>
        </w:rPr>
        <w:t xml:space="preserve">الأنصاري، جابر بن عبداللّه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البارقي، عروة بن أبي الجعد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بحر العلوم، محمّد مهدي بن المرتضى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أسداللّه بن إسماعيل</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المدقّقين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المفكّرين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 جواهر لال</w:t>
      </w:r>
    </w:p>
    <w:p>
      <w:pPr>
        <w:pStyle w:val="BookText"/>
        <w:rPr/>
      </w:pPr>
      <w:r>
        <w:rPr>
          <w:rFonts w:ascii="Amiri" w:hAnsi="Amiri" w:eastAsia="Amiri" w:cs="Amiri"/>
          <w:color w:val="111111"/>
          <w:sz w:val="28"/>
          <w:sz w:val="28"/>
          <w:szCs w:val="28"/>
          <w:rtl w:val="true"/>
          <w:lang w:bidi="ar-SA"/>
        </w:rPr>
        <w:t>بعض أهل التدقيق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 حبيب اللّه بن محمّد علي</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أسداللّه بن إسماعيل</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جابر بن عبداللّه</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حريز بن عبداللّه</w:t>
      </w:r>
    </w:p>
    <w:p>
      <w:p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 xml:space="preserve">الحسن بن زياد الطائي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الحسن بن علي</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 الحسن بن محبوب</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 الحسين بن سعيد</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الحميري، أبو العبّاس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عبداللّه بن جعفر</w:t>
      </w:r>
    </w:p>
    <w:p>
      <w:p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الخادم، أبو الحسين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خالد بن بكير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p>
    <w:p>
      <w:pPr>
        <w:pStyle w:val="BookText"/>
        <w:rPr/>
      </w:pPr>
      <w:r>
        <w:rPr>
          <w:rFonts w:ascii="Amiri" w:hAnsi="Amiri" w:eastAsia="Amiri" w:cs="Amiri"/>
          <w:color w:val="111111"/>
          <w:sz w:val="28"/>
          <w:sz w:val="28"/>
          <w:szCs w:val="28"/>
          <w:rtl w:val="true"/>
          <w:lang w:bidi="ar-SA"/>
        </w:rPr>
        <w:t xml:space="preserve">الراوندي الكاشاني، فضل اللّه بن علي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 سعيد بن هبة اللّه</w:t>
      </w:r>
    </w:p>
    <w:p>
      <w:pPr>
        <w:pStyle w:val="BookText"/>
        <w:rPr/>
      </w:pP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الرشتي، حبيب اللّه بن محمّد علي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رفاعة بن موسى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 رفاعة بن موسى</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زكريّا بن آدم</w:t>
      </w:r>
    </w:p>
    <w:p>
      <w:pPr>
        <w:pStyle w:val="BookText"/>
        <w:rPr/>
      </w:pPr>
      <w:r>
        <w:rPr>
          <w:rFonts w:ascii="Amiri" w:hAnsi="Amiri" w:eastAsia="Amiri" w:cs="Amiri"/>
          <w:color w:val="111111"/>
          <w:sz w:val="28"/>
          <w:sz w:val="28"/>
          <w:szCs w:val="28"/>
          <w:rtl w:val="true"/>
          <w:lang w:bidi="ar-SA"/>
        </w:rPr>
        <w:t xml:space="preserve">زياد بن عبداللّه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الأقطع، سليمان بن خالد</w:t>
      </w:r>
    </w:p>
    <w:p>
      <w:pPr>
        <w:pStyle w:val="BookText"/>
        <w:rPr/>
      </w:pP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السمّان، سعيد الأعرج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الشامي، أبو الربيع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زين الدين بن علي</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الشيباني، يونس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الكاظمي، أسداللّه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صاحب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IRNazanin" w:hAnsi="IRNazanin" w:eastAsia="IRNazanin"/>
          <w:color w:val="111111"/>
          <w:sz w:val="28"/>
          <w:sz w:val="28"/>
          <w:szCs w:val="28"/>
          <w:rtl w:val="true"/>
          <w:lang w:bidi="fa-IR"/>
        </w:rPr>
        <w:t xml:space="preserve">صاحب الجواهر، محمّد حسن بن باقر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تقي</w:t>
      </w:r>
    </w:p>
    <w:p>
      <w:pPr>
        <w:pStyle w:val="BookText"/>
        <w:rPr/>
      </w:pP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يوسف بن أحمد</w:t>
      </w:r>
    </w:p>
    <w:p>
      <w:pPr>
        <w:pStyle w:val="BookText"/>
        <w:rPr/>
      </w:pPr>
      <w:r>
        <w:rPr>
          <w:rFonts w:ascii="Amiri" w:hAnsi="Amiri" w:eastAsia="Amiri" w:cs="Amiri"/>
          <w:color w:val="111111"/>
          <w:sz w:val="28"/>
          <w:sz w:val="28"/>
          <w:szCs w:val="28"/>
          <w:rtl w:val="true"/>
          <w:lang w:bidi="ar-SA"/>
        </w:rPr>
        <w:t>صاحب الفصول الغروية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p>
    <w:p>
      <w:pPr>
        <w:pStyle w:val="BookText"/>
        <w:rPr/>
      </w:pPr>
      <w:r>
        <w:rPr>
          <w:rFonts w:ascii="Amiri" w:hAnsi="Amiri" w:eastAsia="Amiri" w:cs="Amiri"/>
          <w:color w:val="111111"/>
          <w:sz w:val="28"/>
          <w:sz w:val="28"/>
          <w:szCs w:val="28"/>
          <w:rtl w:val="true"/>
          <w:lang w:bidi="ar-SA"/>
        </w:rPr>
        <w:t>محمّد حسين بن عبدالرحيم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المقابس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الكاظمي، أسداللّه بن إسماعيل </w:t>
      </w:r>
    </w:p>
    <w:p>
      <w:pPr>
        <w:pStyle w:val="BookText"/>
        <w:rPr/>
      </w:pPr>
      <w:r>
        <w:rPr>
          <w:rFonts w:ascii="Amiri" w:hAnsi="Amiri" w:eastAsia="Amiri" w:cs="Amiri"/>
          <w:color w:val="111111"/>
          <w:sz w:val="28"/>
          <w:sz w:val="28"/>
          <w:szCs w:val="28"/>
          <w:rtl w:val="true"/>
          <w:lang w:bidi="ar-SA"/>
        </w:rPr>
        <w:t>صاحب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صاحب هداية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تقي</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الصفّار، أبو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محمّد بن الحسن</w:t>
      </w:r>
    </w:p>
    <w:p>
      <w:pPr>
        <w:pStyle w:val="BookText"/>
        <w:rPr/>
      </w:pPr>
      <w:r>
        <w:rPr>
          <w:rFonts w:ascii="IRNazanin" w:hAnsi="IRNazanin" w:eastAsia="IRNazanin"/>
          <w:color w:val="111111"/>
          <w:sz w:val="28"/>
          <w:sz w:val="28"/>
          <w:szCs w:val="28"/>
          <w:rtl w:val="true"/>
          <w:lang w:bidi="fa-IR"/>
        </w:rPr>
        <w:t xml:space="preserve">الصفّار، محمّد بن الحسن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الصيقل، منصور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الطبرسي، الفضل بن الحسن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الطوسي، الحسن بن محمّد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عبّاد بن كثير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عبدالحميد بن سالم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عبداللّه بن مسكان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العلاء بن سيابة</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علي بن إبراهيم</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710</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مروان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الفشاركي، محمّد باقر بن محمّد جعفر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فضل بن شاذان</w:t>
      </w:r>
    </w:p>
    <w:p>
      <w:pPr>
        <w:pStyle w:val="BookText"/>
        <w:rPr/>
      </w:pPr>
      <w:r>
        <w:rPr>
          <w:rFonts w:ascii="Amiri" w:hAnsi="Amiri" w:eastAsia="Amiri" w:cs="Amiri"/>
          <w:color w:val="111111"/>
          <w:sz w:val="28"/>
          <w:sz w:val="28"/>
          <w:szCs w:val="28"/>
          <w:rtl w:val="true"/>
          <w:lang w:bidi="ar-SA"/>
        </w:rPr>
        <w:t xml:space="preserve">الفضل بن عبدالملك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الفيض الكاشاني، محمّد بن شاه مرتضى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 xml:space="preserve">القمّي، زكريّا بن آدم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الكاظمي، أسداللّه بن إسماعيل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الكاهلي، عبداللّه بن يحيى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الكليني، محمّد بن محمّد بن عصام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الكناسي، يزيد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الكناني، أبو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w:t>
      </w:r>
    </w:p>
    <w:p>
      <w:pPr>
        <w:pStyle w:val="BookText"/>
        <w:rPr/>
      </w:pPr>
      <w:r>
        <w:rPr>
          <w:rFonts w:ascii="Amiri" w:hAnsi="Amiri" w:eastAsia="Amiri" w:cs="Amiri"/>
          <w:color w:val="111111"/>
          <w:sz w:val="28"/>
          <w:sz w:val="28"/>
          <w:szCs w:val="28"/>
          <w:rtl w:val="true"/>
          <w:lang w:bidi="ar-SA"/>
        </w:rPr>
        <w:t xml:space="preserve">مثنّى بن الوليد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 علي بن الحسين</w:t>
      </w:r>
    </w:p>
    <w:p>
      <w:pPr>
        <w:pStyle w:val="BookText"/>
        <w:rPr/>
      </w:pP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 حبيب اللّه بن محمّد علي</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هداية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محمّدتقي</w:t>
      </w:r>
    </w:p>
    <w:p>
      <w:pPr>
        <w:pStyle w:val="BookText"/>
        <w:rPr/>
      </w:pPr>
      <w:r>
        <w:rPr>
          <w:rFonts w:ascii="IRNazanin" w:hAnsi="IRNazanin" w:eastAsia="IRNazanin"/>
          <w:color w:val="111111"/>
          <w:sz w:val="28"/>
          <w:sz w:val="28"/>
          <w:szCs w:val="28"/>
          <w:rtl w:val="true"/>
          <w:lang w:bidi="fa-IR"/>
        </w:rPr>
        <w:t xml:space="preserve">محمّد بن إسحاق بن عمّار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محمّد بن 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محمّد بن محمّد بن عصام</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مسمع أبو سيّار، مسمع بن عبدالملك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الميرزا القمّي، أبو القاسم بن محمّد حسن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النخعي، إبراهيم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نهرو، جواهر لال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 xml:space="preserve">الوشّاء، الحسن بن علي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يحيى بن الحجّاج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يونس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يونس</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bookmarkStart w:id="813" w:name="pg15204_140975"/>
    </w:p>
    <w:p>
      <w:pPr>
        <w:pStyle w:val="Heading3"/>
        <w:numPr>
          <w:ilvl w:val="2"/>
          <w:numId w:val="1"/>
        </w:numPr>
        <w:rPr/>
      </w:pPr>
      <w:bookmarkStart w:id="814" w:name="__RefHeading___Toc2759246_2142443653"/>
      <w:bookmarkStart w:id="815" w:name="_Toc299"/>
      <w:bookmarkEnd w:id="813"/>
      <w:bookmarkEnd w:id="814"/>
      <w:r>
        <w:rPr>
          <w:rtl w:val="true"/>
        </w:rPr>
        <w:t>فهرس الكتب الواردة في المتن</w:t>
      </w:r>
      <w:bookmarkEnd w:id="815"/>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p>
    <w:p>
      <w:pPr>
        <w:pStyle w:val="BookText"/>
        <w:rPr/>
      </w:pP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تعليقة المحقّق الخراساني على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 للمحقّق الخراساني</w:t>
      </w:r>
    </w:p>
    <w:p>
      <w:pPr>
        <w:pStyle w:val="BookText"/>
        <w:rPr/>
      </w:pPr>
      <w:r>
        <w:rPr>
          <w:rFonts w:ascii="Amiri" w:hAnsi="Amiri" w:eastAsia="Amiri" w:cs="Amiri"/>
          <w:color w:val="111111"/>
          <w:sz w:val="28"/>
          <w:sz w:val="28"/>
          <w:szCs w:val="28"/>
          <w:rtl w:val="true"/>
          <w:lang w:bidi="ar-SA"/>
        </w:rPr>
        <w:t xml:space="preserve">تفسير النعماني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حاشية إرشاد الأذهان للمحقّق الكركي </w:t>
      </w:r>
      <w:r>
        <w:rPr>
          <w:rFonts w:eastAsia="Amiri" w:cs="Amiri" w:ascii="Amiri" w:hAnsi="Amiri"/>
          <w:color w:val="111111"/>
          <w:sz w:val="28"/>
          <w:szCs w:val="28"/>
          <w:lang w:bidi="ar-SA"/>
        </w:rPr>
        <w:t>477</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المسترشدين </w:t>
      </w:r>
    </w:p>
    <w:p>
      <w:pPr>
        <w:pStyle w:val="BookText"/>
        <w:rPr/>
      </w:pPr>
      <w:r>
        <w:rPr>
          <w:rFonts w:ascii="Amiri" w:hAnsi="Amiri" w:eastAsia="Amiri" w:cs="Amiri"/>
          <w:color w:val="111111"/>
          <w:sz w:val="28"/>
          <w:sz w:val="28"/>
          <w:szCs w:val="28"/>
          <w:rtl w:val="true"/>
          <w:lang w:bidi="ar-SA"/>
        </w:rPr>
        <w:t xml:space="preserve">حاشية المكاسب للمحقّق الخراساني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رسالة التقيّة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شرح قواعد الأحكام لكاشف الغطاء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العدّة في اُصول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p>
    <w:p>
      <w:pPr>
        <w:pStyle w:val="BookText"/>
        <w:rPr/>
      </w:pP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p>
    <w:p>
      <w:pPr>
        <w:pStyle w:val="BookText"/>
        <w:rPr/>
      </w:pP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561</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لأحمد بن حنبل</w:t>
      </w:r>
    </w:p>
    <w:p>
      <w:pPr>
        <w:pStyle w:val="BookText"/>
        <w:rPr/>
      </w:pPr>
      <w:r>
        <w:rPr>
          <w:rFonts w:ascii="IRNazanin" w:hAnsi="IRNazanin" w:eastAsia="IRNazanin"/>
          <w:color w:val="111111"/>
          <w:sz w:val="28"/>
          <w:sz w:val="28"/>
          <w:szCs w:val="28"/>
          <w:rtl w:val="true"/>
          <w:lang w:bidi="fa-IR"/>
        </w:rPr>
        <w:t xml:space="preserve">المسند لأحمد بن حنبل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p>
    <w:p>
      <w:pPr>
        <w:pStyle w:val="BookText"/>
        <w:rPr/>
      </w:pP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للراوندي</w:t>
      </w:r>
    </w:p>
    <w:p>
      <w:pPr>
        <w:pStyle w:val="BookText"/>
        <w:rPr/>
      </w:pPr>
      <w:r>
        <w:rPr>
          <w:rFonts w:ascii="Amiri" w:hAnsi="Amiri" w:eastAsia="Amiri" w:cs="Amiri"/>
          <w:color w:val="111111"/>
          <w:sz w:val="28"/>
          <w:sz w:val="28"/>
          <w:szCs w:val="28"/>
          <w:rtl w:val="true"/>
          <w:lang w:bidi="ar-SA"/>
        </w:rPr>
        <w:t xml:space="preserve">النوادر للراوندي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45</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15204_140979"/>
      <w:bookmarkStart w:id="817" w:name="pg15204_140979"/>
      <w:bookmarkEnd w:id="817"/>
    </w:p>
    <w:p>
      <w:pPr>
        <w:pStyle w:val="Heading3"/>
        <w:numPr>
          <w:ilvl w:val="2"/>
          <w:numId w:val="1"/>
        </w:numPr>
        <w:rPr/>
      </w:pPr>
      <w:bookmarkStart w:id="818" w:name="pg15204_140979"/>
      <w:bookmarkStart w:id="819" w:name="__RefHeading___Toc2759248_2142443653"/>
      <w:bookmarkStart w:id="820" w:name="_Toc300"/>
      <w:bookmarkEnd w:id="818"/>
      <w:bookmarkEnd w:id="819"/>
      <w:r>
        <w:rPr>
          <w:rtl w:val="true"/>
        </w:rPr>
        <w:t>فهرس مصادر التحقيق</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ستارة،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البهادري ومحمّد هادي به، الطبعة الاُولى، مجلّدان، قم،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نوراللّه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السيّد شهاب الدين النجفي، تصحيح السيّد إبراهيم الميانجي، الطبعة الاُولى،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قم، 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حسن المصطفوي،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الحسّون، الطبعة الاُولى، مجلّدان، قم، مؤسّسة النشر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الطبعة الاُولى،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أو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بيروت، 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في التعليقة على الكفاية،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إشكالات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العلماء،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المطبعة العلمية،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إعداد عدّة من العلماء،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دات،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بيروت، دار إحياء التراث العربي،</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اللّه الرشتي، الطبعة الحجرية،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الأفكار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الدرر في قاعدة نفي الضرر،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البعثة،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الجيلاني الإشكوري، الطبعة الحجرية، طهران، دار الطباعة،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المحقّق السيّد محمّد آل بحر العلوم، تحقيق السيّد محمّد تقيّ آل بحرالعلوم،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مكتبة الصادق،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الاُولى، قم، مؤسّسة 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آية اللّه العظمى السيّد محمّد الحجة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طالب التجليل التبريزي، الطبعة الثانية،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أحمد حبيب قصير العاملي، بيروت،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إحياء التراث العربي</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الطبعة الثانية،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صدر منه حتّى الآن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 مجلّدان، طهران، المكتبة المرتضوية لإحياء 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مشهد، دار المرتضى للنشر،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هاشم الرسولي المحلاّتي، مجلّدان، طهران، 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طيّب الموسوي الجزائري، الطبعة الثالثة، مجلّدان، قم، مؤسّسة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مكتب الإعلام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المحلاّتي،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بالاُفست عن طبعة النجف الأشرف، المطبعة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أبو جعفر محمّد بن علي الطوسي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نبي رضا علوان، الطبعة الثانية، قم، مؤسّسة أنصاريان للطباعة والنشر،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علاء آل جعفر، الطبعة الاُولى،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أبو القاسم بن الحسن الجيلاني المحقّق القمّي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مرتضى رضوى، چاپ اول، تا الان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رسيده، تهران، انتشارات كيهان،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مجلّدان، بيروت، دار الفكر للطباعة والنشر،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علي أكبر الغفّاري، الطبعة الاُولى،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مكتبة الصدوق،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مكتبة نينوى الحديثة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الطبعة الثالثة،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طهران، دار الكتب الإسلامية،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مهديّ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طهران، وزارة الثقافة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الاُولى، محمّدرضا الأنصاري القمّي،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تحقيق باقر الفخّار الأصفهاني،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ذوي القربى،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عبّاس محمّد آل سباع القطيفي،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ذوي القربى،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عبّاس محمّد آل سباع القطيفي،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المصطفى لإحياء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الإيرواني، الطبعة الاُولى،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المحقّق الكركي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الاُولى،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منشورات الاحتجاج،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الطبعة الثانية، جزءان في مجلّد واحد،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جماعة من المحقّقين،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آية اللّه المرعشي</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تعليق آية اللّه الشيخ محمّد علي الأراكي والمؤلّف، تحقيق الشيخ محمّد المؤمن القمّي، الطبعة الخامسة، جزءان </w:t>
      </w:r>
    </w:p>
    <w:p>
      <w:pPr>
        <w:pStyle w:val="BookText"/>
        <w:rPr/>
      </w:pPr>
      <w:r>
        <w:rPr>
          <w:rFonts w:ascii="Amiri" w:hAnsi="Amiri" w:eastAsia="Amiri" w:cs="Amiri"/>
          <w:color w:val="111111"/>
          <w:sz w:val="28"/>
          <w:sz w:val="28"/>
          <w:szCs w:val="28"/>
          <w:rtl w:val="true"/>
          <w:lang w:bidi="ar-SA"/>
        </w:rPr>
        <w:t xml:space="preserve">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مجلّدان، القاهرة،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اُمامة زياد بن معاوية بن ضياب الذبياني الملقّب بالنابغة من أشعر شعراء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حمدو طمّاس، الطبعة الثانية، بيروت، دار المعرفة،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صادق آل بحر العلوم، قم، منشورات الشريف الرضيّ، بالاُوفست عن طبعة النجف الأشرف، المطبعة الحيدرية،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الأصفهاني، الطبعة الاُولى،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الطبعة الاُولى،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رضا الحسيني الجلالي، الطبعة الاُولى،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مكتبة البيدار،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الرسالات الفقهية والاُصولية،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أبوالقاسم علي ابن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دار الشبستري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المعروف بالمقدّس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البهبودي، طهران،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عبدالباقي، مجلّدان،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كمال يوسف الحوت، الطبعة الاُولى، مجلّدان، بيروت، دار الجنان،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عبدالوهّاب عبداللطيف،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الدكتور يوسف عبدالرحمان المرعشلي،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الفهرس، بيروت، دار المعرفة،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عبدالرحمان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عبدالحسين محمّد علي بقّال،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قم، مؤسّسة إسماعيليان،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وتحقيق حسن حسن‌زاده الآملي و 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ظافر كوجان، مجلّدان، قم، 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الطبعة الاُولى، مجلّدان، قم، سعيد بن جبير،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عبدالغفور عطّار، الطبعة الرابعة،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العلم للملايين،</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الشيخ قاسم الشمّاعي الرفاعي،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عزّ 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مهديّ نجف، الطبعة الاُولى، مشهد،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طبع ونشر الآستانة الرضوية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الاُولى، مجلّدان، قم، مطبعة ستارة،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العظام، إعداد أحمد المحسني السبزواري، الطبعة الثانية،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قم،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مهديّ الحسيني اللاجوردي، الطبعة الثانية، منشورات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الآمال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نهاية المقال في تكملة غاية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امين المامقاني،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ثامن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دات، قم، مكتب الإعلام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طهران، دار الكتب الإسلامية،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الرجائي، قم، دار الكتاب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السيّد حمزة بن علي بن زهرة الحلبي المعروف بابن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مجلّدان،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عباداللّه الطهراني والشيخ علي أحمد ناصح، الطبعة الاُولى، قم، 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مشهد المقدّس،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شمس الدين، الطبعة الاُولى، طهران، مؤسّسة الطبع والنشر، وزارة الإرشاد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والقابوس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في الفقه والاُصول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الهادي الحكيم، الطبعة الثانية، مجلّدان، قم، مكتبة المفيد،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الحجرية، المجلّد الأوّل، طهران، المكتبة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والمجلّد الثاني، طهران،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الاُستادي، أصفهان،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w:t>
      </w:r>
    </w:p>
    <w:p>
      <w:pPr>
        <w:pStyle w:val="BookText"/>
        <w:rPr/>
      </w:pPr>
      <w:r>
        <w:rPr>
          <w:rFonts w:ascii="Amiri" w:hAnsi="Amiri" w:eastAsia="Amiri" w:cs="Amiri"/>
          <w:color w:val="111111"/>
          <w:sz w:val="28"/>
          <w:sz w:val="28"/>
          <w:szCs w:val="28"/>
          <w:rtl w:val="true"/>
          <w:lang w:bidi="ar-SA"/>
        </w:rPr>
        <w:t xml:space="preserve">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مركز النشر التابع لمكتب الإعلام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أبو الفتح الإربلي، إعداد السيّد الهاشم الرسولي، مجلّدان، مكتبة بني هاشمي،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مرتضى الواعظي الأراكي، الطبعة الاُولى، مجلّدان، قم، مؤسّسة النشر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الاُولى، طهران، مكتبة الصدوق،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بكري حيّاني وصفوة السقا، الطبعة الثالثة،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بن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بيروت، مؤسّسة فقه الشيعة،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تقيّ الكشفي،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المرتضوية لإحياء الآثار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ومكتبة الهلال،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هاشم الرسولي المحلاّتي والسيّد فضل اللّه اليزدي الطباطبائي،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المعرفة للطباعة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في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الطبعة الاُولى،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النشر الإسلامي،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الحسيني الاُرموي، الطبعة الثانية، قم،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منشورات مؤسّسة المطبوعات الديني،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قم، مكتب الإعلام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الطبعة الثانية،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 ومستدركاتها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بيروت،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تقيّ الكشفي والشيخ محمّد باقر شريف‌زاده،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مجلّدان، طهران، المكتبة المرتضوية 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دار التفسير،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أحمد محمّد شاكر وحمزة أحمد الزين،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القاهرة، 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انتشارات وجداني،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مجلّدان، قم، مجمع الفكر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الأفاضل، الطبعة الاُولى، مجلّدان، قم،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ويليه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الكتب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الخالصي، الطبعة الاُولى،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ونفائس الأسرار في أحكام النبي المختار وعترته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 xml:space="preserve">أسد اللّه بن إسماعيل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الطبعة الاُولى، مجلّدان، قم،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التابعة لمؤسّسة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في طريق الحقّ،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الفقهية،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الطبعة الاُولى، مجلّدان،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الوصول إلى علم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الطبعة الثالثة والثلاثون، بيروت، دار المشرق،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أحمد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قم، مكتبة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الطبعة الاُولى، قم، مؤسسة تنظيم ونشر آثار الإمام الخميني قدّس سرّه،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سيّدالشهداء، الطبعة الاُولى، مجلّدان،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بن علي الحسيني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رضا علي عسكري، الطبعة الاُولى، قم، مؤسّسة 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الدكتور صبحي صالح، انتشارات الهجرة،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تحقيق جواد القيّومي الأصفهاني، الطبعة الاُولى، قم، دار الفقه للطباعة والنشر،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ضياء الدين الحسيني، الطبعة الاُولى،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أصفهان،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الاُولى،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الاُولى، قم، مكتبة آية اللّه المرعشي،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 إلى أسرار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فتّاح الشهيدي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الفقه للطباعة والنشر،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5204_141001"/>
      <w:bookmarkStart w:id="822" w:name="pg15204_141001"/>
      <w:bookmarkEnd w:id="822"/>
    </w:p>
    <w:p>
      <w:pPr>
        <w:pStyle w:val="Heading3"/>
        <w:numPr>
          <w:ilvl w:val="2"/>
          <w:numId w:val="1"/>
        </w:numPr>
        <w:rPr/>
      </w:pPr>
      <w:bookmarkStart w:id="823" w:name="pg15204_141001"/>
      <w:bookmarkStart w:id="824" w:name="__RefHeading___Toc2759250_2142443653"/>
      <w:bookmarkStart w:id="825" w:name="_Toc301"/>
      <w:bookmarkEnd w:id="823"/>
      <w:bookmarkEnd w:id="824"/>
      <w:r>
        <w:rPr>
          <w:rtl w:val="true"/>
        </w:rPr>
        <w:t>فهرس الموضوعات</w:t>
      </w:r>
      <w:bookmarkEnd w:id="825"/>
    </w:p>
    <w:p>
      <w:pPr>
        <w:pStyle w:val="BookText"/>
        <w:rPr/>
      </w:pPr>
      <w:r>
        <w:rPr>
          <w:rFonts w:ascii="Amiri" w:hAnsi="Amiri" w:eastAsia="Amiri" w:cs="Amiri"/>
          <w:color w:val="111111"/>
          <w:sz w:val="28"/>
          <w:sz w:val="28"/>
          <w:szCs w:val="28"/>
          <w:rtl w:val="true"/>
          <w:lang w:bidi="ar-SA"/>
        </w:rPr>
        <w:t>الكلام في شروط المتعاملين</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المتعاملين</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البلوغ في المتعاملين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الكلام في عقد الصبيّ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احتمالات أخذ الرشد والبلوغ في موضوع صحّة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الكلام حول آية الابتلاء والتحقيق عن 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الكلام حول 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عدم اعتبار البلوغ في إجراء الصيغة والوكالة عن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حول الإجماع المدّعى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حول التفصيل في معاملات الصبيّ بين الأشياء اليسيرة والخطيرة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المتعاملين لمدلول العقد</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المتعاملين لمدلول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تعيين المالكين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استدلال صاحب المقابس على اعتبار التعيين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استدلال الشيخ الأعظم على اعتبار التعيين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حول اعتبار تعيين المالكين فيما إذا كانا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نين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حول اعتبار تعيين الموجب للمشتري والقابل للبائع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في المتعاقدين</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الاختيار في 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عدم الإكراه هو الشرط المعتبر دون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الاستدلال بحديث الرفع على اعتبار عدم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حول القيود التي اعتبرها الشيخ الأعظم لوقوع الفعل مكرهاً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حول اعتبار عدم إمكان التفصّي في موضوع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تفصيل الشيخ بين الإكراه المسوّغ للمحرّمات والرافع لأثر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النسبة بين الاضطرار والإكراه في 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حكم الإكراه على نحو الاستغراق أو الطبيعة السارية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الإكراه على نفس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حكم إكراه الشخص على أحد الأمرين وبعض صور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حكم الإكراه على بيع واحد غير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حول كلام العلاّمة في الإكراه على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عقد المكره لو تعقّبه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الاستدلال بآية التجارة على بطلان عقد المكره المتعقّب بالرضا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حول إرجاع الاستثناء المنقطع إلى المتّصل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بحديث الرفع على البطلان وإشكالي الشيخ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المتعاقدين نافذي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المتعاقدين نافذي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جريان الفضولي في 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حكم العقد المقرون برضا المالك من دون إذن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تصحيح عقد الفضولي وجعله موافقاً للقاعدة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صور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الفضولي للمالك مع عدم سبق المنع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فيما يستدلّ به على صحّة هذا القسم من الفضولي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الاستدلال للصحّة برواية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ما استشكل على رواية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الاستدلال للصحّة بصحيحة محمّد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الاستدلال للصحّة بروايات نكاح العبيد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الاستدلال للصحّة بروايات تزويج الأولياء للصغير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الاستدلال للصحّة بروايات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الاستدلال للصحّة بروايات الاتّجار بمال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الاستدلال للصحّة برواية ابن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فيما يستدلّ به على بطلان الفضولي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الاستدلال بآية التجارة على البطلان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الاستدلال بالروايات على البطلان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الاستدلال بحكم العقل على البطلان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بالحكم العقلائي المحض على البطلان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الفضولي للمالك مع سبق المنع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الفضولي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الإشكال العقلي بعدم تمشّي قصد المعاوضة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الإشكال العقلائي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الجواب عن الإشكال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الجواب عن الإشكال العقلائي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حول تصحيح كاشف الغطاء بيع الفضولي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إشكال آخر في بيع الفضولي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الفضولي في بيع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كيفية تعيين الكلّي في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الفضولي في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والردّ</w:t>
      </w:r>
    </w:p>
    <w:p>
      <w:pPr>
        <w:pStyle w:val="BookText"/>
        <w:rPr/>
      </w:pPr>
      <w:r>
        <w:rPr>
          <w:rFonts w:ascii="Amiri" w:hAnsi="Amiri" w:eastAsia="Amiri" w:cs="Amiri"/>
          <w:color w:val="111111"/>
          <w:sz w:val="28"/>
          <w:sz w:val="28"/>
          <w:szCs w:val="28"/>
          <w:rtl w:val="true"/>
          <w:lang w:bidi="ar-SA"/>
        </w:rPr>
        <w:t xml:space="preserve">حول كون مقتضى القاعدة هو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تقريب المحقّق الرشتي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استدلال آخر لكون الكشف على مقتضى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بيان المحقّق النائيني لكون الكشف الحكمي على مقتضى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حول بيان المحقّقين الخراساني والأصفهاني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حول مقتضى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الاستدلال بصحيحة محمّد بن قيس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الاستدلال بصحيحة الحذّاء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بصحيحة الحلبي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برواية الكناسي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الاستدلال برواية مسمع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الاستدلال برواية البارقي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دعوى المحقّق الرشتي دلالة روايات تحليل الخمس على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ثمرة النزاع بين الكشف بأنواعه والنقل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بيان الثمرة بين الكشف الحقيقي والكشف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الثمرات المذكورة بين الكشف والنقل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الأصيل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تصرّف الأصيل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حول قول كاشف الغطاء في ظهور ثمرات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تنبيهات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الإجازة على خلاف اقتضاء الكشف أو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اعتبار الإنشاء في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دلالة صحيحة الحذّاء على كفاية الرضا في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تردّد الشيخ الأنصاري في كفاية الرضا الباطني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سبق الردّ في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استدلال الشيخ الأنصاري على اعتبار عدم سبق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الاستدلال بقاعدة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كلام المحقّق النائيني في تصحيح التمسّك بقاعدة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الاستدلال بصحيحة ابن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تورّث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جريان الفضولية في القبض والإقباض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جريان نزاع الكشف والنقل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حول كون إجازة البيع إجازة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فورية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حول تضرّر الأصيل بعدم الإجازة وعدم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مطابقة الإجازة للعقد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بيان المحقّق النائيني في كون النزاع كبروياً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بيان المحقّق الأصفهاني في كون النزاع صغروياً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التحقيق في لزوم تطابق الإجازة للعقد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المجيز</w:t>
      </w:r>
    </w:p>
    <w:p>
      <w:p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المجيز جائز التصرّف حين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وجود المجيز حين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المجيز جائز التصرّف حال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تمام الكلام في هذا الأمر في ضمن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يكن جائز التصرّف بسبب الحجر كالراهن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فيها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بيع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كلام المحقّق الأصفهاني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لزوم الإجازة بعد فكّ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نزاع الكشف والنقل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يكن جائز التصرّف بسبب عدم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باع شيئاً ثم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إشكالات صاحب المقابس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كلام المحقّق النائيني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أجوبة المحقّقين عن الإشكال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الأخبار الناهية عن بيع ما ليس عندك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الإشكال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الإشكال برواية خالد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الإشكال بصحيحة يحيى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الإشكال بروايات ظاهرة في بيع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المسائل التي لا ينبغي الخلط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تأييد الشيخ قدّس سرّه البطلان برواية الحسن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تأييد الصحّة بصحيحة معاوية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بيان مورد الروايات المانعة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حول اعتبار الإجازة بعد تملّك البائع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حول كلام الشيخ قدّس 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باع معتقداً بكونه غير جائز التصرّف فبان 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w:t>
      </w:r>
    </w:p>
    <w:p>
      <w:pPr>
        <w:pStyle w:val="BookText"/>
        <w:rPr/>
      </w:pPr>
      <w:r>
        <w:rPr>
          <w:rFonts w:ascii="Amiri" w:hAnsi="Amiri" w:eastAsia="Amiri" w:cs="Amiri"/>
          <w:color w:val="111111"/>
          <w:sz w:val="28"/>
          <w:sz w:val="28"/>
          <w:szCs w:val="28"/>
          <w:rtl w:val="true"/>
          <w:lang w:bidi="ar-SA"/>
        </w:rPr>
        <w:t>ويتم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العقد المجاز جامعاً لجميع 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حول مختار الشيخ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حكم صور العلم الإجمالي باعتبار شرائط 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حول اشتراط بقاء الشرائط إلى زمان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المجاز معلوماً بالتفصيل للمجيز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العقود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حكم العقود المترتّبة على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الإشكال على صحّة تتبّع العقود في صورة علم المشتري بالغصب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الردّ</w:t>
      </w:r>
    </w:p>
    <w:p>
      <w:pPr>
        <w:pStyle w:val="BookText"/>
        <w:rPr/>
      </w:pPr>
      <w:r>
        <w:rPr>
          <w:rFonts w:ascii="Amiri" w:hAnsi="Amiri" w:eastAsia="Amiri" w:cs="Amiri"/>
          <w:color w:val="111111"/>
          <w:sz w:val="28"/>
          <w:sz w:val="28"/>
          <w:szCs w:val="28"/>
          <w:rtl w:val="true"/>
          <w:lang w:bidi="ar-SA"/>
        </w:rPr>
        <w:t xml:space="preserve">حكم الشكّ في تحقّق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هاهنا مسائل لاينبغي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يحصل به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الردّ يوجب الفسخ والهدم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المفوّتة لمحلّ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الأيادي المتعاقبة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حكم المالك مع من وقعت العين تحت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حكم المشتري مع الفضولي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هاهنا مسألتان</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رجوع المشتري إلى الفضولي بالثمن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يغترمه المشتري زائداً على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أنحاء الغرامات الّتي يتحمّلها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الاستدلال بقاعدة الغرور على رجوع المشتري إلى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بيان قاعدة الغرور ومدركها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بيان كون ضمان الغارّ والمتلف في عرض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الاستدلال بقاعدة الإتلاف على رجوع المشتري إلى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بيان قاعدة الإتلاف ومدركها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بيان قاعدة التسبيب ومدركها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الاستدلال بقاعدة الضرر على رجوع المشتري إلى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ثبوت الضمان على الغارّ والمغرور وجميع الأيادي المتعاقبة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وقوع الإشكال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اشتغال ذمم متعدّدة بمال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رجوع الضامن السابق إلى اللاحق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لابدّ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لخصوص ما وقع تحت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الغرامات عند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محتملات مفاد 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توجيه كلام الشيخ الأنصاري في تصحيح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تبيين المحقّق النائيني مراد الشيخ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توجيه السيّد الطباطبائي رجوع السابقين إلى اللاحقين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التحقيق في التوجيه لرجوع السابق إلى اللاحق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سقوط ضمان كلّ لاحق بإرجاع العين إلى سابقه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حول إبراء المالك أحد من في السلسلة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المحقّق الرشتي بين المتقدّم والمتأخّر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رجوع المالك إلى جميع الأيادي مع بقاء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الفضولي مال نفسه مع مال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حكم المسألة بحسب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تصحيح البيع في المقام وفيما يقبل مع ما لا يقبل بصحيحة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تقييد الصحّة بما إذا لم يتولّد من الردّ مانع شرعي كالربا وبيع الآبق بلا 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فيقع الكلام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درهم ودينار بدرهمين ودينارين وكان الدرهم للغير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استنكار تحليل الربا بالحيل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أقسام الربا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بيان مورد الروايات الموهمة للتخلّص عن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العبد الآبق مع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من له النصف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ماهية الكسر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حكم عدم قصد البائع إلاّ معنى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حكم إرادة البائع شيئاً معيّناً من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الأب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حول الإشكال في ولاية الجدّ وإن 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حول اعتبار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دليل صاحب الإيضاح على اعتبار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الاستدلال بآية الركون على اعتبار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الاستدلال بآية النبأ على الاعتبار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الاستدلال برواية الفضل على الاعتبار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حول اشتراط المصلحة في تصرّف الأب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 الْيتِيمِ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w:t>
      </w:r>
    </w:p>
    <w:p>
      <w:pPr>
        <w:pStyle w:val="BookText"/>
        <w:rPr/>
      </w:pPr>
      <w:r>
        <w:rPr>
          <w:rFonts w:ascii="Amiri" w:hAnsi="Amiri" w:eastAsia="Amiri" w:cs="Amiri"/>
          <w:color w:val="111111"/>
          <w:sz w:val="28"/>
          <w:sz w:val="28"/>
          <w:szCs w:val="28"/>
          <w:rtl w:val="true"/>
          <w:lang w:bidi="ar-SA"/>
        </w:rPr>
        <w:t xml:space="preserve">ضرورة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الكلام في شخص الوالي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ما يعتبر في الوالي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أدلّة 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الاستدلال بمرسلة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الاستدلال برواية 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الاستدلال بموثّقة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الاستدلال بالتوقيع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الاستدلال بمقبولة 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الاستشهاد بمشهورة أبي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الاستدلال بصحيحة 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الاستدلال بروايات 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عدم ثبوت ما يختصّ للمعصوم عليه السلام للفقيه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حكم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بيان سهم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بيان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حكم الاُمور الحسبية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النسبة بين أدلّة ولاية الفقيه وأدلّة الحثّ على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عدول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دلالة صحيحة ابن بزيع على ولاية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دلالة صحيحة الأشعري على ولاية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موثّقة سماعة على ولاية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bookmarkStart w:id="826" w:name="pg15204_141012"/>
    </w:p>
    <w:p>
      <w:pPr>
        <w:pStyle w:val="BookText"/>
        <w:rPr/>
      </w:pPr>
      <w:bookmarkEnd w:id="826"/>
      <w:r>
        <w:rPr>
          <w:rFonts w:ascii="Amiri" w:hAnsi="Amiri" w:eastAsia="Amiri" w:cs="Amiri"/>
          <w:color w:val="111111"/>
          <w:sz w:val="28"/>
          <w:sz w:val="28"/>
          <w:szCs w:val="28"/>
          <w:rtl w:val="true"/>
          <w:lang w:bidi="ar-SA"/>
        </w:rPr>
        <w:t xml:space="preserve">حول كفاية الوثاقة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حول مزاحمة فقيه لفقيه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جواز مزاحمة الفقيه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حول جواز تصرّف الكلّ في مال اليتيم مع 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اعتبار المصلحة في تصرّفات غير الأب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حول مفاد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نقل المصحف إلى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Heading3"/>
        <w:numPr>
          <w:ilvl w:val="2"/>
          <w:numId w:val="1"/>
        </w:numPr>
        <w:rPr/>
      </w:pPr>
      <w:bookmarkStart w:id="827" w:name="__RefHeading___Toc2759252_2142443653"/>
      <w:bookmarkStart w:id="828" w:name="_Toc302"/>
      <w:bookmarkEnd w:id="827"/>
      <w:r>
        <w:rPr>
          <w:rtl w:val="true"/>
        </w:rPr>
        <w:t>الفهارس العامّة</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بأبي الجارود وهو زياد بن المنذر الهمداني الكوفي الأعمى، زيدي المذهب، وإليه تُنسب الزيدية الجارودية، وكان من أصحاب الإمام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وتغيّر لمّا خرج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اللعن عليه من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أضاف المصنّف بخطّه الشريف بعد هذا في هامش كتابه المخطوط 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وقع للنزاع في أنّ مفهوم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آنَسْتُمْ مِنْهُمْ رُشْداً فَادْفَعُوا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وجوب الدفع، أو حرمة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على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ولكن شطبه بعد ذلك، ولعدم الإلتفات إليه أثبتوه في الطبعات السابقة خطأً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آيات الأحكام، 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تفاوت يسير في الفقيه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مقدّمات الحدود،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عن محمّد بن أبي عمير، عن حمّاد بن عثمان، عن محمّد 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توصيف الرواية بالحسنة؛ إمّا لأجل وقوع جعفر بن محمّد العلوي الموسوي في طريق الشيخ إلى محمّد بن أبي عمير كما في مشيخة التهذيب أو لأجل إبراهيم بن هاشم كما في طريقه الآخر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المشيخة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عن محمّد بن الحسن الصفّار، عن الحسن بن موسى الخشّاب، عن غياث بن كلوب،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موثّقة بغياث بن كلوب، فإنّه عامّي وعملت الطائفة بما رواه كما قال الشيخ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الحجر على الصبيّ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وَابْتَلُوا الْيَتَامَى حَتَّى إِذَا بَلَغُوا النِّكَاحَ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المحقّق المامقاني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 بالموثّقة لأجل كون السكوني عامّياً ثقةً معتمداً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الأخير؛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كتاب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محمّد بن يحيى، عن محمّد بن الحسين، عن موسى بن سعدان، عن عبداللّه بن القاسم، عن عبداللّه بن سنان، والرواية ضعيفة بموسى بن سعدان الحنّاط الذي قال النجاشي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وضعيفة أيضاً بواسطة عبداللّه بن القاسم وهو عبداللّه بن القاسم الحضرمي بقرينة الراوي عنه، الذي قال النجاشي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 غالٍ يروي عن الغلاة لا خير فيه ولا يعتدّ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الرسالات الفقهية والاُصولية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باستيفاء العدد،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باستيفاء العدد،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اُنظر شرح شواهد المغني،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بلغة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بلغة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يجلب الإبل والغنم للبيع؛ 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اُنظر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كتاب الخمس،</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غاية الآمال، المحقّق المامقاني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حاشية المكاسب،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موثّقة بسماعة؛ فإنّه قال النجاشي في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الشيخ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المصنّف عبّر في موردين من كتاب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موثّقة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الطهارة،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حاشية المكاسب، المحقّق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من وسائل الشيعة، لكن في الوسائل 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الوكالة،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المضاربة،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الحيوان،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رواه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سلف وبيع، وعن بيعين في بيع، وعن بيع ما ليس عندك، وعن ربح ما لم يضمن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اُنظر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عليه‌السلام عن مملوكة أتت قوماً وزعمت أنّها حرّة فتزوّجها رجل منهم وأولدها ولداً ثمّ إنّ مولاها أتاهم فأقام عندهم البيّنة أنّها مملوكة، وأقرّت الجارية بذلك،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تدفع إلى مولاها هي وولدها، وعلى مولاها أن يدفع ولدها إلى أبيه بقيمته يوم يصير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يكن لأبيه ما يأخذ ابنه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يسعى أبوه في ثمنه حتّى يؤدّيه ويأخذ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أبى الأب أن يسعى في ثمن ابنه،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الإمام أن يفتديه ولا يملك ولد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وأولياء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ميراث الأزواج،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وأولياء العقد،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راجع ما 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الأخير،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وأولياء العقد،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المحقّق المامقاني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الأخير،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نفى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الأخير،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حاشية إرشاد الأذهان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كتاب التجارة، أبواب عقد</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يحلّ الكلام ويحرّم الكلام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عليه‌السّلام يجيئني الرجل يطلب بيع الحرير وليس عندي منه شيء، فيقاولني عليه واُقاوله في الربح والأجل حتّى نجتمع على شيء، ثمّ أذهب فأشتري له الحرير فأدعوه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إن وجد بيعاً هو أحبّ إليه ممّا عندك أيستطيع أن ينصرف إليه ويدعك، أو وجدت أنت ذلك أتستطيع أن تنصرف إليه وتدعه؟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كتاب التجارة، أبواب أحكام</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المحقّق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وقوفه على الإجازة لا لما ذكره في جامع المقاصد من أنّه لم يقصد إلى البيع الناقل للملك الآن بل مع إجازة المالك لاندفاعه بما ذكره بقوله إلاّ أن يقال إنّ قصده إلى أصل البيع كافٍ 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انتقال المبيع شرعاً بمجرّد العقد أو بعد إجازة المالك ليس من مدلول لفظ العقد حتّى يعتبر قصده أو يقدح قصد خلافه وإنّما هو من الأحكام الشرعية العارضة للعقود بحسب اختلافها في التوقّف على الاُمور المتأخّرة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المسند، أحمد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ويأتي في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يشترط في المجاز كونه معلوماً للمجيز بالتفصيل؛ من تعيين العوضين وتعيين نوع العقد من كونه بيعاً أو صلحاً فضلاً عن جنسه من كونه نكاحاً لجاريته أو بيعاً لها، أم يكفي العلم الإجمالي بوقوع عقد قابل للإجازة، وجهان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اُنظر مفتاح الكرامة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المحقّق الكركي وآثاره، حاشية إرشاد الأذهان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عدّة من أصحابنا، عن سهل، عن أحمد بن محمّد، عن رفاعة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والتوصيف بالمعتبرة لأجل سهل بن زياد، فإنّه ثقة عند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سهل بن زياد وإن ضعّف لكن المتتبّع في رواياته يطمئنّ بوثاقته من كثرة رواياته وإتقانها واعتناء المشايخ بها فوق ما يطمئنّ من توثيق أصحاب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الطهارة، الإمام الخميني قدس‌سره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الزنا،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الزنا،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الزنا،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حسنة بسدير، فإنّه لم يرد في حقّه توثيق، وكان من أصحاب الإمام السجّاد والباقر والصادق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موثّقة بإسحاق بن عمّار، على ما نسبه الشيخ إليه من مذهب 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عبداللّه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 المؤمنين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أخطأت القضاة في دم، أو قطع، فهو على بيت مال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عبدالرحمان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عبداللّه عليه‌السّلام قاعداً في حلقة ربيعة الرأي، فجاء أعرابي، فسأل ربيعة الرأي عن مسألة، فأجابه، فلمّا سكت قال له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في عنقك؟ فسكت عنه ربيعة، ولم يردّ عليه شيئاً، فأعاد المسألة عليه، فأجابه بمثل ذلك، فقال له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في عنقك؟ فسكت ربيعة، فقال أبو عبداللّه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في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مفتٍ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تطبب أو تبيطر فليأخذ البراءة من وليّه، وإلاّ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بختي اغتلم فخرج من الدار فقتل رجلاً فجاء أخو الرجل فضرب الفحل بالسيف؟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البختي ضامن للدية ويقتصّ ثمن بختيه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جعفر، عن أبيه، عن علي عليهم‌السّلام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يضمن ما أفسدت البهائم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صاحب الزرع حفظ زرعه، وكان يضمن ما أفسدت البهائم 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حاشية المكاسب، المحقّق الإيرواني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وفي هذا الجزء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في تأويل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رواها عن أبي الحسن الرضا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أدخل المعادن وأبيع الجوهر بترابه بالدنانير والدراهم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أصرف الدراهم بالدراهم، واُصيّر الغلّة وضحاً، واُصيّر الوضح غلّة،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فيها ذهب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فحكيت ذلك لعمّار بن موسى الساباطي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لي أبوه،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 أين تكون؟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مع الذي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أبي علي الأشعري، عن الحسن بن علي بن عبداللّه، عن عمّه محمّد بن عبداللّه، عن محمّد بن إسحاق ومحمّد بن عبداللّه مجهول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تقربنه ولا تقربنّه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وفي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عدّة من أصحابنا، عن سهل بن زياد، عن أحمد بن محمّد بن أبي نصر، عن أبي المغراء، عن 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كلام في رجال السند إلاّ سهل بن زياد وهو ثقة عند المصنّف كما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نقل عبارته في هامش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التجارة،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رواها عن محمّد بن سنان، أنّ الرضا عليه‌السلام كتب إليه فيما كتب من جواب</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الاُولى رواها الشيخ الصدوق في العلل والعيون، عن علي بن أحمد بن موسى الدقاق ومحمّد بن أحمد السفياني والحسين بن إبراهيم المكتّب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إسماعيل البرمكي، عن علي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الربيع الصحّاف،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الرواية ضعيفة بعلي والقاسم، فإنّ علي بن العبّاس قال النجاشي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 بالغلوّ وغمز عليه،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والقاسم بن الربيع ضعّفه ابن الغضائري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في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محمّد بن سنان فهو ثقة عند المصنّف كما تقدّم في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الثانية رواها الشيخ الطوسي بإسناده عن محمّد بن أحمد بن يحيى، عن محمّد ابن الحسين، عن أبي الجوزاء، عن الحسين بن علوان، عن زيد بن علي، عن آبائه عن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ضعيفة بالحسين بن علوان كما تقدّم من المصنّف قدس‌سره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محمّد بن يحيى، عن عبداللّه بن محمّد، عن علي بن الحكم، عن الحسين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في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ناحية عبداللّه بن محمّد الملقّب ببنان وهو أخو أحمد بن محمّد بن عيسى، ولم يرد في شأنه شيء من الجرح أو التعديل، وإمّا من ناحية الحسين ابن أبي العلاء، فبعض أثبت وثاقته، وبعض أنكرها، لكن المصنّف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عديدة وثّقه وعبّر بصحيحة الحسين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الطهارة، الإمام الخميني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تَرْكَنُوا إِلَى الَّذِينَ ظَلَمُوا فَتَمَسَّكُمُ النَّارُ وَ مَا لَكُمْ مِنْ دُونِ اللّه‌ِ مِنْ أَوْليَآءَ ثُمَّ لاَ</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الحيض،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محمّد بن يحيى، عن أحمد بن محمّد، عن ابن فضّال، عن ابن بكير، عن 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علي بن فضّال وعبداللّه بن بكير كلاهما فطحيان ثقتان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الصلاة في شعر ووبر ما لا يؤكل لحمه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راجع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عبدالواحد بن محمّد بن عبدوس النيسابوري العطّار، عن أبي الحسن علي ابن محمّد بن قتيبة النيسابوري، عن الفضل بن شاذان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المرتدّ،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 اختلاف يسير فيهما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يعلّمونها اُمّتي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راجع تنقيح المقا 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عدّة من أصحابنا، عن سهل بن زياد وعلي بن إبراهيم، عن أبيه جميعاً عن ابن محبوب، عن 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 بالموثّقة لأجل كون السكوني عامّياً ثقة معتمداً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 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إمامنا الراحل قدس‌سره بهذا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السياسي الهندي جواهر لال نهرو، والسياسي الأندونيسي أحمد سوكارنو؛ حسبما صرّح به طاب ثراه في مجلس بحثه الشريف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رواها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أيضاً في الصفحة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بصيرتي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ولم نجد في كتبنا الروائية، نعم ذكره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مقدّمات الحدود،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مقدّمات الحدود،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العيد،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المكاسب المحرّمة، رسالة في الخمس، المحقّق الأراكي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لرسول اللّه صلى‌الله‌عليه‌و‌آله‌وسلم فهو للإمام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 نَّما غَنِمْتُمْ مِنْ شَىْ‌ءٍ فَأَنَّ لِلّهِ خُمُسَهُ وَلِلرَّسُولِ وَلِذِى الْقُرْبى وَالْيَتامى وَالْمَساكِينِ وَابْنِ السَّبِيلِ إِنْ كُنْتُمْ آمَنْتُمْ بِاللّه‌ِ وَما أَنْزَلْنا عَلى عَبْدِنا يَوْمَ الْفُرْقانِ يَوْمَ الْتَقَى الْجَمْعانِ وَاللّه‌ُ عَلى كُلِّ شَىْ‌ءٍ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فعل المعروف،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فعل المعروف،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فعل المعروف،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فعل المعروف،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بغية الطالب، المحقق الإشكوري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عن علي بن المسيّب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شقّتي بعيدة، ولست أصل إليك في كلّ وقت، فممّن آخذ معالم ديني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زكريّا بن آدم القمّي، المأمون على الدين والدنيا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انصرفت قدمنا على زكريّا بن آدم، فسألته عمّا احتجت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عن أبي الحسن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اُعامل ؟ وعمّن آخذ ؟ وقول من أقبل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 ثقتي، فما أدّى إليك عنّي فعنّي يؤدّي، وما قال لك عنّي فعنّي يقول، فاسمع له وأطع، فإنّه الثقة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 وابنه ثقتان، فما أدّيا إليك عنّي فعنّي يؤدّيان، وما قالا لك فعنّي يقولان، فاسمع لهما وأطعهما، فإنّهما الثقتان المأمونان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المسافر،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أبي الصباح الكناني، عن أبي عبداللّه عليه‌السلام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تُخَالِطُوهُمْ فَإِخْوَانُكُمْ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 من أموالهم قدر ما يكفيهم، وتخرج من مالك قدر ما يكفيك، ثمّ تنفقه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إن كانوا يتامى صغاراً وكباراً وبعضهم أعلى كسوة من بعض وبعضهم آكل من بعض ومالهم جميعاً،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الكسوة فعلى كلّ إنسان منهم ثمن كسوته وأمّا الطعام فاجعلوه جميعاً، فإنّ الصغير يوشك أن يأكل مثل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وفي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الإرث،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image" Target="media/image2.jpeg"/><Relationship Id="rId857" Type="http://schemas.openxmlformats.org/officeDocument/2006/relationships/image" Target="media/image2.jpeg"/><Relationship Id="rId858" Type="http://schemas.openxmlformats.org/officeDocument/2006/relationships/footer" Target="footer851.xml"/><Relationship Id="rId859" Type="http://schemas.openxmlformats.org/officeDocument/2006/relationships/footnotes" Target="footnotes.xml"/><Relationship Id="rId860" Type="http://schemas.openxmlformats.org/officeDocument/2006/relationships/numbering" Target="numbering.xml"/><Relationship Id="rId861" Type="http://schemas.openxmlformats.org/officeDocument/2006/relationships/fontTable" Target="fontTable.xml"/><Relationship Id="rId862" Type="http://schemas.openxmlformats.org/officeDocument/2006/relationships/settings" Target="settings.xml"/><Relationship Id="rId8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867</Pages>
  <Words>90758</Words>
  <Characters>407269</Characters>
  <CharactersWithSpaces>494221</CharactersWithSpaces>
  <Paragraphs>4316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2026-08-24T21:42:17Z</dcterms:created>
  <dc:creator>ghaemiyeh.com</dc:creator>
  <dc:description/>
  <dc:language>en-US</dc:language>
  <cp:lastModifiedBy/>
  <dcterms:modified xsi:type="dcterms:W3CDTF">2026-08-25T01:13:16Z</dcterms:modified>
  <cp:revision>1</cp:revision>
  <dc:subject/>
  <dc:title>موسوعة الامام الخمینی قدس سرة الشریف المجلد 15 إلى 19 کتاب البیع جلد 2</dc:title>
</cp:coreProperties>
</file>

<file path=docProps/custom.xml><?xml version="1.0" encoding="utf-8"?>
<Properties xmlns="http://schemas.openxmlformats.org/officeDocument/2006/custom-properties" xmlns:vt="http://schemas.openxmlformats.org/officeDocument/2006/docPropsVTypes"/>
</file>