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13</w:t>
      </w:r>
      <w:r>
        <w:rPr>
          <w:rtl w:val="true"/>
        </w:rPr>
        <w:t xml:space="preserve"> </w:t>
      </w:r>
      <w:r>
        <w:rPr>
          <w:rtl w:val="true"/>
        </w:rPr>
        <w:t xml:space="preserve">و </w:t>
      </w:r>
      <w:r>
        <w:rPr/>
        <w:t>14</w:t>
      </w:r>
      <w:r>
        <w:rPr>
          <w:rtl w:val="true"/>
        </w:rPr>
        <w:t xml:space="preserve"> </w:t>
      </w:r>
      <w:r>
        <w:rPr>
          <w:rtl w:val="true"/>
        </w:rPr>
        <w:t xml:space="preserve">المکاسب المحرمة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5340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95534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55344_2142443653">
            <w:r>
              <w:rPr>
                <w:webHidden/>
                <w:rStyle w:val="IndexLink"/>
                <w:rtl w:val="true"/>
              </w:rPr>
              <w:t>المسألة الرابعة في حرمة القمار</w:t>
            </w:r>
            <w:r>
              <w:rPr>
                <w:rStyle w:val="IndexLink"/>
                <w:rtl w:val="true"/>
              </w:rPr>
              <w:tab/>
            </w:r>
            <w:r>
              <w:rPr>
                <w:rStyle w:val="IndexLink"/>
              </w:rPr>
              <w:t>13</w:t>
            </w:r>
          </w:hyperlink>
        </w:p>
        <w:p>
          <w:pPr>
            <w:pStyle w:val="Contents3"/>
            <w:tabs>
              <w:tab w:val="clear" w:pos="8459"/>
              <w:tab w:val="right" w:pos="9026" w:leader="dot"/>
            </w:tabs>
            <w:rPr/>
          </w:pPr>
          <w:hyperlink w:anchor="__RefHeading___Toc1955346_2142443653">
            <w:r>
              <w:rPr>
                <w:webHidden/>
                <w:rStyle w:val="IndexLink"/>
                <w:rtl w:val="true"/>
              </w:rPr>
              <w:t>حرمةاللعب بالآلات المعدّة للقمار</w:t>
            </w:r>
            <w:r>
              <w:rPr>
                <w:rStyle w:val="IndexLink"/>
                <w:rtl w:val="true"/>
              </w:rPr>
              <w:tab/>
            </w:r>
            <w:r>
              <w:rPr>
                <w:rStyle w:val="IndexLink"/>
              </w:rPr>
              <w:t>13</w:t>
            </w:r>
          </w:hyperlink>
        </w:p>
        <w:p>
          <w:pPr>
            <w:pStyle w:val="Contents3"/>
            <w:tabs>
              <w:tab w:val="clear" w:pos="8459"/>
              <w:tab w:val="right" w:pos="9026" w:leader="dot"/>
            </w:tabs>
            <w:rPr/>
          </w:pPr>
          <w:hyperlink w:anchor="__RefHeading___Toc1955348_2142443653">
            <w:r>
              <w:rPr>
                <w:webHidden/>
                <w:rStyle w:val="IndexLink"/>
                <w:rtl w:val="true"/>
              </w:rPr>
              <w:t>حكم اللعب بغير آلات القمار مع رهان</w:t>
            </w:r>
            <w:r>
              <w:rPr>
                <w:rStyle w:val="IndexLink"/>
                <w:rtl w:val="true"/>
              </w:rPr>
              <w:tab/>
            </w:r>
            <w:r>
              <w:rPr>
                <w:rStyle w:val="IndexLink"/>
              </w:rPr>
              <w:t>31</w:t>
            </w:r>
          </w:hyperlink>
        </w:p>
        <w:p>
          <w:pPr>
            <w:pStyle w:val="Contents3"/>
            <w:tabs>
              <w:tab w:val="clear" w:pos="8459"/>
              <w:tab w:val="right" w:pos="9026" w:leader="dot"/>
            </w:tabs>
            <w:rPr/>
          </w:pPr>
          <w:hyperlink w:anchor="__RefHeading___Toc1955350_2142443653">
            <w:r>
              <w:rPr>
                <w:webHidden/>
                <w:rStyle w:val="IndexLink"/>
                <w:rtl w:val="true"/>
              </w:rPr>
              <w:t>حكم المغالبة بغير عوض في غير ما استثني</w:t>
            </w:r>
            <w:r>
              <w:rPr>
                <w:rStyle w:val="IndexLink"/>
                <w:rtl w:val="true"/>
              </w:rPr>
              <w:tab/>
            </w:r>
            <w:r>
              <w:rPr>
                <w:rStyle w:val="IndexLink"/>
              </w:rPr>
              <w:t>44</w:t>
            </w:r>
          </w:hyperlink>
        </w:p>
        <w:p>
          <w:pPr>
            <w:pStyle w:val="Contents3"/>
            <w:tabs>
              <w:tab w:val="clear" w:pos="8459"/>
              <w:tab w:val="right" w:pos="9026" w:leader="dot"/>
            </w:tabs>
            <w:rPr/>
          </w:pPr>
          <w:hyperlink w:anchor="__RefHeading___Toc1955352_2142443653">
            <w:r>
              <w:rPr>
                <w:webHidden/>
                <w:rStyle w:val="IndexLink"/>
                <w:rtl w:val="true"/>
              </w:rPr>
              <w:t>حرمة المال المأخوذ بالقمار بعنوانه</w:t>
            </w:r>
            <w:r>
              <w:rPr>
                <w:rStyle w:val="IndexLink"/>
                <w:rtl w:val="true"/>
              </w:rPr>
              <w:tab/>
            </w:r>
            <w:r>
              <w:rPr>
                <w:rStyle w:val="IndexLink"/>
              </w:rPr>
              <w:t>51</w:t>
            </w:r>
          </w:hyperlink>
        </w:p>
        <w:p>
          <w:pPr>
            <w:pStyle w:val="Contents2"/>
            <w:tabs>
              <w:tab w:val="clear" w:pos="8743"/>
              <w:tab w:val="right" w:pos="9026" w:leader="dot"/>
            </w:tabs>
            <w:rPr/>
          </w:pPr>
          <w:hyperlink w:anchor="__RefHeading___Toc1955354_2142443653">
            <w:r>
              <w:rPr>
                <w:webHidden/>
                <w:rStyle w:val="IndexLink"/>
                <w:rtl w:val="true"/>
              </w:rPr>
              <w:t>المسألة الخامسة في الكذب</w:t>
            </w:r>
            <w:r>
              <w:rPr>
                <w:rStyle w:val="IndexLink"/>
                <w:rtl w:val="true"/>
              </w:rPr>
              <w:tab/>
            </w:r>
            <w:r>
              <w:rPr>
                <w:rStyle w:val="IndexLink"/>
              </w:rPr>
              <w:t>58</w:t>
            </w:r>
          </w:hyperlink>
        </w:p>
        <w:p>
          <w:pPr>
            <w:pStyle w:val="Contents3"/>
            <w:tabs>
              <w:tab w:val="clear" w:pos="8459"/>
              <w:tab w:val="right" w:pos="9026" w:leader="dot"/>
            </w:tabs>
            <w:rPr/>
          </w:pPr>
          <w:hyperlink w:anchor="__RefHeading___Toc1955356_2142443653">
            <w:r>
              <w:rPr>
                <w:webHidden/>
                <w:rStyle w:val="IndexLink"/>
                <w:rtl w:val="true"/>
              </w:rPr>
              <w:t>ماهية الصدق والكذب</w:t>
            </w:r>
            <w:r>
              <w:rPr>
                <w:rStyle w:val="IndexLink"/>
                <w:rtl w:val="true"/>
              </w:rPr>
              <w:tab/>
            </w:r>
            <w:r>
              <w:rPr>
                <w:rStyle w:val="IndexLink"/>
              </w:rPr>
              <w:t>58</w:t>
            </w:r>
          </w:hyperlink>
        </w:p>
        <w:p>
          <w:pPr>
            <w:pStyle w:val="Contents3"/>
            <w:tabs>
              <w:tab w:val="clear" w:pos="8459"/>
              <w:tab w:val="right" w:pos="9026" w:leader="dot"/>
            </w:tabs>
            <w:rPr/>
          </w:pPr>
          <w:hyperlink w:anchor="__RefHeading___Toc1955358_2142443653">
            <w:r>
              <w:rPr>
                <w:webHidden/>
                <w:rStyle w:val="IndexLink"/>
                <w:rtl w:val="true"/>
              </w:rPr>
              <w:t>في عدم تقوّم الكذب بالقول واللفظ</w:t>
            </w:r>
            <w:r>
              <w:rPr>
                <w:rStyle w:val="IndexLink"/>
                <w:rtl w:val="true"/>
              </w:rPr>
              <w:tab/>
            </w:r>
            <w:r>
              <w:rPr>
                <w:rStyle w:val="IndexLink"/>
              </w:rPr>
              <w:t>63</w:t>
            </w:r>
          </w:hyperlink>
        </w:p>
        <w:p>
          <w:pPr>
            <w:pStyle w:val="Contents3"/>
            <w:tabs>
              <w:tab w:val="clear" w:pos="8459"/>
              <w:tab w:val="right" w:pos="9026" w:leader="dot"/>
            </w:tabs>
            <w:rPr/>
          </w:pPr>
          <w:hyperlink w:anchor="__RefHeading___Toc1955360_2142443653">
            <w:r>
              <w:rPr>
                <w:webHidden/>
                <w:rStyle w:val="IndexLink"/>
                <w:rtl w:val="true"/>
              </w:rPr>
              <w:t>في عدم تقوّم الكذب على إفهام المخاطب</w:t>
            </w:r>
            <w:r>
              <w:rPr>
                <w:rStyle w:val="IndexLink"/>
                <w:rtl w:val="true"/>
              </w:rPr>
              <w:tab/>
            </w:r>
            <w:r>
              <w:rPr>
                <w:rStyle w:val="IndexLink"/>
              </w:rPr>
              <w:t>66</w:t>
            </w:r>
          </w:hyperlink>
        </w:p>
        <w:p>
          <w:pPr>
            <w:pStyle w:val="Contents3"/>
            <w:tabs>
              <w:tab w:val="clear" w:pos="8459"/>
              <w:tab w:val="right" w:pos="9026" w:leader="dot"/>
            </w:tabs>
            <w:rPr/>
          </w:pPr>
          <w:hyperlink w:anchor="__RefHeading___Toc1955362_2142443653">
            <w:r>
              <w:rPr>
                <w:webHidden/>
                <w:rStyle w:val="IndexLink"/>
                <w:rtl w:val="true"/>
              </w:rPr>
              <w:t>الميزان في صدق المتكلّم وكذبه</w:t>
            </w:r>
            <w:r>
              <w:rPr>
                <w:rStyle w:val="IndexLink"/>
                <w:rtl w:val="true"/>
              </w:rPr>
              <w:tab/>
            </w:r>
            <w:r>
              <w:rPr>
                <w:rStyle w:val="IndexLink"/>
              </w:rPr>
              <w:t>69</w:t>
            </w:r>
          </w:hyperlink>
        </w:p>
        <w:p>
          <w:pPr>
            <w:pStyle w:val="Contents3"/>
            <w:tabs>
              <w:tab w:val="clear" w:pos="8459"/>
              <w:tab w:val="right" w:pos="9026" w:leader="dot"/>
            </w:tabs>
            <w:rPr/>
          </w:pPr>
          <w:hyperlink w:anchor="__RefHeading___Toc1955364_2142443653">
            <w:r>
              <w:rPr>
                <w:webHidden/>
                <w:rStyle w:val="IndexLink"/>
                <w:rtl w:val="true"/>
              </w:rPr>
              <w:t>عدم كون التورية وخلف الوعد كذباً</w:t>
            </w:r>
            <w:r>
              <w:rPr>
                <w:rStyle w:val="IndexLink"/>
                <w:rtl w:val="true"/>
              </w:rPr>
              <w:tab/>
            </w:r>
            <w:r>
              <w:rPr>
                <w:rStyle w:val="IndexLink"/>
              </w:rPr>
              <w:t>71</w:t>
            </w:r>
          </w:hyperlink>
        </w:p>
        <w:p>
          <w:pPr>
            <w:pStyle w:val="Contents3"/>
            <w:tabs>
              <w:tab w:val="clear" w:pos="8459"/>
              <w:tab w:val="right" w:pos="9026" w:leader="dot"/>
            </w:tabs>
            <w:rPr/>
          </w:pPr>
          <w:hyperlink w:anchor="__RefHeading___Toc1955366_2142443653">
            <w:r>
              <w:rPr>
                <w:webHidden/>
                <w:rStyle w:val="IndexLink"/>
                <w:rtl w:val="true"/>
              </w:rPr>
              <w:t>حرمة الكذب وما يلحق به</w:t>
            </w:r>
            <w:r>
              <w:rPr>
                <w:rStyle w:val="IndexLink"/>
                <w:rtl w:val="true"/>
              </w:rPr>
              <w:tab/>
            </w:r>
            <w:r>
              <w:rPr>
                <w:rStyle w:val="IndexLink"/>
              </w:rPr>
              <w:t>71</w:t>
            </w:r>
          </w:hyperlink>
        </w:p>
        <w:p>
          <w:pPr>
            <w:pStyle w:val="Contents3"/>
            <w:tabs>
              <w:tab w:val="clear" w:pos="8459"/>
              <w:tab w:val="right" w:pos="9026" w:leader="dot"/>
            </w:tabs>
            <w:rPr/>
          </w:pPr>
          <w:hyperlink w:anchor="__RefHeading___Toc1955368_2142443653">
            <w:r>
              <w:rPr>
                <w:webHidden/>
                <w:rStyle w:val="IndexLink"/>
                <w:rtl w:val="true"/>
              </w:rPr>
              <w:t>انصراف أدلّة الحرمة عن الكذب عند نفسه</w:t>
            </w:r>
            <w:r>
              <w:rPr>
                <w:rStyle w:val="IndexLink"/>
                <w:rtl w:val="true"/>
              </w:rPr>
              <w:tab/>
            </w:r>
            <w:r>
              <w:rPr>
                <w:rStyle w:val="IndexLink"/>
              </w:rPr>
              <w:t>72</w:t>
            </w:r>
          </w:hyperlink>
        </w:p>
        <w:p>
          <w:pPr>
            <w:pStyle w:val="Contents3"/>
            <w:tabs>
              <w:tab w:val="clear" w:pos="8459"/>
              <w:tab w:val="right" w:pos="9026" w:leader="dot"/>
            </w:tabs>
            <w:rPr/>
          </w:pPr>
          <w:hyperlink w:anchor="__RefHeading___Toc1955370_2142443653">
            <w:r>
              <w:rPr>
                <w:webHidden/>
                <w:rStyle w:val="IndexLink"/>
                <w:rtl w:val="true"/>
              </w:rPr>
              <w:t>حكم ما يفيد فائدة الكذب كالتورية والإنشاء والأفعال</w:t>
            </w:r>
            <w:r>
              <w:rPr>
                <w:rStyle w:val="IndexLink"/>
                <w:rtl w:val="true"/>
              </w:rPr>
              <w:tab/>
            </w:r>
            <w:r>
              <w:rPr>
                <w:rStyle w:val="IndexLink"/>
              </w:rPr>
              <w:t>73</w:t>
            </w:r>
          </w:hyperlink>
        </w:p>
        <w:p>
          <w:pPr>
            <w:pStyle w:val="Contents3"/>
            <w:tabs>
              <w:tab w:val="clear" w:pos="8459"/>
              <w:tab w:val="right" w:pos="9026" w:leader="dot"/>
            </w:tabs>
            <w:rPr/>
          </w:pPr>
          <w:hyperlink w:anchor="__RefHeading___Toc1955372_2142443653">
            <w:r>
              <w:rPr>
                <w:webHidden/>
                <w:rStyle w:val="IndexLink"/>
                <w:rtl w:val="true"/>
              </w:rPr>
              <w:t>انصراف المطلقات عن الكذب في مقام الهزل</w:t>
            </w:r>
            <w:r>
              <w:rPr>
                <w:rStyle w:val="IndexLink"/>
                <w:rtl w:val="true"/>
              </w:rPr>
              <w:tab/>
            </w:r>
            <w:r>
              <w:rPr>
                <w:rStyle w:val="IndexLink"/>
              </w:rPr>
              <w:t>88</w:t>
            </w:r>
          </w:hyperlink>
        </w:p>
        <w:p>
          <w:pPr>
            <w:pStyle w:val="Contents3"/>
            <w:tabs>
              <w:tab w:val="clear" w:pos="8459"/>
              <w:tab w:val="right" w:pos="9026" w:leader="dot"/>
            </w:tabs>
            <w:rPr/>
          </w:pPr>
          <w:hyperlink w:anchor="__RefHeading___Toc1955374_2142443653">
            <w:r>
              <w:rPr>
                <w:webHidden/>
                <w:rStyle w:val="IndexLink"/>
                <w:rtl w:val="true"/>
              </w:rPr>
              <w:t>حكم الإخبار عن قضيّة مشكوك فيها</w:t>
            </w:r>
            <w:r>
              <w:rPr>
                <w:rStyle w:val="IndexLink"/>
                <w:rtl w:val="true"/>
              </w:rPr>
              <w:tab/>
            </w:r>
            <w:r>
              <w:rPr>
                <w:rStyle w:val="IndexLink"/>
              </w:rPr>
              <w:t>90</w:t>
            </w:r>
          </w:hyperlink>
        </w:p>
        <w:p>
          <w:pPr>
            <w:pStyle w:val="Contents3"/>
            <w:tabs>
              <w:tab w:val="clear" w:pos="8459"/>
              <w:tab w:val="right" w:pos="9026" w:leader="dot"/>
            </w:tabs>
            <w:rPr/>
          </w:pPr>
          <w:hyperlink w:anchor="__RefHeading___Toc1955376_2142443653">
            <w:r>
              <w:rPr>
                <w:webHidden/>
                <w:rStyle w:val="IndexLink"/>
                <w:rtl w:val="true"/>
              </w:rPr>
              <w:t>الأمر الأوّل في كون الكذب من الكبائر</w:t>
            </w:r>
            <w:r>
              <w:rPr>
                <w:rStyle w:val="IndexLink"/>
                <w:rtl w:val="true"/>
              </w:rPr>
              <w:tab/>
            </w:r>
            <w:r>
              <w:rPr>
                <w:rStyle w:val="IndexLink"/>
              </w:rPr>
              <w:t>96</w:t>
            </w:r>
          </w:hyperlink>
        </w:p>
        <w:p>
          <w:pPr>
            <w:pStyle w:val="Contents3"/>
            <w:tabs>
              <w:tab w:val="clear" w:pos="8459"/>
              <w:tab w:val="right" w:pos="9026" w:leader="dot"/>
            </w:tabs>
            <w:rPr/>
          </w:pPr>
          <w:hyperlink w:anchor="__RefHeading___Toc1955378_2142443653">
            <w:r>
              <w:rPr>
                <w:webHidden/>
                <w:rStyle w:val="IndexLink"/>
                <w:rtl w:val="true"/>
              </w:rPr>
              <w:t>الاستدلال بالروايات على كون الكذب مطلقاً من الكبائر</w:t>
            </w:r>
            <w:r>
              <w:rPr>
                <w:rStyle w:val="IndexLink"/>
                <w:rtl w:val="true"/>
              </w:rPr>
              <w:tab/>
            </w:r>
            <w:r>
              <w:rPr>
                <w:rStyle w:val="IndexLink"/>
              </w:rPr>
              <w:t>96</w:t>
            </w:r>
          </w:hyperlink>
        </w:p>
        <w:p>
          <w:pPr>
            <w:pStyle w:val="Contents3"/>
            <w:tabs>
              <w:tab w:val="clear" w:pos="8459"/>
              <w:tab w:val="right" w:pos="9026" w:leader="dot"/>
            </w:tabs>
            <w:rPr/>
          </w:pPr>
          <w:hyperlink w:anchor="__RefHeading___Toc1955380_2142443653">
            <w:r>
              <w:rPr>
                <w:webHidden/>
                <w:rStyle w:val="IndexLink"/>
                <w:rtl w:val="true"/>
              </w:rPr>
              <w:t>إشكال العلاّمة الشيرازي في المقام</w:t>
            </w:r>
            <w:r>
              <w:rPr>
                <w:rStyle w:val="IndexLink"/>
                <w:rtl w:val="true"/>
              </w:rPr>
              <w:tab/>
            </w:r>
            <w:r>
              <w:rPr>
                <w:rStyle w:val="IndexLink"/>
              </w:rPr>
              <w:t>100</w:t>
            </w:r>
          </w:hyperlink>
        </w:p>
        <w:p>
          <w:pPr>
            <w:pStyle w:val="Contents3"/>
            <w:tabs>
              <w:tab w:val="clear" w:pos="8459"/>
              <w:tab w:val="right" w:pos="9026" w:leader="dot"/>
            </w:tabs>
            <w:rPr/>
          </w:pPr>
          <w:hyperlink w:anchor="__RefHeading___Toc1955382_2142443653">
            <w:r>
              <w:rPr>
                <w:webHidden/>
                <w:rStyle w:val="IndexLink"/>
                <w:rtl w:val="true"/>
              </w:rPr>
              <w:t>الاستدلال بموثّقة محمّد بن مسلم</w:t>
            </w:r>
            <w:r>
              <w:rPr>
                <w:rStyle w:val="IndexLink"/>
                <w:rtl w:val="true"/>
              </w:rPr>
              <w:tab/>
            </w:r>
            <w:r>
              <w:rPr>
                <w:rStyle w:val="IndexLink"/>
              </w:rPr>
              <w:t>103</w:t>
            </w:r>
          </w:hyperlink>
        </w:p>
        <w:p>
          <w:pPr>
            <w:pStyle w:val="Contents3"/>
            <w:tabs>
              <w:tab w:val="clear" w:pos="8459"/>
              <w:tab w:val="right" w:pos="9026" w:leader="dot"/>
            </w:tabs>
            <w:rPr/>
          </w:pPr>
          <w:hyperlink w:anchor="__RefHeading___Toc1955384_2142443653">
            <w:r>
              <w:rPr>
                <w:webHidden/>
                <w:rStyle w:val="IndexLink"/>
                <w:rtl w:val="true"/>
              </w:rPr>
              <w:t>الاستدلال بالمرسلة التي ذكرها الشيخ الأعظم</w:t>
            </w:r>
            <w:r>
              <w:rPr>
                <w:rStyle w:val="IndexLink"/>
                <w:rtl w:val="true"/>
              </w:rPr>
              <w:tab/>
            </w:r>
            <w:r>
              <w:rPr>
                <w:rStyle w:val="IndexLink"/>
              </w:rPr>
              <w:t>112</w:t>
            </w:r>
          </w:hyperlink>
        </w:p>
        <w:p>
          <w:pPr>
            <w:pStyle w:val="Contents3"/>
            <w:tabs>
              <w:tab w:val="clear" w:pos="8459"/>
              <w:tab w:val="right" w:pos="9026" w:leader="dot"/>
            </w:tabs>
            <w:rPr/>
          </w:pPr>
          <w:hyperlink w:anchor="__RefHeading___Toc1955386_2142443653">
            <w:r>
              <w:rPr>
                <w:webHidden/>
                <w:rStyle w:val="IndexLink"/>
                <w:rtl w:val="true"/>
              </w:rPr>
              <w:t>الاستدلال برواية أنس</w:t>
            </w:r>
            <w:r>
              <w:rPr>
                <w:rStyle w:val="IndexLink"/>
                <w:rtl w:val="true"/>
              </w:rPr>
              <w:tab/>
            </w:r>
            <w:r>
              <w:rPr>
                <w:rStyle w:val="IndexLink"/>
              </w:rPr>
              <w:t>113</w:t>
            </w:r>
          </w:hyperlink>
        </w:p>
        <w:p>
          <w:pPr>
            <w:pStyle w:val="Contents3"/>
            <w:tabs>
              <w:tab w:val="clear" w:pos="8459"/>
              <w:tab w:val="right" w:pos="9026" w:leader="dot"/>
            </w:tabs>
            <w:rPr/>
          </w:pPr>
          <w:hyperlink w:anchor="__RefHeading___Toc1955388_2142443653">
            <w:r>
              <w:rPr>
                <w:webHidden/>
                <w:rStyle w:val="IndexLink"/>
                <w:rtl w:val="true"/>
              </w:rPr>
              <w:t>الاستدلال برواية أبي ذرّ</w:t>
            </w:r>
            <w:r>
              <w:rPr>
                <w:rStyle w:val="IndexLink"/>
                <w:rtl w:val="true"/>
              </w:rPr>
              <w:tab/>
            </w:r>
            <w:r>
              <w:rPr>
                <w:rStyle w:val="IndexLink"/>
              </w:rPr>
              <w:t>114</w:t>
            </w:r>
          </w:hyperlink>
        </w:p>
        <w:p>
          <w:pPr>
            <w:pStyle w:val="Contents3"/>
            <w:tabs>
              <w:tab w:val="clear" w:pos="8459"/>
              <w:tab w:val="right" w:pos="9026" w:leader="dot"/>
            </w:tabs>
            <w:rPr/>
          </w:pPr>
          <w:hyperlink w:anchor="__RefHeading___Toc1955390_2142443653">
            <w:r>
              <w:rPr>
                <w:webHidden/>
                <w:rStyle w:val="IndexLink"/>
                <w:rtl w:val="true"/>
              </w:rPr>
              <w:t>الاستدلال بالروايات الدالّة على عدم اجتماع الكذب والإيمان</w:t>
            </w:r>
            <w:r>
              <w:rPr>
                <w:rStyle w:val="IndexLink"/>
                <w:rtl w:val="true"/>
              </w:rPr>
              <w:tab/>
            </w:r>
            <w:r>
              <w:rPr>
                <w:rStyle w:val="IndexLink"/>
              </w:rPr>
              <w:t>115</w:t>
            </w:r>
          </w:hyperlink>
        </w:p>
        <w:p>
          <w:pPr>
            <w:pStyle w:val="Contents3"/>
            <w:tabs>
              <w:tab w:val="clear" w:pos="8459"/>
              <w:tab w:val="right" w:pos="9026" w:leader="dot"/>
            </w:tabs>
            <w:rPr/>
          </w:pPr>
          <w:hyperlink w:anchor="__RefHeading___Toc1955392_2142443653">
            <w:r>
              <w:rPr>
                <w:webHidden/>
                <w:rStyle w:val="IndexLink"/>
                <w:rtl w:val="true"/>
              </w:rPr>
              <w:t>الاستدلال بالروايات الدالّة على أنّ قول الزور عدل الشرك</w:t>
            </w:r>
            <w:r>
              <w:rPr>
                <w:rStyle w:val="IndexLink"/>
                <w:rtl w:val="true"/>
              </w:rPr>
              <w:tab/>
            </w:r>
            <w:r>
              <w:rPr>
                <w:rStyle w:val="IndexLink"/>
              </w:rPr>
              <w:t>119</w:t>
            </w:r>
          </w:hyperlink>
        </w:p>
        <w:p>
          <w:pPr>
            <w:pStyle w:val="Contents3"/>
            <w:tabs>
              <w:tab w:val="clear" w:pos="8459"/>
              <w:tab w:val="right" w:pos="9026" w:leader="dot"/>
            </w:tabs>
            <w:rPr/>
          </w:pPr>
          <w:hyperlink w:anchor="__RefHeading___Toc1955394_2142443653">
            <w:r>
              <w:rPr>
                <w:webHidden/>
                <w:rStyle w:val="IndexLink"/>
                <w:rtl w:val="true"/>
              </w:rPr>
              <w:t>الاستدلال بمرسلة الصدوق</w:t>
            </w:r>
            <w:r>
              <w:rPr>
                <w:rStyle w:val="IndexLink"/>
                <w:rtl w:val="true"/>
              </w:rPr>
              <w:tab/>
            </w:r>
            <w:r>
              <w:rPr>
                <w:rStyle w:val="IndexLink"/>
              </w:rPr>
              <w:t>123</w:t>
            </w:r>
          </w:hyperlink>
        </w:p>
        <w:p>
          <w:pPr>
            <w:pStyle w:val="Contents3"/>
            <w:tabs>
              <w:tab w:val="clear" w:pos="8459"/>
              <w:tab w:val="right" w:pos="9026" w:leader="dot"/>
            </w:tabs>
            <w:rPr/>
          </w:pPr>
          <w:hyperlink w:anchor="__RefHeading___Toc1955396_2142443653">
            <w:r>
              <w:rPr>
                <w:webHidden/>
                <w:rStyle w:val="IndexLink"/>
                <w:rtl w:val="true"/>
              </w:rPr>
              <w:t>الاستدلال بروايات ضعيفة سنداً أو دلالة</w:t>
            </w:r>
            <w:r>
              <w:rPr>
                <w:rStyle w:val="IndexLink"/>
                <w:rtl w:val="true"/>
              </w:rPr>
              <w:tab/>
            </w:r>
            <w:r>
              <w:rPr>
                <w:rStyle w:val="IndexLink"/>
              </w:rPr>
              <w:t>124</w:t>
            </w:r>
          </w:hyperlink>
        </w:p>
        <w:p>
          <w:pPr>
            <w:pStyle w:val="Contents3"/>
            <w:tabs>
              <w:tab w:val="clear" w:pos="8459"/>
              <w:tab w:val="right" w:pos="9026" w:leader="dot"/>
            </w:tabs>
            <w:rPr/>
          </w:pPr>
          <w:hyperlink w:anchor="__RefHeading___Toc1955398_2142443653">
            <w:r>
              <w:rPr>
                <w:webHidden/>
                <w:rStyle w:val="IndexLink"/>
                <w:rtl w:val="true"/>
              </w:rPr>
              <w:t>في أنّ الكذب كبيرة في الجملة</w:t>
            </w:r>
            <w:r>
              <w:rPr>
                <w:rStyle w:val="IndexLink"/>
                <w:rtl w:val="true"/>
              </w:rPr>
              <w:tab/>
            </w:r>
            <w:r>
              <w:rPr>
                <w:rStyle w:val="IndexLink"/>
              </w:rPr>
              <w:t>125</w:t>
            </w:r>
          </w:hyperlink>
        </w:p>
        <w:p>
          <w:pPr>
            <w:pStyle w:val="Contents3"/>
            <w:tabs>
              <w:tab w:val="clear" w:pos="8459"/>
              <w:tab w:val="right" w:pos="9026" w:leader="dot"/>
            </w:tabs>
            <w:rPr/>
          </w:pPr>
          <w:hyperlink w:anchor="__RefHeading___Toc1955400_2142443653">
            <w:r>
              <w:rPr>
                <w:webHidden/>
                <w:rStyle w:val="IndexLink"/>
                <w:rtl w:val="true"/>
              </w:rPr>
              <w:t>دفع كون تحريم الكذب باعتبار اللواحق</w:t>
            </w:r>
            <w:r>
              <w:rPr>
                <w:rStyle w:val="IndexLink"/>
                <w:rtl w:val="true"/>
              </w:rPr>
              <w:tab/>
            </w:r>
            <w:r>
              <w:rPr>
                <w:rStyle w:val="IndexLink"/>
              </w:rPr>
              <w:t>129</w:t>
            </w:r>
          </w:hyperlink>
        </w:p>
        <w:p>
          <w:pPr>
            <w:pStyle w:val="Contents4"/>
            <w:tabs>
              <w:tab w:val="clear" w:pos="8176"/>
              <w:tab w:val="right" w:pos="9026" w:leader="dot"/>
            </w:tabs>
            <w:rPr/>
          </w:pPr>
          <w:hyperlink w:anchor="__RefHeading___Toc1955402_2142443653">
            <w:r>
              <w:rPr>
                <w:webHidden/>
                <w:rStyle w:val="IndexLink"/>
                <w:rtl w:val="true"/>
              </w:rPr>
              <w:t>حكم العقل بقبح الكذب ذاتاً</w:t>
            </w:r>
            <w:r>
              <w:rPr>
                <w:rStyle w:val="IndexLink"/>
                <w:rtl w:val="true"/>
              </w:rPr>
              <w:tab/>
            </w:r>
            <w:r>
              <w:rPr>
                <w:rStyle w:val="IndexLink"/>
              </w:rPr>
              <w:t>129</w:t>
            </w:r>
          </w:hyperlink>
        </w:p>
        <w:p>
          <w:pPr>
            <w:pStyle w:val="Contents3"/>
            <w:tabs>
              <w:tab w:val="clear" w:pos="8459"/>
              <w:tab w:val="right" w:pos="9026" w:leader="dot"/>
            </w:tabs>
            <w:rPr/>
          </w:pPr>
          <w:hyperlink w:anchor="__RefHeading___Toc1955404_2142443653">
            <w:r>
              <w:rPr>
                <w:webHidden/>
                <w:rStyle w:val="IndexLink"/>
                <w:rtl w:val="true"/>
              </w:rPr>
              <w:t>مناط حكم الشرع في الكذب غير مناط حكم العقل</w:t>
            </w:r>
            <w:r>
              <w:rPr>
                <w:rStyle w:val="IndexLink"/>
                <w:rtl w:val="true"/>
              </w:rPr>
              <w:tab/>
            </w:r>
            <w:r>
              <w:rPr>
                <w:rStyle w:val="IndexLink"/>
              </w:rPr>
              <w:t>131</w:t>
            </w:r>
          </w:hyperlink>
        </w:p>
        <w:p>
          <w:pPr>
            <w:pStyle w:val="Contents3"/>
            <w:tabs>
              <w:tab w:val="clear" w:pos="8459"/>
              <w:tab w:val="right" w:pos="9026" w:leader="dot"/>
            </w:tabs>
            <w:rPr/>
          </w:pPr>
          <w:hyperlink w:anchor="__RefHeading___Toc1955406_2142443653">
            <w:r>
              <w:rPr>
                <w:webHidden/>
                <w:rStyle w:val="IndexLink"/>
                <w:rtl w:val="true"/>
              </w:rPr>
              <w:t>مقتضى الروايات حرمة الكذب مطلقاً</w:t>
            </w:r>
            <w:r>
              <w:rPr>
                <w:rStyle w:val="IndexLink"/>
                <w:rtl w:val="true"/>
              </w:rPr>
              <w:tab/>
            </w:r>
            <w:r>
              <w:rPr>
                <w:rStyle w:val="IndexLink"/>
              </w:rPr>
              <w:t>132</w:t>
            </w:r>
          </w:hyperlink>
        </w:p>
        <w:p>
          <w:pPr>
            <w:pStyle w:val="Contents3"/>
            <w:tabs>
              <w:tab w:val="clear" w:pos="8459"/>
              <w:tab w:val="right" w:pos="9026" w:leader="dot"/>
            </w:tabs>
            <w:rPr/>
          </w:pPr>
          <w:hyperlink w:anchor="__RefHeading___Toc1955408_2142443653">
            <w:r>
              <w:rPr>
                <w:webHidden/>
                <w:rStyle w:val="IndexLink"/>
                <w:rtl w:val="true"/>
              </w:rPr>
              <w:t>الأمر الثاني في مسوّغات الكذب</w:t>
            </w:r>
            <w:r>
              <w:rPr>
                <w:rStyle w:val="IndexLink"/>
                <w:rtl w:val="true"/>
              </w:rPr>
              <w:tab/>
            </w:r>
            <w:r>
              <w:rPr>
                <w:rStyle w:val="IndexLink"/>
              </w:rPr>
              <w:t>139</w:t>
            </w:r>
          </w:hyperlink>
        </w:p>
        <w:p>
          <w:pPr>
            <w:pStyle w:val="Contents3"/>
            <w:tabs>
              <w:tab w:val="clear" w:pos="8459"/>
              <w:tab w:val="right" w:pos="9026" w:leader="dot"/>
            </w:tabs>
            <w:rPr/>
          </w:pPr>
          <w:hyperlink w:anchor="__RefHeading___Toc1955410_2142443653">
            <w:r>
              <w:rPr>
                <w:webHidden/>
                <w:rStyle w:val="IndexLink"/>
                <w:rtl w:val="true"/>
              </w:rPr>
              <w:t>في أنّ الضرورة من مسوّغات الكذب</w:t>
            </w:r>
            <w:r>
              <w:rPr>
                <w:rStyle w:val="IndexLink"/>
                <w:rtl w:val="true"/>
              </w:rPr>
              <w:tab/>
            </w:r>
            <w:r>
              <w:rPr>
                <w:rStyle w:val="IndexLink"/>
              </w:rPr>
              <w:t>139</w:t>
            </w:r>
          </w:hyperlink>
        </w:p>
        <w:p>
          <w:pPr>
            <w:pStyle w:val="Contents3"/>
            <w:tabs>
              <w:tab w:val="clear" w:pos="8459"/>
              <w:tab w:val="right" w:pos="9026" w:leader="dot"/>
            </w:tabs>
            <w:rPr/>
          </w:pPr>
          <w:hyperlink w:anchor="__RefHeading___Toc1955412_2142443653">
            <w:r>
              <w:rPr>
                <w:webHidden/>
                <w:rStyle w:val="IndexLink"/>
                <w:rtl w:val="true"/>
              </w:rPr>
              <w:t>في أنّ إرادة الإصلاح من مسوّغات الكذب</w:t>
            </w:r>
            <w:r>
              <w:rPr>
                <w:rStyle w:val="IndexLink"/>
                <w:rtl w:val="true"/>
              </w:rPr>
              <w:tab/>
            </w:r>
            <w:r>
              <w:rPr>
                <w:rStyle w:val="IndexLink"/>
              </w:rPr>
              <w:t>155</w:t>
            </w:r>
          </w:hyperlink>
        </w:p>
        <w:p>
          <w:pPr>
            <w:pStyle w:val="Contents3"/>
            <w:tabs>
              <w:tab w:val="clear" w:pos="8459"/>
              <w:tab w:val="right" w:pos="9026" w:leader="dot"/>
            </w:tabs>
            <w:rPr/>
          </w:pPr>
          <w:hyperlink w:anchor="__RefHeading___Toc1955414_2142443653">
            <w:r>
              <w:rPr>
                <w:webHidden/>
                <w:rStyle w:val="IndexLink"/>
                <w:rtl w:val="true"/>
              </w:rPr>
              <w:t>هل يجوز الكذب في الوعد مع الأهل أم لا ؟</w:t>
            </w:r>
            <w:r>
              <w:rPr>
                <w:rStyle w:val="IndexLink"/>
                <w:rtl w:val="true"/>
              </w:rPr>
              <w:tab/>
            </w:r>
            <w:r>
              <w:rPr>
                <w:rStyle w:val="IndexLink"/>
              </w:rPr>
              <w:t>159</w:t>
            </w:r>
          </w:hyperlink>
        </w:p>
        <w:p>
          <w:pPr>
            <w:pStyle w:val="Contents2"/>
            <w:tabs>
              <w:tab w:val="clear" w:pos="8743"/>
              <w:tab w:val="right" w:pos="9026" w:leader="dot"/>
            </w:tabs>
            <w:rPr/>
          </w:pPr>
          <w:hyperlink w:anchor="__RefHeading___Toc1955416_2142443653">
            <w:r>
              <w:rPr>
                <w:webHidden/>
                <w:rStyle w:val="IndexLink"/>
                <w:rtl w:val="true"/>
              </w:rPr>
              <w:t>المسألة السادسة في معونة الظالم</w:t>
            </w:r>
            <w:r>
              <w:rPr>
                <w:rStyle w:val="IndexLink"/>
                <w:rtl w:val="true"/>
              </w:rPr>
              <w:tab/>
            </w:r>
            <w:r>
              <w:rPr>
                <w:rStyle w:val="IndexLink"/>
              </w:rPr>
              <w:t>161</w:t>
            </w:r>
          </w:hyperlink>
        </w:p>
        <w:p>
          <w:pPr>
            <w:pStyle w:val="Contents3"/>
            <w:tabs>
              <w:tab w:val="clear" w:pos="8459"/>
              <w:tab w:val="right" w:pos="9026" w:leader="dot"/>
            </w:tabs>
            <w:rPr/>
          </w:pPr>
          <w:hyperlink w:anchor="__RefHeading___Toc1955418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955420_2142443653">
            <w:r>
              <w:rPr>
                <w:webHidden/>
                <w:rStyle w:val="IndexLink"/>
                <w:rtl w:val="true"/>
              </w:rPr>
              <w:t>هل تكون معونة الظالم من الكبائر مطلقاً أم لا ؟</w:t>
            </w:r>
            <w:r>
              <w:rPr>
                <w:rStyle w:val="IndexLink"/>
                <w:rtl w:val="true"/>
              </w:rPr>
              <w:tab/>
            </w:r>
            <w:r>
              <w:rPr>
                <w:rStyle w:val="IndexLink"/>
              </w:rPr>
              <w:t>161</w:t>
            </w:r>
          </w:hyperlink>
        </w:p>
        <w:p>
          <w:pPr>
            <w:pStyle w:val="Contents2"/>
            <w:tabs>
              <w:tab w:val="clear" w:pos="8743"/>
              <w:tab w:val="right" w:pos="9026" w:leader="dot"/>
            </w:tabs>
            <w:rPr/>
          </w:pPr>
          <w:hyperlink w:anchor="__RefHeading___Toc1955422_2142443653">
            <w:r>
              <w:rPr>
                <w:webHidden/>
                <w:rStyle w:val="IndexLink"/>
                <w:rtl w:val="true"/>
              </w:rPr>
              <w:t>المسألة السابعة في الولاية من قبل الجائر</w:t>
            </w:r>
            <w:r>
              <w:rPr>
                <w:rStyle w:val="IndexLink"/>
                <w:rtl w:val="true"/>
              </w:rPr>
              <w:tab/>
            </w:r>
            <w:r>
              <w:rPr>
                <w:rStyle w:val="IndexLink"/>
              </w:rPr>
              <w:t>180</w:t>
            </w:r>
          </w:hyperlink>
        </w:p>
        <w:p>
          <w:pPr>
            <w:pStyle w:val="Contents3"/>
            <w:tabs>
              <w:tab w:val="clear" w:pos="8459"/>
              <w:tab w:val="right" w:pos="9026" w:leader="dot"/>
            </w:tabs>
            <w:rPr/>
          </w:pPr>
          <w:hyperlink w:anchor="__RefHeading___Toc1955424_2142443653">
            <w:r>
              <w:rPr>
                <w:webHidden/>
                <w:rStyle w:val="IndexLink"/>
                <w:rtl w:val="true"/>
              </w:rPr>
              <w:t>حرمة الولاية من قبل الجائر</w:t>
            </w:r>
            <w:r>
              <w:rPr>
                <w:rStyle w:val="IndexLink"/>
                <w:rtl w:val="true"/>
              </w:rPr>
              <w:tab/>
            </w:r>
            <w:r>
              <w:rPr>
                <w:rStyle w:val="IndexLink"/>
              </w:rPr>
              <w:t>180</w:t>
            </w:r>
          </w:hyperlink>
        </w:p>
        <w:p>
          <w:pPr>
            <w:pStyle w:val="Contents3"/>
            <w:tabs>
              <w:tab w:val="clear" w:pos="8459"/>
              <w:tab w:val="right" w:pos="9026" w:leader="dot"/>
            </w:tabs>
            <w:rPr/>
          </w:pPr>
          <w:hyperlink w:anchor="__RefHeading___Toc1955426_2142443653">
            <w:r>
              <w:rPr>
                <w:webHidden/>
                <w:rStyle w:val="IndexLink"/>
                <w:rtl w:val="true"/>
              </w:rPr>
              <w:t>في الروايات الدالّة على أنّ حرمة الولاية لأجل حرمة التصرّف في سلطان الإمام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955428_2142443653">
            <w:r>
              <w:rPr>
                <w:webHidden/>
                <w:rStyle w:val="IndexLink"/>
                <w:rtl w:val="true"/>
              </w:rPr>
              <w:t>في الروايات الدالّة على حرمة الولاية ذاتاً</w:t>
            </w:r>
            <w:r>
              <w:rPr>
                <w:rStyle w:val="IndexLink"/>
                <w:rtl w:val="true"/>
              </w:rPr>
              <w:tab/>
            </w:r>
            <w:r>
              <w:rPr>
                <w:rStyle w:val="IndexLink"/>
              </w:rPr>
              <w:t>188</w:t>
            </w:r>
          </w:hyperlink>
        </w:p>
        <w:p>
          <w:pPr>
            <w:pStyle w:val="Contents3"/>
            <w:tabs>
              <w:tab w:val="clear" w:pos="8459"/>
              <w:tab w:val="right" w:pos="9026" w:leader="dot"/>
            </w:tabs>
            <w:rPr/>
          </w:pPr>
          <w:hyperlink w:anchor="__RefHeading___Toc1955430_2142443653">
            <w:r>
              <w:rPr>
                <w:webHidden/>
                <w:rStyle w:val="IndexLink"/>
                <w:rtl w:val="true"/>
              </w:rPr>
              <w:t>في الروايات الدالّة على أنّ الحرمة لأمر خارج</w:t>
            </w:r>
            <w:r>
              <w:rPr>
                <w:rStyle w:val="IndexLink"/>
                <w:rtl w:val="true"/>
              </w:rPr>
              <w:tab/>
            </w:r>
            <w:r>
              <w:rPr>
                <w:rStyle w:val="IndexLink"/>
              </w:rPr>
              <w:t>192</w:t>
            </w:r>
          </w:hyperlink>
        </w:p>
        <w:p>
          <w:pPr>
            <w:pStyle w:val="Contents3"/>
            <w:tabs>
              <w:tab w:val="clear" w:pos="8459"/>
              <w:tab w:val="right" w:pos="9026" w:leader="dot"/>
            </w:tabs>
            <w:rPr/>
          </w:pPr>
          <w:hyperlink w:anchor="__RefHeading___Toc1955432_2142443653">
            <w:r>
              <w:rPr>
                <w:webHidden/>
                <w:rStyle w:val="IndexLink"/>
                <w:rtl w:val="true"/>
              </w:rPr>
              <w:t>في الروايات الظاهرة في الحرمة بلا عنوان</w:t>
            </w:r>
            <w:r>
              <w:rPr>
                <w:rStyle w:val="IndexLink"/>
                <w:rtl w:val="true"/>
              </w:rPr>
              <w:tab/>
            </w:r>
            <w:r>
              <w:rPr>
                <w:rStyle w:val="IndexLink"/>
              </w:rPr>
              <w:t>193</w:t>
            </w:r>
          </w:hyperlink>
        </w:p>
        <w:p>
          <w:pPr>
            <w:pStyle w:val="Contents3"/>
            <w:tabs>
              <w:tab w:val="clear" w:pos="8459"/>
              <w:tab w:val="right" w:pos="9026" w:leader="dot"/>
            </w:tabs>
            <w:rPr/>
          </w:pPr>
          <w:hyperlink w:anchor="__RefHeading___Toc1955434_2142443653">
            <w:r>
              <w:rPr>
                <w:webHidden/>
                <w:rStyle w:val="IndexLink"/>
                <w:rtl w:val="true"/>
              </w:rPr>
              <w:t>مسوّغات الولاية من قبل الجائر</w:t>
            </w:r>
            <w:r>
              <w:rPr>
                <w:rStyle w:val="IndexLink"/>
                <w:rtl w:val="true"/>
              </w:rPr>
              <w:tab/>
            </w:r>
            <w:r>
              <w:rPr>
                <w:rStyle w:val="IndexLink"/>
              </w:rPr>
              <w:t>196</w:t>
            </w:r>
          </w:hyperlink>
        </w:p>
        <w:p>
          <w:pPr>
            <w:pStyle w:val="Contents3"/>
            <w:tabs>
              <w:tab w:val="clear" w:pos="8459"/>
              <w:tab w:val="right" w:pos="9026" w:leader="dot"/>
            </w:tabs>
            <w:rPr/>
          </w:pPr>
          <w:hyperlink w:anchor="__RefHeading___Toc1955436_2142443653">
            <w:r>
              <w:rPr>
                <w:webHidden/>
                <w:rStyle w:val="IndexLink"/>
                <w:rtl w:val="true"/>
              </w:rPr>
              <w:t xml:space="preserve">الأمر الأوّل </w:t>
            </w:r>
            <w:r>
              <w:rPr>
                <w:rStyle w:val="IndexLink"/>
                <w:rtl w:val="true"/>
              </w:rPr>
              <w:t xml:space="preserve">: </w:t>
            </w:r>
            <w:r>
              <w:rPr>
                <w:rStyle w:val="IndexLink"/>
                <w:rtl w:val="true"/>
              </w:rPr>
              <w:t>القيام بمصالح العباد</w:t>
            </w:r>
            <w:r>
              <w:rPr>
                <w:rStyle w:val="IndexLink"/>
                <w:rtl w:val="true"/>
              </w:rPr>
              <w:tab/>
            </w:r>
            <w:r>
              <w:rPr>
                <w:rStyle w:val="IndexLink"/>
              </w:rPr>
              <w:t>196</w:t>
            </w:r>
          </w:hyperlink>
        </w:p>
        <w:p>
          <w:pPr>
            <w:pStyle w:val="Contents3"/>
            <w:tabs>
              <w:tab w:val="clear" w:pos="8459"/>
              <w:tab w:val="right" w:pos="9026" w:leader="dot"/>
            </w:tabs>
            <w:rPr/>
          </w:pPr>
          <w:hyperlink w:anchor="__RefHeading___Toc1955438_2142443653">
            <w:r>
              <w:rPr>
                <w:webHidden/>
                <w:rStyle w:val="IndexLink"/>
                <w:rtl w:val="true"/>
              </w:rPr>
              <w:t>ذكر الروايات في المسألة</w:t>
            </w:r>
            <w:r>
              <w:rPr>
                <w:rStyle w:val="IndexLink"/>
                <w:rtl w:val="true"/>
              </w:rPr>
              <w:tab/>
            </w:r>
            <w:r>
              <w:rPr>
                <w:rStyle w:val="IndexLink"/>
              </w:rPr>
              <w:t>197</w:t>
            </w:r>
          </w:hyperlink>
        </w:p>
        <w:p>
          <w:pPr>
            <w:pStyle w:val="Contents3"/>
            <w:tabs>
              <w:tab w:val="clear" w:pos="8459"/>
              <w:tab w:val="right" w:pos="9026" w:leader="dot"/>
            </w:tabs>
            <w:rPr/>
          </w:pPr>
          <w:hyperlink w:anchor="__RefHeading___Toc1955440_2142443653">
            <w:r>
              <w:rPr>
                <w:webHidden/>
                <w:rStyle w:val="IndexLink"/>
                <w:rtl w:val="true"/>
              </w:rPr>
              <w:t>عدم المعارضة بين الروايات لدى العرف والعقلاء</w:t>
            </w:r>
            <w:r>
              <w:rPr>
                <w:rStyle w:val="IndexLink"/>
                <w:rtl w:val="true"/>
              </w:rPr>
              <w:tab/>
            </w:r>
            <w:r>
              <w:rPr>
                <w:rStyle w:val="IndexLink"/>
              </w:rPr>
              <w:t>206</w:t>
            </w:r>
          </w:hyperlink>
        </w:p>
        <w:p>
          <w:pPr>
            <w:pStyle w:val="Contents3"/>
            <w:tabs>
              <w:tab w:val="clear" w:pos="8459"/>
              <w:tab w:val="right" w:pos="9026" w:leader="dot"/>
            </w:tabs>
            <w:rPr/>
          </w:pPr>
          <w:hyperlink w:anchor="__RefHeading___Toc1955442_2142443653">
            <w:r>
              <w:rPr>
                <w:webHidden/>
                <w:rStyle w:val="IndexLink"/>
                <w:rtl w:val="true"/>
              </w:rPr>
              <w:t>كلام الشيخ الأعظم في الولاية المكروهة والمستحبّة</w:t>
            </w:r>
            <w:r>
              <w:rPr>
                <w:rStyle w:val="IndexLink"/>
                <w:rtl w:val="true"/>
              </w:rPr>
              <w:tab/>
            </w:r>
            <w:r>
              <w:rPr>
                <w:rStyle w:val="IndexLink"/>
              </w:rPr>
              <w:t>214</w:t>
            </w:r>
          </w:hyperlink>
        </w:p>
        <w:p>
          <w:pPr>
            <w:pStyle w:val="Contents3"/>
            <w:tabs>
              <w:tab w:val="clear" w:pos="8459"/>
              <w:tab w:val="right" w:pos="9026" w:leader="dot"/>
            </w:tabs>
            <w:rPr/>
          </w:pPr>
          <w:hyperlink w:anchor="__RefHeading___Toc1955444_2142443653">
            <w:r>
              <w:rPr>
                <w:webHidden/>
                <w:rStyle w:val="IndexLink"/>
                <w:rtl w:val="true"/>
              </w:rPr>
              <w:t>في وجوب تصدّي الولاية فيما توقّف الأمر بالمعروف والنهي عن المنكر عليه</w:t>
            </w:r>
            <w:r>
              <w:rPr>
                <w:rStyle w:val="IndexLink"/>
                <w:rtl w:val="true"/>
              </w:rPr>
              <w:tab/>
            </w:r>
            <w:r>
              <w:rPr>
                <w:rStyle w:val="IndexLink"/>
              </w:rPr>
              <w:t>217</w:t>
            </w:r>
          </w:hyperlink>
        </w:p>
        <w:p>
          <w:pPr>
            <w:pStyle w:val="Contents3"/>
            <w:tabs>
              <w:tab w:val="clear" w:pos="8459"/>
              <w:tab w:val="right" w:pos="9026" w:leader="dot"/>
            </w:tabs>
            <w:rPr/>
          </w:pPr>
          <w:hyperlink w:anchor="__RefHeading___Toc1955446_2142443653">
            <w:r>
              <w:rPr>
                <w:webHidden/>
                <w:rStyle w:val="IndexLink"/>
                <w:rtl w:val="true"/>
              </w:rPr>
              <w:t>مقتضى القواعد مع قطع النظر عن الأخبار</w:t>
            </w:r>
            <w:r>
              <w:rPr>
                <w:rStyle w:val="IndexLink"/>
                <w:rtl w:val="true"/>
              </w:rPr>
              <w:tab/>
            </w:r>
            <w:r>
              <w:rPr>
                <w:rStyle w:val="IndexLink"/>
              </w:rPr>
              <w:t>217</w:t>
            </w:r>
          </w:hyperlink>
        </w:p>
        <w:p>
          <w:pPr>
            <w:pStyle w:val="Contents3"/>
            <w:tabs>
              <w:tab w:val="clear" w:pos="8459"/>
              <w:tab w:val="right" w:pos="9026" w:leader="dot"/>
            </w:tabs>
            <w:rPr/>
          </w:pPr>
          <w:hyperlink w:anchor="__RefHeading___Toc1955448_2142443653">
            <w:r>
              <w:rPr>
                <w:webHidden/>
                <w:rStyle w:val="IndexLink"/>
                <w:rtl w:val="true"/>
              </w:rPr>
              <w:t>مقتضى الأخبار في المقام</w:t>
            </w:r>
            <w:r>
              <w:rPr>
                <w:rStyle w:val="IndexLink"/>
                <w:rtl w:val="true"/>
              </w:rPr>
              <w:tab/>
            </w:r>
            <w:r>
              <w:rPr>
                <w:rStyle w:val="IndexLink"/>
              </w:rPr>
              <w:t>221</w:t>
            </w:r>
          </w:hyperlink>
        </w:p>
        <w:p>
          <w:pPr>
            <w:pStyle w:val="Contents3"/>
            <w:tabs>
              <w:tab w:val="clear" w:pos="8459"/>
              <w:tab w:val="right" w:pos="9026" w:leader="dot"/>
            </w:tabs>
            <w:rPr/>
          </w:pPr>
          <w:hyperlink w:anchor="__RefHeading___Toc1955450_2142443653">
            <w:r>
              <w:rPr>
                <w:webHidden/>
                <w:rStyle w:val="IndexLink"/>
                <w:rtl w:val="true"/>
              </w:rPr>
              <w:t>هل يمكن إلغاء الخصوصية من مورد الجواز أم لا ؟</w:t>
            </w:r>
            <w:r>
              <w:rPr>
                <w:rStyle w:val="IndexLink"/>
                <w:rtl w:val="true"/>
              </w:rPr>
              <w:tab/>
            </w:r>
            <w:r>
              <w:rPr>
                <w:rStyle w:val="IndexLink"/>
              </w:rPr>
              <w:t>228</w:t>
            </w:r>
          </w:hyperlink>
        </w:p>
        <w:p>
          <w:pPr>
            <w:pStyle w:val="Contents3"/>
            <w:tabs>
              <w:tab w:val="clear" w:pos="8459"/>
              <w:tab w:val="right" w:pos="9026" w:leader="dot"/>
            </w:tabs>
            <w:rPr/>
          </w:pPr>
          <w:hyperlink w:anchor="__RefHeading___Toc1955452_2142443653">
            <w:r>
              <w:rPr>
                <w:webHidden/>
                <w:rStyle w:val="IndexLink"/>
                <w:rtl w:val="true"/>
              </w:rPr>
              <w:t>ذكر كلمات الأصحاب في المقام</w:t>
            </w:r>
            <w:r>
              <w:rPr>
                <w:rStyle w:val="IndexLink"/>
                <w:rtl w:val="true"/>
              </w:rPr>
              <w:tab/>
            </w:r>
            <w:r>
              <w:rPr>
                <w:rStyle w:val="IndexLink"/>
              </w:rPr>
              <w:t>231</w:t>
            </w:r>
          </w:hyperlink>
        </w:p>
        <w:p>
          <w:pPr>
            <w:pStyle w:val="Contents3"/>
            <w:tabs>
              <w:tab w:val="clear" w:pos="8459"/>
              <w:tab w:val="right" w:pos="9026" w:leader="dot"/>
            </w:tabs>
            <w:rPr/>
          </w:pPr>
          <w:hyperlink w:anchor="__RefHeading___Toc1955454_2142443653">
            <w:r>
              <w:rPr>
                <w:webHidden/>
                <w:rStyle w:val="IndexLink"/>
                <w:rtl w:val="true"/>
              </w:rPr>
              <w:t xml:space="preserve">الأمر الثاني ممّا يسوّغ الولاية </w:t>
            </w:r>
            <w:r>
              <w:rPr>
                <w:rStyle w:val="IndexLink"/>
                <w:rtl w:val="true"/>
              </w:rPr>
              <w:t xml:space="preserve">: </w:t>
            </w:r>
            <w:r>
              <w:rPr>
                <w:rStyle w:val="IndexLink"/>
                <w:rtl w:val="true"/>
              </w:rPr>
              <w:t>العذر</w:t>
            </w:r>
            <w:r>
              <w:rPr>
                <w:rStyle w:val="IndexLink"/>
                <w:rtl w:val="true"/>
              </w:rPr>
              <w:tab/>
            </w:r>
            <w:r>
              <w:rPr>
                <w:rStyle w:val="IndexLink"/>
              </w:rPr>
              <w:t>233</w:t>
            </w:r>
          </w:hyperlink>
        </w:p>
        <w:p>
          <w:pPr>
            <w:pStyle w:val="Contents4"/>
            <w:tabs>
              <w:tab w:val="clear" w:pos="8176"/>
              <w:tab w:val="right" w:pos="9026" w:leader="dot"/>
            </w:tabs>
            <w:rPr/>
          </w:pPr>
          <w:hyperlink w:anchor="__RefHeading___Toc1955456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955458_2142443653">
            <w:r>
              <w:rPr>
                <w:webHidden/>
                <w:rStyle w:val="IndexLink"/>
                <w:rtl w:val="true"/>
              </w:rPr>
              <w:t>التنبيه الأوّل شمول أدلّة الإكراه لمطلق المحرّمات</w:t>
            </w:r>
            <w:r>
              <w:rPr>
                <w:rStyle w:val="IndexLink"/>
                <w:rtl w:val="true"/>
              </w:rPr>
              <w:tab/>
            </w:r>
            <w:r>
              <w:rPr>
                <w:rStyle w:val="IndexLink"/>
              </w:rPr>
              <w:t>234</w:t>
            </w:r>
          </w:hyperlink>
        </w:p>
        <w:p>
          <w:pPr>
            <w:pStyle w:val="Contents5"/>
            <w:tabs>
              <w:tab w:val="clear" w:pos="7892"/>
              <w:tab w:val="right" w:pos="9026" w:leader="dot"/>
            </w:tabs>
            <w:rPr/>
          </w:pPr>
          <w:hyperlink w:anchor="__RefHeading___Toc1955460_2142443653">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955462_2142443653">
            <w:r>
              <w:rPr>
                <w:webHidden/>
                <w:rStyle w:val="IndexLink"/>
                <w:rtl w:val="true"/>
              </w:rPr>
              <w:t>ما استدلّ به على اختصاص أدلّة الإكراه بحقّ اللّه وردّه</w:t>
            </w:r>
            <w:r>
              <w:rPr>
                <w:rStyle w:val="IndexLink"/>
                <w:rtl w:val="true"/>
              </w:rPr>
              <w:tab/>
            </w:r>
            <w:r>
              <w:rPr>
                <w:rStyle w:val="IndexLink"/>
              </w:rPr>
              <w:t>234</w:t>
            </w:r>
          </w:hyperlink>
        </w:p>
        <w:p>
          <w:pPr>
            <w:pStyle w:val="Contents4"/>
            <w:tabs>
              <w:tab w:val="clear" w:pos="8176"/>
              <w:tab w:val="right" w:pos="9026" w:leader="dot"/>
            </w:tabs>
            <w:rPr/>
          </w:pPr>
          <w:hyperlink w:anchor="__RefHeading___Toc1955464_2142443653">
            <w:r>
              <w:rPr>
                <w:webHidden/>
                <w:rStyle w:val="IndexLink"/>
                <w:rtl w:val="true"/>
              </w:rPr>
              <w:t>مستثنيات إطلاق أدلّة الإكراه</w:t>
            </w:r>
            <w:r>
              <w:rPr>
                <w:rStyle w:val="IndexLink"/>
                <w:rtl w:val="true"/>
              </w:rPr>
              <w:tab/>
            </w:r>
            <w:r>
              <w:rPr>
                <w:rStyle w:val="IndexLink"/>
              </w:rPr>
              <w:t>247</w:t>
            </w:r>
          </w:hyperlink>
        </w:p>
        <w:p>
          <w:pPr>
            <w:pStyle w:val="Contents5"/>
            <w:tabs>
              <w:tab w:val="clear" w:pos="7892"/>
              <w:tab w:val="right" w:pos="9026" w:leader="dot"/>
            </w:tabs>
            <w:rPr/>
          </w:pPr>
          <w:hyperlink w:anchor="__RefHeading___Toc1955466_214244365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955468_2142443653">
            <w:r>
              <w:rPr>
                <w:webHidden/>
                <w:rStyle w:val="IndexLink"/>
                <w:rtl w:val="true"/>
              </w:rPr>
              <w:t>استثناء ما يؤدّي إلى الفساد في الدين</w:t>
            </w:r>
            <w:r>
              <w:rPr>
                <w:rStyle w:val="IndexLink"/>
                <w:rtl w:val="true"/>
              </w:rPr>
              <w:tab/>
            </w:r>
            <w:r>
              <w:rPr>
                <w:rStyle w:val="IndexLink"/>
              </w:rPr>
              <w:t>247</w:t>
            </w:r>
          </w:hyperlink>
        </w:p>
        <w:p>
          <w:pPr>
            <w:pStyle w:val="Contents4"/>
            <w:tabs>
              <w:tab w:val="clear" w:pos="8176"/>
              <w:tab w:val="right" w:pos="9026" w:leader="dot"/>
            </w:tabs>
            <w:rPr/>
          </w:pPr>
          <w:hyperlink w:anchor="__RefHeading___Toc1955470_2142443653">
            <w:r>
              <w:rPr>
                <w:webHidden/>
                <w:rStyle w:val="IndexLink"/>
                <w:rtl w:val="true"/>
              </w:rPr>
              <w:t>استثناء ما يؤدّي إلى الدم</w:t>
            </w:r>
            <w:r>
              <w:rPr>
                <w:rStyle w:val="IndexLink"/>
                <w:rtl w:val="true"/>
              </w:rPr>
              <w:tab/>
            </w:r>
            <w:r>
              <w:rPr>
                <w:rStyle w:val="IndexLink"/>
              </w:rPr>
              <w:t>249</w:t>
            </w:r>
          </w:hyperlink>
        </w:p>
        <w:p>
          <w:pPr>
            <w:pStyle w:val="Contents4"/>
            <w:tabs>
              <w:tab w:val="clear" w:pos="8176"/>
              <w:tab w:val="right" w:pos="9026" w:leader="dot"/>
            </w:tabs>
            <w:rPr/>
          </w:pPr>
          <w:hyperlink w:anchor="__RefHeading___Toc1955472_2142443653">
            <w:r>
              <w:rPr>
                <w:webHidden/>
                <w:rStyle w:val="IndexLink"/>
                <w:rtl w:val="true"/>
              </w:rPr>
              <w:t xml:space="preserve">لكن يمكن دفع المناقشة </w:t>
            </w:r>
            <w:r>
              <w:rPr>
                <w:rStyle w:val="IndexLink"/>
                <w:rtl w:val="true"/>
              </w:rPr>
              <w:t>:</w:t>
              <w:tab/>
            </w:r>
            <w:r>
              <w:rPr>
                <w:rStyle w:val="IndexLink"/>
              </w:rPr>
              <w:t>252</w:t>
            </w:r>
          </w:hyperlink>
        </w:p>
        <w:p>
          <w:pPr>
            <w:pStyle w:val="Contents4"/>
            <w:tabs>
              <w:tab w:val="clear" w:pos="8176"/>
              <w:tab w:val="right" w:pos="9026" w:leader="dot"/>
            </w:tabs>
            <w:rPr/>
          </w:pPr>
          <w:hyperlink w:anchor="__RefHeading___Toc1955474_2142443653">
            <w:r>
              <w:rPr>
                <w:webHidden/>
                <w:rStyle w:val="IndexLink"/>
                <w:rtl w:val="true"/>
              </w:rPr>
              <w:t xml:space="preserve">مفاد قوله علیه السلام </w:t>
            </w:r>
            <w:r>
              <w:rPr>
                <w:rStyle w:val="IndexLink"/>
                <w:rtl w:val="true"/>
              </w:rPr>
              <w:t>: «</w:t>
            </w:r>
            <w:r>
              <w:rPr>
                <w:rStyle w:val="IndexLink"/>
                <w:rtl w:val="true"/>
              </w:rPr>
              <w:t>فإذا بلغت الدم فلا تقيّة</w:t>
            </w:r>
            <w:r>
              <w:rPr>
                <w:rStyle w:val="IndexLink"/>
                <w:rtl w:val="true"/>
              </w:rPr>
              <w:t>»</w:t>
              <w:tab/>
            </w:r>
            <w:r>
              <w:rPr>
                <w:rStyle w:val="IndexLink"/>
              </w:rPr>
              <w:t>254</w:t>
            </w:r>
          </w:hyperlink>
        </w:p>
        <w:p>
          <w:pPr>
            <w:pStyle w:val="Contents4"/>
            <w:tabs>
              <w:tab w:val="clear" w:pos="8176"/>
              <w:tab w:val="right" w:pos="9026" w:leader="dot"/>
            </w:tabs>
            <w:rPr/>
          </w:pPr>
          <w:hyperlink w:anchor="__RefHeading___Toc1955476_2142443653">
            <w:r>
              <w:rPr>
                <w:webHidden/>
                <w:rStyle w:val="IndexLink"/>
                <w:rtl w:val="true"/>
              </w:rPr>
              <w:t>في دوران الأمر بين مباشرة القتل وبين إيقاع النفس في الهلكة</w:t>
            </w:r>
            <w:r>
              <w:rPr>
                <w:rStyle w:val="IndexLink"/>
                <w:rtl w:val="true"/>
              </w:rPr>
              <w:tab/>
            </w:r>
            <w:r>
              <w:rPr>
                <w:rStyle w:val="IndexLink"/>
              </w:rPr>
              <w:t>258</w:t>
            </w:r>
          </w:hyperlink>
        </w:p>
        <w:p>
          <w:pPr>
            <w:pStyle w:val="Contents3"/>
            <w:tabs>
              <w:tab w:val="clear" w:pos="8459"/>
              <w:tab w:val="right" w:pos="9026" w:leader="dot"/>
            </w:tabs>
            <w:rPr/>
          </w:pPr>
          <w:hyperlink w:anchor="__RefHeading___Toc1955478_2142443653">
            <w:r>
              <w:rPr>
                <w:webHidden/>
                <w:rStyle w:val="IndexLink"/>
                <w:rtl w:val="true"/>
              </w:rPr>
              <w:t>التنبيه الثاني حكم سائر أقسام التقيّة</w:t>
            </w:r>
            <w:r>
              <w:rPr>
                <w:rStyle w:val="IndexLink"/>
                <w:rtl w:val="true"/>
              </w:rPr>
              <w:tab/>
            </w:r>
            <w:r>
              <w:rPr>
                <w:rStyle w:val="IndexLink"/>
              </w:rPr>
              <w:t>263</w:t>
            </w:r>
          </w:hyperlink>
        </w:p>
        <w:p>
          <w:pPr>
            <w:pStyle w:val="Contents4"/>
            <w:tabs>
              <w:tab w:val="clear" w:pos="8176"/>
              <w:tab w:val="right" w:pos="9026" w:leader="dot"/>
            </w:tabs>
            <w:rPr/>
          </w:pPr>
          <w:hyperlink w:anchor="__RefHeading___Toc1955480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955482_2142443653">
            <w:r>
              <w:rPr>
                <w:webHidden/>
                <w:rStyle w:val="IndexLink"/>
                <w:rtl w:val="true"/>
              </w:rPr>
              <w:t>حكم التقيّة إذا خاف على عرض مؤمن أو ماله</w:t>
            </w:r>
            <w:r>
              <w:rPr>
                <w:rStyle w:val="IndexLink"/>
                <w:rtl w:val="true"/>
              </w:rPr>
              <w:tab/>
            </w:r>
            <w:r>
              <w:rPr>
                <w:rStyle w:val="IndexLink"/>
              </w:rPr>
              <w:t>270</w:t>
            </w:r>
          </w:hyperlink>
        </w:p>
        <w:p>
          <w:pPr>
            <w:pStyle w:val="Contents3"/>
            <w:tabs>
              <w:tab w:val="clear" w:pos="8459"/>
              <w:tab w:val="right" w:pos="9026" w:leader="dot"/>
            </w:tabs>
            <w:rPr/>
          </w:pPr>
          <w:hyperlink w:anchor="__RefHeading___Toc1955484_2142443653">
            <w:r>
              <w:rPr>
                <w:webHidden/>
                <w:rStyle w:val="IndexLink"/>
                <w:rtl w:val="true"/>
              </w:rPr>
              <w:t>التنبيه الثالث الإشكال على ما ذكره الشيخ في معنى الإكراه</w:t>
            </w:r>
            <w:r>
              <w:rPr>
                <w:rStyle w:val="IndexLink"/>
                <w:rtl w:val="true"/>
              </w:rPr>
              <w:tab/>
            </w:r>
            <w:r>
              <w:rPr>
                <w:rStyle w:val="IndexLink"/>
              </w:rPr>
              <w:t>276</w:t>
            </w:r>
          </w:hyperlink>
        </w:p>
        <w:p>
          <w:pPr>
            <w:pStyle w:val="Contents3"/>
            <w:tabs>
              <w:tab w:val="clear" w:pos="8459"/>
              <w:tab w:val="right" w:pos="9026" w:leader="dot"/>
            </w:tabs>
            <w:rPr/>
          </w:pPr>
          <w:hyperlink w:anchor="__RefHeading___Toc1955486_2142443653">
            <w:r>
              <w:rPr>
                <w:webHidden/>
                <w:rStyle w:val="IndexLink"/>
                <w:rtl w:val="true"/>
              </w:rPr>
              <w:t>التنبيه الرابع في التفصيل فيما ذكره الشيخ من أنّ قبول الولاية مع الضرر المالي اليسير رخصة</w:t>
            </w:r>
            <w:r>
              <w:rPr>
                <w:rStyle w:val="IndexLink"/>
                <w:rtl w:val="true"/>
              </w:rPr>
              <w:tab/>
            </w:r>
            <w:r>
              <w:rPr>
                <w:rStyle w:val="IndexLink"/>
              </w:rPr>
              <w:t>282</w:t>
            </w:r>
          </w:hyperlink>
        </w:p>
        <w:p>
          <w:pPr>
            <w:pStyle w:val="Contents2"/>
            <w:tabs>
              <w:tab w:val="clear" w:pos="8743"/>
              <w:tab w:val="right" w:pos="9026" w:leader="dot"/>
            </w:tabs>
            <w:rPr/>
          </w:pPr>
          <w:hyperlink w:anchor="__RefHeading___Toc1955488_2142443653">
            <w:r>
              <w:rPr>
                <w:webHidden/>
                <w:rStyle w:val="IndexLink"/>
                <w:rtl w:val="true"/>
              </w:rPr>
              <w:t>القسم الخامس في الاكتساب بما يجب على الإنسان فعله</w:t>
            </w:r>
            <w:r>
              <w:rPr>
                <w:rStyle w:val="IndexLink"/>
                <w:rtl w:val="true"/>
              </w:rPr>
              <w:tab/>
            </w:r>
            <w:r>
              <w:rPr>
                <w:rStyle w:val="IndexLink"/>
              </w:rPr>
              <w:t>285</w:t>
            </w:r>
          </w:hyperlink>
        </w:p>
        <w:p>
          <w:pPr>
            <w:pStyle w:val="Contents3"/>
            <w:tabs>
              <w:tab w:val="clear" w:pos="8459"/>
              <w:tab w:val="right" w:pos="9026" w:leader="dot"/>
            </w:tabs>
            <w:rPr/>
          </w:pPr>
          <w:hyperlink w:anchor="__RefHeading___Toc1955490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955492_2142443653">
            <w:r>
              <w:rPr>
                <w:webHidden/>
                <w:rStyle w:val="IndexLink"/>
                <w:rtl w:val="true"/>
              </w:rPr>
              <w:t>حرمة التكسّب بالواجبات</w:t>
            </w:r>
            <w:r>
              <w:rPr>
                <w:rStyle w:val="IndexLink"/>
                <w:rtl w:val="true"/>
              </w:rPr>
              <w:tab/>
            </w:r>
            <w:r>
              <w:rPr>
                <w:rStyle w:val="IndexLink"/>
              </w:rPr>
              <w:t>287</w:t>
            </w:r>
          </w:hyperlink>
        </w:p>
        <w:p>
          <w:pPr>
            <w:pStyle w:val="Contents3"/>
            <w:tabs>
              <w:tab w:val="clear" w:pos="8459"/>
              <w:tab w:val="right" w:pos="9026" w:leader="dot"/>
            </w:tabs>
            <w:rPr/>
          </w:pPr>
          <w:hyperlink w:anchor="__RefHeading___Toc1955494_2142443653">
            <w:r>
              <w:rPr>
                <w:webHidden/>
                <w:rStyle w:val="IndexLink"/>
                <w:rtl w:val="true"/>
              </w:rPr>
              <w:t>حول إشكال منافاة وصف التعبّدية لأخذ الاُجرة</w:t>
            </w:r>
            <w:r>
              <w:rPr>
                <w:rStyle w:val="IndexLink"/>
                <w:rtl w:val="true"/>
              </w:rPr>
              <w:tab/>
            </w:r>
            <w:r>
              <w:rPr>
                <w:rStyle w:val="IndexLink"/>
              </w:rPr>
              <w:t>288</w:t>
            </w:r>
          </w:hyperlink>
        </w:p>
        <w:p>
          <w:pPr>
            <w:pStyle w:val="Contents3"/>
            <w:tabs>
              <w:tab w:val="clear" w:pos="8459"/>
              <w:tab w:val="right" w:pos="9026" w:leader="dot"/>
            </w:tabs>
            <w:rPr/>
          </w:pPr>
          <w:hyperlink w:anchor="__RefHeading___Toc1955496_2142443653">
            <w:r>
              <w:rPr>
                <w:webHidden/>
                <w:rStyle w:val="IndexLink"/>
                <w:rtl w:val="true"/>
              </w:rPr>
              <w:t>في الجواب عن إشكال المنافاة بطولية داعي الامتثال</w:t>
            </w:r>
            <w:r>
              <w:rPr>
                <w:rStyle w:val="IndexLink"/>
                <w:rtl w:val="true"/>
              </w:rPr>
              <w:tab/>
            </w:r>
            <w:r>
              <w:rPr>
                <w:rStyle w:val="IndexLink"/>
              </w:rPr>
              <w:t>295</w:t>
            </w:r>
          </w:hyperlink>
        </w:p>
        <w:p>
          <w:pPr>
            <w:pStyle w:val="Contents3"/>
            <w:tabs>
              <w:tab w:val="clear" w:pos="8459"/>
              <w:tab w:val="right" w:pos="9026" w:leader="dot"/>
            </w:tabs>
            <w:rPr/>
          </w:pPr>
          <w:hyperlink w:anchor="__RefHeading___Toc1955498_2142443653">
            <w:r>
              <w:rPr>
                <w:webHidden/>
                <w:rStyle w:val="IndexLink"/>
                <w:rtl w:val="true"/>
              </w:rPr>
              <w:t>في اعتبار إلهية جميع الدواعي الطولية والعرضية في العبادة</w:t>
            </w:r>
            <w:r>
              <w:rPr>
                <w:rStyle w:val="IndexLink"/>
                <w:rtl w:val="true"/>
              </w:rPr>
              <w:tab/>
            </w:r>
            <w:r>
              <w:rPr>
                <w:rStyle w:val="IndexLink"/>
              </w:rPr>
              <w:t>302</w:t>
            </w:r>
          </w:hyperlink>
        </w:p>
        <w:p>
          <w:pPr>
            <w:pStyle w:val="Contents3"/>
            <w:tabs>
              <w:tab w:val="clear" w:pos="8459"/>
              <w:tab w:val="right" w:pos="9026" w:leader="dot"/>
            </w:tabs>
            <w:rPr/>
          </w:pPr>
          <w:hyperlink w:anchor="__RefHeading___Toc1955500_2142443653">
            <w:r>
              <w:rPr>
                <w:webHidden/>
                <w:rStyle w:val="IndexLink"/>
                <w:rtl w:val="true"/>
              </w:rPr>
              <w:t xml:space="preserve">التحقيق </w:t>
            </w:r>
            <w:r>
              <w:rPr>
                <w:rStyle w:val="IndexLink"/>
                <w:rtl w:val="true"/>
              </w:rPr>
              <w:t xml:space="preserve">: </w:t>
            </w:r>
            <w:r>
              <w:rPr>
                <w:rStyle w:val="IndexLink"/>
                <w:rtl w:val="true"/>
              </w:rPr>
              <w:t>عدم اعتبار الإخلاص التامّ في العبادة</w:t>
            </w:r>
            <w:r>
              <w:rPr>
                <w:rStyle w:val="IndexLink"/>
                <w:rtl w:val="true"/>
              </w:rPr>
              <w:tab/>
            </w:r>
            <w:r>
              <w:rPr>
                <w:rStyle w:val="IndexLink"/>
              </w:rPr>
              <w:t>304</w:t>
            </w:r>
          </w:hyperlink>
        </w:p>
        <w:p>
          <w:pPr>
            <w:pStyle w:val="Contents3"/>
            <w:tabs>
              <w:tab w:val="clear" w:pos="8459"/>
              <w:tab w:val="right" w:pos="9026" w:leader="dot"/>
            </w:tabs>
            <w:rPr/>
          </w:pPr>
          <w:hyperlink w:anchor="__RefHeading___Toc1955502_2142443653">
            <w:r>
              <w:rPr>
                <w:webHidden/>
                <w:rStyle w:val="IndexLink"/>
                <w:rtl w:val="true"/>
              </w:rPr>
              <w:t>إشكال العلاّمة الشيرازي في المقام والجواب عنه</w:t>
            </w:r>
            <w:r>
              <w:rPr>
                <w:rStyle w:val="IndexLink"/>
                <w:rtl w:val="true"/>
              </w:rPr>
              <w:tab/>
            </w:r>
            <w:r>
              <w:rPr>
                <w:rStyle w:val="IndexLink"/>
              </w:rPr>
              <w:t>312</w:t>
            </w:r>
          </w:hyperlink>
        </w:p>
        <w:p>
          <w:pPr>
            <w:pStyle w:val="Contents3"/>
            <w:tabs>
              <w:tab w:val="clear" w:pos="8459"/>
              <w:tab w:val="right" w:pos="9026" w:leader="dot"/>
            </w:tabs>
            <w:rPr/>
          </w:pPr>
          <w:hyperlink w:anchor="__RefHeading___Toc1955504_2142443653">
            <w:r>
              <w:rPr>
                <w:webHidden/>
                <w:rStyle w:val="IndexLink"/>
                <w:rtl w:val="true"/>
              </w:rPr>
              <w:t>إبطال المحقّق الإيرواني الداعي على الداعي وردّه</w:t>
            </w:r>
            <w:r>
              <w:rPr>
                <w:rStyle w:val="IndexLink"/>
                <w:rtl w:val="true"/>
              </w:rPr>
              <w:tab/>
            </w:r>
            <w:r>
              <w:rPr>
                <w:rStyle w:val="IndexLink"/>
              </w:rPr>
              <w:t>314</w:t>
            </w:r>
          </w:hyperlink>
        </w:p>
        <w:p>
          <w:pPr>
            <w:pStyle w:val="Contents3"/>
            <w:tabs>
              <w:tab w:val="clear" w:pos="8459"/>
              <w:tab w:val="right" w:pos="9026" w:leader="dot"/>
            </w:tabs>
            <w:rPr/>
          </w:pPr>
          <w:hyperlink w:anchor="__RefHeading___Toc1955506_2142443653">
            <w:r>
              <w:rPr>
                <w:webHidden/>
                <w:rStyle w:val="IndexLink"/>
                <w:rtl w:val="true"/>
              </w:rPr>
              <w:t>حول إشكال منافاة وصف الوجوب لأخذ الاُجرة</w:t>
            </w:r>
            <w:r>
              <w:rPr>
                <w:rStyle w:val="IndexLink"/>
                <w:rtl w:val="true"/>
              </w:rPr>
              <w:tab/>
            </w:r>
            <w:r>
              <w:rPr>
                <w:rStyle w:val="IndexLink"/>
              </w:rPr>
              <w:t>316</w:t>
            </w:r>
          </w:hyperlink>
        </w:p>
        <w:p>
          <w:pPr>
            <w:pStyle w:val="Contents3"/>
            <w:tabs>
              <w:tab w:val="clear" w:pos="8459"/>
              <w:tab w:val="right" w:pos="9026" w:leader="dot"/>
            </w:tabs>
            <w:rPr/>
          </w:pPr>
          <w:hyperlink w:anchor="__RefHeading___Toc1955508_2142443653">
            <w:r>
              <w:rPr>
                <w:webHidden/>
                <w:rStyle w:val="IndexLink"/>
                <w:rtl w:val="true"/>
              </w:rPr>
              <w:t>الكلام في الواجب العيني التعييني</w:t>
            </w:r>
            <w:r>
              <w:rPr>
                <w:rStyle w:val="IndexLink"/>
                <w:rtl w:val="true"/>
              </w:rPr>
              <w:tab/>
            </w:r>
            <w:r>
              <w:rPr>
                <w:rStyle w:val="IndexLink"/>
              </w:rPr>
              <w:t>316</w:t>
            </w:r>
          </w:hyperlink>
        </w:p>
        <w:p>
          <w:pPr>
            <w:pStyle w:val="Contents4"/>
            <w:tabs>
              <w:tab w:val="clear" w:pos="8176"/>
              <w:tab w:val="right" w:pos="9026" w:leader="dot"/>
            </w:tabs>
            <w:rPr/>
          </w:pPr>
          <w:hyperlink w:anchor="__RefHeading___Toc1955510_2142443653">
            <w:r>
              <w:rPr>
                <w:webHidden/>
                <w:rStyle w:val="IndexLink"/>
                <w:rtl w:val="true"/>
              </w:rPr>
              <w:t>استدلال الشيخ الأعظم على المنافاة وردّه</w:t>
            </w:r>
            <w:r>
              <w:rPr>
                <w:rStyle w:val="IndexLink"/>
                <w:rtl w:val="true"/>
              </w:rPr>
              <w:tab/>
            </w:r>
            <w:r>
              <w:rPr>
                <w:rStyle w:val="IndexLink"/>
              </w:rPr>
              <w:t>316</w:t>
            </w:r>
          </w:hyperlink>
        </w:p>
        <w:p>
          <w:pPr>
            <w:pStyle w:val="Contents3"/>
            <w:tabs>
              <w:tab w:val="clear" w:pos="8459"/>
              <w:tab w:val="right" w:pos="9026" w:leader="dot"/>
            </w:tabs>
            <w:rPr/>
          </w:pPr>
          <w:hyperlink w:anchor="__RefHeading___Toc1955512_2142443653">
            <w:r>
              <w:rPr>
                <w:webHidden/>
                <w:rStyle w:val="IndexLink"/>
                <w:rtl w:val="true"/>
              </w:rPr>
              <w:t>ما أجاب به المحقّق الأصفهاني عن مقالة الشيخ وما فيه</w:t>
            </w:r>
            <w:r>
              <w:rPr>
                <w:rStyle w:val="IndexLink"/>
                <w:rtl w:val="true"/>
              </w:rPr>
              <w:tab/>
            </w:r>
            <w:r>
              <w:rPr>
                <w:rStyle w:val="IndexLink"/>
              </w:rPr>
              <w:t>319</w:t>
            </w:r>
          </w:hyperlink>
        </w:p>
        <w:p>
          <w:pPr>
            <w:pStyle w:val="Contents3"/>
            <w:tabs>
              <w:tab w:val="clear" w:pos="8459"/>
              <w:tab w:val="right" w:pos="9026" w:leader="dot"/>
            </w:tabs>
            <w:rPr/>
          </w:pPr>
          <w:hyperlink w:anchor="__RefHeading___Toc1955514_2142443653">
            <w:r>
              <w:rPr>
                <w:webHidden/>
                <w:rStyle w:val="IndexLink"/>
                <w:rtl w:val="true"/>
              </w:rPr>
              <w:t>استدلال المحقّق النائيني على المنافاة وردّه</w:t>
            </w:r>
            <w:r>
              <w:rPr>
                <w:rStyle w:val="IndexLink"/>
                <w:rtl w:val="true"/>
              </w:rPr>
              <w:tab/>
            </w:r>
            <w:r>
              <w:rPr>
                <w:rStyle w:val="IndexLink"/>
              </w:rPr>
              <w:t>322</w:t>
            </w:r>
          </w:hyperlink>
        </w:p>
        <w:p>
          <w:pPr>
            <w:pStyle w:val="Contents3"/>
            <w:tabs>
              <w:tab w:val="clear" w:pos="8459"/>
              <w:tab w:val="right" w:pos="9026" w:leader="dot"/>
            </w:tabs>
            <w:rPr/>
          </w:pPr>
          <w:hyperlink w:anchor="__RefHeading___Toc1955516_2142443653">
            <w:r>
              <w:rPr>
                <w:webHidden/>
                <w:rStyle w:val="IndexLink"/>
                <w:rtl w:val="true"/>
              </w:rPr>
              <w:t>استدلال كاشف الغطاء على المنافاة وردّه</w:t>
            </w:r>
            <w:r>
              <w:rPr>
                <w:rStyle w:val="IndexLink"/>
                <w:rtl w:val="true"/>
              </w:rPr>
              <w:tab/>
            </w:r>
            <w:r>
              <w:rPr>
                <w:rStyle w:val="IndexLink"/>
              </w:rPr>
              <w:t>324</w:t>
            </w:r>
          </w:hyperlink>
        </w:p>
        <w:p>
          <w:pPr>
            <w:pStyle w:val="Contents3"/>
            <w:tabs>
              <w:tab w:val="clear" w:pos="8459"/>
              <w:tab w:val="right" w:pos="9026" w:leader="dot"/>
            </w:tabs>
            <w:rPr/>
          </w:pPr>
          <w:hyperlink w:anchor="__RefHeading___Toc1955518_2142443653">
            <w:r>
              <w:rPr>
                <w:webHidden/>
                <w:rStyle w:val="IndexLink"/>
                <w:rtl w:val="true"/>
              </w:rPr>
              <w:t>بيان السيّد الطباطبائي في عدم المنافاة وما فيه</w:t>
            </w:r>
            <w:r>
              <w:rPr>
                <w:rStyle w:val="IndexLink"/>
                <w:rtl w:val="true"/>
              </w:rPr>
              <w:tab/>
            </w:r>
            <w:r>
              <w:rPr>
                <w:rStyle w:val="IndexLink"/>
              </w:rPr>
              <w:t>326</w:t>
            </w:r>
          </w:hyperlink>
        </w:p>
        <w:p>
          <w:pPr>
            <w:pStyle w:val="Contents3"/>
            <w:tabs>
              <w:tab w:val="clear" w:pos="8459"/>
              <w:tab w:val="right" w:pos="9026" w:leader="dot"/>
            </w:tabs>
            <w:rPr/>
          </w:pPr>
          <w:hyperlink w:anchor="__RefHeading___Toc1955520_2142443653">
            <w:r>
              <w:rPr>
                <w:webHidden/>
                <w:rStyle w:val="IndexLink"/>
                <w:rtl w:val="true"/>
              </w:rPr>
              <w:t>استدلال المحقّق النراقي في المقام وما فيه</w:t>
            </w:r>
            <w:r>
              <w:rPr>
                <w:rStyle w:val="IndexLink"/>
                <w:rtl w:val="true"/>
              </w:rPr>
              <w:tab/>
            </w:r>
            <w:r>
              <w:rPr>
                <w:rStyle w:val="IndexLink"/>
              </w:rPr>
              <w:t>329</w:t>
            </w:r>
          </w:hyperlink>
        </w:p>
        <w:p>
          <w:pPr>
            <w:pStyle w:val="Contents3"/>
            <w:tabs>
              <w:tab w:val="clear" w:pos="8459"/>
              <w:tab w:val="right" w:pos="9026" w:leader="dot"/>
            </w:tabs>
            <w:rPr/>
          </w:pPr>
          <w:hyperlink w:anchor="__RefHeading___Toc1955522_2142443653">
            <w:r>
              <w:rPr>
                <w:webHidden/>
                <w:rStyle w:val="IndexLink"/>
                <w:rtl w:val="true"/>
              </w:rPr>
              <w:t>تقرير آخر للاستدلال على المنافاة</w:t>
            </w:r>
            <w:r>
              <w:rPr>
                <w:rStyle w:val="IndexLink"/>
                <w:rtl w:val="true"/>
              </w:rPr>
              <w:tab/>
            </w:r>
            <w:r>
              <w:rPr>
                <w:rStyle w:val="IndexLink"/>
              </w:rPr>
              <w:t>331</w:t>
            </w:r>
          </w:hyperlink>
        </w:p>
        <w:p>
          <w:pPr>
            <w:pStyle w:val="Contents3"/>
            <w:tabs>
              <w:tab w:val="clear" w:pos="8459"/>
              <w:tab w:val="right" w:pos="9026" w:leader="dot"/>
            </w:tabs>
            <w:rPr/>
          </w:pPr>
          <w:hyperlink w:anchor="__RefHeading___Toc1955524_2142443653">
            <w:r>
              <w:rPr>
                <w:webHidden/>
                <w:rStyle w:val="IndexLink"/>
                <w:rtl w:val="true"/>
              </w:rPr>
              <w:t>أخذ الاُجرة في الواجب التخييري</w:t>
            </w:r>
            <w:r>
              <w:rPr>
                <w:rStyle w:val="IndexLink"/>
                <w:rtl w:val="true"/>
              </w:rPr>
              <w:tab/>
            </w:r>
            <w:r>
              <w:rPr>
                <w:rStyle w:val="IndexLink"/>
              </w:rPr>
              <w:t>334</w:t>
            </w:r>
          </w:hyperlink>
        </w:p>
        <w:p>
          <w:pPr>
            <w:pStyle w:val="Contents3"/>
            <w:tabs>
              <w:tab w:val="clear" w:pos="8459"/>
              <w:tab w:val="right" w:pos="9026" w:leader="dot"/>
            </w:tabs>
            <w:rPr/>
          </w:pPr>
          <w:hyperlink w:anchor="__RefHeading___Toc1955526_2142443653">
            <w:r>
              <w:rPr>
                <w:webHidden/>
                <w:rStyle w:val="IndexLink"/>
                <w:rtl w:val="true"/>
              </w:rPr>
              <w:t>تصوير تعلّق الملكية بالواجب التخييري</w:t>
            </w:r>
            <w:r>
              <w:rPr>
                <w:rStyle w:val="IndexLink"/>
                <w:rtl w:val="true"/>
              </w:rPr>
              <w:tab/>
            </w:r>
            <w:r>
              <w:rPr>
                <w:rStyle w:val="IndexLink"/>
              </w:rPr>
              <w:t>335</w:t>
            </w:r>
          </w:hyperlink>
        </w:p>
        <w:p>
          <w:pPr>
            <w:pStyle w:val="Contents3"/>
            <w:tabs>
              <w:tab w:val="clear" w:pos="8459"/>
              <w:tab w:val="right" w:pos="9026" w:leader="dot"/>
            </w:tabs>
            <w:rPr/>
          </w:pPr>
          <w:hyperlink w:anchor="__RefHeading___Toc1955528_2142443653">
            <w:r>
              <w:rPr>
                <w:webHidden/>
                <w:rStyle w:val="IndexLink"/>
                <w:rtl w:val="true"/>
              </w:rPr>
              <w:t>أخذ الاُجرة في الواجب الكفائي</w:t>
            </w:r>
            <w:r>
              <w:rPr>
                <w:rStyle w:val="IndexLink"/>
                <w:rtl w:val="true"/>
              </w:rPr>
              <w:tab/>
            </w:r>
            <w:r>
              <w:rPr>
                <w:rStyle w:val="IndexLink"/>
              </w:rPr>
              <w:t>337</w:t>
            </w:r>
          </w:hyperlink>
        </w:p>
        <w:p>
          <w:pPr>
            <w:pStyle w:val="Contents3"/>
            <w:tabs>
              <w:tab w:val="clear" w:pos="8459"/>
              <w:tab w:val="right" w:pos="9026" w:leader="dot"/>
            </w:tabs>
            <w:rPr/>
          </w:pPr>
          <w:hyperlink w:anchor="__RefHeading___Toc1955530_2142443653">
            <w:r>
              <w:rPr>
                <w:webHidden/>
                <w:rStyle w:val="IndexLink"/>
                <w:rtl w:val="true"/>
              </w:rPr>
              <w:t xml:space="preserve">تنبيه </w:t>
            </w:r>
            <w:r>
              <w:rPr>
                <w:rStyle w:val="IndexLink"/>
                <w:rtl w:val="true"/>
              </w:rPr>
              <w:t xml:space="preserve">: </w:t>
            </w:r>
            <w:r>
              <w:rPr>
                <w:rStyle w:val="IndexLink"/>
                <w:rtl w:val="true"/>
              </w:rPr>
              <w:t>أخذ الاُجرة في الواجبات النظامية</w:t>
            </w:r>
            <w:r>
              <w:rPr>
                <w:rStyle w:val="IndexLink"/>
                <w:rtl w:val="true"/>
              </w:rPr>
              <w:tab/>
            </w:r>
            <w:r>
              <w:rPr>
                <w:rStyle w:val="IndexLink"/>
              </w:rPr>
              <w:t>338</w:t>
            </w:r>
          </w:hyperlink>
        </w:p>
        <w:p>
          <w:pPr>
            <w:pStyle w:val="Contents3"/>
            <w:tabs>
              <w:tab w:val="clear" w:pos="8459"/>
              <w:tab w:val="right" w:pos="9026" w:leader="dot"/>
            </w:tabs>
            <w:rPr/>
          </w:pPr>
          <w:hyperlink w:anchor="__RefHeading___Toc1955532_2142443653">
            <w:r>
              <w:rPr>
                <w:webHidden/>
                <w:rStyle w:val="IndexLink"/>
                <w:rtl w:val="true"/>
              </w:rPr>
              <w:t>جواب المحقّق النائيني عن الإشكال في الواجبات النظامية</w:t>
            </w:r>
            <w:r>
              <w:rPr>
                <w:rStyle w:val="IndexLink"/>
                <w:rtl w:val="true"/>
              </w:rPr>
              <w:tab/>
            </w:r>
            <w:r>
              <w:rPr>
                <w:rStyle w:val="IndexLink"/>
              </w:rPr>
              <w:t>340</w:t>
            </w:r>
          </w:hyperlink>
        </w:p>
        <w:p>
          <w:pPr>
            <w:pStyle w:val="Contents3"/>
            <w:tabs>
              <w:tab w:val="clear" w:pos="8459"/>
              <w:tab w:val="right" w:pos="9026" w:leader="dot"/>
            </w:tabs>
            <w:rPr/>
          </w:pPr>
          <w:hyperlink w:anchor="__RefHeading___Toc1955534_2142443653">
            <w:r>
              <w:rPr>
                <w:webHidden/>
                <w:rStyle w:val="IndexLink"/>
                <w:rtl w:val="true"/>
              </w:rPr>
              <w:t>جواب الشيخ الأعظم عن الإشكال في الواجبات النظامية</w:t>
            </w:r>
            <w:r>
              <w:rPr>
                <w:rStyle w:val="IndexLink"/>
                <w:rtl w:val="true"/>
              </w:rPr>
              <w:tab/>
            </w:r>
            <w:r>
              <w:rPr>
                <w:rStyle w:val="IndexLink"/>
              </w:rPr>
              <w:t>345</w:t>
            </w:r>
          </w:hyperlink>
        </w:p>
        <w:p>
          <w:pPr>
            <w:pStyle w:val="Contents3"/>
            <w:tabs>
              <w:tab w:val="clear" w:pos="8459"/>
              <w:tab w:val="right" w:pos="9026" w:leader="dot"/>
            </w:tabs>
            <w:rPr/>
          </w:pPr>
          <w:hyperlink w:anchor="__RefHeading___Toc1955536_2142443653">
            <w:r>
              <w:rPr>
                <w:webHidden/>
                <w:rStyle w:val="IndexLink"/>
                <w:rtl w:val="true"/>
              </w:rPr>
              <w:t>تصحيح العبادات الاستئجارية</w:t>
            </w:r>
            <w:r>
              <w:rPr>
                <w:rStyle w:val="IndexLink"/>
                <w:rtl w:val="true"/>
              </w:rPr>
              <w:tab/>
            </w:r>
            <w:r>
              <w:rPr>
                <w:rStyle w:val="IndexLink"/>
              </w:rPr>
              <w:t>352</w:t>
            </w:r>
          </w:hyperlink>
        </w:p>
        <w:p>
          <w:pPr>
            <w:pStyle w:val="Contents4"/>
            <w:tabs>
              <w:tab w:val="clear" w:pos="8176"/>
              <w:tab w:val="right" w:pos="9026" w:leader="dot"/>
            </w:tabs>
            <w:rPr/>
          </w:pPr>
          <w:hyperlink w:anchor="__RefHeading___Toc1955538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955540_2142443653">
            <w:r>
              <w:rPr>
                <w:webHidden/>
                <w:rStyle w:val="IndexLink"/>
                <w:rtl w:val="true"/>
              </w:rPr>
              <w:t>احتمال كون النيابة تنزيل النائب نفسه منزلة المنوب عنه</w:t>
            </w:r>
            <w:r>
              <w:rPr>
                <w:rStyle w:val="IndexLink"/>
                <w:rtl w:val="true"/>
              </w:rPr>
              <w:tab/>
            </w:r>
            <w:r>
              <w:rPr>
                <w:rStyle w:val="IndexLink"/>
              </w:rPr>
              <w:t>352</w:t>
            </w:r>
          </w:hyperlink>
        </w:p>
        <w:p>
          <w:pPr>
            <w:pStyle w:val="Contents3"/>
            <w:tabs>
              <w:tab w:val="clear" w:pos="8459"/>
              <w:tab w:val="right" w:pos="9026" w:leader="dot"/>
            </w:tabs>
            <w:rPr/>
          </w:pPr>
          <w:hyperlink w:anchor="__RefHeading___Toc1955542_2142443653">
            <w:r>
              <w:rPr>
                <w:webHidden/>
                <w:rStyle w:val="IndexLink"/>
                <w:rtl w:val="true"/>
              </w:rPr>
              <w:t>احتمال كون النيابة تنزيل العمل لا تنزيل الشخص</w:t>
            </w:r>
            <w:r>
              <w:rPr>
                <w:rStyle w:val="IndexLink"/>
                <w:rtl w:val="true"/>
              </w:rPr>
              <w:tab/>
            </w:r>
            <w:r>
              <w:rPr>
                <w:rStyle w:val="IndexLink"/>
              </w:rPr>
              <w:t>361</w:t>
            </w:r>
          </w:hyperlink>
        </w:p>
        <w:p>
          <w:pPr>
            <w:pStyle w:val="Contents3"/>
            <w:tabs>
              <w:tab w:val="clear" w:pos="8459"/>
              <w:tab w:val="right" w:pos="9026" w:leader="dot"/>
            </w:tabs>
            <w:rPr/>
          </w:pPr>
          <w:hyperlink w:anchor="__RefHeading___Toc1955544_2142443653">
            <w:r>
              <w:rPr>
                <w:webHidden/>
                <w:rStyle w:val="IndexLink"/>
                <w:rtl w:val="true"/>
              </w:rPr>
              <w:t>التحقيق في النيابة</w:t>
            </w:r>
            <w:r>
              <w:rPr>
                <w:rStyle w:val="IndexLink"/>
                <w:rtl w:val="true"/>
              </w:rPr>
              <w:tab/>
            </w:r>
            <w:r>
              <w:rPr>
                <w:rStyle w:val="IndexLink"/>
              </w:rPr>
              <w:t>363</w:t>
            </w:r>
          </w:hyperlink>
        </w:p>
        <w:p>
          <w:pPr>
            <w:pStyle w:val="Contents3"/>
            <w:tabs>
              <w:tab w:val="clear" w:pos="8459"/>
              <w:tab w:val="right" w:pos="9026" w:leader="dot"/>
            </w:tabs>
            <w:rPr/>
          </w:pPr>
          <w:hyperlink w:anchor="__RefHeading___Toc1955546_2142443653">
            <w:r>
              <w:rPr>
                <w:webHidden/>
                <w:rStyle w:val="IndexLink"/>
                <w:rtl w:val="true"/>
              </w:rPr>
              <w:t>ما يرد على كلام العلاّمة الحائري والشيخ الأعظم في المقام</w:t>
            </w:r>
            <w:r>
              <w:rPr>
                <w:rStyle w:val="IndexLink"/>
                <w:rtl w:val="true"/>
              </w:rPr>
              <w:tab/>
            </w:r>
            <w:r>
              <w:rPr>
                <w:rStyle w:val="IndexLink"/>
              </w:rPr>
              <w:t>365</w:t>
            </w:r>
          </w:hyperlink>
        </w:p>
        <w:p>
          <w:pPr>
            <w:pStyle w:val="Contents2"/>
            <w:tabs>
              <w:tab w:val="clear" w:pos="8743"/>
              <w:tab w:val="right" w:pos="9026" w:leader="dot"/>
            </w:tabs>
            <w:rPr/>
          </w:pPr>
          <w:hyperlink w:anchor="__RefHeading___Toc1955548_2142443653">
            <w:r>
              <w:rPr>
                <w:webHidden/>
                <w:rStyle w:val="IndexLink"/>
                <w:rtl w:val="true"/>
              </w:rPr>
              <w:t>خاتمة</w:t>
            </w:r>
            <w:r>
              <w:rPr>
                <w:rStyle w:val="IndexLink"/>
                <w:rtl w:val="true"/>
              </w:rPr>
              <w:tab/>
            </w:r>
            <w:r>
              <w:rPr>
                <w:rStyle w:val="IndexLink"/>
              </w:rPr>
              <w:t>369</w:t>
            </w:r>
          </w:hyperlink>
        </w:p>
        <w:p>
          <w:pPr>
            <w:pStyle w:val="Contents3"/>
            <w:tabs>
              <w:tab w:val="clear" w:pos="8459"/>
              <w:tab w:val="right" w:pos="9026" w:leader="dot"/>
            </w:tabs>
            <w:rPr/>
          </w:pPr>
          <w:hyperlink w:anchor="__RefHeading___Toc1955550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955552_2142443653">
            <w:r>
              <w:rPr>
                <w:webHidden/>
                <w:rStyle w:val="IndexLink"/>
                <w:rtl w:val="true"/>
              </w:rPr>
              <w:t xml:space="preserve">وفيها مسألتان </w:t>
            </w:r>
            <w:r>
              <w:rPr>
                <w:rStyle w:val="IndexLink"/>
                <w:rtl w:val="true"/>
              </w:rPr>
              <w:t>:</w:t>
              <w:tab/>
            </w:r>
            <w:r>
              <w:rPr>
                <w:rStyle w:val="IndexLink"/>
              </w:rPr>
              <w:t>369</w:t>
            </w:r>
          </w:hyperlink>
        </w:p>
        <w:p>
          <w:pPr>
            <w:pStyle w:val="Contents4"/>
            <w:tabs>
              <w:tab w:val="clear" w:pos="8176"/>
              <w:tab w:val="right" w:pos="9026" w:leader="dot"/>
            </w:tabs>
            <w:rPr/>
          </w:pPr>
          <w:hyperlink w:anchor="__RefHeading___Toc1955554_2142443653">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955556_2142443653">
            <w:r>
              <w:rPr>
                <w:webHidden/>
                <w:rStyle w:val="IndexLink"/>
                <w:rtl w:val="true"/>
              </w:rPr>
              <w:t>المسألة الاُولى في جوائز السلطان الجائر وعمّاله</w:t>
            </w:r>
            <w:r>
              <w:rPr>
                <w:rStyle w:val="IndexLink"/>
                <w:rtl w:val="true"/>
              </w:rPr>
              <w:tab/>
            </w:r>
            <w:r>
              <w:rPr>
                <w:rStyle w:val="IndexLink"/>
              </w:rPr>
              <w:t>371</w:t>
            </w:r>
          </w:hyperlink>
        </w:p>
        <w:p>
          <w:pPr>
            <w:pStyle w:val="Contents3"/>
            <w:tabs>
              <w:tab w:val="clear" w:pos="8459"/>
              <w:tab w:val="right" w:pos="9026" w:leader="dot"/>
            </w:tabs>
            <w:rPr/>
          </w:pPr>
          <w:hyperlink w:anchor="__RefHeading___Toc1955558_2142443653">
            <w:r>
              <w:rPr>
                <w:webHidden/>
                <w:rStyle w:val="IndexLink"/>
                <w:rtl w:val="true"/>
              </w:rPr>
              <w:t>وفیها مسألتان</w:t>
            </w:r>
            <w:r>
              <w:rPr>
                <w:rStyle w:val="IndexLink"/>
                <w:rtl w:val="true"/>
              </w:rPr>
              <w:t>:</w:t>
              <w:tab/>
            </w:r>
            <w:r>
              <w:rPr>
                <w:rStyle w:val="IndexLink"/>
              </w:rPr>
              <w:t>371</w:t>
            </w:r>
          </w:hyperlink>
        </w:p>
        <w:p>
          <w:pPr>
            <w:pStyle w:val="Contents4"/>
            <w:tabs>
              <w:tab w:val="clear" w:pos="8176"/>
              <w:tab w:val="right" w:pos="9026" w:leader="dot"/>
            </w:tabs>
            <w:rPr/>
          </w:pPr>
          <w:hyperlink w:anchor="__RefHeading___Toc1955560_2142443653">
            <w:r>
              <w:rPr>
                <w:webHidden/>
                <w:rStyle w:val="IndexLink"/>
                <w:rtl w:val="true"/>
              </w:rPr>
              <w:t xml:space="preserve">الصورة الاُولى </w:t>
            </w:r>
            <w:r>
              <w:rPr>
                <w:rStyle w:val="IndexLink"/>
                <w:rtl w:val="true"/>
              </w:rPr>
              <w:t xml:space="preserve">: </w:t>
            </w:r>
            <w:r>
              <w:rPr>
                <w:rStyle w:val="IndexLink"/>
                <w:rtl w:val="true"/>
              </w:rPr>
              <w:t>عدم العلم بوجود الحرام في جملة أموال الجائر</w:t>
            </w:r>
            <w:r>
              <w:rPr>
                <w:rStyle w:val="IndexLink"/>
                <w:rtl w:val="true"/>
              </w:rPr>
              <w:tab/>
            </w:r>
            <w:r>
              <w:rPr>
                <w:rStyle w:val="IndexLink"/>
              </w:rPr>
              <w:t>371</w:t>
            </w:r>
          </w:hyperlink>
        </w:p>
        <w:p>
          <w:pPr>
            <w:pStyle w:val="Contents4"/>
            <w:tabs>
              <w:tab w:val="clear" w:pos="8176"/>
              <w:tab w:val="right" w:pos="9026" w:leader="dot"/>
            </w:tabs>
            <w:rPr/>
          </w:pPr>
          <w:hyperlink w:anchor="__RefHeading___Toc1955562_2142443653">
            <w:r>
              <w:rPr>
                <w:webHidden/>
                <w:rStyle w:val="IndexLink"/>
                <w:rtl w:val="true"/>
              </w:rPr>
              <w:t>الصورة الثانية العلم الإجمالي بوجود الحرام في أموال السلطان الجائر</w:t>
            </w:r>
            <w:r>
              <w:rPr>
                <w:rStyle w:val="IndexLink"/>
                <w:rtl w:val="true"/>
              </w:rPr>
              <w:tab/>
            </w:r>
            <w:r>
              <w:rPr>
                <w:rStyle w:val="IndexLink"/>
              </w:rPr>
              <w:t>376</w:t>
            </w:r>
          </w:hyperlink>
        </w:p>
        <w:p>
          <w:pPr>
            <w:pStyle w:val="Contents3"/>
            <w:tabs>
              <w:tab w:val="clear" w:pos="8459"/>
              <w:tab w:val="right" w:pos="9026" w:leader="dot"/>
            </w:tabs>
            <w:rPr/>
          </w:pPr>
          <w:hyperlink w:anchor="__RefHeading___Toc1955564_2142443653">
            <w:r>
              <w:rPr>
                <w:webHidden/>
                <w:rStyle w:val="IndexLink"/>
                <w:rtl w:val="true"/>
              </w:rPr>
              <w:t>وفیها صورتان</w:t>
            </w:r>
            <w:r>
              <w:rPr>
                <w:rStyle w:val="IndexLink"/>
                <w:rtl w:val="true"/>
              </w:rPr>
              <w:t>:</w:t>
              <w:tab/>
            </w:r>
            <w:r>
              <w:rPr>
                <w:rStyle w:val="IndexLink"/>
              </w:rPr>
              <w:t>376</w:t>
            </w:r>
          </w:hyperlink>
        </w:p>
        <w:p>
          <w:pPr>
            <w:pStyle w:val="Contents4"/>
            <w:tabs>
              <w:tab w:val="clear" w:pos="8176"/>
              <w:tab w:val="right" w:pos="9026" w:leader="dot"/>
            </w:tabs>
            <w:rPr/>
          </w:pPr>
          <w:hyperlink w:anchor="__RefHeading___Toc1955566_2142443653">
            <w:r>
              <w:rPr>
                <w:webHidden/>
                <w:rStyle w:val="IndexLink"/>
                <w:rtl w:val="true"/>
              </w:rPr>
              <w:t xml:space="preserve">الاُولى </w:t>
            </w:r>
            <w:r>
              <w:rPr>
                <w:rStyle w:val="IndexLink"/>
                <w:rtl w:val="true"/>
              </w:rPr>
              <w:t xml:space="preserve">: </w:t>
            </w:r>
            <w:r>
              <w:rPr>
                <w:rStyle w:val="IndexLink"/>
                <w:rtl w:val="true"/>
              </w:rPr>
              <w:t>فيما لو كان العلم الإجمالي غير منجّز كالشبهة غير المحصورة</w:t>
            </w:r>
            <w:r>
              <w:rPr>
                <w:rStyle w:val="IndexLink"/>
                <w:rtl w:val="true"/>
              </w:rPr>
              <w:tab/>
            </w:r>
            <w:r>
              <w:rPr>
                <w:rStyle w:val="IndexLink"/>
              </w:rPr>
              <w:t>376</w:t>
            </w:r>
          </w:hyperlink>
        </w:p>
        <w:p>
          <w:pPr>
            <w:pStyle w:val="Contents4"/>
            <w:tabs>
              <w:tab w:val="clear" w:pos="8176"/>
              <w:tab w:val="right" w:pos="9026" w:leader="dot"/>
            </w:tabs>
            <w:rPr/>
          </w:pPr>
          <w:hyperlink w:anchor="__RefHeading___Toc1955568_2142443653">
            <w:r>
              <w:rPr>
                <w:webHidden/>
                <w:rStyle w:val="IndexLink"/>
                <w:rtl w:val="true"/>
              </w:rPr>
              <w:t>حول القول بكراهة أخذ الجوائز في المقام</w:t>
            </w:r>
            <w:r>
              <w:rPr>
                <w:rStyle w:val="IndexLink"/>
                <w:rtl w:val="true"/>
              </w:rPr>
              <w:tab/>
            </w:r>
            <w:r>
              <w:rPr>
                <w:rStyle w:val="IndexLink"/>
              </w:rPr>
              <w:t>379</w:t>
            </w:r>
          </w:hyperlink>
        </w:p>
        <w:p>
          <w:pPr>
            <w:pStyle w:val="Contents4"/>
            <w:tabs>
              <w:tab w:val="clear" w:pos="8176"/>
              <w:tab w:val="right" w:pos="9026" w:leader="dot"/>
            </w:tabs>
            <w:rPr/>
          </w:pPr>
          <w:hyperlink w:anchor="__RefHeading___Toc1955570_2142443653">
            <w:r>
              <w:rPr>
                <w:webHidden/>
                <w:rStyle w:val="IndexLink"/>
                <w:rtl w:val="true"/>
              </w:rPr>
              <w:t xml:space="preserve">الثانية </w:t>
            </w:r>
            <w:r>
              <w:rPr>
                <w:rStyle w:val="IndexLink"/>
                <w:rtl w:val="true"/>
              </w:rPr>
              <w:t xml:space="preserve">: </w:t>
            </w:r>
            <w:r>
              <w:rPr>
                <w:rStyle w:val="IndexLink"/>
                <w:rtl w:val="true"/>
              </w:rPr>
              <w:t>فيما لو كان العلم الإجمالي منجّزاً كالشبهة المحصورة</w:t>
            </w:r>
            <w:r>
              <w:rPr>
                <w:rStyle w:val="IndexLink"/>
                <w:rtl w:val="true"/>
              </w:rPr>
              <w:tab/>
            </w:r>
            <w:r>
              <w:rPr>
                <w:rStyle w:val="IndexLink"/>
              </w:rPr>
              <w:t>386</w:t>
            </w:r>
          </w:hyperlink>
        </w:p>
        <w:p>
          <w:pPr>
            <w:pStyle w:val="Contents4"/>
            <w:tabs>
              <w:tab w:val="clear" w:pos="8176"/>
              <w:tab w:val="right" w:pos="9026" w:leader="dot"/>
            </w:tabs>
            <w:rPr/>
          </w:pPr>
          <w:hyperlink w:anchor="__RefHeading___Toc1955572_2142443653">
            <w:r>
              <w:rPr>
                <w:webHidden/>
                <w:rStyle w:val="IndexLink"/>
                <w:rtl w:val="true"/>
              </w:rPr>
              <w:t>حول جريان أصالة الحلّ في المقام</w:t>
            </w:r>
            <w:r>
              <w:rPr>
                <w:rStyle w:val="IndexLink"/>
                <w:rtl w:val="true"/>
              </w:rPr>
              <w:tab/>
            </w:r>
            <w:r>
              <w:rPr>
                <w:rStyle w:val="IndexLink"/>
              </w:rPr>
              <w:t>386</w:t>
            </w:r>
          </w:hyperlink>
        </w:p>
        <w:p>
          <w:pPr>
            <w:pStyle w:val="Contents4"/>
            <w:tabs>
              <w:tab w:val="clear" w:pos="8176"/>
              <w:tab w:val="right" w:pos="9026" w:leader="dot"/>
            </w:tabs>
            <w:rPr/>
          </w:pPr>
          <w:hyperlink w:anchor="__RefHeading___Toc1955574_2142443653">
            <w:r>
              <w:rPr>
                <w:webHidden/>
                <w:rStyle w:val="IndexLink"/>
                <w:rtl w:val="true"/>
              </w:rPr>
              <w:t>حول جريان قاعدة اليد في المقام</w:t>
            </w:r>
            <w:r>
              <w:rPr>
                <w:rStyle w:val="IndexLink"/>
                <w:rtl w:val="true"/>
              </w:rPr>
              <w:tab/>
            </w:r>
            <w:r>
              <w:rPr>
                <w:rStyle w:val="IndexLink"/>
              </w:rPr>
              <w:t>394</w:t>
            </w:r>
          </w:hyperlink>
        </w:p>
        <w:p>
          <w:pPr>
            <w:pStyle w:val="Contents4"/>
            <w:tabs>
              <w:tab w:val="clear" w:pos="8176"/>
              <w:tab w:val="right" w:pos="9026" w:leader="dot"/>
            </w:tabs>
            <w:rPr/>
          </w:pPr>
          <w:hyperlink w:anchor="__RefHeading___Toc1955576_2142443653">
            <w:r>
              <w:rPr>
                <w:webHidden/>
                <w:rStyle w:val="IndexLink"/>
                <w:rtl w:val="true"/>
              </w:rPr>
              <w:t>حول جريان أصالة الصحّة في المقام</w:t>
            </w:r>
            <w:r>
              <w:rPr>
                <w:rStyle w:val="IndexLink"/>
                <w:rtl w:val="true"/>
              </w:rPr>
              <w:tab/>
            </w:r>
            <w:r>
              <w:rPr>
                <w:rStyle w:val="IndexLink"/>
              </w:rPr>
              <w:t>396</w:t>
            </w:r>
          </w:hyperlink>
        </w:p>
        <w:p>
          <w:pPr>
            <w:pStyle w:val="Contents4"/>
            <w:tabs>
              <w:tab w:val="clear" w:pos="8176"/>
              <w:tab w:val="right" w:pos="9026" w:leader="dot"/>
            </w:tabs>
            <w:rPr/>
          </w:pPr>
          <w:hyperlink w:anchor="__RefHeading___Toc1955578_2142443653">
            <w:r>
              <w:rPr>
                <w:webHidden/>
                <w:rStyle w:val="IndexLink"/>
                <w:rtl w:val="true"/>
              </w:rPr>
              <w:t>صورة تنجيز العلم الإجمالي في جميع الأطراف</w:t>
            </w:r>
            <w:r>
              <w:rPr>
                <w:rStyle w:val="IndexLink"/>
                <w:rtl w:val="true"/>
              </w:rPr>
              <w:tab/>
            </w:r>
            <w:r>
              <w:rPr>
                <w:rStyle w:val="IndexLink"/>
              </w:rPr>
              <w:t>399</w:t>
            </w:r>
          </w:hyperlink>
        </w:p>
        <w:p>
          <w:pPr>
            <w:pStyle w:val="Contents4"/>
            <w:tabs>
              <w:tab w:val="clear" w:pos="8176"/>
              <w:tab w:val="right" w:pos="9026" w:leader="dot"/>
            </w:tabs>
            <w:rPr/>
          </w:pPr>
          <w:hyperlink w:anchor="__RefHeading___Toc1955580_2142443653">
            <w:r>
              <w:rPr>
                <w:webHidden/>
                <w:rStyle w:val="IndexLink"/>
                <w:rtl w:val="true"/>
              </w:rPr>
              <w:t>تمسّك السيّد الطباطبائي بالروايات الواردة في شراء السرقة والربا</w:t>
            </w:r>
            <w:r>
              <w:rPr>
                <w:rStyle w:val="IndexLink"/>
                <w:rtl w:val="true"/>
              </w:rPr>
              <w:tab/>
            </w:r>
            <w:r>
              <w:rPr>
                <w:rStyle w:val="IndexLink"/>
              </w:rPr>
              <w:t>406</w:t>
            </w:r>
          </w:hyperlink>
        </w:p>
        <w:p>
          <w:pPr>
            <w:pStyle w:val="Contents4"/>
            <w:tabs>
              <w:tab w:val="clear" w:pos="8176"/>
              <w:tab w:val="right" w:pos="9026" w:leader="dot"/>
            </w:tabs>
            <w:rPr/>
          </w:pPr>
          <w:hyperlink w:anchor="__RefHeading___Toc1955582_2142443653">
            <w:r>
              <w:rPr>
                <w:webHidden/>
                <w:rStyle w:val="IndexLink"/>
                <w:rtl w:val="true"/>
              </w:rPr>
              <w:t>في التمسّك بالروايات الواردة في جوائز السلطان وعمّاله</w:t>
            </w:r>
            <w:r>
              <w:rPr>
                <w:rStyle w:val="IndexLink"/>
                <w:rtl w:val="true"/>
              </w:rPr>
              <w:tab/>
            </w:r>
            <w:r>
              <w:rPr>
                <w:rStyle w:val="IndexLink"/>
              </w:rPr>
              <w:t>413</w:t>
            </w:r>
          </w:hyperlink>
        </w:p>
        <w:p>
          <w:pPr>
            <w:pStyle w:val="Contents4"/>
            <w:tabs>
              <w:tab w:val="clear" w:pos="8176"/>
              <w:tab w:val="right" w:pos="9026" w:leader="dot"/>
            </w:tabs>
            <w:rPr/>
          </w:pPr>
          <w:hyperlink w:anchor="__RefHeading___Toc1955584_2142443653">
            <w:r>
              <w:rPr>
                <w:webHidden/>
                <w:rStyle w:val="IndexLink"/>
                <w:rtl w:val="true"/>
              </w:rPr>
              <w:t>الصورة الثالثة العلم التفصيلي بحرمة المأخوذ من السلطان الجائر</w:t>
            </w:r>
            <w:r>
              <w:rPr>
                <w:rStyle w:val="IndexLink"/>
                <w:rtl w:val="true"/>
              </w:rPr>
              <w:tab/>
            </w:r>
            <w:r>
              <w:rPr>
                <w:rStyle w:val="IndexLink"/>
              </w:rPr>
              <w:t>425</w:t>
            </w:r>
          </w:hyperlink>
        </w:p>
        <w:p>
          <w:pPr>
            <w:pStyle w:val="Contents5"/>
            <w:tabs>
              <w:tab w:val="clear" w:pos="7892"/>
              <w:tab w:val="right" w:pos="9026" w:leader="dot"/>
            </w:tabs>
            <w:rPr/>
          </w:pPr>
          <w:hyperlink w:anchor="__RefHeading___Toc1955586_2142443653">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955588_2142443653">
            <w:r>
              <w:rPr>
                <w:webHidden/>
                <w:rStyle w:val="IndexLink"/>
                <w:rtl w:val="true"/>
              </w:rPr>
              <w:t>الإشارة إلى مفاد الأدلّة الاجتهادية</w:t>
            </w:r>
            <w:r>
              <w:rPr>
                <w:rStyle w:val="IndexLink"/>
                <w:rtl w:val="true"/>
              </w:rPr>
              <w:tab/>
            </w:r>
            <w:r>
              <w:rPr>
                <w:rStyle w:val="IndexLink"/>
              </w:rPr>
              <w:t>425</w:t>
            </w:r>
          </w:hyperlink>
        </w:p>
        <w:p>
          <w:pPr>
            <w:pStyle w:val="Contents5"/>
            <w:tabs>
              <w:tab w:val="clear" w:pos="7892"/>
              <w:tab w:val="right" w:pos="9026" w:leader="dot"/>
            </w:tabs>
            <w:rPr/>
          </w:pPr>
          <w:hyperlink w:anchor="__RefHeading___Toc1955590_2142443653">
            <w:r>
              <w:rPr>
                <w:webHidden/>
                <w:rStyle w:val="IndexLink"/>
                <w:rtl w:val="true"/>
              </w:rPr>
              <w:t>حال الصور المتصوّرة في المقام من حيث الحكم التكليفي</w:t>
            </w:r>
            <w:r>
              <w:rPr>
                <w:rStyle w:val="IndexLink"/>
                <w:rtl w:val="true"/>
              </w:rPr>
              <w:tab/>
            </w:r>
            <w:r>
              <w:rPr>
                <w:rStyle w:val="IndexLink"/>
              </w:rPr>
              <w:t>429</w:t>
            </w:r>
          </w:hyperlink>
        </w:p>
        <w:p>
          <w:pPr>
            <w:pStyle w:val="Contents5"/>
            <w:tabs>
              <w:tab w:val="clear" w:pos="7892"/>
              <w:tab w:val="right" w:pos="9026" w:leader="dot"/>
            </w:tabs>
            <w:rPr/>
          </w:pPr>
          <w:hyperlink w:anchor="__RefHeading___Toc1955592_2142443653">
            <w:r>
              <w:rPr>
                <w:webHidden/>
                <w:rStyle w:val="IndexLink"/>
                <w:rtl w:val="true"/>
              </w:rPr>
              <w:t>بيان حال الاستصحاب ومورد جريانه</w:t>
            </w:r>
            <w:r>
              <w:rPr>
                <w:rStyle w:val="IndexLink"/>
                <w:rtl w:val="true"/>
              </w:rPr>
              <w:tab/>
            </w:r>
            <w:r>
              <w:rPr>
                <w:rStyle w:val="IndexLink"/>
              </w:rPr>
              <w:t>431</w:t>
            </w:r>
          </w:hyperlink>
        </w:p>
        <w:p>
          <w:pPr>
            <w:pStyle w:val="Contents5"/>
            <w:tabs>
              <w:tab w:val="clear" w:pos="7892"/>
              <w:tab w:val="right" w:pos="9026" w:leader="dot"/>
            </w:tabs>
            <w:rPr/>
          </w:pPr>
          <w:hyperlink w:anchor="__RefHeading___Toc1955594_2142443653">
            <w:r>
              <w:rPr>
                <w:webHidden/>
                <w:rStyle w:val="IndexLink"/>
                <w:rtl w:val="true"/>
              </w:rPr>
              <w:t>حال صور المتصوّرة في المقام من حيث الحكم الوضعي</w:t>
            </w:r>
            <w:r>
              <w:rPr>
                <w:rStyle w:val="IndexLink"/>
                <w:rtl w:val="true"/>
              </w:rPr>
              <w:tab/>
            </w:r>
            <w:r>
              <w:rPr>
                <w:rStyle w:val="IndexLink"/>
              </w:rPr>
              <w:t>434</w:t>
            </w:r>
          </w:hyperlink>
        </w:p>
        <w:p>
          <w:pPr>
            <w:pStyle w:val="Contents5"/>
            <w:tabs>
              <w:tab w:val="clear" w:pos="7892"/>
              <w:tab w:val="right" w:pos="9026" w:leader="dot"/>
            </w:tabs>
            <w:rPr/>
          </w:pPr>
          <w:hyperlink w:anchor="__RefHeading___Toc1955596_2142443653">
            <w:r>
              <w:rPr>
                <w:webHidden/>
                <w:rStyle w:val="IndexLink"/>
                <w:rtl w:val="true"/>
              </w:rPr>
              <w:t>في أنّ الأخذ بنيّة التملّك مع الجهل بكونه للغير موجب للضمان</w:t>
            </w:r>
            <w:r>
              <w:rPr>
                <w:rStyle w:val="IndexLink"/>
                <w:rtl w:val="true"/>
              </w:rPr>
              <w:tab/>
            </w:r>
            <w:r>
              <w:rPr>
                <w:rStyle w:val="IndexLink"/>
              </w:rPr>
              <w:t>438</w:t>
            </w:r>
          </w:hyperlink>
        </w:p>
        <w:p>
          <w:pPr>
            <w:pStyle w:val="Contents5"/>
            <w:tabs>
              <w:tab w:val="clear" w:pos="7892"/>
              <w:tab w:val="right" w:pos="9026" w:leader="dot"/>
            </w:tabs>
            <w:rPr/>
          </w:pPr>
          <w:hyperlink w:anchor="__RefHeading___Toc1955598_2142443653">
            <w:r>
              <w:rPr>
                <w:webHidden/>
                <w:rStyle w:val="IndexLink"/>
                <w:rtl w:val="true"/>
              </w:rPr>
              <w:t>في بقاء الضمان مع نيّة الحفظ بعد العلم بالحال</w:t>
            </w:r>
            <w:r>
              <w:rPr>
                <w:rStyle w:val="IndexLink"/>
                <w:rtl w:val="true"/>
              </w:rPr>
              <w:tab/>
            </w:r>
            <w:r>
              <w:rPr>
                <w:rStyle w:val="IndexLink"/>
              </w:rPr>
              <w:t>439</w:t>
            </w:r>
          </w:hyperlink>
        </w:p>
        <w:p>
          <w:pPr>
            <w:pStyle w:val="Contents5"/>
            <w:tabs>
              <w:tab w:val="clear" w:pos="7892"/>
              <w:tab w:val="right" w:pos="9026" w:leader="dot"/>
            </w:tabs>
            <w:rPr/>
          </w:pPr>
          <w:hyperlink w:anchor="__RefHeading___Toc1955600_2142443653">
            <w:r>
              <w:rPr>
                <w:webHidden/>
                <w:rStyle w:val="IndexLink"/>
                <w:rtl w:val="true"/>
              </w:rPr>
              <w:t>في وجوب ردّ المأخوذ إلى صاحبه</w:t>
            </w:r>
            <w:r>
              <w:rPr>
                <w:rStyle w:val="IndexLink"/>
                <w:rtl w:val="true"/>
              </w:rPr>
              <w:tab/>
            </w:r>
            <w:r>
              <w:rPr>
                <w:rStyle w:val="IndexLink"/>
              </w:rPr>
              <w:t>441</w:t>
            </w:r>
          </w:hyperlink>
        </w:p>
        <w:p>
          <w:pPr>
            <w:pStyle w:val="Contents5"/>
            <w:tabs>
              <w:tab w:val="clear" w:pos="7892"/>
              <w:tab w:val="right" w:pos="9026" w:leader="dot"/>
            </w:tabs>
            <w:rPr/>
          </w:pPr>
          <w:hyperlink w:anchor="__RefHeading___Toc1955602_2142443653">
            <w:r>
              <w:rPr>
                <w:webHidden/>
                <w:rStyle w:val="IndexLink"/>
                <w:rtl w:val="true"/>
              </w:rPr>
              <w:t>في وجوب الفحص عن المالك لو كان مجهولاً</w:t>
            </w:r>
            <w:r>
              <w:rPr>
                <w:rStyle w:val="IndexLink"/>
                <w:rtl w:val="true"/>
              </w:rPr>
              <w:tab/>
            </w:r>
            <w:r>
              <w:rPr>
                <w:rStyle w:val="IndexLink"/>
              </w:rPr>
              <w:t>443</w:t>
            </w:r>
          </w:hyperlink>
        </w:p>
        <w:p>
          <w:pPr>
            <w:pStyle w:val="Contents5"/>
            <w:tabs>
              <w:tab w:val="clear" w:pos="7892"/>
              <w:tab w:val="right" w:pos="9026" w:leader="dot"/>
            </w:tabs>
            <w:rPr/>
          </w:pPr>
          <w:hyperlink w:anchor="__RefHeading___Toc1955604_2142443653">
            <w:r>
              <w:rPr>
                <w:webHidden/>
                <w:rStyle w:val="IndexLink"/>
                <w:rtl w:val="true"/>
              </w:rPr>
              <w:t>تعيين مقدار الفحص</w:t>
            </w:r>
            <w:r>
              <w:rPr>
                <w:rStyle w:val="IndexLink"/>
                <w:rtl w:val="true"/>
              </w:rPr>
              <w:tab/>
            </w:r>
            <w:r>
              <w:rPr>
                <w:rStyle w:val="IndexLink"/>
              </w:rPr>
              <w:t>449</w:t>
            </w:r>
          </w:hyperlink>
        </w:p>
        <w:p>
          <w:pPr>
            <w:pStyle w:val="Contents5"/>
            <w:tabs>
              <w:tab w:val="clear" w:pos="7892"/>
              <w:tab w:val="right" w:pos="9026" w:leader="dot"/>
            </w:tabs>
            <w:rPr/>
          </w:pPr>
          <w:hyperlink w:anchor="__RefHeading___Toc1955606_2142443653">
            <w:r>
              <w:rPr>
                <w:webHidden/>
                <w:rStyle w:val="IndexLink"/>
                <w:rtl w:val="true"/>
              </w:rPr>
              <w:t>مقتضى القواعد في مصرف مجهول المالك</w:t>
            </w:r>
            <w:r>
              <w:rPr>
                <w:rStyle w:val="IndexLink"/>
                <w:rtl w:val="true"/>
              </w:rPr>
              <w:tab/>
            </w:r>
            <w:r>
              <w:rPr>
                <w:rStyle w:val="IndexLink"/>
              </w:rPr>
              <w:t>451</w:t>
            </w:r>
          </w:hyperlink>
        </w:p>
        <w:p>
          <w:pPr>
            <w:pStyle w:val="Contents5"/>
            <w:tabs>
              <w:tab w:val="clear" w:pos="7892"/>
              <w:tab w:val="right" w:pos="9026" w:leader="dot"/>
            </w:tabs>
            <w:rPr/>
          </w:pPr>
          <w:hyperlink w:anchor="__RefHeading___Toc1955608_2142443653">
            <w:r>
              <w:rPr>
                <w:webHidden/>
                <w:rStyle w:val="IndexLink"/>
                <w:rtl w:val="true"/>
              </w:rPr>
              <w:t>مقتضى الأخبار في مصرف مجهول المالك</w:t>
            </w:r>
            <w:r>
              <w:rPr>
                <w:rStyle w:val="IndexLink"/>
                <w:rtl w:val="true"/>
              </w:rPr>
              <w:tab/>
            </w:r>
            <w:r>
              <w:rPr>
                <w:rStyle w:val="IndexLink"/>
              </w:rPr>
              <w:t>453</w:t>
            </w:r>
          </w:hyperlink>
        </w:p>
        <w:p>
          <w:pPr>
            <w:pStyle w:val="Contents5"/>
            <w:tabs>
              <w:tab w:val="clear" w:pos="7892"/>
              <w:tab w:val="right" w:pos="9026" w:leader="dot"/>
            </w:tabs>
            <w:rPr/>
          </w:pPr>
          <w:hyperlink w:anchor="__RefHeading___Toc1955610_2142443653">
            <w:r>
              <w:rPr>
                <w:webHidden/>
                <w:rStyle w:val="IndexLink"/>
                <w:rtl w:val="true"/>
              </w:rPr>
              <w:t>في ضمان المتصدّق إذا لم يرض به صاحبه</w:t>
            </w:r>
            <w:r>
              <w:rPr>
                <w:rStyle w:val="IndexLink"/>
                <w:rtl w:val="true"/>
              </w:rPr>
              <w:tab/>
            </w:r>
            <w:r>
              <w:rPr>
                <w:rStyle w:val="IndexLink"/>
              </w:rPr>
              <w:t>459</w:t>
            </w:r>
          </w:hyperlink>
        </w:p>
        <w:p>
          <w:pPr>
            <w:pStyle w:val="Contents4"/>
            <w:tabs>
              <w:tab w:val="clear" w:pos="8176"/>
              <w:tab w:val="right" w:pos="9026" w:leader="dot"/>
            </w:tabs>
            <w:rPr/>
          </w:pPr>
          <w:hyperlink w:anchor="__RefHeading___Toc1955612_2142443653">
            <w:r>
              <w:rPr>
                <w:webHidden/>
                <w:rStyle w:val="IndexLink"/>
                <w:rtl w:val="true"/>
              </w:rPr>
              <w:t>المسألة الثانية حكم الخراج والمقاسمة إذا أخذهما السلطان الجائر</w:t>
            </w:r>
            <w:r>
              <w:rPr>
                <w:rStyle w:val="IndexLink"/>
                <w:rtl w:val="true"/>
              </w:rPr>
              <w:tab/>
            </w:r>
            <w:r>
              <w:rPr>
                <w:rStyle w:val="IndexLink"/>
              </w:rPr>
              <w:t>463</w:t>
            </w:r>
          </w:hyperlink>
        </w:p>
        <w:p>
          <w:pPr>
            <w:pStyle w:val="Contents5"/>
            <w:tabs>
              <w:tab w:val="clear" w:pos="7892"/>
              <w:tab w:val="right" w:pos="9026" w:leader="dot"/>
            </w:tabs>
            <w:rPr/>
          </w:pPr>
          <w:hyperlink w:anchor="__RefHeading___Toc1955614_2142443653">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955616_2142443653">
            <w:r>
              <w:rPr>
                <w:webHidden/>
                <w:rStyle w:val="IndexLink"/>
                <w:rtl w:val="true"/>
              </w:rPr>
              <w:t>الاستدلال بالروايات على جواز الشراء من الجائر</w:t>
            </w:r>
            <w:r>
              <w:rPr>
                <w:rStyle w:val="IndexLink"/>
                <w:rtl w:val="true"/>
              </w:rPr>
              <w:tab/>
            </w:r>
            <w:r>
              <w:rPr>
                <w:rStyle w:val="IndexLink"/>
              </w:rPr>
              <w:t>464</w:t>
            </w:r>
          </w:hyperlink>
        </w:p>
        <w:p>
          <w:pPr>
            <w:pStyle w:val="Contents5"/>
            <w:tabs>
              <w:tab w:val="clear" w:pos="7892"/>
              <w:tab w:val="right" w:pos="9026" w:leader="dot"/>
            </w:tabs>
            <w:rPr/>
          </w:pPr>
          <w:hyperlink w:anchor="__RefHeading___Toc1955618_2142443653">
            <w:r>
              <w:rPr>
                <w:webHidden/>
                <w:rStyle w:val="IndexLink"/>
                <w:rtl w:val="true"/>
              </w:rPr>
              <w:t>الاستدلال بالأخبار الواردة في تقبّل الخراج</w:t>
            </w:r>
            <w:r>
              <w:rPr>
                <w:rStyle w:val="IndexLink"/>
                <w:rtl w:val="true"/>
              </w:rPr>
              <w:tab/>
            </w:r>
            <w:r>
              <w:rPr>
                <w:rStyle w:val="IndexLink"/>
              </w:rPr>
              <w:t>470</w:t>
            </w:r>
          </w:hyperlink>
        </w:p>
        <w:p>
          <w:pPr>
            <w:pStyle w:val="Contents5"/>
            <w:tabs>
              <w:tab w:val="clear" w:pos="7892"/>
              <w:tab w:val="right" w:pos="9026" w:leader="dot"/>
            </w:tabs>
            <w:rPr/>
          </w:pPr>
          <w:hyperlink w:anchor="__RefHeading___Toc1955620_2142443653">
            <w:r>
              <w:rPr>
                <w:webHidden/>
                <w:rStyle w:val="IndexLink"/>
                <w:rtl w:val="true"/>
              </w:rPr>
              <w:t>الأمر الأوّل حكم الشراء من السلطان قبل الأخذ</w:t>
            </w:r>
            <w:r>
              <w:rPr>
                <w:rStyle w:val="IndexLink"/>
                <w:rtl w:val="true"/>
              </w:rPr>
              <w:tab/>
            </w:r>
            <w:r>
              <w:rPr>
                <w:rStyle w:val="IndexLink"/>
              </w:rPr>
              <w:t>474</w:t>
            </w:r>
          </w:hyperlink>
        </w:p>
        <w:p>
          <w:pPr>
            <w:pStyle w:val="Contents5"/>
            <w:tabs>
              <w:tab w:val="clear" w:pos="7892"/>
              <w:tab w:val="right" w:pos="9026" w:leader="dot"/>
            </w:tabs>
            <w:rPr/>
          </w:pPr>
          <w:hyperlink w:anchor="__RefHeading___Toc1955622_2142443653">
            <w:r>
              <w:rPr>
                <w:webHidden/>
                <w:rStyle w:val="IndexLink"/>
                <w:rtl w:val="true"/>
              </w:rPr>
              <w:t>الأمر الثاني حكم أداء الزكاة ونحوها إلى الجائر</w:t>
            </w:r>
            <w:r>
              <w:rPr>
                <w:rStyle w:val="IndexLink"/>
                <w:rtl w:val="true"/>
              </w:rPr>
              <w:tab/>
            </w:r>
            <w:r>
              <w:rPr>
                <w:rStyle w:val="IndexLink"/>
              </w:rPr>
              <w:t>476</w:t>
            </w:r>
          </w:hyperlink>
        </w:p>
        <w:p>
          <w:pPr>
            <w:pStyle w:val="Contents2"/>
            <w:tabs>
              <w:tab w:val="clear" w:pos="8743"/>
              <w:tab w:val="right" w:pos="9026" w:leader="dot"/>
            </w:tabs>
            <w:rPr/>
          </w:pPr>
          <w:hyperlink w:anchor="__RefHeading___Toc1955624_2142443653">
            <w:r>
              <w:rPr>
                <w:webHidden/>
                <w:rStyle w:val="IndexLink"/>
                <w:rtl w:val="true"/>
              </w:rPr>
              <w:t>الفهارس العامّة</w:t>
            </w:r>
            <w:r>
              <w:rPr>
                <w:rStyle w:val="IndexLink"/>
                <w:rtl w:val="true"/>
              </w:rPr>
              <w:tab/>
            </w:r>
            <w:r>
              <w:rPr>
                <w:rStyle w:val="IndexLink"/>
              </w:rPr>
              <w:t>481</w:t>
            </w:r>
          </w:hyperlink>
        </w:p>
        <w:p>
          <w:pPr>
            <w:pStyle w:val="Contents3"/>
            <w:tabs>
              <w:tab w:val="clear" w:pos="8459"/>
              <w:tab w:val="right" w:pos="9026" w:leader="dot"/>
            </w:tabs>
            <w:rPr/>
          </w:pPr>
          <w:hyperlink w:anchor="__RefHeading___Toc1955626_2142443653">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955628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483</w:t>
            </w:r>
          </w:hyperlink>
        </w:p>
        <w:p>
          <w:pPr>
            <w:pStyle w:val="Contents3"/>
            <w:tabs>
              <w:tab w:val="clear" w:pos="8459"/>
              <w:tab w:val="right" w:pos="9026" w:leader="dot"/>
            </w:tabs>
            <w:rPr/>
          </w:pPr>
          <w:hyperlink w:anchor="__RefHeading___Toc1955630_2142443653">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491</w:t>
            </w:r>
          </w:hyperlink>
        </w:p>
        <w:p>
          <w:pPr>
            <w:pStyle w:val="Contents3"/>
            <w:tabs>
              <w:tab w:val="clear" w:pos="8459"/>
              <w:tab w:val="right" w:pos="9026" w:leader="dot"/>
            </w:tabs>
            <w:rPr/>
          </w:pPr>
          <w:hyperlink w:anchor="__RefHeading___Toc1955632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1955634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515</w:t>
            </w:r>
          </w:hyperlink>
        </w:p>
        <w:p>
          <w:pPr>
            <w:pStyle w:val="Contents3"/>
            <w:tabs>
              <w:tab w:val="clear" w:pos="8459"/>
              <w:tab w:val="right" w:pos="9026" w:leader="dot"/>
            </w:tabs>
            <w:rPr/>
          </w:pPr>
          <w:hyperlink w:anchor="__RefHeading___Toc1955636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535</w:t>
            </w:r>
          </w:hyperlink>
        </w:p>
        <w:p>
          <w:pPr>
            <w:pStyle w:val="Contents3"/>
            <w:tabs>
              <w:tab w:val="clear" w:pos="8459"/>
              <w:tab w:val="right" w:pos="9026" w:leader="dot"/>
            </w:tabs>
            <w:rPr/>
          </w:pPr>
          <w:hyperlink w:anchor="__RefHeading___Toc1955638_2142443653">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542</w:t>
            </w:r>
          </w:hyperlink>
        </w:p>
        <w:p>
          <w:pPr>
            <w:pStyle w:val="Contents3"/>
            <w:tabs>
              <w:tab w:val="clear" w:pos="8459"/>
              <w:tab w:val="right" w:pos="9026" w:leader="dot"/>
            </w:tabs>
            <w:rPr/>
          </w:pPr>
          <w:hyperlink w:anchor="__RefHeading___Toc1955640_2142443653">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560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62_155279"/>
      <w:bookmarkStart w:id="1" w:name="pg15162_155279"/>
      <w:bookmarkEnd w:id="1"/>
    </w:p>
    <w:p>
      <w:pPr>
        <w:pStyle w:val="Heading2"/>
        <w:numPr>
          <w:ilvl w:val="1"/>
          <w:numId w:val="1"/>
        </w:numPr>
        <w:rPr/>
      </w:pPr>
      <w:bookmarkStart w:id="2" w:name="pg15162_155279"/>
      <w:bookmarkStart w:id="3" w:name="__RefHeading___Toc1955340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المحرمة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534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w:t>
      </w:r>
    </w:p>
    <w:p>
      <w:pPr>
        <w:pStyle w:val="BookText"/>
        <w:rPr/>
      </w:pPr>
      <w:r>
        <w:rPr>
          <w:rFonts w:ascii="Amiri" w:hAnsi="Amiri" w:eastAsia="Amiri" w:cs="Amiri"/>
          <w:color w:val="111111"/>
          <w:sz w:val="28"/>
          <w:sz w:val="28"/>
          <w:szCs w:val="28"/>
          <w:rtl w:val="true"/>
          <w:lang w:bidi="ar-SA"/>
        </w:rPr>
        <w:t>وصلّى اللّه على محمّد وآله الطيّبين الطاهرين ،</w:t>
      </w:r>
    </w:p>
    <w:p>
      <w:pPr>
        <w:pStyle w:val="BookText"/>
        <w:rPr/>
      </w:pPr>
      <w:r>
        <w:rPr>
          <w:rFonts w:ascii="Amiri" w:hAnsi="Amiri" w:eastAsia="Amiri" w:cs="Amiri"/>
          <w:color w:val="111111"/>
          <w:sz w:val="28"/>
          <w:sz w:val="28"/>
          <w:szCs w:val="28"/>
          <w:rtl w:val="true"/>
          <w:lang w:bidi="ar-SA"/>
        </w:rPr>
        <w:t xml:space="preserve">ولعنة اللّه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فهذا هو المجلّد الثاني من مهمّات مسائل المكاسب المحرّمة وما يتعلّق بها ويستطرد لها ممّا هي أصعب طريقاً ، وأحوج إلى التحرير والتحقيق ، وأكثر ابتلاءً من سائر مسائلها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بيده الداثرة العبد المفتاق إلى اللّه الكريم السيّد روح اللّه بن السيّد مصطفى الخميني عفى اللّه عنهما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62_155285"/>
      <w:bookmarkStart w:id="8" w:name="pg15162_155285"/>
      <w:bookmarkEnd w:id="8"/>
    </w:p>
    <w:p>
      <w:pPr>
        <w:pStyle w:val="Heading2"/>
        <w:numPr>
          <w:ilvl w:val="1"/>
          <w:numId w:val="1"/>
        </w:numPr>
        <w:rPr/>
      </w:pPr>
      <w:bookmarkStart w:id="9" w:name="pg15162_155285"/>
      <w:bookmarkStart w:id="10" w:name="__RefHeading___Toc1955344_2142443653"/>
      <w:bookmarkStart w:id="11" w:name="_Toc3"/>
      <w:bookmarkEnd w:id="9"/>
      <w:bookmarkEnd w:id="10"/>
      <w:r>
        <w:rPr>
          <w:rtl w:val="true"/>
        </w:rPr>
        <w:t>المسألة الرابعة في حرمة القمار</w:t>
      </w:r>
      <w:bookmarkEnd w:id="11"/>
    </w:p>
    <w:p>
      <w:pPr>
        <w:pStyle w:val="Heading3"/>
        <w:numPr>
          <w:ilvl w:val="2"/>
          <w:numId w:val="1"/>
        </w:numPr>
        <w:rPr/>
      </w:pPr>
      <w:bookmarkStart w:id="12" w:name="__RefHeading___Toc1955346_2142443653"/>
      <w:bookmarkStart w:id="13" w:name="_Toc4"/>
      <w:bookmarkEnd w:id="12"/>
      <w:r>
        <w:rPr>
          <w:rtl w:val="true"/>
        </w:rPr>
        <w:t>حرمةاللعب بالآلات المعدّة للقمار</w:t>
      </w:r>
      <w:bookmarkEnd w:id="13"/>
    </w:p>
    <w:p>
      <w:pPr>
        <w:pStyle w:val="BookText"/>
        <w:rPr/>
      </w:pPr>
      <w:r>
        <w:rPr>
          <w:rFonts w:ascii="IRNazanin" w:hAnsi="IRNazanin" w:eastAsia="IRNazanin"/>
          <w:color w:val="111111"/>
          <w:sz w:val="28"/>
          <w:sz w:val="28"/>
          <w:szCs w:val="28"/>
          <w:rtl w:val="true"/>
          <w:lang w:bidi="fa-IR"/>
        </w:rPr>
        <w:t xml:space="preserve">القمار حرام إجماعاً </w:t>
      </w:r>
      <w:r>
        <w:rPr>
          <w:rStyle w:val="FootnoteAnchor"/>
          <w:rtl w:val="true"/>
        </w:rPr>
        <w:footnoteReference w:id="2"/>
      </w:r>
      <w:r>
        <w:rPr>
          <w:rFonts w:ascii="Amiri" w:hAnsi="Amiri" w:eastAsia="Amiri" w:cs="Amiri"/>
          <w:color w:val="111111"/>
          <w:sz w:val="28"/>
          <w:sz w:val="28"/>
          <w:szCs w:val="28"/>
          <w:rtl w:val="true"/>
          <w:lang w:bidi="ar-SA"/>
        </w:rPr>
        <w:t xml:space="preserve">وكتاباً وسنّة </w:t>
      </w:r>
      <w:r>
        <w:rPr>
          <w:rStyle w:val="FootnoteAnchor"/>
          <w:rtl w:val="true"/>
        </w:rPr>
        <w:footnoteReference w:id="3"/>
      </w:r>
      <w:r>
        <w:rPr>
          <w:rFonts w:ascii="Amiri" w:hAnsi="Amiri" w:eastAsia="Amiri" w:cs="Amiri"/>
          <w:color w:val="111111"/>
          <w:sz w:val="28"/>
          <w:sz w:val="28"/>
          <w:szCs w:val="28"/>
          <w:rtl w:val="true"/>
          <w:lang w:bidi="ar-SA"/>
        </w:rPr>
        <w:t xml:space="preserve">، إذا كان اللعب بالآلات المعدّة لذلك مع 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من عنوان القمار والميسر في الكتاب والسنّة ومعقد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أنواعه من النرد والشطرنج وغيرهما ، حتّى اللعب بالجوز والبيض ؛ للصدق على اللعب بهما عرفاً ، ولو للتعارف بالمقامرة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الصدق فلا شبهة في إلحاقه به نصّاً وفتوى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والكلام في صدق العنوانين على اللعب بالآلات بلا رهان ، وعلى اللعب بغيرها برِهان أو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ينبغي الريب في عدم صدقهما على الأخير وإن يظهر من بعضهم إطلاقهما على مطلق المغالبة</w:t>
      </w:r>
      <w:r>
        <w:rPr>
          <w:rStyle w:val="FootnoteAnchor"/>
          <w:rtl w:val="true"/>
        </w:rPr>
        <w:footnoteReference w:id="4"/>
      </w:r>
      <w:r>
        <w:rPr>
          <w:rFonts w:ascii="Amiri" w:hAnsi="Amiri" w:eastAsia="Amiri" w:cs="Amiri"/>
          <w:color w:val="111111"/>
          <w:sz w:val="28"/>
          <w:sz w:val="28"/>
          <w:szCs w:val="28"/>
          <w:rtl w:val="true"/>
          <w:lang w:bidi="ar-SA"/>
        </w:rPr>
        <w:t xml:space="preserve">، لكنّه خلاف المتبادر والمرتكز في الأذهان من القمار ، وخلاف كلمات اللغويين فيه وفي الميسر الذي هو أخصّ منه أو مساوق له ، على ما يأتي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صدقهما على ما قبله أيضاً ؛ لأنّ القمار عرفاً ليس مطلق المغالبة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لمن جعل الرهان بإزاء الغلبة في حسن الخطّ ، أو تجويد قراءة القرآن ، أو سرعة العدوّ أو الرمي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مقامر ، ولا لفعلها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 أصدق شاهد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بل يشهد عليه ما ورد من جواز السبق والرماية مع شرط الجعل عليه</w:t>
      </w:r>
      <w:r>
        <w:rPr>
          <w:rStyle w:val="FootnoteAnchor"/>
          <w:rtl w:val="true"/>
        </w:rPr>
        <w:footnoteReference w:id="5"/>
      </w:r>
      <w:r>
        <w:rPr>
          <w:rFonts w:ascii="Amiri" w:hAnsi="Amiri" w:eastAsia="Amiri" w:cs="Amiri"/>
          <w:color w:val="111111"/>
          <w:sz w:val="28"/>
          <w:sz w:val="28"/>
          <w:szCs w:val="28"/>
          <w:rtl w:val="true"/>
          <w:lang w:bidi="ar-SA"/>
        </w:rPr>
        <w:t xml:space="preserve">، مع إباء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عن التخصيص ، وسيأتي أنّ الميسر هو مطلق القمار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صدق الميسر فكذلك بناءً على أ نّه القمار ، وأوضح منه بناءً على التفسير الآتي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عدم صدقهما على اللعب بالآلات بلا رهان ، كما تشهد به كلمات كثير من اللغويين ،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الإرب</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فإنّها طفحت بقيد الرهان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قامره مقامرة وقماراً ، فقمره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قمر يقمِر قمراً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 ولعب في القمار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قامره</w:t>
      </w:r>
    </w:p>
    <w:p>
      <w:pPr>
        <w:pStyle w:val="BookText"/>
        <w:rPr/>
      </w:pPr>
      <w:r>
        <w:rPr>
          <w:rFonts w:ascii="Amiri" w:hAnsi="Amiri" w:eastAsia="Amiri" w:cs="Amiri"/>
          <w:color w:val="111111"/>
          <w:sz w:val="28"/>
          <w:sz w:val="28"/>
          <w:szCs w:val="28"/>
          <w:rtl w:val="true"/>
          <w:lang w:bidi="ar-SA"/>
        </w:rPr>
        <w:t xml:space="preserve">مقامرة وقماراً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ولاعبه في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تراهنوا ولعبوا في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لعب يشترط فيه أن يأخذ الغالب من المغلوب شيئاً ، سواء كان بالورق أو غيره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القمار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بالقمار ، واللعب</w:t>
      </w:r>
    </w:p>
    <w:p>
      <w:pPr>
        <w:pStyle w:val="BookText"/>
        <w:rPr/>
      </w:pPr>
      <w:r>
        <w:rPr>
          <w:rFonts w:ascii="Amiri" w:hAnsi="Amiri" w:eastAsia="Amiri" w:cs="Amiri"/>
          <w:color w:val="111111"/>
          <w:sz w:val="28"/>
          <w:sz w:val="28"/>
          <w:szCs w:val="28"/>
          <w:rtl w:val="true"/>
          <w:lang w:bidi="ar-SA"/>
        </w:rPr>
        <w:t xml:space="preserve">بالآلات المعدّة له على اختلاف أنواعها ، نحو الشطرنج والنرد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القمار الرهن على اللعب بالشيء من هذه الأشياء ، وربّما اُطلق على اللعب بالخاتم والجوز</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ذلك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الذي هو متون الأخبار بشهادة الصدوق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يظهر من بعضٍ إطلاقه على مطلق المغالبة</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ثابت ، وعلى فرض ثبوته أعمّ من الحقيقة ، وإن كان حقيقة فهو مخالف للعرف </w:t>
      </w:r>
    </w:p>
    <w:p>
      <w:pPr>
        <w:pStyle w:val="BookText"/>
        <w:rPr/>
      </w:pPr>
      <w:r>
        <w:rPr>
          <w:rFonts w:ascii="Amiri" w:hAnsi="Amiri" w:eastAsia="Amiri" w:cs="Amiri"/>
          <w:color w:val="111111"/>
          <w:sz w:val="28"/>
          <w:sz w:val="28"/>
          <w:szCs w:val="28"/>
          <w:rtl w:val="true"/>
          <w:lang w:bidi="ar-SA"/>
        </w:rPr>
        <w:t xml:space="preserve">العامّ ، وهو مقدّم على غيره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فلم يظهر منها المخالفة لما قلناه ، وكان ما حكي عن ابن دريد مجملة ، ويظهر منه أ نّه يطلق على المغالبة في الفخر ، وهو على فرض صحّته يأتي فيه ما تقدّم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صدقه على ما ذكر مشكل ، ولا أقلّ من الشكّ فيه ، فلا يمكن إثبات حرمة الثلاثة بالمطلقات على فرض وجود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بما دلّت على حرمة الميسر ، كالآية الكريمة وغيرها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ما يظهر من اللغويين</w:t>
      </w:r>
      <w:r>
        <w:rPr>
          <w:rStyle w:val="FootnoteAnchor"/>
          <w:rtl w:val="true"/>
        </w:rPr>
        <w:footnoteReference w:id="17"/>
      </w:r>
      <w:r>
        <w:rPr>
          <w:rFonts w:ascii="IRNazanin" w:hAnsi="IRNazanin" w:eastAsia="IRNazanin"/>
          <w:color w:val="111111"/>
          <w:sz w:val="28"/>
          <w:sz w:val="28"/>
          <w:szCs w:val="28"/>
          <w:rtl w:val="true"/>
          <w:lang w:bidi="fa-IR"/>
        </w:rPr>
        <w:t>بل من بعض الأخبار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عبارة عن الجزور التي كانوا يتقامرون عليها ، أو عبارة عن اللعب بالقداح ، وهو لعب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التفسير أخصّ من القمار ، سواء فسّر باللعب بالآلات مطلقاً أو مع الرهان ، أم فسّر بالمغالبة مطلقاً ؛ لأنّ اللعب لا يكون إلاّ بالرهان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كذلك على التفسير الأوّل ؛ لقوّة احتمال أن يكون كناية عن التفسير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الصور الثلاث منطبقة عليه ولو مع إلغاء الخصوصية عن لعب العرب بالأزلام ؛ لأنّ غاية ما يمكن دعوى إلغائها هو حيث الآلات لا حيث الرهان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الأقرب أنّ الميسر مطلق القمار ، كما فسّر به في بعض كتب اللغة </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وبعض كتب الأدب ، وكذا بعض التفاسير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ابن العبّاس وابن مسعود ومجاهد وقتادة والحسن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مقابلته للأزلام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جابر 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الميسر هو القمار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الشطرنج والنرد وأربعة عشر وكلّ ما قومر عليه منها فهو ميسر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المناسب لمادّة اليسر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أصله من اليسر خلاف العسر</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الميسر القمار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يكون منه </w:t>
      </w:r>
    </w:p>
    <w:p>
      <w:pPr>
        <w:pStyle w:val="BookText"/>
        <w:rPr/>
      </w:pPr>
      <w:r>
        <w:rPr>
          <w:rFonts w:ascii="Amiri" w:hAnsi="Amiri" w:eastAsia="Amiri" w:cs="Amiri"/>
          <w:color w:val="111111"/>
          <w:sz w:val="28"/>
          <w:sz w:val="28"/>
          <w:szCs w:val="28"/>
          <w:rtl w:val="true"/>
          <w:lang w:bidi="ar-SA"/>
        </w:rPr>
        <w:t xml:space="preserve">قمار فهو الميسر حتّى لعب الصبيان بالجوز الذي يتقامرون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ميسراً لتيسّر أخذ مال الغير فيه من غير تعب ومشقّة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 عدم استفادة حكم الصور الثلاث من الروايات وغيرها الواردة في حرمة القمار والميسر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اللعب بالآلات بلا رهان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الْخَمْرُ وَالْمَيْسِرُ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بناءً على أنّ المراد بالميسر فيها هو آلات القمار لا القمار ، بقرينة كون المراد</w:t>
      </w:r>
    </w:p>
    <w:p>
      <w:pPr>
        <w:pStyle w:val="BookText"/>
        <w:rPr/>
      </w:pPr>
      <w:r>
        <w:rPr>
          <w:rFonts w:ascii="Amiri" w:hAnsi="Amiri" w:eastAsia="Amiri" w:cs="Amiri"/>
          <w:color w:val="111111"/>
          <w:sz w:val="28"/>
          <w:sz w:val="28"/>
          <w:szCs w:val="28"/>
          <w:rtl w:val="true"/>
          <w:lang w:bidi="ar-SA"/>
        </w:rPr>
        <w:t xml:space="preserve">بالثلاثة الاُخر المذكورة الذوات ، وبقرينة حمل الرجس عليها ، وهو يناسب الذوات لا الأفعال إلاّ بتأوّل ، سواء اُريد به النجس المعهود كما ادّعى الإجماع عليه شيخ الطائفة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الآية</w:t>
      </w:r>
      <w:r>
        <w:rPr>
          <w:rStyle w:val="FootnoteAnchor"/>
          <w:rtl w:val="true"/>
        </w:rPr>
        <w:footnoteReference w:id="26"/>
      </w:r>
      <w:r>
        <w:rPr>
          <w:rFonts w:ascii="Amiri" w:hAnsi="Amiri" w:eastAsia="Amiri" w:cs="Amiri"/>
          <w:color w:val="111111"/>
          <w:sz w:val="28"/>
          <w:sz w:val="28"/>
          <w:szCs w:val="28"/>
          <w:rtl w:val="true"/>
          <w:lang w:bidi="ar-SA"/>
        </w:rPr>
        <w:t>وهو واضح ، أم اُريد الخبيث</w:t>
      </w:r>
      <w:r>
        <w:rPr>
          <w:rStyle w:val="FootnoteAnchor"/>
          <w:rtl w:val="true"/>
        </w:rPr>
        <w:footnoteReference w:id="27"/>
      </w:r>
      <w:r>
        <w:rPr>
          <w:rFonts w:ascii="Amiri" w:hAnsi="Amiri" w:eastAsia="Amiri" w:cs="Amiri"/>
          <w:color w:val="111111"/>
          <w:sz w:val="28"/>
          <w:sz w:val="28"/>
          <w:szCs w:val="28"/>
          <w:rtl w:val="true"/>
          <w:lang w:bidi="ar-SA"/>
        </w:rPr>
        <w:t xml:space="preserve">، فإنّه أيضاً يناسب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اللعب والشرب</w:t>
      </w:r>
      <w:r>
        <w:rPr>
          <w:rStyle w:val="FootnoteAnchor"/>
          <w:rtl w:val="true"/>
        </w:rPr>
        <w:footnoteReference w:id="28"/>
      </w:r>
      <w:r>
        <w:rPr>
          <w:rFonts w:ascii="Amiri" w:hAnsi="Amiri" w:eastAsia="Amiri" w:cs="Amiri"/>
          <w:color w:val="111111"/>
          <w:sz w:val="28"/>
          <w:sz w:val="28"/>
          <w:szCs w:val="28"/>
          <w:rtl w:val="true"/>
          <w:lang w:bidi="ar-SA"/>
        </w:rPr>
        <w:t xml:space="preserve">لا يخلو من ركاكة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له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جابر المتقدّمة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إبراهيم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علي ابن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سيّدي ومولاي أن يخبرني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 لُونَكَ عَنِ الْخَمْرِ وَالْمَيْسِرِ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 فما الميسر جعلت فداك ، فكتب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قومر به فهو الميسر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عدّة روايات عدّ النرد والشطرنج من الميسر</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اللعب بها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الرجس وعمل الشيطان في الآية المتقدّمة على المذكورات باعتبار ذاتها ؛ إذ كما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رجس خبيث ،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الشطرنج كذلك ، كما يشعر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يد المقلّب له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من عمل الشيطان باعتبار أ نّها مصنوعة بيد الإنسان بإغرائه ووسوسته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الخمر والآلات الحاصلة بإغرائه من عمله ، ولو بقرينية الروايات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رواية أبي الجارود عن أبي جعفر علیه السلام ، فإنّه بعد بيان معنى المذكورات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بيعه وشراؤه والانتفاع بشيء من هذا حرام من اللّه محرّم ، وهو رجس من عمل الشيطان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نفس المذكورات التي لا يجوز بيعها رجس من عمل الشيطان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يكون الأمر بالاجتناب عن الآلات ذواتها مقتضياً لحرمة الانتفاع بها </w:t>
      </w:r>
    </w:p>
    <w:p>
      <w:pPr>
        <w:pStyle w:val="BookText"/>
        <w:rPr/>
      </w:pPr>
      <w:r>
        <w:rPr>
          <w:rFonts w:ascii="Amiri" w:hAnsi="Amiri" w:eastAsia="Amiri" w:cs="Amiri"/>
          <w:color w:val="111111"/>
          <w:sz w:val="28"/>
          <w:sz w:val="28"/>
          <w:szCs w:val="28"/>
          <w:rtl w:val="true"/>
          <w:lang w:bidi="ar-SA"/>
        </w:rPr>
        <w:t>انتفاعاً مقصوداً متعارفاً ، ولا شبهة في أنّ اللعب بها للتفريح والمغالبة من</w:t>
      </w:r>
    </w:p>
    <w:p>
      <w:pPr>
        <w:pStyle w:val="BookText"/>
        <w:rPr/>
      </w:pPr>
      <w:r>
        <w:rPr>
          <w:rFonts w:ascii="Amiri" w:hAnsi="Amiri" w:eastAsia="Amiri" w:cs="Amiri"/>
          <w:color w:val="111111"/>
          <w:sz w:val="28"/>
          <w:sz w:val="28"/>
          <w:szCs w:val="28"/>
          <w:rtl w:val="true"/>
          <w:lang w:bidi="ar-SA"/>
        </w:rPr>
        <w:t xml:space="preserve">الانتفاعات المقصودة المتداولة ، سيّما لدى الاُمراء وخلفاء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بالاجتناب مخصوصاً باللعب برهان ، بل أعمّ منه ، سيّما مع كيفية تعبير الآية الكريمة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ورد في بعض الروايات تفسير الميسر بالقمار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الوشّاء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الميسر هو</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وأمّا الميسر فالنرد والشطرنج ، وكلّ قمار ميسر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حمل الروايات المتقدّمة على بيان المراد من الآية كما يظهر منها ، والروايتين المتقدّمتين آنفاً على تفسير الميسر مطلقاً ، لا المراد بالآية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الأخيرة فيحتمل فيها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آلة له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النرد والشطرنج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يحتمل أن يكون المراد بهما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بهما ، ففيها 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في تفسير الميسر على طوائف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 نّه الآلات ، كالروايات المتقدّمة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 نّه الرهن ، كصحيحة معمّر بن خلاّد عن أبي الحسن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 وكلّ ما قومر عليه فهو ميسر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العيّاشي في محكيّ تفسيره عن ياسر الخادم عن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الميسر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التفل من كلّ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والتفل ما يخرج بين المتراهنين من الدرهم وغيره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مورد بالتاء والفاء</w:t>
      </w:r>
      <w:r>
        <w:rPr>
          <w:rStyle w:val="FootnoteAnchor"/>
          <w:rtl w:val="true"/>
        </w:rPr>
        <w:footnoteReference w:id="38"/>
      </w:r>
      <w:r>
        <w:rPr>
          <w:rFonts w:ascii="Amiri" w:hAnsi="Amiri" w:eastAsia="Amiri" w:cs="Amiri"/>
          <w:color w:val="111111"/>
          <w:sz w:val="28"/>
          <w:sz w:val="28"/>
          <w:szCs w:val="28"/>
          <w:rtl w:val="true"/>
          <w:lang w:bidi="ar-SA"/>
        </w:rPr>
        <w:t>، وفي مورد بالثاء المثلّثة والقاف</w:t>
      </w:r>
      <w:r>
        <w:rPr>
          <w:rStyle w:val="FootnoteAnchor"/>
          <w:rtl w:val="true"/>
        </w:rPr>
        <w:footnoteReference w:id="39"/>
      </w:r>
      <w:r>
        <w:rPr>
          <w:rFonts w:ascii="Amiri" w:hAnsi="Amiri" w:eastAsia="Amiri" w:cs="Amiri"/>
          <w:color w:val="111111"/>
          <w:sz w:val="28"/>
          <w:sz w:val="28"/>
          <w:szCs w:val="28"/>
          <w:rtl w:val="true"/>
          <w:lang w:bidi="ar-SA"/>
        </w:rPr>
        <w:t>، وفي مورد بالنون والعين</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معنىً مناسب في اللغة لما فسّر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يكون بالنون والفاء محرّكة ؛ بمعنى الغنيمة ، فيكون ما بين المتراهنين نفل وغنيمة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 نّه الآلات والرهن جميعاً ، كالمحكيّ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الشطرنج والنرد وأربعة عشر </w:t>
      </w:r>
    </w:p>
    <w:p>
      <w:pPr>
        <w:pStyle w:val="BookText"/>
        <w:rPr/>
      </w:pPr>
      <w:r>
        <w:rPr>
          <w:rFonts w:ascii="Amiri" w:hAnsi="Amiri" w:eastAsia="Amiri" w:cs="Amiri"/>
          <w:color w:val="111111"/>
          <w:sz w:val="28"/>
          <w:sz w:val="28"/>
          <w:szCs w:val="28"/>
          <w:rtl w:val="true"/>
          <w:lang w:bidi="ar-SA"/>
        </w:rPr>
        <w:t>وكلّ ما قومر عليه منها فهو ميسر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 أنّ الشطرنج وتالييه ذاتهما ميسر ، وكلّ ما قومر عليه أيضاً ميسر ، وما قومر عليه هو الرهن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وإرجاع أحد المعطوف والمعطوف عليه إلى الآخر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بالشطرنج وتالييه رهانها ، أو إنّ المراد بما قومر عليه ما قومر به ، خلاف الظاهر سيّما الأوّل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تجعل الرواية شاهدة جمع لسائر الروايات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بالتفاسير المذكورة التفسير بالمصاديق ، ويكون الميسر في الآية جميع المذكورات من الآلة والعمل والرهن ولو باستعمال اللفظ في أكثر من معنىً ، مع قرينية الروايات ، أو استعماله في جامع انتزاعي ، أو إرادة المعاني ولو بنحو من الكناية ، كما في غيره من الموارد الكثيرة الواردة في الكتاب العزيز المفسّرة بالروايات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أيضاً يصحّ الاستدلال بالآية الكريمة على حرمة اللعب بالآلات بلا رهن بمثل ما تقدّم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عن أمير المؤمنين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ألهى عن ذكر اللّه فهو من الميسر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بدّ من تأويله ، أو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 أو ردّ علمه إليه ، مع أ نّه ضعيف 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من استفادة الحكم من الآية الكريمة لا ينافي ذيلها ، بتوهّم أنّ ما يوجب الوقوع في البغضاء والعداوة القمار برهن ، لا مطلق اللعب بالآلات للتفريح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التنافس في الغلبة على الخصم ليس بأقلّ من التنافس في تحصيل الأموال التي تجعل رهناً ، سيّما عند أرباب التنزّه والمترفين ، وعليه يوجب ذلك الوقوع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الوقوع فيهما ليس علّة للحكم ؛ ضرورة حرمة الخمر والميسر برهن مطلقاً ، سواء حصل منهما العداوة والبغضاء أم لا ، كما لا يحرم مطلق ما يوقع فيهما ، فالوقوع فيهما أحياناً ومعرضيتهما لذلك نكتة الجعل ، ولا ريب في حصوله باللعب بلا 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مفاد الآية</w:t>
      </w:r>
      <w:r>
        <w:rPr>
          <w:rStyle w:val="FootnoteAnchor"/>
          <w:rtl w:val="true"/>
        </w:rPr>
        <w:footnoteReference w:id="44"/>
      </w:r>
      <w:r>
        <w:rPr>
          <w:rFonts w:ascii="Amiri" w:hAnsi="Amiri" w:eastAsia="Amiri" w:cs="Amiri"/>
          <w:color w:val="111111"/>
          <w:sz w:val="28"/>
          <w:sz w:val="28"/>
          <w:szCs w:val="28"/>
          <w:rtl w:val="true"/>
          <w:lang w:bidi="ar-SA"/>
        </w:rPr>
        <w:t xml:space="preserve">أنّ الشيطان يريد أن يوقعهما بينكم ، لا أنّ السرّ وقوعهما ، ولا يجب وقوع مراده دائماً ، بل يكفي كونهما في معرض ذلك ، ولا شبهة في أنّ اللعب بلا رهان في معرض ذلك ، ويكون آلة وشبكة للشيطان لإيقاع الفساد ، ولو كان في الآية نوع كناية أو استعارة لا يفترق أيضاً بين اللعب برهن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استفادة الحكم من الآية ليست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المطلوب بروايات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الجارود عن أبي جعفر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الميسر فالنرد والشطرنج ، وكلّ قمار ميسر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w:t>
      </w:r>
    </w:p>
    <w:p>
      <w:pPr>
        <w:pStyle w:val="BookText"/>
        <w:rPr/>
      </w:pPr>
      <w:r>
        <w:rPr>
          <w:rFonts w:ascii="Amiri" w:hAnsi="Amiri" w:eastAsia="Amiri" w:cs="Amiri"/>
          <w:color w:val="111111"/>
          <w:sz w:val="28"/>
          <w:sz w:val="28"/>
          <w:szCs w:val="28"/>
          <w:rtl w:val="true"/>
          <w:lang w:bidi="ar-SA"/>
        </w:rPr>
        <w:t xml:space="preserve">الأنصاب والأزلام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هذا بيعه وشراؤه والانتفاع بشيء من هذا حرام من اللّه محرّم ، وهو رجس من عمل الشيطان </w:t>
      </w:r>
      <w:r>
        <w:rPr>
          <w:rFonts w:eastAsia="Amiri" w:cs="Amiri" w:ascii="Amiri" w:hAnsi="Amiri"/>
          <w:color w:val="111111"/>
          <w:sz w:val="28"/>
          <w:szCs w:val="28"/>
          <w:rtl w:val="true"/>
          <w:lang w:bidi="ar-SA"/>
        </w:rPr>
        <w:t>.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المراد من الميسر في الآية إن كان الآلات أو الأعمّ منها كما تشهد</w:t>
      </w:r>
    </w:p>
    <w:p>
      <w:pPr>
        <w:pStyle w:val="BookText"/>
        <w:rPr/>
      </w:pPr>
      <w:r>
        <w:rPr>
          <w:rFonts w:ascii="Amiri" w:hAnsi="Amiri" w:eastAsia="Amiri" w:cs="Amiri"/>
          <w:color w:val="111111"/>
          <w:sz w:val="28"/>
          <w:sz w:val="28"/>
          <w:szCs w:val="28"/>
          <w:rtl w:val="true"/>
          <w:lang w:bidi="ar-SA"/>
        </w:rPr>
        <w:t>به الرواية فقد مرّت دلالتها على المطلوب</w:t>
      </w:r>
      <w:r>
        <w:rPr>
          <w:rStyle w:val="FootnoteAnchor"/>
          <w:rtl w:val="true"/>
        </w:rPr>
        <w:footnoteReference w:id="46"/>
      </w:r>
      <w:r>
        <w:rPr>
          <w:rFonts w:ascii="Amiri" w:hAnsi="Amiri" w:eastAsia="Amiri" w:cs="Amiri"/>
          <w:color w:val="111111"/>
          <w:sz w:val="28"/>
          <w:sz w:val="28"/>
          <w:szCs w:val="28"/>
          <w:rtl w:val="true"/>
          <w:lang w:bidi="ar-SA"/>
        </w:rPr>
        <w:t xml:space="preserve">، وإن كان المعنى المصدري وكان التقدير في الخمر وغيرها ما يناسبها كالشرب والعبادة ، يكون المراد بالنرد والشطرنج في الرواية أيضاً اللعب بهما ، ويكون عطف كلّ قمار عليهما عطف العامّ على الخاصّ بقرينية كونها مفسّرة للميسر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هذا بيعه وشراؤه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الخمر وآلات القمار والأنصاب والأزلام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واللعب بآلات القمار وعبادة الأنصاب حرام ، وبيع المذكورات والانتفاع بها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المراد منها بقرينة المحمول متعلّقات الموضوعات ، فتدلّ على حرمة الانتفاع بآلات القمار ، سواء الشطرنج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والانتفاع المتعارف المطلوب من تلك الآلات بما هي آلات يعمّ اللعب للتنزّه والتفريح بلا رهن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 شيخنا الأنصاري من الشاهدين على أنّ المراد بالقمار ليس المعنى المصدري</w:t>
      </w:r>
      <w:r>
        <w:rPr>
          <w:rStyle w:val="FootnoteAnchor"/>
          <w:rtl w:val="true"/>
        </w:rPr>
        <w:footnoteReference w:id="47"/>
      </w:r>
      <w:r>
        <w:rPr>
          <w:rFonts w:ascii="Amiri" w:hAnsi="Amiri" w:eastAsia="Amiri" w:cs="Amiri"/>
          <w:color w:val="111111"/>
          <w:sz w:val="28"/>
          <w:sz w:val="28"/>
          <w:szCs w:val="28"/>
          <w:rtl w:val="true"/>
          <w:lang w:bidi="ar-SA"/>
        </w:rPr>
        <w:t>، فغير وجيه ، سيّما مع بنائه في غير المورد على أنّ المقدّر في كلٍّ من المذكورات ما يناسبها</w:t>
      </w:r>
      <w:r>
        <w:rPr>
          <w:rStyle w:val="FootnoteAnchor"/>
          <w:rtl w:val="true"/>
        </w:rPr>
        <w:footnoteReference w:id="48"/>
      </w:r>
      <w:r>
        <w:rPr>
          <w:rFonts w:ascii="Amiri" w:hAnsi="Amiri" w:eastAsia="Amiri" w:cs="Amiri"/>
          <w:color w:val="111111"/>
          <w:sz w:val="28"/>
          <w:sz w:val="28"/>
          <w:szCs w:val="28"/>
          <w:rtl w:val="true"/>
          <w:lang w:bidi="ar-SA"/>
        </w:rPr>
        <w:t xml:space="preserve">؛ إذ مع استظهار ذلك من الآية لا محيص عن </w:t>
      </w:r>
    </w:p>
    <w:p>
      <w:pPr>
        <w:pStyle w:val="BookText"/>
        <w:rPr/>
      </w:pPr>
      <w:r>
        <w:rPr>
          <w:rFonts w:ascii="Amiri" w:hAnsi="Amiri" w:eastAsia="Amiri" w:cs="Amiri"/>
          <w:color w:val="111111"/>
          <w:sz w:val="28"/>
          <w:sz w:val="28"/>
          <w:szCs w:val="28"/>
          <w:rtl w:val="true"/>
          <w:lang w:bidi="ar-SA"/>
        </w:rPr>
        <w:t xml:space="preserve">حمل الشطرنج والنرد على اللعب بهما وإرجاعهما إلى عنوان القمار لا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لا يكون الشطرنج والنرد قرينة على أنّ المراد بكلّ قمار آلاته ؛ لاحتمال أن يراد بهما نفسهما ، وبكلّ قمار عنوان القمار ؛ أي المعنى المصدري ، فيكون المنظور إثبات شمول الآية للآلات وللقمار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وإن يمكن الاستدلال بالآية ببركة الرواية ، لكن لا بطريق أفاده ، بل بإطلاق الاجتناب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هذا بيعه وشراؤه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يدلّ على ما رامه ؛ لأنّ المشار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بيعه من المذكورات ؛ أي الخمر والشطرنج والنرد ونحوهما والأنصاب والأزلام ، من غير احتياج إلى ارتكاب خلاف الظاهر ؛ أي حمل القمار الظاهر في المعنى المصدري على الآلات ، سيّما أنّ إرادة الآلة من القمار لا تخلو من بعد بخلاف إرادتها من الميسر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التمسّك بها لا يحتاج إلى ذلك التكلّف ، بل على احتمال يكون للآية الدلالة عليه وعلى احتمال للرواية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عن أبي عبداللّه علیه السلام أ نّه سئل عن الشطرنج ولعبة شبيب التي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الأمير ، وعن لعبة الثلاث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أرأيتك إذا ميّز اللّه الحقّ والباطل مع أيّهما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خير فيه</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يدلّ لو خلّي ونفسه على التحريم ، لكن مقتضى إطلاق الشطرنج وغيره شمولها للّعب برهان ، ولا شبهة في حرمته ، فيكون ذلك قرينة على أ نّه </w:t>
      </w:r>
    </w:p>
    <w:p>
      <w:pPr>
        <w:pStyle w:val="BookText"/>
        <w:rPr/>
      </w:pPr>
      <w:r>
        <w:rPr>
          <w:rFonts w:ascii="Amiri" w:hAnsi="Amiri" w:eastAsia="Amiri" w:cs="Amiri"/>
          <w:color w:val="111111"/>
          <w:sz w:val="28"/>
          <w:sz w:val="28"/>
          <w:szCs w:val="28"/>
          <w:rtl w:val="true"/>
          <w:lang w:bidi="ar-SA"/>
        </w:rPr>
        <w:t xml:space="preserve">كناية عن حرمة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كناية عن معنىً أعمّ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ذكر المذكور فيها من قبيل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لولا لعبة الأمير وما بعدها يمكن دعوى الخصوصية في الشطرنج ؛ لكثرة الروايات في خصوصه وتشديد الأمر فيه ، لكن مع ذكر غيره لا يبقى مجال لتوهّم الخصوصية ، فتدلّ على حرمة اللعب بكلّ آلة ، ومقتضى إطلاقها عدم الفرق بين جعل الرهن وعدمه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الانصراف</w:t>
      </w:r>
      <w:r>
        <w:rPr>
          <w:rStyle w:val="FootnoteAnchor"/>
          <w:rtl w:val="true"/>
        </w:rPr>
        <w:footnoteReference w:id="50"/>
      </w:r>
      <w:r>
        <w:rPr>
          <w:rFonts w:ascii="Amiri" w:hAnsi="Amiri" w:eastAsia="Amiri" w:cs="Amiri"/>
          <w:color w:val="111111"/>
          <w:sz w:val="28"/>
          <w:sz w:val="28"/>
          <w:szCs w:val="28"/>
          <w:rtl w:val="true"/>
          <w:lang w:bidi="ar-SA"/>
        </w:rPr>
        <w:t>غير مسموعة ، سيّما مع تداول المغالبة بلا رهن في</w:t>
      </w:r>
    </w:p>
    <w:p>
      <w:pPr>
        <w:pStyle w:val="BookText"/>
        <w:rPr/>
      </w:pPr>
      <w:r>
        <w:rPr>
          <w:rFonts w:ascii="Amiri" w:hAnsi="Amiri" w:eastAsia="Amiri" w:cs="Amiri"/>
          <w:color w:val="111111"/>
          <w:sz w:val="28"/>
          <w:sz w:val="28"/>
          <w:szCs w:val="28"/>
          <w:rtl w:val="true"/>
          <w:lang w:bidi="ar-SA"/>
        </w:rPr>
        <w:t xml:space="preserve">عصر الصدور بين الخلفاء وأتباعهم ، بل لا يبعد أن يكون كثير من الأسئلة مربوطة باللعب بلا رهن ؛ حيث كان محلّ الخلاف بين فقهاء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اللعب بالشطرنج</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اللعب 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وليس بمحظور ، ولا تردّ شهادة اللاعب به إلاّ ما كان فيه قمار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النرد مكروه وليس بمحظور لا يفسق فاعله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والخلاف إنّما هو مع اللعب بها بلا رهن وإلاّ فالقمار حرام عند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فتوى بعض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بعدم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اللعب بها بلا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لجلب نظر الخلفاء والاُم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ذكر يشكل استفادة الحرمة من الرواية ، وكذا الرواية الآتية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محطّ نظر السائل ما ذكر لا يوجب عدم الإطلاق ، فلا يجوز رفع اليد عن إطلاقها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الفضيل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هذه الأشياء التي يلعب بها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النرد والشطرنج ، حتّى انتهيت إلى السدر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ميّز اللّه بين الحقّ والباطل مع أيّهما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لك والباطل ؟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تقدّم في الرواية السابقة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إنّما حرّم اللّه الصناعة التي حرام هي كلّها التي يجيء منها الفساد محضاً ، نظير البرابط والمزامير والشطرنج وكلّ ملهوّ به والصلبان والأصنام وما أشبه ذلك من صناعات الأشربة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منه وفيه الفساد محضاً ولا يكون فيه ولا منه شيء من وجوه الصلاح ، فحرام تعليمه وتعلّمه والعمل به وأخذ الأجر عليه وجميع التقلّب فيه من جميع وجوه الحركات كلّها إلاّ أن تكون صناعة </w:t>
      </w:r>
      <w:r>
        <w:rPr>
          <w:rFonts w:eastAsia="Amiri" w:cs="Amiri" w:ascii="Amiri" w:hAnsi="Amiri"/>
          <w:color w:val="111111"/>
          <w:sz w:val="28"/>
          <w:szCs w:val="28"/>
          <w:rtl w:val="true"/>
          <w:lang w:bidi="ar-SA"/>
        </w:rPr>
        <w:t>.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عدّ الشطرنج وكلّ ملهوّ به ؛ أي سائر آلات القمار ممّا يجيء منه الفساد محضاً ، فلا يصحّ القول بأنّ في اللعب بها للتفريج صلاحاً ، وهو يؤيّد ما في صدرها من تفسير الصلاح بما فيه قيام الناس كالمأكول والملبوس لا مطلق ما فيه غرض كالتفريح والتفرّج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المطلوب فقرة اُخرى منها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كلّ بيع ملهوّ به ، وكلّ منهيّ عنه ممّا يتقرّب به لغير اللّه ، أو يقوّى به الكفر والشرك من جميع وجوه المعاصي ، أو باب من الأبواب يقوّى به باب من أبواب الضلالة ، أو باب من أبواب الباطل ، أو باب يوهن به الحقّ ، فهو حرام محرّم بيعه وشراؤه وإمساكه وملكه وهبته وعاريته وجميع التقلّب فيه ، إلاّ في حال تدعو الضرورة فيه إلى ذلك</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آلات القمار أوضح مصاديق الملهوّ به الذي يقوّى به باب من أبواب الباطل ويوهن به الحقّ ، واللعب بها ولو بلا رهن من مصاديق التقلّب فيها ، فلا إشكال في دلالتها لولا الخدشة في سندها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للعموم بروايات واردة في الشطرنج والنرد ، بضميمة ما دلّت على التسوية بينهما وبين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ابن أبي عمير عن أبي عبداللّه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من الأوثان هو </w:t>
      </w:r>
    </w:p>
    <w:p>
      <w:pPr>
        <w:pStyle w:val="BookText"/>
        <w:rPr/>
      </w:pPr>
      <w:r>
        <w:rPr>
          <w:rFonts w:ascii="IRNazanin" w:hAnsi="IRNazanin" w:eastAsia="IRNazanin"/>
          <w:color w:val="111111"/>
          <w:sz w:val="28"/>
          <w:sz w:val="28"/>
          <w:szCs w:val="28"/>
          <w:rtl w:val="true"/>
          <w:lang w:bidi="fa-IR"/>
        </w:rPr>
        <w:t>الشطرنج ، وقول الزور الغناء</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زيد الشحّام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ودلالتهما لا تقصر عن دلالة رواية أبي الربيع الشامي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الشطرنج والنرد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تقربوهما</w:t>
      </w:r>
      <w:r>
        <w:rPr>
          <w:rFonts w:eastAsia="IRNazanin" w:cs="IRNazanin"/>
          <w:color w:val="111111"/>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إطلاقها للّعب بلا 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الحسين بن عمر بن يزيد عنه علیه السلام ، وليس في سندها إلاّ سهل الذي أمره سهل ، ومحمّد بن عيسى الذي لا يبعد وثاقته</w:t>
      </w:r>
      <w:r>
        <w:rPr>
          <w:rStyle w:val="FootnoteAnchor"/>
          <w:rtl w:val="true"/>
        </w:rPr>
        <w:footnoteReference w:id="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في شهر رمضان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مسكر أو صاحب شاهين أو مشاحن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رواية عمر بن يزيد الصيقل مع تفسير الشاهين بالشطرنج</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الصاحب وإن يشعر أو يدلّ على نحو إدمان ، لكن لا شبهة في صدقه على المقيم على اللعب بلا رهن ، والظاهر إطلاقهما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وموثّقة مسعدة عن أبي عبداللّه علیه السلام أ نّه سئل عن الشطرنج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w:t>
      </w:r>
    </w:p>
    <w:p>
      <w:pPr>
        <w:pStyle w:val="BookText"/>
        <w:rPr/>
      </w:pPr>
      <w:r>
        <w:rPr>
          <w:rFonts w:ascii="Amiri" w:hAnsi="Amiri" w:eastAsia="Amiri" w:cs="Amiri"/>
          <w:color w:val="111111"/>
          <w:sz w:val="28"/>
          <w:sz w:val="28"/>
          <w:szCs w:val="28"/>
          <w:rtl w:val="true"/>
          <w:lang w:bidi="ar-SA"/>
        </w:rPr>
        <w:t>المجوسية لأهلها لعنها اللّه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السكوني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رحمهما اللّه عن اللعب</w:t>
      </w:r>
    </w:p>
    <w:p>
      <w:pPr>
        <w:pStyle w:val="BookText"/>
        <w:rPr/>
      </w:pPr>
      <w:r>
        <w:rPr>
          <w:rFonts w:ascii="IRNazanin" w:hAnsi="IRNazanin" w:eastAsia="IRNazanin"/>
          <w:color w:val="111111"/>
          <w:sz w:val="28"/>
          <w:sz w:val="28"/>
          <w:szCs w:val="28"/>
          <w:rtl w:val="true"/>
          <w:lang w:bidi="fa-IR"/>
        </w:rPr>
        <w:t>بالشطرنج والنرد</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ونحوها رواية المناهي عنه رحمهما اللّه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بصير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 الشطرنج حرام وأكل ثمنه سحت واتّخاذها كفر واللعب بها شرك ، والسلام على اللاهي بها معصية وكبيرة موبقة ، والخائض فيها يده كالخائض يده في لحم الخنزير ، لا صلاة له حتّى يغسل يده كما يغسلها من مسّ لحم الخنزير ، والناظر إليها كالناظر في فرج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واللاهي بها ، والناظر إليها في حال ما يلهى بها ، والسلام على اللاهي بها في حالته تلك في الإثم سواء </w:t>
      </w:r>
      <w:r>
        <w:rPr>
          <w:rFonts w:eastAsia="IRNazanin" w:cs="IRNazanin"/>
          <w:color w:val="111111"/>
          <w:sz w:val="28"/>
          <w:szCs w:val="28"/>
          <w:rtl w:val="true"/>
          <w:lang w:bidi="fa-IR"/>
        </w:rPr>
        <w:t>. .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أنّ الخدشة في دلالة الروايات وفي إطلاقها في غير محلّها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هي لا تدلّ على حرمة اللعب بمطلق الآلات ؛ لاحتمال خصوصية في </w:t>
      </w:r>
      <w:bookmarkStart w:id="14" w:name="pg15162_155303"/>
    </w:p>
    <w:p>
      <w:pPr>
        <w:pStyle w:val="BookText"/>
        <w:rPr/>
      </w:pPr>
      <w:bookmarkEnd w:id="14"/>
      <w:r>
        <w:rPr>
          <w:rFonts w:ascii="Amiri" w:hAnsi="Amiri" w:eastAsia="Amiri" w:cs="Amiri"/>
          <w:color w:val="111111"/>
          <w:sz w:val="28"/>
          <w:sz w:val="28"/>
          <w:szCs w:val="28"/>
          <w:rtl w:val="true"/>
          <w:lang w:bidi="ar-SA"/>
        </w:rPr>
        <w:t>النرد والشطرنج ، كما يظهر من التأكيدات الواردة فيهما ، سيّما الشطرنج ، لكن</w:t>
      </w:r>
    </w:p>
    <w:p>
      <w:pPr>
        <w:pStyle w:val="BookText"/>
        <w:rPr/>
      </w:pPr>
      <w:r>
        <w:rPr>
          <w:rFonts w:ascii="IRNazanin" w:hAnsi="IRNazanin" w:eastAsia="IRNazanin"/>
          <w:color w:val="111111"/>
          <w:sz w:val="28"/>
          <w:sz w:val="28"/>
          <w:szCs w:val="28"/>
          <w:rtl w:val="true"/>
          <w:lang w:bidi="fa-IR"/>
        </w:rPr>
        <w:t xml:space="preserve">يمكن الاستدلال على المطلوب بعموم المنزلة في صحيحة معمّر بن خلاّد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 وكلّ ما قومر عليه فهو ميسر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 نّه بصدد نفي الخصوصية عن آلة خاصّة كالنرد والشطرنج وإلحاق سائر الآلات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اللعب بالآلات المعدّة للقمار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955348_2142443653"/>
      <w:bookmarkStart w:id="16" w:name="_Toc5"/>
      <w:bookmarkEnd w:id="15"/>
      <w:r>
        <w:rPr>
          <w:rtl w:val="true"/>
        </w:rPr>
        <w:t>حكم اللعب بغير آلات القمار مع رهان</w:t>
      </w:r>
      <w:bookmarkEnd w:id="16"/>
    </w:p>
    <w:p>
      <w:pPr>
        <w:pStyle w:val="BookText"/>
        <w:rPr/>
      </w:pPr>
      <w:r>
        <w:rPr>
          <w:rFonts w:ascii="Amiri" w:hAnsi="Amiri" w:eastAsia="Amiri" w:cs="Amiri"/>
          <w:color w:val="111111"/>
          <w:sz w:val="28"/>
          <w:sz w:val="28"/>
          <w:szCs w:val="28"/>
          <w:rtl w:val="true"/>
          <w:lang w:bidi="ar-SA"/>
        </w:rPr>
        <w:t>وأمّا اللعب بغيرها مع رهن ، فقد حكي عن جمع حرمته تكليفاً ، وعن بعض دعوى الإجماع أو عدم الخلاف فيه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الاعتداد بها لا يجوز بعد تراكم الأدلّة واحتمال تشبّثهم بها ، بل من المحتمل أن يكون نقله من الاجتهاد في كلمات القوم واستظهار الحرمة تكليفاً منها ، مع إرادة كلّهم أو بعضهم الوضعية ، فلا اعتداد بنقل الإجماع وعدم الخلاف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اعتداد بدعوى صدق القمار عرفاً على مطلق اللعب برهن ؛ لما قلنا من الجزم بعدم صدقه على التغالب في الخطّ والقراءة والعدو ونحوها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وكلمات اللغويين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يظهر من إطلاق بعضهم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مطلق المغالبة برهن</w:t>
      </w:r>
      <w:r>
        <w:rPr>
          <w:rStyle w:val="FootnoteAnchor"/>
          <w:rtl w:val="true"/>
        </w:rPr>
        <w:footnoteReference w:id="70"/>
      </w:r>
      <w:r>
        <w:rPr>
          <w:rFonts w:ascii="Amiri" w:hAnsi="Amiri" w:eastAsia="Amiri" w:cs="Amiri"/>
          <w:color w:val="111111"/>
          <w:sz w:val="28"/>
          <w:sz w:val="28"/>
          <w:szCs w:val="28"/>
          <w:rtl w:val="true"/>
          <w:lang w:bidi="ar-SA"/>
        </w:rPr>
        <w:t xml:space="preserve">، لكن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للآلات المعهودة دخالة في الصدق</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استظهار الدخالة من غيرهما ،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كما لا يبعد دعوى عدم الإطلاق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استفادة صدقه على ما ذكر من كلماتهم لو لم نقل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استفادة كونه قماراً موضوعاً من بعض الروايات ، مثل ما فسّرت الميسر بكلّ ما تقومر به حتّى الكعاب والجوز ، أو قومر عليه</w:t>
      </w:r>
      <w:r>
        <w:rPr>
          <w:rStyle w:val="FootnoteAnchor"/>
          <w:rtl w:val="true"/>
        </w:rPr>
        <w:footnoteReference w:id="73"/>
      </w:r>
      <w:r>
        <w:rPr>
          <w:rFonts w:ascii="Amiri" w:hAnsi="Amiri" w:eastAsia="Amiri" w:cs="Amiri"/>
          <w:color w:val="111111"/>
          <w:sz w:val="28"/>
          <w:sz w:val="28"/>
          <w:szCs w:val="28"/>
          <w:rtl w:val="true"/>
          <w:lang w:bidi="ar-SA"/>
        </w:rPr>
        <w:t>، بدعوى أنّ المراد التغالب به أو عليه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رواية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الصبيان يلعبون بالجوز والبيض ويقامرون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 منه ؛ فإنّه حرام</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 حيث عدّهما من القمار مع عدم كونهما آلة له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رواية العلاء بن سيّابة عنه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الملائكة </w:t>
      </w:r>
    </w:p>
    <w:p>
      <w:pPr>
        <w:pStyle w:val="BookText"/>
        <w:rPr/>
      </w:pPr>
      <w:r>
        <w:rPr>
          <w:rFonts w:ascii="Amiri" w:hAnsi="Amiri" w:eastAsia="Amiri" w:cs="Amiri"/>
          <w:color w:val="111111"/>
          <w:sz w:val="28"/>
          <w:sz w:val="28"/>
          <w:szCs w:val="28"/>
          <w:rtl w:val="true"/>
          <w:lang w:bidi="ar-SA"/>
        </w:rPr>
        <w:t>تحضر الرهان في الخفّ والحافر والريش ، وما سوى ذلك فهو قمار</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ليست وجيهة ؛ لأنّ عدّ اللعب بالجوز والبيض من القمار لعلّه لأجل تعارف اتّخاذهما آلة للقمار ، وأين هذا ممّا لا يكون كذلك ، مع أنّ الإطلاق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إرادة مطلق المغالبة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كما ترى ، فإنّها بلا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وإطلاقه أحياناً على مطلق المغالبة أو على المغالبة في التفاخر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w:t>
      </w:r>
    </w:p>
    <w:p>
      <w:pPr>
        <w:pStyle w:val="BookText"/>
        <w:rPr/>
      </w:pPr>
      <w:r>
        <w:rPr>
          <w:rFonts w:ascii="Amiri" w:hAnsi="Amiri" w:eastAsia="Amiri" w:cs="Amiri"/>
          <w:color w:val="111111"/>
          <w:sz w:val="28"/>
          <w:sz w:val="28"/>
          <w:szCs w:val="28"/>
          <w:rtl w:val="true"/>
          <w:lang w:bidi="ar-SA"/>
        </w:rPr>
        <w:t xml:space="preserve">من بعض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حمل الأخبار عليه ، مع أنّ الظاهر من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المستعمل في غلبة التفاخر من قمر يقمُر بضمّ الميم ، وفي المغالبة في اللعب بكسرها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لا تدلّ إلاّ على استعماله ، وهو أعمّ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ابن سيّابة على خلاف المطلوب أدلّ ؛ لأنّ الظاهر منها أنّ المسابقة في المذكورات ليست قماراً وأنّ غيرها قمار حرام ، مع أنّ الصدق في جميعها سواء ، فلا محالة تحمل الرواية على الإلحاق الحكمي ، وتنزيل غير القمار منزلته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أن يكون المراد أنّ غير المذكورات قمار حرام وهي قمار غير حرام ،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إباء الآية الكريمة من التخصيص</w:t>
      </w:r>
      <w:r>
        <w:rPr>
          <w:rStyle w:val="FootnoteAnchor"/>
          <w:rtl w:val="true"/>
        </w:rPr>
        <w:footnoteReference w:id="79"/>
      </w:r>
      <w:r>
        <w:rPr>
          <w:rFonts w:ascii="Amiri" w:hAnsi="Amiri" w:eastAsia="Amiri" w:cs="Amiri"/>
          <w:color w:val="111111"/>
          <w:sz w:val="28"/>
          <w:sz w:val="28"/>
          <w:szCs w:val="28"/>
          <w:rtl w:val="true"/>
          <w:lang w:bidi="ar-SA"/>
        </w:rPr>
        <w:t xml:space="preserve">، مضافاً إلى أنّ الاستعمال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للحكم بصدق عنواني القمار والميسر عليه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الاستدلال له بالآية الكريمة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 الأزلام على الميسر ظاهر في كونه عنواناً مقابلاً له فيكون الاستقسام بالأزلام محرّماً لا بعنوان القمار ، وبإلغاء الخصوصية منها عرفاً يستفاد الحكم في مطلق استنقاذ المال باللعب ، فإنّ الظاهر المتفاهم منه أنّ كون الأزلام رجساً من عمل الشيطان ليس لخصوصية في القداح ولا في عددها ولا في الجزور التي كانوا يقتسمونها ، بل لاستنقاذ المال بوجه غير مستقيم كالتجارة ونحوها بتوسّط الأزلام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الشَّيْطَانُ أَنْ يُوقِعَ بَيْنَكُمُ الْعَداوَةَ وَالبَغْضاءَ </w:t>
      </w:r>
      <w:r>
        <w:rPr>
          <w:rFonts w:eastAsia="Amiri" w:cs="Amiri" w:ascii="Amiri" w:hAnsi="Amiri"/>
          <w:color w:val="111111"/>
          <w:sz w:val="28"/>
          <w:szCs w:val="28"/>
          <w:rtl w:val="true"/>
          <w:lang w:bidi="ar-SA"/>
        </w:rPr>
        <w:t>. . .(</w:t>
      </w:r>
      <w:r>
        <w:rPr>
          <w:rStyle w:val="FootnoteAnchor"/>
          <w:rtl w:val="true"/>
        </w:rPr>
        <w:footnoteReference w:id="80"/>
      </w:r>
      <w:r>
        <w:rPr>
          <w:rFonts w:ascii="Amiri" w:hAnsi="Amiri" w:eastAsia="Amiri" w:cs="Amiri"/>
          <w:color w:val="111111"/>
          <w:sz w:val="28"/>
          <w:sz w:val="28"/>
          <w:szCs w:val="28"/>
          <w:rtl w:val="true"/>
          <w:lang w:bidi="ar-SA"/>
        </w:rPr>
        <w:t xml:space="preserve">بدعوى أنّ ما يوجب ذلك يكون من عمل الشيطان ويجب الاجتناب عنه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وجيه ؛ لأنّ استظهار مغايرة اللعب بالأزلام مع القمار بمجرّد العطف مع عدّ اللغويين الأزلام قمار العرب</w:t>
      </w:r>
      <w:r>
        <w:rPr>
          <w:rStyle w:val="FootnoteAnchor"/>
          <w:rtl w:val="true"/>
        </w:rPr>
        <w:footnoteReference w:id="81"/>
      </w:r>
      <w:r>
        <w:rPr>
          <w:rFonts w:ascii="Amiri" w:hAnsi="Amiri" w:eastAsia="Amiri" w:cs="Amiri"/>
          <w:color w:val="111111"/>
          <w:sz w:val="28"/>
          <w:sz w:val="28"/>
          <w:szCs w:val="28"/>
          <w:rtl w:val="true"/>
          <w:lang w:bidi="ar-SA"/>
        </w:rPr>
        <w:t xml:space="preserve">،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بالذكر لعلّه لأجل </w:t>
      </w:r>
    </w:p>
    <w:p>
      <w:pPr>
        <w:pStyle w:val="BookText"/>
        <w:rPr/>
      </w:pPr>
      <w:r>
        <w:rPr>
          <w:rFonts w:ascii="Amiri" w:hAnsi="Amiri" w:eastAsia="Amiri" w:cs="Amiri"/>
          <w:color w:val="111111"/>
          <w:sz w:val="28"/>
          <w:sz w:val="28"/>
          <w:szCs w:val="28"/>
          <w:rtl w:val="true"/>
          <w:lang w:bidi="ar-SA"/>
        </w:rPr>
        <w:t xml:space="preserve">التعارف بينهم ، لا لأشدّية حرمته من غيرها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الشطرنج كأ نّه أشدّ كما يظهر من التأكيد والتشديد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وإلغاء الخصوصية وإن يمكن بالنسبة إلى بعض الآلات ، كتبديل الأزلام بالأوراق ونحوها ، لكن بالنسبة إلى مطلق اللعب برهن غير ممكن ، كالقراءة والخطّ والمصارعة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ذيل الآية ليس تعليلاً</w:t>
      </w:r>
      <w:r>
        <w:rPr>
          <w:rStyle w:val="FootnoteAnchor"/>
          <w:rtl w:val="true"/>
        </w:rPr>
        <w:footnoteReference w:id="82"/>
      </w:r>
      <w:r>
        <w:rPr>
          <w:rFonts w:ascii="Amiri" w:hAnsi="Amiri" w:eastAsia="Amiri" w:cs="Amiri"/>
          <w:color w:val="111111"/>
          <w:sz w:val="28"/>
          <w:sz w:val="28"/>
          <w:szCs w:val="28"/>
          <w:rtl w:val="true"/>
          <w:lang w:bidi="ar-SA"/>
        </w:rPr>
        <w:t xml:space="preserve">حتّى يدلّ على حكم غير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جواز الاستدلال على المطلوب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معلومية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 يحتمل أن يكون كناية عن مطلق التصرّفات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تتصرّفوا في الأموال الحاصلة بالباطل إلاّ ما حصل بتجارة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كناية عن تحصيل الأموال بالباطل ، فيكون النهي متعلّقاً على سبب تحصيلها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تحصيل المال بالأسباب الباطلة كالقمار والبخس والسرقة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ويرجّح هذا الاحتمال بالروايات الواردة في تفسيرها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زياد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الرجل </w:t>
      </w:r>
    </w:p>
    <w:p>
      <w:pPr>
        <w:pStyle w:val="BookText"/>
        <w:rPr/>
      </w:pPr>
      <w:r>
        <w:rPr>
          <w:rFonts w:ascii="Amiri" w:hAnsi="Amiri" w:eastAsia="Amiri" w:cs="Amiri"/>
          <w:color w:val="111111"/>
          <w:sz w:val="28"/>
          <w:sz w:val="28"/>
          <w:szCs w:val="28"/>
          <w:rtl w:val="true"/>
          <w:lang w:bidi="ar-SA"/>
        </w:rPr>
        <w:t>بأهله وماله ، فنهاهم اللّه عزّ وجلّ عن ذلك</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اللّه تعالى نهاهم عن القمار بالمعنى المصدري ، لا عن التصرّف في الأموال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رواية العيّاشي عن أسباط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w:t>
      </w:r>
    </w:p>
    <w:p>
      <w:pPr>
        <w:pStyle w:val="BookText"/>
        <w:rPr/>
      </w:pPr>
      <w:r>
        <w:rPr>
          <w:rFonts w:ascii="Amiri" w:hAnsi="Amiri" w:eastAsia="Amiri" w:cs="Amiri"/>
          <w:color w:val="111111"/>
          <w:sz w:val="28"/>
          <w:sz w:val="28"/>
          <w:szCs w:val="28"/>
          <w:rtl w:val="true"/>
          <w:lang w:bidi="ar-SA"/>
        </w:rPr>
        <w:t xml:space="preserve">فجاء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بذلك القمار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رواية محمّد بن عيسى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وأظهر منها رواية العيّاشي الاُخرى عن محمّد بن علي عن أبي عبداللّه علیه السلام</w:t>
      </w:r>
    </w:p>
    <w:p>
      <w:pPr>
        <w:pStyle w:val="BookText"/>
        <w:rPr/>
      </w:pP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القمار وكانت قريش تقامر الرجل بأهله وماله ، فنهاهم اللّه عن ذلك</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استثناء التجارة عن تراض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استنقاذ الأموال بشيء من الأسباب الباطلة ، لكن لا بدّ وأن يكون بنحو التجارة عن تراض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النهي متعلّقاً بالأسباب التي تحصل بها الأموال كالقمار والبخس والربا والسرقة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فسّرت بها أيضاً على ما حكي</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تحصيل المال بتلك الاُمور ، تدلّ الآية بإطلاقها على حرمة كلّ لعب يكون فيه رهن، وكذا لو كان المذكور جزء مدلولها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النهي إرشاداً إلى البطلان ، غير وجيه ؛ لأنّ ما تدخل في الآية غالباً لا تكون من قبيل المعاقدات التي تتّصف بالصحّة والبطلان ، فلا يجوز رفع اليد عن ظاهر النهي الدالّ على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بالآية لا يخلو من وجه ، وإن لا يخلو من 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يمكن إثبات دخوله في الآية القمار ؛ لورود روايات فيه يصحّ أسناد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يمكن أن يكون النهي عن الأكل كناية عن تحصيل المال بأسباب كالقمار مقابل التجارة ، لا كالسرقة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تعلّق النهي بالتحصيل بالأسباب أو بالأسباب لا يستفاد منه الحرمة التكليفية ؛ لظهوره في الإرشاد إلى البطلان وعدم السببية ، كسائر الموارد من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قام دليل على دخول السرقة والظلم ونحوهما فيها لأمكن الاستدلال بها بما تقدّم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القمار الوارد في الأخبار المفسّرة بمعنى الرهن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أصله</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يمكن حفظ ظهور الآية في دلالتها على حرمة التصرّف في الأموال الحاصلة بالباطل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إدخال القمار في الآية تعبّدي لا مفاد لها كتفسير الأوثان بالشطرنج ، فلا يجوز رفع اليد عن ظاهرها بدخول مصداق تعبّدي فيها لا يعلم كيفية إرادته ودخوله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الشيخ الأنصاري برواية ياسر الخادم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الميسر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التفل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والتفل ما يخرج بين المتراهنين من الدرهم وغيره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وبمصحّحة معمّر بن خلاّد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قومر عليه فهو ميسر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وبرواية جابر عن أبي جعفر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الميسر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تقومر به حتّى الكعاب والجوز</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المقامرة بمعنى المغالبة على الرهن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عدم دلالتها على المطلوب ، فإنّ رواية ياسر تدلّ على حرمة ما يخرج بين المتراهنين ، وهو غير مطلوبنا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الصحيحة ، فإنّ ما قومر عليه هو المجعول بين المتقامرين ، وحرمته لا تدلّ على حرمة العمل ولو كان المقامرة بمعنى المغالبة فيها ، مع أ نّه غير مسلّم بل الظاهر منها وممّا عبّرت بمثلها</w:t>
      </w:r>
    </w:p>
    <w:p>
      <w:pPr>
        <w:pStyle w:val="BookText"/>
        <w:rPr/>
      </w:pPr>
      <w:r>
        <w:rPr>
          <w:rFonts w:ascii="IRNazanin" w:hAnsi="IRNazanin" w:eastAsia="IRNazanin"/>
          <w:color w:val="111111"/>
          <w:sz w:val="28"/>
          <w:sz w:val="28"/>
          <w:szCs w:val="28"/>
          <w:rtl w:val="true"/>
          <w:lang w:bidi="fa-IR"/>
        </w:rPr>
        <w:t xml:space="preserve">هو القمار المعروف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لا يصحّ الاستدلال برواية جابر إن كان محطّه الكلّية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محطّه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عدّ الجوز ممّا قومر به دليل على أنّ ما ليس بآلة القمار داخل فيه وملحق به ، وبإلغاء الخصوصية يثبت الحكم لسائر آلات اللعب برهن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اللعب بالجوز والبيض ممّا اتّخذ آلة للتقامر لا يبعد صدق القمار عليه لأجل ذلك الاتّخاذ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إلغاء الخصوصية منه إلى غيره ممّا هو غير متّخذ آلة مشكل بل ممنوع ؛ لخصوصية فيما اتّخذ آلة لذلك دون غيره كالتخطيط وتجويد القراءة والسبق بالسباحة والعدو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فإلحاق ما اتّخذ آلة له به لا يدلّ على إلحاق غيره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المقام روايات باب السبق والرماية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كمرسلة الصدوق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حدّ من شرب الخمر وما جاء في الغناء والملاهي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لتنفر عند الرهان وتلعن صاحبه ما خلا الحافر والخفّ والريش والنصل ، وقد سابق رسول اللّه رحمهما اللّه اُسامة بن زيد وأجرى الخيل</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الكاشاني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ويأتي هذا الحديث في باب عدالة الشاهد مسنداً مع ما في معناه ،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قمار حرام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حكى في الباب المشار إليه ، روايتان بسند واحد عن العلاء بن سيابة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شهادة من يلعب بالحمام ؟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يعرف بفسق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قبلنا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 أما علمت أنّ رسول اللّه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وتلعن صاحبه ما خلا الحافر والخفّ والريش والنصل ، فإنّها تحضره الملائكة ، وقد سابق رسول اللّه رحمهما اللّه اُسامة بن زيد وأجرى الخيل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الذي يلعب بالحمام ، ولا بأس بشهادة صاحب السباق المراهن عليه ، فإنّ رسول اللّه رحمهما اللّه</w:t>
      </w:r>
    </w:p>
    <w:p>
      <w:pPr>
        <w:pStyle w:val="BookText"/>
        <w:rPr/>
      </w:pPr>
      <w:r>
        <w:rPr>
          <w:rFonts w:ascii="Amiri" w:hAnsi="Amiri" w:eastAsia="Amiri" w:cs="Amiri"/>
          <w:color w:val="111111"/>
          <w:sz w:val="28"/>
          <w:sz w:val="28"/>
          <w:szCs w:val="28"/>
          <w:rtl w:val="true"/>
          <w:lang w:bidi="ar-SA"/>
        </w:rPr>
        <w:t xml:space="preserve">قد أجرى الخيل وسابق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والحافر والريش ، وما عدا ذلك قمار حرام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خبير بما في اجتهاد الكاشاني من كون المرسلة عين المسندة ، فإنّ ظاهر الصدوق في المرسلة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الملائكة لتنفر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كلام الصادق علیه السلام لا منقول عن رسول اللّه رحمهما اللّه ، وصريح الرواية الاُولى وظاهر الثانية أ نّه من كلام رسول اللّه رحمهما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الرواية الاُولى الشبيهة بالمرسلة في الفقرات مشتملة على جملة زائدة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تحضره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في نسختي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الثانية فلا مجال لاحتمال وحدتها مع المرسلة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استقلال المرسلة ، وهي من المرسلات التي يشكل طرحها للإرسال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كانت عين المسندة وقطعة منها يشكل الاستناد إليها ؛ لأجل العلاء بن</w:t>
      </w:r>
    </w:p>
    <w:p>
      <w:pPr>
        <w:pStyle w:val="BookText"/>
        <w:rPr/>
      </w:pPr>
      <w:r>
        <w:rPr>
          <w:rFonts w:ascii="Amiri" w:hAnsi="Amiri" w:eastAsia="Amiri" w:cs="Amiri"/>
          <w:color w:val="111111"/>
          <w:sz w:val="28"/>
          <w:sz w:val="28"/>
          <w:szCs w:val="28"/>
          <w:rtl w:val="true"/>
          <w:lang w:bidi="ar-SA"/>
        </w:rPr>
        <w:t>سيابة</w:t>
      </w:r>
      <w:r>
        <w:rPr>
          <w:rStyle w:val="FootnoteAnchor"/>
          <w:rtl w:val="true"/>
        </w:rPr>
        <w:footnoteReference w:id="98"/>
      </w:r>
      <w:r>
        <w:rPr>
          <w:rFonts w:ascii="Amiri" w:hAnsi="Amiri" w:eastAsia="Amiri" w:cs="Amiri"/>
          <w:color w:val="111111"/>
          <w:sz w:val="28"/>
          <w:sz w:val="28"/>
          <w:szCs w:val="28"/>
          <w:rtl w:val="true"/>
          <w:lang w:bidi="ar-SA"/>
        </w:rPr>
        <w:t xml:space="preserve">، لكن قد مرّ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من المرسلة حرمة السباق فيما عدا المذكورات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دلالتها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الرهان يمكن أن يكون جمع الرهن وهو المال المرهون ، أو مصدراً بمعنى جعل المال رهناً لا بمعنى السباق واللعب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نفار الملائكة ولعنها لا يلازمان الحرمة ولا يدلاّن عليها ، لإمكان نفارهم عن المكروهات أو بعضها سيّما مثل اللعب واللهو ممّا ينافي قداستهم ، وأمّا اللعن فقد ورد في المكروهات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 نّها في غير محلّها ؛ لقوّة ظهور الرواية في الرهان بمعنى السبق سيّما مع استشهاده بمسابقة رسول اللّه رحمهما اللّه اُسامة بن زيد ، بل هو دليل على أنّ المستثنى السباق بالمذكورات ، فإنّه لو كان المراد المال المرهون أو جعل الرهن دون المسابقة لما كان لاستشهاده بالسباق وجه وكان عليه الاستشهاد بجعل رسول اللّه رحمهما اللّه الرهن ، فإذا كان المستثنى ما ذكر يكشف عن المستثنى منه ، فلا إشكال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لعن الملائكة وكذا لعن اللّه تعالى ولعن رسوله رحمهما اللّه فالظاهر منه أنّ العمل الموجب له محرّم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واستعماله أحياناً في مورد الكراهة ، كما عن أبي الحسن موسى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رحمهما اللّه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الآكل زاده وحده ، والنائم في بيت وحده ، </w:t>
      </w:r>
    </w:p>
    <w:p>
      <w:pPr>
        <w:pStyle w:val="BookText"/>
        <w:rPr/>
      </w:pPr>
      <w:r>
        <w:rPr>
          <w:rFonts w:ascii="Amiri" w:hAnsi="Amiri" w:eastAsia="Amiri" w:cs="Amiri"/>
          <w:color w:val="111111"/>
          <w:sz w:val="28"/>
          <w:sz w:val="28"/>
          <w:szCs w:val="28"/>
          <w:rtl w:val="true"/>
          <w:lang w:bidi="ar-SA"/>
        </w:rPr>
        <w:t>والراكب في الفلاة وحده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وقد ورد في الدوابّ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تلعنوها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لاعنها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ظهوره في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مادّة اللعن قرب أربعين مورداً في القرآن الكريم لا يكون مورد منها</w:t>
      </w:r>
    </w:p>
    <w:p>
      <w:pPr>
        <w:pStyle w:val="BookText"/>
        <w:rPr/>
      </w:pPr>
      <w:r>
        <w:rPr>
          <w:rFonts w:ascii="Amiri" w:hAnsi="Amiri" w:eastAsia="Amiri" w:cs="Amiri"/>
          <w:color w:val="111111"/>
          <w:sz w:val="28"/>
          <w:sz w:val="28"/>
          <w:szCs w:val="28"/>
          <w:rtl w:val="true"/>
          <w:lang w:bidi="ar-SA"/>
        </w:rPr>
        <w:t>في أمر مكروه أو شخص مرتكب له ، فراجع</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 استعماله في موارد التشديد على المحرّمات أو الأشخاص المرتكب لها أو الكفّار والمنافقين والشيطان وأمثالهم ، فلا شبهة في ظهوره في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منها دلالة رواية العلاء بن سيابة الثانية ، بل هي صريحة في المطلوب ، لكنّها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 الحرمة لو لم تكن أقوى فهي أحوط ، سيّما مع حكاية عدم الخلاف من بعض الأعاظم واستظهاره من جمع ، كما قال الشيخ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أظنّ الحكم بحرمة الفعل مضافاً إلى الفساد محلّ إشكال ولا محلّ خلاف كما يظهر من كتاب السبق والرماية وكتاب الشهادات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الاستشهاد بصحيحة محمّد بن قيس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في رجل أكل هو وأصحاب له شاة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أكلتموها فهي </w:t>
      </w:r>
    </w:p>
    <w:p>
      <w:pPr>
        <w:pStyle w:val="BookText"/>
        <w:rPr/>
      </w:pPr>
      <w:r>
        <w:rPr>
          <w:rFonts w:ascii="Amiri" w:hAnsi="Amiri" w:eastAsia="Amiri" w:cs="Amiri"/>
          <w:color w:val="111111"/>
          <w:sz w:val="28"/>
          <w:sz w:val="28"/>
          <w:szCs w:val="28"/>
          <w:rtl w:val="true"/>
          <w:lang w:bidi="ar-SA"/>
        </w:rPr>
        <w:t xml:space="preserve">لكم ، وإن لم تأكلوها فعليكم كذا وكذا ، فقضى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باطل لا شيء في المؤاكلة من الطعام ، قلّ منه أو كثر ، ومنع غرامته فيه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بدعوى أنّ سكوت الإمام علیه السلام عن منع اللعب دليل على جوازه وإن كان باطلاً لا يوجب غرامة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ففيه ما لا يخفى ؛ فإنّ الاستشهاد إمّا بسكوت الباقر علیه السلام عن بيان الحكم ، ففيه أ نّه بصدد بيان قضاء مولانا أمير المؤمنين علیه السلام ، ولم يكن لاعب عنده حتّى ينهاه ، أو بأنّ سكوته عن بيان منع علي علیه السلام دليل على عدم منعه علیه السلام وهو دليل على الجواز ، ففيه أ نّه علیه السلام بصدد بيان قضائه علیه السلام في الواقعة لا مطلق ما وقع فيها ، ولهذا لم يذكر كيفية الدعوى والمدّعي والمدّعى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أمير المؤمنين علیه السلام نهى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العمل ولم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أبو جعفر علیه السلام بصدد نقله ، مع أنّ الواقعة كانت قضيّة خارجية لم تظهر حالها ، فلا معنى لاستفادة شيء من سكوته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في الرواية إشكالاً ، وهو أنّ نفي الغرامة خلاف القواعد ؛ لأنّ المعاقدة إن كانت فاسدة كان الأكل موجباً للغرامة ؛ لأ نّه كالمقبوض بالبيع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الإباحة المالكية ترفع الغرامة</w:t>
      </w:r>
      <w:r>
        <w:rPr>
          <w:rStyle w:val="FootnoteAnchor"/>
          <w:rtl w:val="true"/>
        </w:rPr>
        <w:footnoteReference w:id="105"/>
      </w:r>
      <w:r>
        <w:rPr>
          <w:rFonts w:ascii="Amiri" w:hAnsi="Amiri" w:eastAsia="Amiri" w:cs="Amiri"/>
          <w:color w:val="111111"/>
          <w:sz w:val="28"/>
          <w:sz w:val="28"/>
          <w:szCs w:val="28"/>
          <w:rtl w:val="true"/>
          <w:lang w:bidi="ar-SA"/>
        </w:rPr>
        <w:t xml:space="preserve">، ليس بشيء ؛ لأنّ ما يوجب رفعها هو الإباحة المطلقة لا في ضمن معاملة فاسدة ، فلو باع شاة في بيع فاسد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وكلها ، فهل يمكن دفع الغرامة بالإباحة المذكورة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الدعوى والمدّعي والمدّعى عليه غير مذكورة </w:t>
      </w:r>
      <w:bookmarkStart w:id="17" w:name="pg15162_155316"/>
    </w:p>
    <w:p>
      <w:pPr>
        <w:pStyle w:val="BookText"/>
        <w:rPr/>
      </w:pPr>
      <w:bookmarkEnd w:id="17"/>
      <w:r>
        <w:rPr>
          <w:rFonts w:ascii="IRNazanin" w:hAnsi="IRNazanin" w:eastAsia="IRNazanin"/>
          <w:color w:val="111111"/>
          <w:sz w:val="28"/>
          <w:sz w:val="28"/>
          <w:szCs w:val="28"/>
          <w:rtl w:val="true"/>
          <w:lang w:bidi="fa-IR"/>
        </w:rPr>
        <w:t xml:space="preserve">في الرواية ، ولم يكن أبو جعفر علیه السلام بصدد بيان تمام الواقعة ، بل كان بصدد بيان نحو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فعليه يحتمل أن يكون المدّعي في الواقعة صاحب الشاة ، مع إظهار أصحابه العجز عن الأكل بعد تمامية المشارطة وقبل التصرّف في الشاة ، فأراد أخذ الغرامة التي جاءت بعهدة أصحابه بتوهّم صحّة المعاقدة ، فمنع أمير المؤمنين علیه السلام</w:t>
      </w:r>
    </w:p>
    <w:p>
      <w:pPr>
        <w:pStyle w:val="BookText"/>
        <w:rPr/>
      </w:pPr>
      <w:r>
        <w:rPr>
          <w:rFonts w:ascii="Amiri" w:hAnsi="Amiri" w:eastAsia="Amiri" w:cs="Amiri"/>
          <w:color w:val="111111"/>
          <w:sz w:val="28"/>
          <w:sz w:val="28"/>
          <w:szCs w:val="28"/>
          <w:rtl w:val="true"/>
          <w:lang w:bidi="ar-SA"/>
        </w:rPr>
        <w:t xml:space="preserve">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صدق الغرامة عليه وَهْم ، فإنّ الغرامة ما يلزم أداؤه من المال ، ولهذا يقال للمديون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 فالمال المشارط عليه يقع على عهدة المتخلّف ، فيكون غرامة وصاحبه غريماً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هذا الاحتمال لا دلالة في الصحيحة على خلاف القواعد ، فتدبّر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955350_2142443653"/>
      <w:bookmarkStart w:id="19" w:name="_Toc6"/>
      <w:bookmarkEnd w:id="18"/>
      <w:r>
        <w:rPr>
          <w:rtl w:val="true"/>
        </w:rPr>
        <w:t>حكم المغالبة بغير عوض في غير ما استثني</w:t>
      </w:r>
      <w:bookmarkEnd w:id="19"/>
    </w:p>
    <w:p>
      <w:pPr>
        <w:pStyle w:val="BookText"/>
        <w:rPr/>
      </w:pPr>
      <w:r>
        <w:rPr>
          <w:rFonts w:ascii="Amiri" w:hAnsi="Amiri" w:eastAsia="Amiri" w:cs="Amiri"/>
          <w:color w:val="111111"/>
          <w:sz w:val="28"/>
          <w:sz w:val="28"/>
          <w:szCs w:val="28"/>
          <w:rtl w:val="true"/>
          <w:lang w:bidi="ar-SA"/>
        </w:rPr>
        <w:t xml:space="preserve">وأمّا المغالبة بغير عوض في غير ما استثني فقد حكي عن الأكثر عدم جوازها </w:t>
      </w:r>
      <w:r>
        <w:rPr>
          <w:rStyle w:val="FootnoteAnchor"/>
          <w:rtl w:val="true"/>
        </w:rPr>
        <w:footnoteReference w:id="106"/>
      </w:r>
      <w:r>
        <w:rPr>
          <w:rFonts w:ascii="Amiri" w:hAnsi="Amiri" w:eastAsia="Amiri" w:cs="Amiri"/>
          <w:color w:val="111111"/>
          <w:sz w:val="28"/>
          <w:sz w:val="28"/>
          <w:szCs w:val="28"/>
          <w:rtl w:val="true"/>
          <w:lang w:bidi="ar-SA"/>
        </w:rPr>
        <w:t xml:space="preserve">، ويظهر من موارد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دعوى العلاّمة معلّلة لا يمكن الاتّكال عليها ، سيّما مع عدم تعرّض قدماء أصحابنا لذلك ظاهراً ، وسيّما مع تقييد شيخ الطائفة المسابقة على الأقدام وبالمصارعة وبالطيور ، بعوض في موضوع الحرمة ، بل ظاهره في المسابقة بالسفن ونحوها التقييد أيضاً </w:t>
      </w:r>
      <w:r>
        <w:rPr>
          <w:rStyle w:val="FootnoteAnchor"/>
          <w:rtl w:val="true"/>
        </w:rPr>
        <w:footnoteReference w:id="108"/>
      </w:r>
      <w:r>
        <w:rPr>
          <w:rFonts w:ascii="Amiri" w:hAnsi="Amiri" w:eastAsia="Amiri" w:cs="Amiri"/>
          <w:color w:val="111111"/>
          <w:sz w:val="28"/>
          <w:sz w:val="28"/>
          <w:szCs w:val="28"/>
          <w:rtl w:val="true"/>
          <w:lang w:bidi="ar-SA"/>
        </w:rPr>
        <w:t xml:space="preserve">؛ لاستدلاله بما استدلّ لغيرها ، وهو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استدلّ الشيخ الأنصاري عليه بأدلّة حرمة القمار وادّعى صدقه على مطلق المغالبة</w:t>
      </w:r>
      <w:r>
        <w:rPr>
          <w:rStyle w:val="FootnoteAnchor"/>
          <w:rtl w:val="true"/>
        </w:rPr>
        <w:footnoteReference w:id="110"/>
      </w:r>
      <w:r>
        <w:rPr>
          <w:rFonts w:ascii="Amiri" w:hAnsi="Amiri" w:eastAsia="Amiri" w:cs="Amiri"/>
          <w:color w:val="111111"/>
          <w:sz w:val="28"/>
          <w:sz w:val="28"/>
          <w:szCs w:val="28"/>
          <w:rtl w:val="true"/>
          <w:lang w:bidi="ar-SA"/>
        </w:rPr>
        <w:t xml:space="preserve">،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كلمات اللغويين المشحونة باعتبار الرهن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شبهة في عدم صدقه عرفاً على المغالبة في الخطّ والقراءة والمصارعة وغرس الأشجار وحفر الأنهار والبناء ونحوها مع رهن فضلاً عن 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والأولى الاستدلال له بمرسلة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الملائكة لتنفر عند الرهان </w:t>
      </w:r>
      <w:r>
        <w:rPr>
          <w:rFonts w:eastAsia="IRNazanin" w:cs="IRNazanin"/>
          <w:color w:val="111111"/>
          <w:sz w:val="28"/>
          <w:szCs w:val="28"/>
          <w:rtl w:val="true"/>
          <w:lang w:bidi="fa-IR"/>
        </w:rPr>
        <w:t>. .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بالرهان مطلق المسابقة ، كما هو أحد معانيه على ما يظهر من اللغة ، بقرينة استشهاده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سابق رسول اللّه رحمهما اللّه اُسامة بن زيد وأجرى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مراده من الرهان السباق برهن أو مال الرهانة لما يناسب الاستشهاد بذلك ، فتدلّ على حرمة مطلق المغالبة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الرهان السبق برهن ، وإطلاقه على المسابقة لعلّه للمناسبة بينهما ولزوم السباق له ، فيكون ذلك قرينة على أنّ مراده من الاستشهاد بالسباق هو ما يشتمل على الرهن ،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رسول اللّه رحمهما اللّه أجرى الخيل وجعل سبقها أواقي من فضّة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ولعلّه كان مع اُسامة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رواية العلاء بن سيابة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الذي يلعب بالحمام ، ولا بأس بشهادة صاحب السباق المراهن عليه ، فإنّ رسول اللّه رحمهما اللّه</w:t>
      </w:r>
    </w:p>
    <w:p>
      <w:pPr>
        <w:pStyle w:val="BookText"/>
        <w:rPr/>
      </w:pPr>
      <w:r>
        <w:rPr>
          <w:rFonts w:ascii="Amiri" w:hAnsi="Amiri" w:eastAsia="Amiri" w:cs="Amiri"/>
          <w:color w:val="111111"/>
          <w:sz w:val="28"/>
          <w:sz w:val="28"/>
          <w:szCs w:val="28"/>
          <w:rtl w:val="true"/>
          <w:lang w:bidi="ar-SA"/>
        </w:rPr>
        <w:t xml:space="preserve">قد أجرى الخيل وسابق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في الخفّ والحافر والريش ، وما سوى ذلك فهو قمار حرام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استشهاده بسباق رسول اللّه رحمهما اللّه وعمله لنفي البأس في سباق صاحب السباق المراهن عليه لا مطلق السباق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مطلقه بدعوى أنّ محطّ نظره مطلق اللعب ،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قيد ، ومن استشهاده بمسابقة ذاتها ، بعيد جدّاً ، بل الأظهر أنّ استشهاده للسبق برهن ، واتّكل على وضوح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البعد توهّم أنّ الاستشهاد بقوله رحمهما اللّه لا بعمله ، أو بعمله في أصل السبق وبقوله فيه 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تكلّف وبعيد عن الأفهام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فالتشبّث بالمرسلة وكذا برواية ابن سيابة في غير محلّه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كالاستدلال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سبق إلاّ في خفّ </w:t>
      </w:r>
      <w:r>
        <w:rPr>
          <w:rFonts w:eastAsia="Amiri" w:cs="Amiri" w:ascii="Amiri" w:hAnsi="Amiri"/>
          <w:color w:val="111111"/>
          <w:sz w:val="28"/>
          <w:szCs w:val="28"/>
          <w:rtl w:val="true"/>
          <w:lang w:bidi="ar-SA"/>
        </w:rPr>
        <w:t>. . .»</w:t>
      </w:r>
      <w:r>
        <w:rPr>
          <w:rStyle w:val="FootnoteAnchor"/>
          <w:rtl w:val="true"/>
        </w:rPr>
        <w:footnoteReference w:id="115"/>
      </w:r>
      <w:r>
        <w:rPr>
          <w:rFonts w:ascii="Amiri" w:hAnsi="Amiri" w:eastAsia="Amiri" w:cs="Amiri"/>
          <w:color w:val="111111"/>
          <w:sz w:val="28"/>
          <w:sz w:val="28"/>
          <w:szCs w:val="28"/>
          <w:rtl w:val="true"/>
          <w:lang w:bidi="ar-SA"/>
        </w:rPr>
        <w:t xml:space="preserve">، أو بمثل قوله في الشطرنج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ميّز اللّه بين الحقّ والباطل مع أيّهما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كناية عن الحرمة ؛ لما مرّ</w:t>
      </w:r>
      <w:r>
        <w:rPr>
          <w:rStyle w:val="FootnoteAnchor"/>
          <w:rtl w:val="true"/>
        </w:rPr>
        <w:footnoteReference w:id="117"/>
      </w:r>
      <w:r>
        <w:rPr>
          <w:rFonts w:ascii="Amiri" w:hAnsi="Amiri" w:eastAsia="Amiri" w:cs="Amiri"/>
          <w:color w:val="111111"/>
          <w:sz w:val="28"/>
          <w:sz w:val="28"/>
          <w:szCs w:val="28"/>
          <w:rtl w:val="true"/>
          <w:lang w:bidi="ar-SA"/>
        </w:rPr>
        <w:t xml:space="preserve">، لكن لا يمكن الالتزام بحرمة مطلق الباطل ؛ لقيام الضرورة والسيرة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على قسم معهود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المراد به 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بالقمار</w:t>
      </w:r>
      <w:r>
        <w:rPr>
          <w:rStyle w:val="FootnoteAnchor"/>
          <w:rtl w:val="true"/>
        </w:rPr>
        <w:footnoteReference w:id="118"/>
      </w:r>
      <w:r>
        <w:rPr>
          <w:rFonts w:ascii="Amiri" w:hAnsi="Amiri" w:eastAsia="Amiri" w:cs="Amiri"/>
          <w:color w:val="111111"/>
          <w:sz w:val="28"/>
          <w:sz w:val="28"/>
          <w:szCs w:val="28"/>
          <w:rtl w:val="true"/>
          <w:lang w:bidi="ar-SA"/>
        </w:rPr>
        <w:t>، وغاية اقتضاء إطلاقه حرمة أكل المال المتحصّل من الأسباب الباطلة ، أو حرمة تحصيل المال بها على ما تقدّم احتماله مع الجواب عنه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الجواب عن روايات يظهر منها حرمة مطلق الباطل</w:t>
      </w:r>
      <w:r>
        <w:rPr>
          <w:rStyle w:val="FootnoteAnchor"/>
          <w:rtl w:val="true"/>
        </w:rPr>
        <w:footnoteReference w:id="120"/>
      </w:r>
      <w:r>
        <w:rPr>
          <w:rFonts w:ascii="Amiri" w:hAnsi="Amiri" w:eastAsia="Amiri" w:cs="Amiri"/>
          <w:color w:val="111111"/>
          <w:sz w:val="28"/>
          <w:sz w:val="28"/>
          <w:szCs w:val="28"/>
          <w:rtl w:val="true"/>
          <w:lang w:bidi="ar-SA"/>
        </w:rPr>
        <w:t xml:space="preserve">، أو كلّ ما ألهى عن ذكر اللّه ونحوها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تلعب بالصوالج ، فإنّ الشيطان يركض معك والملائكة تنفر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من عثرت دابّته فمات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 الملاهي كلّها واللعب بالخواتيم والأربعة عشر وكلّ قمار ، فإنّ الصادقين علیهم السلام</w:t>
      </w:r>
    </w:p>
    <w:p>
      <w:pPr>
        <w:pStyle w:val="BookText"/>
        <w:rPr/>
      </w:pPr>
      <w:r>
        <w:rPr>
          <w:rFonts w:ascii="Amiri" w:hAnsi="Amiri" w:eastAsia="Amiri" w:cs="Amiri"/>
          <w:color w:val="111111"/>
          <w:sz w:val="28"/>
          <w:sz w:val="28"/>
          <w:szCs w:val="28"/>
          <w:rtl w:val="true"/>
          <w:lang w:bidi="ar-SA"/>
        </w:rPr>
        <w:t>قد نهوا عن ذلك أجمع</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أوّله من الشهادة على أنّ كلّ ما فيه روايات مسندة موجودة </w:t>
      </w:r>
    </w:p>
    <w:p>
      <w:pPr>
        <w:pStyle w:val="BookText"/>
        <w:rPr/>
      </w:pPr>
      <w:r>
        <w:rPr>
          <w:rFonts w:ascii="Amiri" w:hAnsi="Amiri" w:eastAsia="Amiri" w:cs="Amiri"/>
          <w:color w:val="111111"/>
          <w:sz w:val="28"/>
          <w:sz w:val="28"/>
          <w:szCs w:val="28"/>
          <w:rtl w:val="true"/>
          <w:lang w:bidi="ar-SA"/>
        </w:rPr>
        <w:t>في الكتب الاُصولية عن المشايخ العلماء الفقهاء الثقات</w:t>
      </w:r>
      <w:r>
        <w:rPr>
          <w:rStyle w:val="FootnoteAnchor"/>
          <w:rtl w:val="true"/>
        </w:rPr>
        <w:footnoteReference w:id="123"/>
      </w:r>
      <w:r>
        <w:rPr>
          <w:rFonts w:ascii="IRNazanin" w:hAnsi="IRNazanin" w:eastAsia="IRNazanin"/>
          <w:color w:val="111111"/>
          <w:sz w:val="28"/>
          <w:sz w:val="28"/>
          <w:szCs w:val="28"/>
          <w:rtl w:val="true"/>
          <w:lang w:bidi="fa-IR"/>
        </w:rPr>
        <w:t xml:space="preserve">، ومع ما في ذيل هذه العبارة من الجزم بأنّ الصادقين علیهم السلام نهوا عن ذلك أجمع ، فلا إشكال في سندها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دلالتها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الملاهي مطلق آلات اللهو واللعب ، كما تشهد به كلمات اللغويين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وألهاه أي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ألهو لهواً إذا لعبت به ، وتلهّيت به مثله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لها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 كالتهى ، وألهاه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لها يلهو لهواً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اللهو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آلات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الموسيقى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أ نّها مصداق من الملاهي بعد تفسير اللهو باللعب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لعب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ما رغّب في الدنيا ، واللهو ما ألهى عن الآخرة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وجوب اجتناب آلات اللهو واللعب كآلات القمار ونحو </w:t>
      </w:r>
    </w:p>
    <w:p>
      <w:pPr>
        <w:pStyle w:val="BookText"/>
        <w:rPr/>
      </w:pPr>
      <w:r>
        <w:rPr>
          <w:rFonts w:ascii="Amiri" w:hAnsi="Amiri" w:eastAsia="Amiri" w:cs="Amiri"/>
          <w:color w:val="111111"/>
          <w:sz w:val="28"/>
          <w:sz w:val="28"/>
          <w:szCs w:val="28"/>
          <w:rtl w:val="true"/>
          <w:lang w:bidi="ar-SA"/>
        </w:rPr>
        <w:t xml:space="preserve">الصولجان والكرة ، بل يمكن إلغاء الخصوصية من الخواتيم والصولجان وإسراء الحكم إلى مطلق اللعب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يمكن الاستدلال للمطلوب برواية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آدم علیه السلام شمت به إبليس وقابيل فاجتمعا في الأرض فجعل إبليس وقابيل المَعازف والملاهي شماتة بآدم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كان في الأرض من هذا الضرب الذي يتلذّذ به الناس فإنّما هو من ذلك</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أوّله لا يدلّ على توثيق جميع ما في سلسلة السند ؛ لأ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صنّفت كتابي هذا وسمّيت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لقنوع من يقرأه بما فيه ، وحذفت الأسناد منه لئلاّ يثقل حمله ولا يصعب حفظه ولا يملّه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ما اُبيّنه فيه في الكتب الاُصولية موجوداً مبيّناً عن المشايخ العلماء الفقهاء الثقات رحمهما اللّه </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احتمالان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بصدد الشهادة على موجودية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الاُصولية ، فتكون شهادة على وجدانه فيها ، وإنّما ذكرت الأسناد فيما ذكرت لا لإثبات الكتب بل لأغراض اُخر كحفظ السلسلة ورجال الأسانيد كالأسناد الموجودة في عصرنا إلى الكتب الأربعة ، وبصدد شهادة اُخرى ، وهي توثيق صاحب 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يكون ما فيه بمنزلة رواية صحيحة لو قلنا بقبول توثيق عدل واحد في رجال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بصدد بيان وثاقة طرقه إلى الاُصول لا توثيق أصحابها ، بأن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 لا خبراً بعد خبر ، فيكون مراده أنّ وجودها في الكتب معلوم مبيّن بوسيلة المشايخ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الاحتمال أقرب ، لبعد امتياز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سائر كتبه سيّما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أنّ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 الملاهي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نهى عنه ، بقرينة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الصادقين علیهم السلام قد نهوا عن ذلك أجمع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ومعه لا يبقى إلاّ إرسال الصدوق ، وهو وإن كان من الإرسالات التي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يشكل طرحها ، لكن يحتمل أن يكون مثل اللعب بالخواتيم ونحوها داخلاً في القمار عنده كما قال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القمار مطلق المغالبة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يبقى ظهور في أنّ كلّ ما ذكرها بعناوينها منهيّة عنه ، مع أنّ عين النواهي غير 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أن لا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بجهات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w:t>
      </w:r>
      <w:r>
        <w:rPr>
          <w:rFonts w:eastAsia="Amiri" w:cs="Amiri" w:ascii="Amiri" w:hAnsi="Amiri"/>
          <w:color w:val="111111"/>
          <w:sz w:val="28"/>
          <w:szCs w:val="28"/>
          <w:rtl w:val="true"/>
          <w:lang w:bidi="ar-SA"/>
        </w:rPr>
        <w:t xml:space="preserve">. </w:t>
      </w:r>
      <w:bookmarkStart w:id="20" w:name="pg15162_155323"/>
    </w:p>
    <w:p>
      <w:pPr>
        <w:pStyle w:val="BookText"/>
        <w:rPr/>
      </w:pPr>
      <w:bookmarkEnd w:id="20"/>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Heading3"/>
        <w:numPr>
          <w:ilvl w:val="2"/>
          <w:numId w:val="1"/>
        </w:numPr>
        <w:rPr/>
      </w:pPr>
      <w:bookmarkStart w:id="21" w:name="__RefHeading___Toc1955352_2142443653"/>
      <w:bookmarkStart w:id="22" w:name="_Toc7"/>
      <w:bookmarkEnd w:id="21"/>
      <w:r>
        <w:rPr>
          <w:rtl w:val="true"/>
        </w:rPr>
        <w:t>حرمة المال المأخوذ بالقمار بعنوانه</w:t>
      </w:r>
      <w:bookmarkEnd w:id="22"/>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هل المأخوذ بالقمار والمال الذي جعل رهناً محرّم بعنوان ما يقامر عليه زائداً على حرمة التصرّف في مال الغير ، كما قلنا في ثمن الخمر والعذرة</w:t>
      </w:r>
      <w:r>
        <w:rPr>
          <w:rStyle w:val="FootnoteAnchor"/>
          <w:rtl w:val="true"/>
        </w:rPr>
        <w:footnoteReference w:id="131"/>
      </w:r>
      <w:r>
        <w:rPr>
          <w:rFonts w:ascii="Amiri" w:hAnsi="Amiri" w:eastAsia="Amiri" w:cs="Amiri"/>
          <w:color w:val="111111"/>
          <w:sz w:val="28"/>
          <w:sz w:val="28"/>
          <w:szCs w:val="28"/>
          <w:rtl w:val="true"/>
          <w:lang w:bidi="ar-SA"/>
        </w:rPr>
        <w:t>، أو كان حاله كالمقبوض بالعقد الفاسد ؟</w:t>
      </w:r>
    </w:p>
    <w:p>
      <w:pPr>
        <w:pStyle w:val="BookText"/>
        <w:rPr/>
      </w:pPr>
      <w:r>
        <w:rPr>
          <w:rFonts w:ascii="IRNazanin" w:hAnsi="IRNazanin" w:eastAsia="IRNazanin"/>
          <w:color w:val="111111"/>
          <w:sz w:val="28"/>
          <w:sz w:val="28"/>
          <w:szCs w:val="28"/>
          <w:rtl w:val="true"/>
          <w:lang w:bidi="fa-IR"/>
        </w:rPr>
        <w:t xml:space="preserve">يمكن الاستشهاد للأوّل بصحيحة معمّر بن خلاّد عن أبي الحسن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 وكلّ ما قومر عليه فهو ميسر</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رواية العيّاشي عن الرضا علیه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منهما أنّ ما قومر عليه بمنزلة الميسر ، لا بنحو المجاز في الحذف ، بل على نحو الحقيقة الادّعائية بملاك ترتّب الآثار ، فيكون ما قومر عليه بعنوانه محرّماً ومنزّلاً منزلته ، وهذا أقرب من جعل الرواية مفسّرة للآية الكريمة ؛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لأ نّه مع عدم إشعار فيها لذلك وإنّما احتمال أو ظنّ ناشٍ من ورود الميسر في الآية ، مع</w:t>
      </w:r>
      <w:r>
        <w:rPr>
          <w:rStyle w:val="FootnoteAnchor"/>
          <w:rtl w:val="true"/>
        </w:rPr>
        <w:footnoteReference w:id="134"/>
      </w:r>
      <w:r>
        <w:rPr>
          <w:rFonts w:ascii="Amiri" w:hAnsi="Amiri" w:eastAsia="Amiri" w:cs="Amiri"/>
          <w:color w:val="111111"/>
          <w:sz w:val="28"/>
          <w:sz w:val="28"/>
          <w:szCs w:val="28"/>
          <w:rtl w:val="true"/>
          <w:lang w:bidi="ar-SA"/>
        </w:rPr>
        <w:t xml:space="preserve">أنّ الحمل على التفسير </w:t>
      </w:r>
    </w:p>
    <w:p>
      <w:pPr>
        <w:pStyle w:val="BookText"/>
        <w:rPr/>
      </w:pPr>
      <w:r>
        <w:rPr>
          <w:rFonts w:ascii="Amiri" w:hAnsi="Amiri" w:eastAsia="Amiri" w:cs="Amiri"/>
          <w:color w:val="111111"/>
          <w:sz w:val="28"/>
          <w:sz w:val="28"/>
          <w:szCs w:val="28"/>
          <w:rtl w:val="true"/>
          <w:lang w:bidi="ar-SA"/>
        </w:rPr>
        <w:t xml:space="preserve">يوجب ارتكاب خلاف ظاهر بعيد في الآية ، وهو استعمال الميسر وإرادة القمار وما قومر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ورد في تفسيرها كروايتي جابر</w:t>
      </w:r>
      <w:r>
        <w:rPr>
          <w:rStyle w:val="FootnoteAnchor"/>
          <w:rtl w:val="true"/>
        </w:rPr>
        <w:footnoteReference w:id="135"/>
      </w:r>
      <w:r>
        <w:rPr>
          <w:rFonts w:ascii="Amiri" w:hAnsi="Amiri" w:eastAsia="Amiri" w:cs="Amiri"/>
          <w:color w:val="111111"/>
          <w:sz w:val="28"/>
          <w:sz w:val="28"/>
          <w:szCs w:val="28"/>
          <w:rtl w:val="true"/>
          <w:lang w:bidi="ar-SA"/>
        </w:rPr>
        <w:t>ومحمّد بن عيسى</w:t>
      </w:r>
      <w:r>
        <w:rPr>
          <w:rStyle w:val="FootnoteAnchor"/>
          <w:rtl w:val="true"/>
        </w:rPr>
        <w:footnoteReference w:id="136"/>
      </w:r>
      <w:r>
        <w:rPr>
          <w:rFonts w:ascii="Amiri" w:hAnsi="Amiri" w:eastAsia="Amiri" w:cs="Amiri"/>
          <w:color w:val="111111"/>
          <w:sz w:val="28"/>
          <w:sz w:val="28"/>
          <w:szCs w:val="28"/>
          <w:rtl w:val="true"/>
          <w:lang w:bidi="ar-SA"/>
        </w:rPr>
        <w:t xml:space="preserve">ليس فيهما ما قومر عليه ، بل فسّر فيهما بما قومر به ، فلا وجه لجعل مثل صحيحة معمّر بن خلاّد تفسيراً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جعلت مفسّرة أيضاً تدلّ على المقصود ظاهراً ؛ لأنّ الظاهر منها أنّ ما قومر عليه بما هو كذلك داخل فيها ومراد منها ، وإن لا يخلو من نحو 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شبهة في ظهورها فيما ذكرناه ، بل يمكن استظهار حرمته على صاحب المال منها أيضاً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قومر عليه حرام لا بعنوان أكل مال الغير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لحرمته على صاحبه ، بل بعنوان انتزاعي آخر هو عنوان ما قومر عليه ، فيحرم بهذا العنوان على جميع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مال المقامرة من صاحبه بعنوان الغلبة في القمار والالتزام بمقتضى مقامرتهما يجعل المال معنوناً بعنوانٍ محرّم ، فلا يجوز لأحد التصرّف فيه ولو صاحب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أخذ ماله بعنوان أنّ القمار ليس بسبب ، لا بأس به ويجوز تصرّفه فيه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خروج المال شرعاً عن المالية بمجرّد حصول التقامر عليه ضعيف جدّاً ، بل مقطوع الخلاف ، لكن الاحتمال المتقدّم موافق للأدلّة ولا يخالفه 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نظيره في الشرع ، كحرمة الأكل على مائدة </w:t>
      </w:r>
    </w:p>
    <w:p>
      <w:pPr>
        <w:pStyle w:val="BookText"/>
        <w:rPr/>
      </w:pPr>
      <w:r>
        <w:rPr>
          <w:rFonts w:ascii="Amiri" w:hAnsi="Amiri" w:eastAsia="Amiri" w:cs="Amiri"/>
          <w:color w:val="111111"/>
          <w:sz w:val="28"/>
          <w:sz w:val="28"/>
          <w:szCs w:val="28"/>
          <w:rtl w:val="true"/>
          <w:lang w:bidi="ar-SA"/>
        </w:rPr>
        <w:t>يشرب عليها الخمر</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رفع اليد عن إطلاق الدليل بمجرّد الاستبعاد</w:t>
      </w:r>
    </w:p>
    <w:p>
      <w:pPr>
        <w:pStyle w:val="BookText"/>
        <w:rPr/>
      </w:pPr>
      <w:r>
        <w:rPr>
          <w:rFonts w:ascii="Amiri" w:hAnsi="Amiri" w:eastAsia="Amiri" w:cs="Amiri"/>
          <w:color w:val="111111"/>
          <w:sz w:val="28"/>
          <w:sz w:val="28"/>
          <w:szCs w:val="28"/>
          <w:rtl w:val="true"/>
          <w:lang w:bidi="ar-SA"/>
        </w:rPr>
        <w:t xml:space="preserve">أو تخيّله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ما ذكر نظير ما قيل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لصاحب المال أيضاً التصرّف فيه ، ولا يخفى ضعفه ؛ وذلك لأنّ حرمة المغصوب إنّما هو بعنوانه ، وهو التسلّط على مال الغير والاستيلاء عليه ، وحرمة تصرّفه باعتبار التصرّف في مال الغير عدواناً ، فلا معنى لحرمته على صاحب المال ، بخلاف ما نحن فيه ، فإنّ الحرمة متعلّقة بعنوان آخر غير التصرّف في مال الغير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الكتاب والسنّة على أنّ القمار من الكبائر</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بأقسامه من الكبائر ؛ 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 لُونَكَ عَنِ الخَمْرِ وَالْمَيْسِرِ قُلْ فِيهِما إِثْمٌ كَبِيرٌ</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وَإِثْمُهُما أَكْبَرُ</w:t>
      </w:r>
    </w:p>
    <w:p>
      <w:pPr>
        <w:pStyle w:val="BookText"/>
        <w:rPr/>
      </w:pPr>
      <w:r>
        <w:rPr>
          <w:rFonts w:ascii="Amiri" w:hAnsi="Amiri" w:eastAsia="Amiri" w:cs="Amiri"/>
          <w:color w:val="111111"/>
          <w:sz w:val="28"/>
          <w:sz w:val="28"/>
          <w:szCs w:val="28"/>
          <w:rtl w:val="true"/>
          <w:lang w:bidi="ar-SA"/>
        </w:rPr>
        <w:t>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أكبريته منهما لا تنافي كونه كبيرة في نفسه كما يقتضيه صدر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علي بن يقطين عن أبي الحسن علیه السلام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باب تحريم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الإثم في كتاب اللّه فهي الخمر والميسر ، وإثمهما كبير كما قال اللّه عزّ وجلّ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ولروايتي الفضل بن شاذان</w:t>
      </w:r>
      <w:r>
        <w:rPr>
          <w:rStyle w:val="FootnoteAnchor"/>
          <w:rtl w:val="true"/>
        </w:rPr>
        <w:footnoteReference w:id="140"/>
      </w:r>
      <w:r>
        <w:rPr>
          <w:rFonts w:ascii="IRNazanin" w:hAnsi="IRNazanin" w:eastAsia="IRNazanin"/>
          <w:color w:val="111111"/>
          <w:sz w:val="28"/>
          <w:sz w:val="28"/>
          <w:szCs w:val="28"/>
          <w:rtl w:val="true"/>
          <w:lang w:bidi="fa-IR"/>
        </w:rPr>
        <w:t>وأعمش</w:t>
      </w:r>
      <w:r>
        <w:rPr>
          <w:rStyle w:val="FootnoteAnchor"/>
          <w:rtl w:val="true"/>
        </w:rPr>
        <w:footnoteReference w:id="141"/>
      </w:r>
      <w:r>
        <w:rPr>
          <w:rFonts w:ascii="Amiri" w:hAnsi="Amiri" w:eastAsia="Amiri" w:cs="Amiri"/>
          <w:color w:val="111111"/>
          <w:sz w:val="28"/>
          <w:sz w:val="28"/>
          <w:szCs w:val="28"/>
          <w:rtl w:val="true"/>
          <w:lang w:bidi="ar-SA"/>
        </w:rPr>
        <w:t xml:space="preserve">الواردين في عدّ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سندهما ضعف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الاُولى بأحد طرقه لا يخلو من حسن بل صحّح بعضهم ذلك</w:t>
      </w:r>
      <w:r>
        <w:rPr>
          <w:rStyle w:val="FootnoteAnchor"/>
          <w:rtl w:val="true"/>
        </w:rPr>
        <w:footnoteReference w:id="142"/>
      </w:r>
      <w:r>
        <w:rPr>
          <w:rFonts w:ascii="Amiri" w:hAnsi="Amiri" w:eastAsia="Amiri" w:cs="Amiri"/>
          <w:color w:val="111111"/>
          <w:sz w:val="28"/>
          <w:sz w:val="28"/>
          <w:szCs w:val="28"/>
          <w:rtl w:val="true"/>
          <w:lang w:bidi="ar-SA"/>
        </w:rPr>
        <w:t xml:space="preserve">، وقال الشيخ الأنصاري في باب الكذب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يقصر عن الصحيح</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وسيأتي الكلام فيه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على المطلوب برواية علي بن إبراهيم في تفسيره عن أبي الجارود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اللّه الخمر والميسر مع الأوثان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ريب في أ نّه ليس مراده من الإخبار بالمقارنة بينها صرف الإخبار بأمر ضروري لا فائدة فيه ، بل مراده بيان عظمة خطبهما وحرمتهما وأ نّه لهذه جعلهما قريناً للشرك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تشير إلى ذلك ما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شارب الخمر كعابد وثن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وما دلّت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أبو عبداللّه علیه السلام في رواية عبد العظيم الحسني الصحيحة على أنّ شرب الخمر من الكبائر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 وجلّ نهى عنها كما نهى عن عبادة الأوثان</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الآية المتقدّمة ، وليس مراده مجرّد تعلّق النهي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 النهي عنهما مقارنان أو مشابهان في الكيفية ، فتدلّ على أنّ الخمر والميسر في العظمة والكبر كعبادة الأوثان وليس الاقتران بينها لصرف الجمع في التعبير بلا نكتة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الاستدلال عليه بما دلّت على أنّ الشطرنج كبيرة ، كرواية أبي بصير المحكيّة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البزنطي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 الشطرنج حرام ، وأكل ثمنه سحت ، واتّخاذها كفر ، واللعب بها شرك ، والسلام على اللاهي بها معصية وكبيرة موبقة ، والخائض يده فيها كالخائض يده في لحم الخنزير </w:t>
      </w:r>
      <w:r>
        <w:rPr>
          <w:rFonts w:eastAsia="IRNazanin" w:cs="IRNazanin"/>
          <w:color w:val="111111"/>
          <w:sz w:val="28"/>
          <w:szCs w:val="28"/>
          <w:rtl w:val="true"/>
          <w:lang w:bidi="fa-IR"/>
        </w:rPr>
        <w:t>. .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ترى تدلّ على المقصود بجهات عديدة تظهر بالتأمّل فيها والمراجعة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واشتمالها على ما يجب تأويله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حتّى يغسل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الوهن فيها ، كما أنّ الاستبعاد من بعض فقراتها لا يوجب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وتدلّ أيضاً عليه مرسلة ابن أبي عمير</w:t>
      </w:r>
      <w:r>
        <w:rPr>
          <w:rStyle w:val="FootnoteAnchor"/>
          <w:rtl w:val="true"/>
        </w:rPr>
        <w:footnoteReference w:id="150"/>
      </w:r>
      <w:r>
        <w:rPr>
          <w:rFonts w:ascii="Amiri" w:hAnsi="Amiri" w:eastAsia="Amiri" w:cs="Amiri"/>
          <w:color w:val="111111"/>
          <w:sz w:val="28"/>
          <w:sz w:val="28"/>
          <w:szCs w:val="28"/>
          <w:rtl w:val="true"/>
          <w:lang w:bidi="ar-SA"/>
        </w:rPr>
        <w:t>ورواية زيد الشحّام</w:t>
      </w:r>
      <w:r>
        <w:rPr>
          <w:rStyle w:val="FootnoteAnchor"/>
          <w:rtl w:val="true"/>
        </w:rPr>
        <w:footnoteReference w:id="151"/>
      </w:r>
      <w:r>
        <w:rPr>
          <w:rFonts w:ascii="IRNazanin" w:hAnsi="IRNazanin" w:eastAsia="IRNazanin"/>
          <w:color w:val="111111"/>
          <w:sz w:val="28"/>
          <w:sz w:val="28"/>
          <w:szCs w:val="28"/>
          <w:rtl w:val="true"/>
          <w:lang w:bidi="fa-IR"/>
        </w:rPr>
        <w:t xml:space="preserve">عن أبي عبداللّه علیه السلام ، وفيهما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أنّ المراد تنزيله منزلته ،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رواية الحسين بن عمر بن يزيد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يغفر اللّه في شهر رمضان إلاّ 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مسكر ، أو صاحب شاهين ، أو مشاحن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عمر بن يزيد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وإن كانا في المزاولين بهما لكن تشعران أو تدلاّن على عظمتهما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 فلا ينبغي الشبهة في كونه 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ويتمّ المقصود في سائر أنواع القمار بعموم التنزيل في صحيحة معمّر بن خلاّد عن أبي الحسن علیه السلام المتقدّمة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استفادة التسوية بين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يكون مراده من ذلك نفي</w:t>
      </w:r>
    </w:p>
    <w:p>
      <w:pPr>
        <w:pStyle w:val="BookText"/>
        <w:rPr/>
      </w:pPr>
      <w:r>
        <w:rPr>
          <w:rFonts w:ascii="Amiri" w:hAnsi="Amiri" w:eastAsia="Amiri" w:cs="Amiri"/>
          <w:color w:val="111111"/>
          <w:sz w:val="28"/>
          <w:sz w:val="28"/>
          <w:szCs w:val="28"/>
          <w:rtl w:val="true"/>
          <w:lang w:bidi="ar-SA"/>
        </w:rPr>
        <w:t xml:space="preserve">الفرق بين الشطرنج وغيره ، سيّما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قومر عليه فهو ميسر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يستفاد من ذيل صحيحة معمّر أنّ التصرّف فيما قومر عليه أيضاً كبيرة ، لإطلاق التنزيل والهوهوية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الاستدلال عليه بموثّقة السكوني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ينهى عن الجوز يجيء به الصبيان من القمار أن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روايتي الفضل بن شاذان وأعمش</w:t>
      </w:r>
      <w:r>
        <w:rPr>
          <w:rStyle w:val="FootnoteAnchor"/>
          <w:rtl w:val="true"/>
        </w:rPr>
        <w:footnoteReference w:id="156"/>
      </w:r>
      <w:r>
        <w:rPr>
          <w:rFonts w:ascii="Amiri" w:hAnsi="Amiri" w:eastAsia="Amiri" w:cs="Amiri"/>
          <w:color w:val="111111"/>
          <w:sz w:val="28"/>
          <w:sz w:val="28"/>
          <w:szCs w:val="28"/>
          <w:rtl w:val="true"/>
          <w:lang w:bidi="ar-SA"/>
        </w:rPr>
        <w:t xml:space="preserve">، وقد عدّ السحت فيهما من الكبائر ، فينقّح موضوعهما بالموثّقة ، لكنّهما ضعيفتان </w:t>
      </w:r>
      <w:r>
        <w:rPr>
          <w:rFonts w:eastAsia="Amiri" w:cs="Amiri" w:ascii="Amiri" w:hAnsi="Amiri"/>
          <w:color w:val="111111"/>
          <w:sz w:val="28"/>
          <w:szCs w:val="28"/>
          <w:rtl w:val="true"/>
          <w:lang w:bidi="ar-SA"/>
        </w:rPr>
        <w:t xml:space="preserve">. </w:t>
      </w:r>
      <w:bookmarkStart w:id="23" w:name="pg15162_155330"/>
    </w:p>
    <w:p>
      <w:pPr>
        <w:pStyle w:val="Heading2"/>
        <w:numPr>
          <w:ilvl w:val="1"/>
          <w:numId w:val="1"/>
        </w:numPr>
        <w:rPr/>
      </w:pPr>
      <w:bookmarkStart w:id="24" w:name="__RefHeading___Toc1955354_2142443653"/>
      <w:bookmarkStart w:id="25" w:name="_Toc8"/>
      <w:bookmarkEnd w:id="23"/>
      <w:bookmarkEnd w:id="24"/>
      <w:r>
        <w:rPr>
          <w:rtl w:val="true"/>
        </w:rPr>
        <w:t>المسألة الخامسة في الكذب</w:t>
      </w:r>
      <w:bookmarkEnd w:id="25"/>
    </w:p>
    <w:p>
      <w:pPr>
        <w:pStyle w:val="Heading3"/>
        <w:numPr>
          <w:ilvl w:val="2"/>
          <w:numId w:val="1"/>
        </w:numPr>
        <w:rPr/>
      </w:pPr>
      <w:bookmarkStart w:id="26" w:name="__RefHeading___Toc1955356_2142443653"/>
      <w:bookmarkStart w:id="27" w:name="_Toc9"/>
      <w:bookmarkEnd w:id="26"/>
      <w:r>
        <w:rPr>
          <w:rtl w:val="true"/>
        </w:rPr>
        <w:t>ماهية الصدق والكذب</w:t>
      </w:r>
      <w:bookmarkEnd w:id="27"/>
    </w:p>
    <w:p>
      <w:pPr>
        <w:pStyle w:val="BookText"/>
        <w:rPr/>
      </w:pPr>
      <w:r>
        <w:rPr>
          <w:rFonts w:ascii="Amiri" w:hAnsi="Amiri" w:eastAsia="Amiri" w:cs="Amiri"/>
          <w:color w:val="111111"/>
          <w:sz w:val="28"/>
          <w:sz w:val="28"/>
          <w:szCs w:val="28"/>
          <w:rtl w:val="true"/>
          <w:lang w:bidi="ar-SA"/>
        </w:rPr>
        <w:t xml:space="preserve">وقد اختلفوا في ماهية الصدق والكذب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الأوّل مطابقة الخبر للواقع ، والثاني مخالفته 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مطابقة الحكم للواقع ، والثاني مخالفته له ، وأنّ رجوع</w:t>
      </w:r>
    </w:p>
    <w:p>
      <w:pPr>
        <w:pStyle w:val="BookText"/>
        <w:rPr/>
      </w:pPr>
      <w:r>
        <w:rPr>
          <w:rFonts w:ascii="Amiri" w:hAnsi="Amiri" w:eastAsia="Amiri" w:cs="Amiri"/>
          <w:color w:val="111111"/>
          <w:sz w:val="28"/>
          <w:sz w:val="28"/>
          <w:szCs w:val="28"/>
          <w:rtl w:val="true"/>
          <w:lang w:bidi="ar-SA"/>
        </w:rPr>
        <w:t>الصدق والكذب إلى الحكم أوّلاً وبالذات ، وإلى الخبر ثانياً وبالواسطة ، قال به التفتازاني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بوجه نظير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الألفاظ موضوعة للمعاني المرادة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إن كان مراد التفتازاني بالحكم الإدراك الذهني والحكم النفسي، وسيجيء الاحتمالات في كلامه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الكلام بنفسه مع قطع النظر عن صدوره من متكلّم مريد دالّ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نقشت بواسطة الحوادث الكونية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نفهم منهما شيئاً أصلاً ، أو هما لا يحكيان عن مدلولهما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منهما شيء واحد ، أو إنّ مدلولهما ليس موافقاً ولا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تكون الجملة الاُولى صادقة ، والثانية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ما يحكيان عنه ليس بنحو الدلالة ، بل بنحو الخطور لاُنس الذهن</w:t>
      </w:r>
      <w:r>
        <w:rPr>
          <w:rStyle w:val="FootnoteAnchor"/>
          <w:rtl w:val="true"/>
        </w:rPr>
        <w:footnoteReference w:id="160"/>
      </w:r>
      <w:r>
        <w:rPr>
          <w:rFonts w:ascii="Amiri" w:hAnsi="Amiri" w:eastAsia="Amiri" w:cs="Amiri"/>
          <w:color w:val="111111"/>
          <w:sz w:val="28"/>
          <w:sz w:val="28"/>
          <w:szCs w:val="28"/>
          <w:rtl w:val="true"/>
          <w:lang w:bidi="ar-SA"/>
        </w:rPr>
        <w:t xml:space="preserve">، خلاف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أصدق شاهد على عدم الفرق في الدلالة بين الكلام الصادر من متكلّم شاعر وبين الصادر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فبطل القول بأنّ الألفاظ موضوعة للمعاني المرادة ، أو الوضع عبارة عن التعهّد بإرادة المعنى من اللفظ ، أو أنّ الدلالة عبارة عن إبراز ما في الضمير ، وما</w:t>
      </w:r>
    </w:p>
    <w:p>
      <w:pPr>
        <w:pStyle w:val="BookText"/>
        <w:rPr/>
      </w:pPr>
      <w:r>
        <w:rPr>
          <w:rFonts w:ascii="Amiri" w:hAnsi="Amiri" w:eastAsia="Amiri" w:cs="Amiri"/>
          <w:color w:val="111111"/>
          <w:sz w:val="28"/>
          <w:sz w:val="28"/>
          <w:szCs w:val="28"/>
          <w:rtl w:val="true"/>
          <w:lang w:bidi="ar-SA"/>
        </w:rPr>
        <w:t>فيه حاكٍ عن الواقع</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الكلام الصادر من المتكلّم لا يحكي إلاّ عن الواقع ونفس الأمر مستقيماً ، من غير دلالة على المعاني الذهنية وصورها ، وهو وجداني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الصدق والكذب من صفات الخبر أوّلاً وبالذات ، وإنّما يتّصف المتكلّم بكونه صادقاً أو كاذباً لأجل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تكون سعة اتّصافه بالصادق والكاذب تابعة لإخباره ؛ لعدم إمكان أن يكون الخبر صادقاً وقد أخبر به المتكلّم </w:t>
      </w:r>
    </w:p>
    <w:p>
      <w:pPr>
        <w:pStyle w:val="BookText"/>
        <w:rPr/>
      </w:pPr>
      <w:r>
        <w:rPr>
          <w:rFonts w:ascii="Amiri" w:hAnsi="Amiri" w:eastAsia="Amiri" w:cs="Amiri"/>
          <w:color w:val="111111"/>
          <w:sz w:val="28"/>
          <w:sz w:val="28"/>
          <w:szCs w:val="28"/>
          <w:rtl w:val="true"/>
          <w:lang w:bidi="ar-SA"/>
        </w:rPr>
        <w:t xml:space="preserve">ومع ذلك لا يكون صادقاً ، وكذا في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نرى في العرف والعادة عدم إطلاق الكاذب على الخاطئ والمشتبه ، فلا يقال لمن صنّف كتاباً مشتملاً على أحكام اجتهادية مخالفة للواقع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لمن أخبر بإعطاء شيء لزيد غداً فمنعه مانع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كذب وإن كان معذوراً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يطلقون على مثله الخطأ والاشتباه أو نحوهما ، ولا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ولازم ذلك أن يكون أمثال ذلك خارجة عن الصدق والكذب بالمعنى المصدري ، وإن لم تخرج عن أحدهما بمعنى حاصل المصدر ؛ أي نفس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الاعتقاد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 ضدّ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الشيء بخلاف ما هو ، مع العلم به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ذكرناه غير مقالة النظّام</w:t>
      </w:r>
      <w:r>
        <w:rPr>
          <w:rStyle w:val="FootnoteAnchor"/>
          <w:rtl w:val="true"/>
        </w:rPr>
        <w:footnoteReference w:id="163"/>
      </w:r>
      <w:r>
        <w:rPr>
          <w:rFonts w:ascii="Amiri" w:hAnsi="Amiri" w:eastAsia="Amiri" w:cs="Amiri"/>
          <w:color w:val="111111"/>
          <w:sz w:val="28"/>
          <w:sz w:val="28"/>
          <w:szCs w:val="28"/>
          <w:rtl w:val="true"/>
          <w:lang w:bidi="ar-SA"/>
        </w:rPr>
        <w:t xml:space="preserve">، فإنّه لم يفرّق بين الكلام والمتكلّم ؛ أي بين الصدق والكذب وبين الصادق والكاذب ، بل الظاهر عدم التزام أحد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انتساب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المفتي بالأحكام المخالفة للواقع ، وكذا غيره المخبر بمقالة كاذبة مع اعتقاده صدقها ، وأمثال ذلك ، إنّما نشأ</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أدب العشرة واحتراز الناس عن استعمال لفظ يشعر بالذمّ أو يدلّ عليه ، وانتسابه إلى غيره ولو مع إرادة خلاف ظاهره وإقامة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كاذب في مقالاته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كذب عمداً ، ولا أقلّ من إشعاره بذلك ، وهو نحو إهانة بالطرف أو خلاف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سلب انتساب بعض القبائح موجباً للهتك والإهانة ، فيحترز الناس عنه ، فإنّ في السلب أيضاً إشعاراً بالذمّ ، فلا يقال للرجل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بسارق ولا 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فعدم انتساب الكذب ، للاحتراز عن 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نرى احترازهم عن ذلك مختلفاً باختلاف عظمة الطرف ، فاستعمل الخطاء والاشتباه ونحوهما مكانه وشاع الاستعمال فصار منشأً لتوهّم عدم الصدق ، وإلاّ فلا ينبغي الإشكال في صدق الكاذب على من أخبر بكلام مخالف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يختصّ ما ذكرناه بالكلام والأقوال دون الأفعال ، فيقال لمن شرب الخمر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شربها ، وهكذا ؛ فلعلّه لكثرة الابتلاء بالأقوال المخالفة للواقع خطاءً ، فإنّ الكتب ملؤ من ذلك ، فصارت كثرة استعمال الخطاء ونحوه منشأ لذلك ، بخلاف الاشتباه في الأفعال ، فإنّ الابتلاء بها قليل في موارد الاستعمال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التفتازاني فسّر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 الخبر 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بمطابقة حكمه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يخلو مراده منه عن أن يكون إمّا الحكم النفساني والإدراك بأنّ هذا ذاك أو غيره ، أو الإدراك بوقوع النسبة أو لا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الإشكال بأنّ القضيّة المشكوك فيها ليست متّصفة بصدق ولا كذب ؛ لعدم الحكم فيها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الحكم بمعنى إدراك وقوع النسبة أو لا وقوعها ، وحكم الذهن بشيء من النفي والإثبات وإن لم يتحقّق لكن إذا </w:t>
      </w:r>
    </w:p>
    <w:p>
      <w:pPr>
        <w:pStyle w:val="BookText"/>
        <w:rPr/>
      </w:pPr>
      <w:r>
        <w:rPr>
          <w:rFonts w:ascii="Amiri" w:hAnsi="Amiri" w:eastAsia="Amiri" w:cs="Amiri"/>
          <w:color w:val="111111"/>
          <w:sz w:val="28"/>
          <w:sz w:val="28"/>
          <w:szCs w:val="28"/>
          <w:rtl w:val="true"/>
          <w:lang w:bidi="ar-SA"/>
        </w:rPr>
        <w:t>تلفّظ بالجملة الخبرية مع الشكّ ، بل مع القطع بالخلاف ، فكلامه خبر لا محالة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حاصل مراده أنّ إدراك النفس وحكمها بأنّ هذا ذاك ، أو إدراكه بوقوع النسبة أو لا وقوعها متّصف بالكذب أوّلاً وبالذات ، ولأجله يتّصف الخبر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لازمه أنّ المخبر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بأ نّها فوقنا لا يكون صادقاً ولا كاذباً ، ولا مقالته صدقاً ولا كذباً ؛ لأنّ اعتقاده</w:t>
      </w:r>
    </w:p>
    <w:p>
      <w:pPr>
        <w:pStyle w:val="BookText"/>
        <w:rPr/>
      </w:pPr>
      <w:r>
        <w:rPr>
          <w:rFonts w:ascii="Amiri" w:hAnsi="Amiri" w:eastAsia="Amiri" w:cs="Amiri"/>
          <w:color w:val="111111"/>
          <w:sz w:val="28"/>
          <w:sz w:val="28"/>
          <w:szCs w:val="28"/>
          <w:rtl w:val="true"/>
          <w:lang w:bidi="ar-SA"/>
        </w:rPr>
        <w:t xml:space="preserve">وإدراكه موافق للواقع ، وإخباره مخالف له ولاعتقاده ، فلا يكون إخباره صادقاً ؛ لمخالفته لهما ، ولا كاذباً ؛ لأنّ موصوفية الكلام بالكذب على هذا المبنى يكون ثانياً وبواسطة الإدراك النفساني المخالف للواقع ، وليس الأمر كذلك هاهنا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مراده من الحكم إيقاع المتكلّم وجعله الخبر للمبتدأ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فعل المتكلّم وليس له محكيّ يطابقه أو لا يطابقه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مراده منه النسبة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 كونه خلاف ظاهرهم مقدوح فيه بأنّ النسبة الحكمية التصوّرية ليس لها واقع محكيّ يطابقها أو لا يطابقها ، والتصديقية منها عين الخبر ، فإنّه ليس إلاّ</w:t>
      </w:r>
    </w:p>
    <w:p>
      <w:pPr>
        <w:pStyle w:val="BookText"/>
        <w:rPr/>
      </w:pPr>
      <w:r>
        <w:rPr>
          <w:rFonts w:ascii="Amiri" w:hAnsi="Amiri" w:eastAsia="Amiri" w:cs="Amiri"/>
          <w:color w:val="111111"/>
          <w:sz w:val="28"/>
          <w:sz w:val="28"/>
          <w:szCs w:val="28"/>
          <w:rtl w:val="true"/>
          <w:lang w:bidi="ar-SA"/>
        </w:rPr>
        <w:t xml:space="preserve">ما يحكي عن كون هذا ذاك أو هذا لذاك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مراده منه الحكم بالوقوع أو اللا وقوع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الكذائي مجرّداً عن متعلّقه </w:t>
      </w:r>
      <w:bookmarkStart w:id="28" w:name="pg15162_155335"/>
    </w:p>
    <w:p>
      <w:pPr>
        <w:pStyle w:val="BookText"/>
        <w:rPr/>
      </w:pPr>
      <w:bookmarkEnd w:id="28"/>
      <w:r>
        <w:rPr>
          <w:rFonts w:ascii="Amiri" w:hAnsi="Amiri" w:eastAsia="Amiri" w:cs="Amiri"/>
          <w:color w:val="111111"/>
          <w:sz w:val="28"/>
          <w:sz w:val="28"/>
          <w:szCs w:val="28"/>
          <w:rtl w:val="true"/>
          <w:lang w:bidi="ar-SA"/>
        </w:rPr>
        <w:t xml:space="preserve">لا يتّصف بالصدق والكذب ، بل لا تحقّق له ، وباعتبار متعلّقه يتّصف ثانياً وبالعرض بهما ؛ لما عرفت من أنّ الجملة الخبرية تدلّ على مفادها ولو لم يصدر من متكلّم شاعر ، فالحكم بالوقوع واللا وقوع لا دخالة له لاتّصافها بهما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955358_2142443653"/>
      <w:bookmarkStart w:id="30" w:name="_Toc10"/>
      <w:bookmarkEnd w:id="29"/>
      <w:r>
        <w:rPr>
          <w:rtl w:val="true"/>
        </w:rPr>
        <w:t>في عدم تقوّم الكذب بالقول واللفظ</w:t>
      </w:r>
      <w:bookmarkEnd w:id="30"/>
    </w:p>
    <w:p>
      <w:pPr>
        <w:pStyle w:val="BookText"/>
        <w:rPr/>
      </w:pPr>
      <w:r>
        <w:rPr>
          <w:rFonts w:ascii="Amiri" w:hAnsi="Amiri" w:eastAsia="Amiri" w:cs="Amiri"/>
          <w:color w:val="111111"/>
          <w:sz w:val="28"/>
          <w:sz w:val="28"/>
          <w:szCs w:val="28"/>
          <w:rtl w:val="true"/>
          <w:lang w:bidi="ar-SA"/>
        </w:rPr>
        <w:t xml:space="preserve">ثمّ إنّ الظاهر أنّ الكذب لا يتقوّم بالقول واللفظ ، بمعنى كونه قولاً خارجاً من الفم معتمداً على المخارج مخالفاً مضمونه للواقع ، حتّى لا تكون الإشارة والكتابة بل المبالغات والكنايات والمجازات كذباً ، فإنّ الإشارة والكتابة ليستا ألفاظاً ، بل الاُولى فعل والثانية نقش حاكٍ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المبالغات وتاليتيها لم تستعمل الألفاظ في المعاني التي يراد الإخبار بها</w:t>
      </w:r>
    </w:p>
    <w:p>
      <w:pPr>
        <w:pStyle w:val="BookText"/>
        <w:rPr/>
      </w:pPr>
      <w:r>
        <w:rPr>
          <w:rFonts w:ascii="Amiri" w:hAnsi="Amiri" w:eastAsia="Amiri" w:cs="Amiri"/>
          <w:color w:val="111111"/>
          <w:sz w:val="28"/>
          <w:sz w:val="28"/>
          <w:szCs w:val="28"/>
          <w:rtl w:val="true"/>
          <w:lang w:bidi="ar-SA"/>
        </w:rPr>
        <w:t>جدّاً ، وليست من قبيل استعمال اللفظ في غير ما وضع له حتّى المجازات ، على ما هو التحقيق من أ نّها من قبيل الحقائق الادّعائية</w:t>
      </w:r>
      <w:r>
        <w:rPr>
          <w:rStyle w:val="FootnoteAnchor"/>
          <w:rtl w:val="true"/>
        </w:rPr>
        <w:footnoteReference w:id="165"/>
      </w:r>
      <w:r>
        <w:rPr>
          <w:rFonts w:ascii="Amiri" w:hAnsi="Amiri" w:eastAsia="Amiri" w:cs="Amiri"/>
          <w:color w:val="111111"/>
          <w:sz w:val="28"/>
          <w:sz w:val="28"/>
          <w:szCs w:val="28"/>
          <w:rtl w:val="true"/>
          <w:lang w:bidi="ar-SA"/>
        </w:rPr>
        <w:t>، لا كما ذكره السكّاكي في الاستعارة</w:t>
      </w:r>
      <w:r>
        <w:rPr>
          <w:rStyle w:val="FootnoteAnchor"/>
          <w:rtl w:val="true"/>
        </w:rPr>
        <w:footnoteReference w:id="166"/>
      </w:r>
      <w:r>
        <w:rPr>
          <w:rFonts w:ascii="Amiri" w:hAnsi="Amiri" w:eastAsia="Amiri" w:cs="Amiri"/>
          <w:color w:val="111111"/>
          <w:sz w:val="28"/>
          <w:sz w:val="28"/>
          <w:szCs w:val="28"/>
          <w:rtl w:val="true"/>
          <w:lang w:bidi="ar-SA"/>
        </w:rPr>
        <w:t xml:space="preserve">، بل باستعمال اللفظ في معناه الموضوع له وتطبيق المعنى على المراد الجدّي 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لفظ الأسد في معناه ، وادّعي أنّ زيداً مصداق لماهية الأسد ، فعليه لا يكون قوله ذلك مع عدم شجاعة زيد كذباً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المفاد الاستعمالي فلعدم تعلّق الإرادة الجدّية به ، وسيأتي اعتباره في الصدق والكذب لا الجدّ مقابل الهزل بل مقابل الاستعمال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المعنى المراد ؛ أي الإخبار بالشجاعة ، فلعدم التلفّظ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منها الحال في الكنايات والمبالغات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مطلق الإيصال إلى خلاف الواقع والإفهام له والدلالة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مثل نصب علامة الفرسخ على ما دونه للدلالة على الفرسخ ، وإظهار الكلام جزماً لإفهام اعتقاده بمضمونه ، والأذان قبل دخول الوقت للإعلام بدخوله ، والمشي على زيّ الأشراف والأغنياء لإراءة خلاف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 ولازمه أن يكون في بعض الأحيان كذب واحد أكاذيب كثيرة ، بل غير محصورة ، كمن أخبر بأنّ اليوم الكذائي جمعة ، وكان سبتاً ، فإنّ لازم كونه جمعة أن يكون بعده سبتاً ، وبعد بعده أحداً ، وهكذا ، وقبله خميساً ، وقبل قبله أربعاء ، وهكذا ، والالتزام بها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الكذب بالمعنى المصدري عرفاً عبارة عن الإخبار المخالف للواقع ، والإخبار لم ينحصر باللفظ والقول الخارج من الفم ، بل يشمل الكتابة والإشارة ونحوهما عرفاً كما يطلق على ما في الصحف والمجلاّت واليوميات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المجازات وتاليتيها يكون المتكلّم مخبراً عن لازم كلامه لا عن 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بأنّ زيداً كثير الرماد أخبر عن سخائه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زيد سخيّاً ولم يكن في كلامه تأوّل آخر يكون المخبر كاذباً والخبر كذباً ، وكذا في النظائر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جعل النصب دون الفراسخ إذا لم يكتب عليها أنّ هذا رأس الفرسخ لم يكن مجرّد الوضع إخباراً وكذباً عرفاً ، والمؤذّن قبل الوقت لم يخبر بالوقت ، والماشي على غير زيّه لم يخبر بشيء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أخبرني بكذا ، ولوازم المخبر </w:t>
      </w:r>
    </w:p>
    <w:p>
      <w:pPr>
        <w:pStyle w:val="BookText"/>
        <w:rPr/>
      </w:pPr>
      <w:r>
        <w:rPr>
          <w:rFonts w:ascii="Amiri" w:hAnsi="Amiri" w:eastAsia="Amiri" w:cs="Amiri"/>
          <w:color w:val="111111"/>
          <w:sz w:val="28"/>
          <w:sz w:val="28"/>
          <w:szCs w:val="28"/>
          <w:rtl w:val="true"/>
          <w:lang w:bidi="ar-SA"/>
        </w:rPr>
        <w:t xml:space="preserve">عنه ليست بإخبار ، بل الإخبار إنّما هو عن الملزوم ، وهي لوازم المخبر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هو الموافق لفهم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ليس الإخبار أو الخبر عبارة عن القول أو اللفظ المحتمل للصدق والكذب بل أعمّ منه وممّا قام مقامه ، لكن لا بنحو يشمل مطلق ما له حكاية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فيه أنّ الصدق والكذب عبارة عن إلقاء الجملة الخبرية لإفادة مضمونها أو لإفادة جملة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فتندرج فيهما المجازات والمبالغات والكنايات إذا اُريد بها الإخبار ، وكذا يدخل الكتابة ، وإن احتمل فيها ما يأتي في الإشارة ، وهو أنّ الإشارة المستعملة مكان الجملة الإخبارية كالإشارة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هل زيد قائم ؟ فالظاهر أنّ إطلاق الصدق والكذب عليها باعتبار قيامها مقام القول عرفاً ، بخلاف سائر الأفعال الحاكية عن خلاف الواقع ، فإنّها ليست من مقولة الأخبار والأقوال ولا نائباً منابها ، بل لها دلالة مستقيمة على الواقع في مقابل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فأذان المؤذّن قبل الوقت ليس بكذب ؛ لأنّ مقالته ؛ أي فصوله بما أ نّها حاكية عن معانيها ، لا تحكي عن دخول الوقت لا مطابقة ولا التزاماً ، بل إيقاع هذا العمل كاشف عن دخول الوقت ؛ للتعارف والعادة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الأعمال القائمة مقام الأقوال ، وغيرها ممّا هي كاشفة عن واقع لزوماً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لوازم المخبر به في المثال المتقدّم ؛ أي الإخبار بأنّ هذا يوم السبت ، فلا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 باُمور غير محصورة ؛ لأ نّه لم يخبر إلاّ عن يوم السبت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واللوازم المذكورة لوازم المخبر عنه الوحداني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طويل النجاد ، </w:t>
      </w:r>
      <w:bookmarkStart w:id="31" w:name="pg15162_155338"/>
    </w:p>
    <w:p>
      <w:pPr>
        <w:pStyle w:val="BookText"/>
        <w:rPr/>
      </w:pPr>
      <w:bookmarkEnd w:id="31"/>
      <w:r>
        <w:rPr>
          <w:rFonts w:ascii="Amiri" w:hAnsi="Amiri" w:eastAsia="Amiri" w:cs="Amiri"/>
          <w:color w:val="111111"/>
          <w:sz w:val="28"/>
          <w:sz w:val="28"/>
          <w:szCs w:val="28"/>
          <w:rtl w:val="true"/>
          <w:lang w:bidi="ar-SA"/>
        </w:rPr>
        <w:t xml:space="preserve">إخبار عن طول قامته أو شجاعته ، لا عن طول النجاد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السبت ، فإنّه إخبار عن مضمونه ، لا عن الأيّام الاُخر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955360_2142443653"/>
      <w:bookmarkStart w:id="33" w:name="_Toc11"/>
      <w:bookmarkEnd w:id="32"/>
      <w:r>
        <w:rPr>
          <w:rtl w:val="true"/>
        </w:rPr>
        <w:t>في عدم تقوّم الكذب على إفهام المخاطب</w:t>
      </w:r>
      <w:bookmarkEnd w:id="33"/>
    </w:p>
    <w:p>
      <w:pPr>
        <w:pStyle w:val="BookText"/>
        <w:rPr/>
      </w:pPr>
      <w:r>
        <w:rPr>
          <w:rFonts w:ascii="Amiri" w:hAnsi="Amiri" w:eastAsia="Amiri" w:cs="Amiri"/>
          <w:color w:val="111111"/>
          <w:sz w:val="28"/>
          <w:sz w:val="28"/>
          <w:szCs w:val="28"/>
          <w:rtl w:val="true"/>
          <w:lang w:bidi="ar-SA"/>
        </w:rPr>
        <w:t xml:space="preserve">ثمّ إنّ الكذب هل يتقوّم على إفهام الغير مضمون الجملة ، فلا يقال للجملة التي لا مخاطب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 أو كذب ، أو لا يتوقّف إلاّ على صدور الجملة المخالفة للواقع من المتكلّم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والكذب متفرّعان على الحكاية عن الواقع ، والحكاية فرع الدلالة أو هي هي ، ومعنى الدلالة الفعلية على شيء كون الكلام هادياً ومرشداً إلى الواقع أو إلى مفاد الجملة المنطبق عليه ، والدلالة الفعلية بما</w:t>
      </w:r>
    </w:p>
    <w:p>
      <w:pPr>
        <w:pStyle w:val="BookText"/>
        <w:rPr/>
      </w:pPr>
      <w:r>
        <w:rPr>
          <w:rFonts w:ascii="Amiri" w:hAnsi="Amiri" w:eastAsia="Amiri" w:cs="Amiri"/>
          <w:color w:val="111111"/>
          <w:sz w:val="28"/>
          <w:sz w:val="28"/>
          <w:szCs w:val="28"/>
          <w:rtl w:val="true"/>
          <w:lang w:bidi="ar-SA"/>
        </w:rPr>
        <w:t>أ نّها من الاُمور الإضافية تحتاج إلى الأطراف من الدالّ والمدلول والمدلول عليه ، فلا يتّصف الكلام بالدلالة الفعلية إلاّ إذا كان عند المتكلّم مخاطب مهديّ بكلامه بالفعل إلى مضمون الجملة الحاكية عن الواقع ، ومع فقد المهديّ بالفعل لا تكون الدلالة والهداية فعلية ؛ لأنّ المتضايفين متكافئان قوّة وفعلاً ، بل يكون الكلام دالاًّ اقتضاءً ؛ أي له اقتضاء الدلالة لا فعليتها ، وليس المتكلّم مهديّاً وهادياً</w:t>
      </w:r>
    </w:p>
    <w:p>
      <w:pPr>
        <w:pStyle w:val="BookText"/>
        <w:rPr/>
      </w:pPr>
      <w:r>
        <w:rPr>
          <w:rFonts w:ascii="Amiri" w:hAnsi="Amiri" w:eastAsia="Amiri" w:cs="Amiri"/>
          <w:color w:val="111111"/>
          <w:sz w:val="28"/>
          <w:sz w:val="28"/>
          <w:szCs w:val="28"/>
          <w:rtl w:val="true"/>
          <w:lang w:bidi="ar-SA"/>
        </w:rPr>
        <w:t xml:space="preserve">باعتبارين ؛ لأنّ كلامه ليس هادياً له إلى الواقع أو إلى مدلوله التصديقي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ذلك ما قال المحقّق الطوسي رحمه الله علیه بلفظه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دلالة اللفظ لمّا كانت وضعية كانت متعلّقة بإرادة المتلفّظ ، الجارية على قانون الوضع ، فما يتلفّظ به ويراد به معنىً ما ويفهم عنه ذلك المعنى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دالّ على ذلك المعنى</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الإشراق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فالدلالة الوضعية تتعلّق بإرادة اللافظ الجارية على قانون الوضع ، حتّى إ نّه لو أطلق وأراد به معنىً وفهم منه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دالّ عليه ، وإن فهم غيره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 عليه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كما ترى ظاهران في أنّ الدلالة كما هي متوقّفة على إرادة اللافظ ، متوقّفة على فهم المخاطب ، فإذا لم يدلّ الكلام على مضمونه فعلاً لا يعقل مطابقته للواقع ومخالفته ؛ لكونهما متفرّعتين على الحكاية والدلالة ، ومع فقدهما لا يتّصف الكلام بالصدق والكذب ، والمتكلّم بالصادق والكاذب ، بل لازم ذلك عدم الكذب في الأخبار التي لا تفيد المخاطب فائدة خبرية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يعلم 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أن يكون الكلام دليلاً وهادياً بالفعل</w:t>
      </w:r>
    </w:p>
    <w:p>
      <w:pPr>
        <w:pStyle w:val="BookText"/>
        <w:rPr/>
      </w:pPr>
      <w:r>
        <w:rPr>
          <w:rFonts w:ascii="Amiri" w:hAnsi="Amiri" w:eastAsia="Amiri" w:cs="Amiri"/>
          <w:color w:val="111111"/>
          <w:sz w:val="28"/>
          <w:sz w:val="28"/>
          <w:szCs w:val="28"/>
          <w:rtl w:val="true"/>
          <w:lang w:bidi="ar-SA"/>
        </w:rPr>
        <w:t xml:space="preserve">إلى الواقع ، ومع العلم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الكذب ليس عبارة عن مخالفة مضمون الجملة بعد الدلالة بهذا المعنى الذي ظاهر كلام العلمين المتقدّمين ؛ أي بعد إرادة المتكلّم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السامع ، بل الصدق والكذب عبارة عن موافقة مضمونها ومخالفته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يكون لهما مضمون ومعنىً مع قطع النظر عن فهم السامع ، وإلاّ لزم أن لا يفهم منهما معنىً إلاّ على وجه دائر ، فإذا كان لهما مضمون فلا محالة يكون معنىً تصديقياً لا تصوّرياً ، ولازمه مخالفة الاُولى للواقع دون الثانية ، وهما الصدق والكذب ، فإذا صدرتا من المتكلّم بنحو الجدّ يتّصف لا محالة بالصادق والكاذب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فالدلالة بالمعنى المتقدّم غير دخيلة في صدق الكلام والمتكلّم وكذبهما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سلّمت دخالتها فيهما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عبارة عن كون الشيء بحيث يلزم من العلم به العلم بشيء آخر ، فهذا المعنى التعليقي حقيقة الدلالة ، فلا تكون الدلالة اقتضائية وتعليقية ، بل معناها عبارة عن أمر تعليقي حاصل بالفعل ، فالكلام بهذا المعنى دالّ بالفعل على معناه ، لأ نّه بحيث يلزم من فهمه فهم المعنى ، وهو أمر فعلي ؛ أي هذا الأمر التعليقي حاصل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العَلَمَين ليس ما يوهم ظاهر كلامهما ، بل يكون مرادهما أنّ اللفظ إذا اُطلق واُريد به المعنى بالإرادة الاستعمالية وكان بحيث يفهم منه المعنى على قانون الوضع ، كان 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 الرجل الشجاع من غير قيام قرينة لا يدلّ عليه ؛ لعدم كونه مفهماً للمعنى المقصود ، بخلاف ما إذا عمل المتكلّم بقانون الوضع وأقام القرينة، فإنّه يدلّ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مخالفة</w:t>
      </w:r>
    </w:p>
    <w:p>
      <w:pPr>
        <w:pStyle w:val="BookText"/>
        <w:rPr/>
      </w:pPr>
      <w:r>
        <w:rPr>
          <w:rFonts w:ascii="Amiri" w:hAnsi="Amiri" w:eastAsia="Amiri" w:cs="Amiri"/>
          <w:color w:val="111111"/>
          <w:sz w:val="28"/>
          <w:sz w:val="28"/>
          <w:szCs w:val="28"/>
          <w:rtl w:val="true"/>
          <w:lang w:bidi="ar-SA"/>
        </w:rPr>
        <w:t xml:space="preserve">قانون الوضع لو أطلق اللفظ وأراد المعنى الحقيقي لكن أقام قرينة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لا يكون مرادهما ممّا ذكرا تبعية الدلالة للإرادة ولا تبعيتها لفهم المخاطب فعلاً بوجه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ذكرناه أخيراً متفرّعاً على ما تقدّم غير وجيه ؛ لأنّ باب دلالة الألفاظ على معانيها غير باب مطابقة مضمون الكلام لنفس الأمر ، والثاني ليس من باب الدلالة في شيء ، وما هو من بابها عبارة عن إحضار المعاني في ذهن المخاطب بإلقاء الكلام ، وهو حاصل في الأخبار الضروري الصدق أو الكذب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عبارة عن إرشاد المخاطب إلى معاني الألفاظ تكون في المقام حاصلة أيضاً ، فإنّها لا محالة تحضر المعاني في ذهن المخاطب ، </w:t>
      </w:r>
      <w:bookmarkStart w:id="34" w:name="pg15162_155341"/>
    </w:p>
    <w:p>
      <w:pPr>
        <w:pStyle w:val="BookText"/>
        <w:rPr/>
      </w:pPr>
      <w:bookmarkEnd w:id="34"/>
      <w:r>
        <w:rPr>
          <w:rFonts w:ascii="Amiri" w:hAnsi="Amiri" w:eastAsia="Amiri" w:cs="Amiri"/>
          <w:color w:val="111111"/>
          <w:sz w:val="28"/>
          <w:sz w:val="28"/>
          <w:szCs w:val="28"/>
          <w:rtl w:val="true"/>
          <w:lang w:bidi="ar-SA"/>
        </w:rPr>
        <w:t xml:space="preserve">وكونها ضرورياً غير مربوط بالدلالة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المبالغات والمجازات والكنايات إنّما تتّصف بالصدق والكذب إذا اُريد بها الإخبار عن واقع ولو كان لازماً لها ، دون ما اُريد بها إنشاء المدح والذمّ ، فإنّها لا تتّصف بهما بالغة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المعنى التصديقي عن الإنشاء ليس بمخبر به ، نظير إنشاء البيع الذي ينتقل الذهن منه إلى كون البائع سلطاناً عليه ، وإنشاء الزواج الدالّ على كون المرأة خليّة ، فلا تتّصف لأجله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جواز مدح من يستحقّ الذمّ أو العكس فهي أمر آخر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955362_2142443653"/>
      <w:bookmarkStart w:id="36" w:name="_Toc12"/>
      <w:bookmarkEnd w:id="35"/>
      <w:r>
        <w:rPr>
          <w:rtl w:val="true"/>
        </w:rPr>
        <w:t>الميزان في صدق المتكلّم وكذبه</w:t>
      </w:r>
      <w:bookmarkEnd w:id="36"/>
    </w:p>
    <w:p>
      <w:pPr>
        <w:pStyle w:val="BookText"/>
        <w:rPr/>
      </w:pPr>
      <w:r>
        <w:rPr>
          <w:rFonts w:ascii="Amiri" w:hAnsi="Amiri" w:eastAsia="Amiri" w:cs="Amiri"/>
          <w:color w:val="111111"/>
          <w:sz w:val="28"/>
          <w:sz w:val="28"/>
          <w:szCs w:val="28"/>
          <w:rtl w:val="true"/>
          <w:lang w:bidi="ar-SA"/>
        </w:rPr>
        <w:t xml:space="preserve">ثمّ إنّ التحقيق أنّ الميزان في صدق المتكلّم وكذبه استعمال الجملة الإخبارية في معنىً موافق أو مخالف للواقع ، فمع عدم الاستعمال فيه ، أو الاستعمال في معنىً مخالف لظاهر الكلام المخالف للواقع لم يكن كاذباً إذا كان المعنى المراد موافقاً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فالمتلفّظ بألفاظ مهملة لا يكون كاذباً إذا لم يستعملها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المتلفّظ بألفاظ لا يعلم اللافظ أ نّها موضوعة أو مهملة ، أو لا يعلم مضمون الجملة مطلقاً ، أو لا يعلم أ نّها إنشائية أو إخبارية ، كلّ ذلك بشرط عدم الاستعمال في خصوص معنىً مخالف للواقع ولو غلطاً وعلى خلاف قانون الوضع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أنّ لها معنىً كاذباً إجمالاً من غير العلم بخصوص المعنى ولو إجمالاً ، فلا يبعد عدم الاتّصاف به ، ويحتمل الاتّصاف إذا ألقى الكلام لإفادة المعنى الواقعي ، ولو علم أنّ مضمونها إمّا هذا أو ذاك وكان أحدهما موافقاً </w:t>
      </w:r>
    </w:p>
    <w:p>
      <w:pPr>
        <w:pStyle w:val="BookText"/>
        <w:rPr/>
      </w:pPr>
      <w:r>
        <w:rPr>
          <w:rFonts w:ascii="Amiri" w:hAnsi="Amiri" w:eastAsia="Amiri" w:cs="Amiri"/>
          <w:color w:val="111111"/>
          <w:sz w:val="28"/>
          <w:sz w:val="28"/>
          <w:szCs w:val="28"/>
          <w:rtl w:val="true"/>
          <w:lang w:bidi="ar-SA"/>
        </w:rPr>
        <w:t xml:space="preserve">والآخر مخالفاً ، فإن ألقى الكلام بلا استعمال في المعنى الكاذب أو في المعنى الواقعي لا يكون كاذباً ، وإلاّ فعلى الأوّل كاذب وعلى الثاني لو صادف المخالفة لا يبعد أن يكون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أنّ الجملة موضوعة لخصوص معنىً غير موافق للواقع لكن لا يعرف معنى ألفاظها ، بأن لا يعلم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لفظ بمعنى الحيوان المفترس وإن علم أنّ مضمون الجملة مفيد لرؤيته ، فحينئذٍ إن استعمل مجموع الجملة في المعنى يكون كاذباً مع عدم الموافقة ، وإن لم يكن استعماله على قانون الوضع وكان غلطاً ، نظير أن يستعمل الأسد في رجل بلا نصب قرينة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زيداً وكان مخالفاً للواقع ، فإنّه كاذب بلحاظ هذا الاستعمال ، وإن كان صادقاً بحسب ظاهر لفظه بأن رأى أسداً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الكذب والصدق مخالفة المعنى المستعمل فيه وموافقته للواقع ، لا صحّة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استعمل مجموع الجملة في المعنى بلا لحاظ استعمال المفردات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لاحظ استعمالها ، فإن استعمل خصوص بعض الألفاظ في خصوص بعض المعاني وإن كان الاستعمال خطأ يتّصف بالكاذب والصادق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ألقى الكلام بلا إرادة استعمال ألفاظه في معانيه ، بل لغاية فهم المخاطب العارف بالمعنى ، لا يكون كاذباً على إشكال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ألقى الكلام ليكون كلّ لفظ منه حاكياً عن معناه الواقعي فالظاهر الاتّصاف إن أراد من الألفاظ معانيها الواقعية وإن لم يعرفها ، نظير الاستعمال في المعلوم بالإجمال ؛ أي واقعه المعلوم عند اللّه تعالى </w:t>
      </w:r>
      <w:r>
        <w:rPr>
          <w:rFonts w:eastAsia="Amiri" w:cs="Amiri" w:ascii="Amiri" w:hAnsi="Amiri"/>
          <w:color w:val="111111"/>
          <w:sz w:val="28"/>
          <w:szCs w:val="28"/>
          <w:rtl w:val="true"/>
          <w:lang w:bidi="ar-SA"/>
        </w:rPr>
        <w:t xml:space="preserve">. </w:t>
      </w:r>
      <w:bookmarkStart w:id="37" w:name="pg15162_155343"/>
    </w:p>
    <w:p>
      <w:pPr>
        <w:pStyle w:val="Heading3"/>
        <w:numPr>
          <w:ilvl w:val="2"/>
          <w:numId w:val="1"/>
        </w:numPr>
        <w:rPr/>
      </w:pPr>
      <w:bookmarkStart w:id="38" w:name="__RefHeading___Toc1955364_2142443653"/>
      <w:bookmarkStart w:id="39" w:name="_Toc13"/>
      <w:bookmarkEnd w:id="37"/>
      <w:bookmarkEnd w:id="38"/>
      <w:r>
        <w:rPr>
          <w:rtl w:val="true"/>
        </w:rPr>
        <w:t>عدم كون التورية وخلف الوعد كذباً</w:t>
      </w:r>
      <w:bookmarkEnd w:id="39"/>
    </w:p>
    <w:p>
      <w:pPr>
        <w:pStyle w:val="BookText"/>
        <w:rPr/>
      </w:pPr>
      <w:r>
        <w:rPr>
          <w:rFonts w:ascii="Amiri" w:hAnsi="Amiri" w:eastAsia="Amiri" w:cs="Amiri"/>
          <w:color w:val="111111"/>
          <w:sz w:val="28"/>
          <w:sz w:val="28"/>
          <w:szCs w:val="28"/>
          <w:rtl w:val="true"/>
          <w:lang w:bidi="ar-SA"/>
        </w:rPr>
        <w:t xml:space="preserve">وممّا ذكرناه من اعتبار الاستعمال في المعنى المخالف للواقع في الكذب لا يبقى إشكال في عدم كون التورية كذباً ؛ ضرورة أنّ المورّي استعمل الجمل في المعاني الموافقة للواقع ولو على خلاف قانون الوضع والمحاورات ، كاستعمال اللفظ المشترك في غير المعنى المسؤول عنه مثلاً ، فإن قال في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 ليس زيد في الدار ، مريداً غير ما في السؤال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 مريداً غيره ، ليس كاذباً ؛ لأنّ المستعمل فيه موافق للواقع فرضاً ،</w:t>
      </w:r>
    </w:p>
    <w:p>
      <w:pPr>
        <w:pStyle w:val="BookText"/>
        <w:rPr/>
      </w:pPr>
      <w:r>
        <w:rPr>
          <w:rFonts w:ascii="Amiri" w:hAnsi="Amiri" w:eastAsia="Amiri" w:cs="Amiri"/>
          <w:color w:val="111111"/>
          <w:sz w:val="28"/>
          <w:sz w:val="28"/>
          <w:szCs w:val="28"/>
          <w:rtl w:val="true"/>
          <w:lang w:bidi="ar-SA"/>
        </w:rPr>
        <w:t xml:space="preserve">والظاهر المخالف له غير مستعمل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استعمل الألفاظ في معانيها وأراد بحسب الجدّ غيرها بنحوٍ من الادّعاء لا يكون كاذباً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خلف الوعد ليس كذباً وهو معلوم ، وكذا الوعد ولو مع إضمار عدم الإنجاز ؛ لأ نّه إنشاء لا 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جملة من الكلام في موضوعه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955366_2142443653"/>
      <w:bookmarkStart w:id="41" w:name="_Toc14"/>
      <w:bookmarkEnd w:id="40"/>
      <w:r>
        <w:rPr>
          <w:rtl w:val="true"/>
        </w:rPr>
        <w:t>حرمة الكذب وما يلحق به</w:t>
      </w:r>
      <w:bookmarkEnd w:id="41"/>
    </w:p>
    <w:p>
      <w:pPr>
        <w:pStyle w:val="BookText"/>
        <w:rPr/>
      </w:pPr>
      <w:r>
        <w:rPr>
          <w:rFonts w:ascii="Amiri" w:hAnsi="Amiri" w:eastAsia="Amiri" w:cs="Amiri"/>
          <w:color w:val="111111"/>
          <w:sz w:val="28"/>
          <w:sz w:val="28"/>
          <w:szCs w:val="28"/>
          <w:rtl w:val="true"/>
          <w:lang w:bidi="ar-SA"/>
        </w:rPr>
        <w:t xml:space="preserve">وأمّا حكمه ، فحرمته في الجملة ضرورية لا تحتاج إلى إقامة الدليل عليها وإن كان في دعوى حكم العقل بها </w:t>
      </w:r>
      <w:r>
        <w:rPr>
          <w:rStyle w:val="FootnoteAnchor"/>
          <w:rtl w:val="true"/>
        </w:rPr>
        <w:footnoteReference w:id="169"/>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البحث عن خصوصيات اُخر </w:t>
      </w:r>
      <w:r>
        <w:rPr>
          <w:rFonts w:eastAsia="Amiri" w:cs="Amiri" w:ascii="Amiri" w:hAnsi="Amiri"/>
          <w:color w:val="111111"/>
          <w:sz w:val="28"/>
          <w:szCs w:val="28"/>
          <w:rtl w:val="true"/>
          <w:lang w:bidi="ar-SA"/>
        </w:rPr>
        <w:t xml:space="preserve">: </w:t>
      </w:r>
      <w:bookmarkStart w:id="42" w:name="pg15162_155344"/>
    </w:p>
    <w:p>
      <w:pPr>
        <w:pStyle w:val="Heading3"/>
        <w:numPr>
          <w:ilvl w:val="2"/>
          <w:numId w:val="1"/>
        </w:numPr>
        <w:rPr/>
      </w:pPr>
      <w:bookmarkStart w:id="43" w:name="__RefHeading___Toc1955368_2142443653"/>
      <w:bookmarkStart w:id="44" w:name="_Toc15"/>
      <w:bookmarkEnd w:id="42"/>
      <w:bookmarkEnd w:id="43"/>
      <w:r>
        <w:rPr>
          <w:rtl w:val="true"/>
        </w:rPr>
        <w:t>انصراف أدلّة الحرمة عن الكذب عند نفسه</w:t>
      </w:r>
      <w:bookmarkEnd w:id="4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الأدلّة منصرفة عن الكذب عند نفسه مع عدم 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انصرافها عن التكلّم به عند مخاطب لم يسمع الكلام لصممه ، أو لم يفهم معناه لعدم تميّزه أو جهله به ، فإنّ المتكلّم بالجملة الكاذبة عند المذكورين ليس بمخبر وإن صدر منه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عنه باحتمال أن يكون مراد الشارع عن المنع عنه تنزّه لسان المتكلّم عن التقوّل بالكذب ، احتمال عقلي غير منافٍ لانصرافها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إشعارات وتأييدات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الكاذب على شفا مخزاة وهلكة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أعان اللّه به على الكذّابين النسيان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الكذّاب يكذب حتّى يجيء بالصدق فلا يُصدَّق</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5162_155345"/>
    </w:p>
    <w:p>
      <w:pPr>
        <w:pStyle w:val="BookText"/>
        <w:rPr/>
      </w:pPr>
      <w:bookmarkEnd w:id="4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يسوّد الوجه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الكذب وإن رأيتم فيه النجاة فإنّ فيه الهلكة</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955370_2142443653"/>
      <w:bookmarkStart w:id="47" w:name="_Toc16"/>
      <w:bookmarkEnd w:id="46"/>
      <w:r>
        <w:rPr>
          <w:rtl w:val="true"/>
        </w:rPr>
        <w:t>حكم ما يفيد فائدة الكذب كالتورية والإنشاء والأفعال</w:t>
      </w:r>
      <w:bookmarkEnd w:id="47"/>
    </w:p>
    <w:p>
      <w:pPr>
        <w:pStyle w:val="BookText"/>
        <w:rPr/>
      </w:pPr>
      <w:r>
        <w:rPr>
          <w:rFonts w:ascii="Amiri" w:hAnsi="Amiri" w:eastAsia="Amiri" w:cs="Amiri"/>
          <w:color w:val="111111"/>
          <w:sz w:val="28"/>
          <w:sz w:val="28"/>
          <w:szCs w:val="28"/>
          <w:rtl w:val="true"/>
          <w:lang w:bidi="ar-SA"/>
        </w:rPr>
        <w:t xml:space="preserve">وهل يلحق بالخبر الكاذب ما يفيد فائدته ، كالتورية والإنشاء ، كما حكى الشيخ الأنصاري عن بعض الأساطين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وإن كان من صفات الخبر إلاّ أنّ حكمه يجري في الإنشاء المنبئ عنه ، كمدح المذموم ، وذمّ الممدوح ، وتمنّي المكاره ، وترجّي غير المتوقّع </w:t>
      </w:r>
      <w:r>
        <w:rPr>
          <w:rFonts w:eastAsia="Amiri" w:cs="Amiri" w:ascii="Amiri" w:hAnsi="Amiri"/>
          <w:color w:val="111111"/>
          <w:sz w:val="28"/>
          <w:szCs w:val="28"/>
          <w:rtl w:val="true"/>
          <w:lang w:bidi="ar-SA"/>
        </w:rPr>
        <w:t>.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وكالأفعال المفيدة فائدته ، كتأوّه السالم لإفادة العلّة ، وتلبّس الغنيّ لباس الفقير لإفادة فقره ، وتلبّس الجاهل لباس العلماء لإفادة كونه منهم ، ونصب العلامة دون الفرسخ لإفادة كونها رأسه ، ونصب الرايات والبيارق لإفادة إقامة العزاء مع مخالفتها للواقع ، وأمثال ذلك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من صفات الخبر لكن يجري حكمه في الإنشاء المنبئ عنه مع قصد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الكذب في الأفعال فلا يخلو من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والتورية والهزل من غير قرينة داخلان في اسمه أو حكمه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 يلحق شيء منها به مطلقاً ، أو يفصّل بين الأخبار المفيدة فائدته ، كالتورية والهزل ، وبين غيرها ، أو بين الكلام المفيد فائدته وغيره ، فلا تلحق به الأفعال ؟</w:t>
      </w:r>
    </w:p>
    <w:p>
      <w:pPr>
        <w:pStyle w:val="BookText"/>
        <w:rPr/>
      </w:pPr>
      <w:r>
        <w:rPr>
          <w:rFonts w:ascii="Amiri" w:hAnsi="Amiri" w:eastAsia="Amiri" w:cs="Amiri"/>
          <w:color w:val="111111"/>
          <w:sz w:val="28"/>
          <w:sz w:val="28"/>
          <w:szCs w:val="28"/>
          <w:rtl w:val="true"/>
          <w:lang w:bidi="ar-SA"/>
        </w:rPr>
        <w:t xml:space="preserve">غاية ما يمكن الاستشهاد به لإلحاق الجميع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مساعد لإلغاء الخصوصية عن الكذب إلى كلّ ما يفيد فائدته ، فإنّه عبارة عن جملة إخبارية متقوّمة بألفاظ وهيئة خاصّة حاكية عن معنىً تصديقي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قبيح عقلاً أو حرام شرعاً ، لا يرى العقل والعرف قبحه وحرمته متعلّقين على الألفاظ الخاصّة والهيئات المخصوصة والمعاني التصديقية ، لا بنحو تمام الموضوع ولا جزئه ، سيّما مع أنّ الظاهر أن تكون الحرمة الشرعية بملاك القبح العقلي ، وإن كان العقل لا يحكم بالقبح المستلزم لصحّة العقوبة ، لكن يدرك أ نّه قبيح ومذموم ولو أخلاقاً ، وبعد حكم الشرع يرى أ نّه بمناطه ، مع أ نّه من الواضح لدى العقول أن لا دخالة للألفاظ هيئة ومادّة وكذا للمعاني بما أ نّها مستفادة من خصوص تلك الألفاظ في القبح والمذمومية ، بل يدرك أنّ الذمّ والقبح لإراءة خلاف الواقع وإلقاء ما يكون مخالفاً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كلّ كلام أو فعل يفيد فائدته ملحق به إذا أوجده الفاعل لإفادة خلاف الواقع ، كالتورية والهزل والإنشاءات والأفعال المفيدة خلاف الواقع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هي الإغراء حتّى يمنع ذلك بدعوى الإجماع على </w:t>
      </w:r>
    </w:p>
    <w:p>
      <w:pPr>
        <w:pStyle w:val="BookText"/>
        <w:rPr/>
      </w:pPr>
      <w:r>
        <w:rPr>
          <w:rFonts w:ascii="Amiri" w:hAnsi="Amiri" w:eastAsia="Amiri" w:cs="Amiri"/>
          <w:color w:val="111111"/>
          <w:sz w:val="28"/>
          <w:sz w:val="28"/>
          <w:szCs w:val="28"/>
          <w:rtl w:val="true"/>
          <w:lang w:bidi="ar-SA"/>
        </w:rPr>
        <w:t>حرمة الكذب ولو لم يوجبه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تحريمه بملاك قبحه ، وهو موجود فيما يفيد فائدته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يرى أنّ الألفاظ ومعانيها التصديقية غير دخيلة في موضوع الحكم ولو بنحو جزء الموضوع ، وأنّ تمام الموضوع للحرمة هو ما يحكي عن خلاف الواقع بأيّ دالّ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المدّعى أو الاستشهاد له بما وردت في التورية وما يقتضي الجمع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سئل الصادق علیه السلام عن قول اللّه عزّ وجلّ في قصّة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فَاسْأَ لُوهُمْ إنْ كانُوا يَنْطِقُون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فعل كبيرهم ، وما كذب إبراهيم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قال إبراهيم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نطقوا فكبيرهم فعل ، وإن لم ينطقوا فلم يفعل كبيرهم شيئاً ، فما نطقوا وما كذب إبراهيم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تورية يوسف علیه السلام وإبراهيم علیه السلام في قضيّة اُخرى وكيفية المواراة فيها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منها أ نّهما ما كذبا موضوعاً بل أخبرا تورية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عدّة من الروايات أ نّهما أرادا الإصلاح فلم يكن قولهما كذباً حكماً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كرواية الحسن الصيقل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روينا عن </w:t>
      </w:r>
    </w:p>
    <w:p>
      <w:pPr>
        <w:pStyle w:val="BookText"/>
        <w:rPr/>
      </w:pPr>
      <w:r>
        <w:rPr>
          <w:rFonts w:ascii="Amiri" w:hAnsi="Amiri" w:eastAsia="Amiri" w:cs="Amiri"/>
          <w:color w:val="111111"/>
          <w:sz w:val="28"/>
          <w:sz w:val="28"/>
          <w:szCs w:val="28"/>
          <w:rtl w:val="true"/>
          <w:lang w:bidi="ar-SA"/>
        </w:rPr>
        <w:t xml:space="preserve">أبي جعفر علیه السلام في قول يوسف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 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فيها يا 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فيها إلاّ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أحبّ اثنين ، وأبغض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الخطر</w:t>
      </w:r>
      <w:r>
        <w:rPr>
          <w:rStyle w:val="FootnoteAnchor"/>
          <w:rtl w:val="true"/>
        </w:rPr>
        <w:footnoteReference w:id="183"/>
      </w:r>
      <w:r>
        <w:rPr>
          <w:rFonts w:ascii="IRNazanin" w:hAnsi="IRNazanin" w:eastAsia="IRNazanin"/>
          <w:color w:val="111111"/>
          <w:sz w:val="28"/>
          <w:sz w:val="28"/>
          <w:szCs w:val="28"/>
          <w:rtl w:val="true"/>
          <w:lang w:bidi="fa-IR"/>
        </w:rPr>
        <w:t xml:space="preserve">فيما بين الصفّين وأحبّ الكذب في الإصلاح ، وأبغض الخطر في الطرقات وأبغض الكذب في غير الإصلاح ، إنّ إبراهيم علیه السلام 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الإصلاح ودلالة على أ نّهم لا يفعلون ، وقال يوسف علیه السلام إرادة الإصلاح</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عطاء عن أبي عبداللّه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w:t>
      </w:r>
    </w:p>
    <w:p>
      <w:pPr>
        <w:pStyle w:val="BookText"/>
        <w:rPr/>
      </w:pP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 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المنفيّ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الكذب </w:t>
      </w:r>
    </w:p>
    <w:p>
      <w:pPr>
        <w:pStyle w:val="BookText"/>
        <w:rPr/>
      </w:pPr>
      <w:r>
        <w:rPr>
          <w:rFonts w:ascii="Amiri" w:hAnsi="Amiri" w:eastAsia="Amiri" w:cs="Amiri"/>
          <w:color w:val="111111"/>
          <w:sz w:val="28"/>
          <w:sz w:val="28"/>
          <w:szCs w:val="28"/>
          <w:rtl w:val="true"/>
          <w:lang w:bidi="ar-SA"/>
        </w:rPr>
        <w:t xml:space="preserve">كما هو صريحها ، وفي الروايتين وما بمعناهما حكم الكذب ، فيكون المراد أنّ التورية محكومة بحكم الكذب إذا لم تكن للإصلاح ، ومع كونها له ليست بكذب ؛ أي حكماً أيضاً كما ليست به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معاوية بن عمّار</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ليصدق على</w:t>
      </w:r>
    </w:p>
    <w:p>
      <w:pPr>
        <w:pStyle w:val="BookText"/>
        <w:rPr/>
      </w:pPr>
      <w:r>
        <w:rPr>
          <w:rFonts w:ascii="Amiri" w:hAnsi="Amiri" w:eastAsia="Amiri" w:cs="Amiri"/>
          <w:color w:val="111111"/>
          <w:sz w:val="28"/>
          <w:sz w:val="28"/>
          <w:szCs w:val="28"/>
          <w:rtl w:val="true"/>
          <w:lang w:bidi="ar-SA"/>
        </w:rPr>
        <w:t>أخيه فيناله عنت من صدقه فيكون كذّاباً عند اللّه ، وإنّ الرجل ليكذب على أخيه ، يريد به نفعه ، فيكون عند اللّه صادقاً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عبداللّه علیه السلام ،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 وكذب ، وإصلاح بين الناس</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أنّ التورية لا تجوز إلاّ مع إرادة الإصلاح ، وفي مورده مع إمكانها تجب أو ترجّح ، فيستفاد من مجموع الروايات عدم جواز التورية إلاّ في مورد الاستثناء ، وليس ذلك إلاّ لأجل إلحاق الصدق المفيد فائدة الكذب والموجب لإفادة خلاف الواقع بالكذب ، فيتعدّى إلى الإنشاء المفيد فائدته ، بل الأفعال إذا أفادت فائدته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ويمكن تأييد ذلك برواية أبي بصير التي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موثّقة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سالم بن أبي حفصة وأصحابه يروون عنك أ نّك تكلّم على سبعين وجهاً لك منها المخرج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يريد سالم منّي ، أيريد أن أجيء بالملائكة ؟ واللّه ما جاءت بهذا النبيّون علیهم السلام ، ولقد قال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سَقيمٌ</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وما كان سقيماً وما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فعله وما كذب ، ولقد قال يوسف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كانوا سارقين وما كذب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أنّ سالماً أراد الإيراد على أبي جعفر علیه السلام بأ نّه يورّي في الكلام ويأتيه على وجوه ليمكن له المفرّ عند الإيراد عليه ، فأجاب عنه بأ نّه لا بأس به في مورد تقتضي المصلحة كما فعل إبراهيم ويوسف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الأظهر أنّ الرواية بصدد دفع الإشكال عن أصل التورية ، فيظهر منها أنّ</w:t>
      </w:r>
    </w:p>
    <w:p>
      <w:pPr>
        <w:pStyle w:val="BookText"/>
        <w:rPr/>
      </w:pPr>
      <w:r>
        <w:rPr>
          <w:rFonts w:ascii="IRNazanin" w:hAnsi="IRNazanin" w:eastAsia="IRNazanin"/>
          <w:color w:val="111111"/>
          <w:sz w:val="28"/>
          <w:sz w:val="28"/>
          <w:szCs w:val="28"/>
          <w:rtl w:val="true"/>
          <w:lang w:bidi="fa-IR"/>
        </w:rPr>
        <w:t xml:space="preserve">قول إبراهيم علیه السلام ويوسف علیه السلام من قبيل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مفادها نحو مفاد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مرّ أنّ مقتضى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بصير كون كلام إبراهيم ويوسف علیهما السلام 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الروايات المتقدّمة أ نّهما أرادا الإصلاح فما 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المجموع أنّ التورية كذب في وعاء التشريع ، ولها مصداقان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ومبغوض ، وإنّما سمّاها كذباً ؛ لادّعاء كونها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ويؤيّد ما ذكرناه بل يدلّ عليه ما وردت في استثناء عِدَة الرجل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يريد أن يتمّ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عيسى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كذب مسؤول عنه صاحبه يوماً إلاّ كذباً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كائد في حربه فهو موضوع عنه ، أو رجل أصلح بين اثنين يلقى هذا بغير ما يلقى به هذا يريد بذلك الإصلاح ما بينهما ، أو رجل وعد أهله شيئاً وهو لا يريد أن يتمّ لهم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المحاربي عن جعفر بن محمّد علیه السلام ، عن آبائه علیهم السلام ، عن النبي رحمهما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يحسن فيهنّ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المكيدة في الحرب ، وعِدَتك زوجتك ، والإصلاح بين الناس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الحارث الأعور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أن يعد أحدكم صبيّه ثمّ لا يفي له ، إنّ الكذب يهدي إلى الفجور ، والفجور يهدي إلى النار </w:t>
      </w:r>
      <w:r>
        <w:rPr>
          <w:rFonts w:eastAsia="Amiri" w:cs="Amiri" w:ascii="Amiri" w:hAnsi="Amiri"/>
          <w:color w:val="111111"/>
          <w:sz w:val="28"/>
          <w:szCs w:val="28"/>
          <w:rtl w:val="true"/>
          <w:lang w:bidi="ar-SA"/>
        </w:rPr>
        <w:t>.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الوعد والوعيد ليست إخباراً عن واقع يطابقه أو لا يطابقه ، بل تعهّد وتهديد وإن كانا على نحو الإخبار وإلقاء الجملة الخبرية ، نظير الجعل بنحو الإخبار في باب الجعالة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ضالّتي اُعطيه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إخباراً ، بل إنشاء بصورة الإخبار أو إخبار بداعي 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اُعطيك غداً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إخباراً بل إنشاء قرار وعهد ، وله إنجاز وخلف ، لا صدق وكذب ، وإطلاق صادق الوعد والوعد المكذوب أو غير المكذوب ليس باعتبار الإخبار عن واقع ، بل بنحو من المشابهة والتأوّل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كذباً ، ويتأوّه ويتمنّى ويترجّى كذباً ، ونظائرها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عِدَة الرجل أهله ليست من قبيل الإخبار ، ومع ذلك استثناه من الكذب ، فيستكشف منه أنّ الكذب في المستثنى منه أعمّ من الكذب الحقيقي والحكمي الادّعائي ، فيصحّ الاستثناء منه ، فيستفاد منها أنّ كلّ ما كان له</w:t>
      </w:r>
    </w:p>
    <w:p>
      <w:pPr>
        <w:pStyle w:val="BookText"/>
        <w:rPr/>
      </w:pPr>
      <w:r>
        <w:rPr>
          <w:rFonts w:ascii="Amiri" w:hAnsi="Amiri" w:eastAsia="Amiri" w:cs="Amiri"/>
          <w:color w:val="111111"/>
          <w:sz w:val="28"/>
          <w:sz w:val="28"/>
          <w:szCs w:val="28"/>
          <w:rtl w:val="true"/>
          <w:lang w:bidi="ar-SA"/>
        </w:rPr>
        <w:t xml:space="preserve">نحو كشف عن الواقع ، ولو كان من قبيل الإنشاءات ، داخل في الكذب حكماً ، ومحرّم إلاّ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أيضاً بما دلّ على أنّ الهزل 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كمرسلة سيف بن عميرة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علیه السلام يقول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الكذب ، الصغير منه والكبير ، في كلّ جدّ وهزل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 هزله وجدّه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الهزل مقابل الجدّ ، والجدّ إخبار حقيقة ، والهزل ليس بإخبار </w:t>
      </w:r>
    </w:p>
    <w:p>
      <w:pPr>
        <w:pStyle w:val="BookText"/>
        <w:rPr/>
      </w:pPr>
      <w:r>
        <w:rPr>
          <w:rFonts w:ascii="Amiri" w:hAnsi="Amiri" w:eastAsia="Amiri" w:cs="Amiri"/>
          <w:color w:val="111111"/>
          <w:sz w:val="28"/>
          <w:sz w:val="28"/>
          <w:szCs w:val="28"/>
          <w:rtl w:val="true"/>
          <w:lang w:bidi="ar-SA"/>
        </w:rPr>
        <w:t xml:space="preserve">جدّاً ، بل إلقاء الجملة الخبرية ، لا بداعي الإخبار ، بل بداعي المزاح والهزل ، فلا يكون له واقع لا يطابقه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الكذب هزلاً الإخبار عن الواقع بداعي الهزل</w:t>
      </w:r>
      <w:r>
        <w:rPr>
          <w:rStyle w:val="FootnoteAnchor"/>
          <w:rtl w:val="true"/>
        </w:rPr>
        <w:footnoteReference w:id="196"/>
      </w:r>
      <w:r>
        <w:rPr>
          <w:rFonts w:ascii="Amiri" w:hAnsi="Amiri" w:eastAsia="Amiri" w:cs="Amiri"/>
          <w:color w:val="111111"/>
          <w:sz w:val="28"/>
          <w:sz w:val="28"/>
          <w:szCs w:val="28"/>
          <w:rtl w:val="true"/>
          <w:lang w:bidi="ar-SA"/>
        </w:rPr>
        <w:t xml:space="preserve">خلاف الظاهر ؛ لأنّ الإخبار الحقيقي جدّ ، لأيّ غاية كان ، فالهزل المقابل له هو ما لا يكون إخباراً جدّاً ، لا أ نّه إخبار جدّاً لغاية الهزل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منها أنّ ما يفيد فائدة الخبر كذب في عالم التشريع ، وإن لم يكن إخباراً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الاستشهاد عليه لإلحاق غير الكذب به إنشاءً كان أو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إلغاء الخصوصية إنّما هو في موارد يفهم العرف أنّ الموضوع الملقى ليس موضوعاً للحكم ، وإنّما أتى به للمثالية ، أو لجري العادة ، ونحو ذلك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بين الثلاث والأربع</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أفطر يوماً من شهر رمضان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 ونظائرها </w:t>
      </w:r>
      <w:r>
        <w:rPr>
          <w:rStyle w:val="FootnoteAnchor"/>
          <w:rtl w:val="true"/>
        </w:rPr>
        <w:footnoteReference w:id="200"/>
      </w:r>
      <w:r>
        <w:rPr>
          <w:rFonts w:ascii="Amiri" w:hAnsi="Amiri" w:eastAsia="Amiri" w:cs="Amiri"/>
          <w:color w:val="111111"/>
          <w:sz w:val="28"/>
          <w:sz w:val="28"/>
          <w:szCs w:val="28"/>
          <w:rtl w:val="true"/>
          <w:lang w:bidi="ar-SA"/>
        </w:rPr>
        <w:t xml:space="preserve">ممّا يرى العرف أنّ الحكم للشكّ والدم والإفطار ، لا للرجل والثوب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الحكم متعلّقاً بموضوع واُريد إسراؤه منه إلى موضوع آخر بوجوه ظنّية كما نحن فيه ؛ حيث تعلّق الحكم على الكذب ، ولا يفهم العرف منه غيره ، لكن اُريد إسراؤه منه إلى ما يفيد فائدته بالوجوه الظنّية والاعتبارية ، فهو</w:t>
      </w:r>
    </w:p>
    <w:p>
      <w:pPr>
        <w:pStyle w:val="BookText"/>
        <w:rPr/>
      </w:pPr>
      <w:r>
        <w:rPr>
          <w:rFonts w:ascii="Amiri" w:hAnsi="Amiri" w:eastAsia="Amiri" w:cs="Amiri"/>
          <w:color w:val="111111"/>
          <w:sz w:val="28"/>
          <w:sz w:val="28"/>
          <w:szCs w:val="28"/>
          <w:rtl w:val="true"/>
          <w:lang w:bidi="ar-SA"/>
        </w:rPr>
        <w:t xml:space="preserve">قياس ، لا إلغاء خصوصية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إثبات كون مناط الحرمة هو القبح العقلي غير ممكن في المقام ؛ لعدم دليل عليه بل يحتمل أن يكون عنده مناط آخر مجهول عندنا ، والكشف الظنّي لا يغني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ما أدركه العقل من القبح هو العلّة للحكم وهو يدور مدارها توسعة وتضي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 ، وصرف إحراز الاقتضاء لا يفيد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منع القبح في الأفعال والإنشاءات الكاشفة عن خلاف الواقع بمجرّد ذلك إذا لم ينطبق عليها عناوين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مدح من لا يستحقّ المدح ، وذمّ من لا يستحقّه ، وسؤال غير الفقير ، ونظائرها ، ليس قبحها بمناط الكشف عن غير الواقع ، بل نفس تلك العناوين قبيحة بذاتها لا بملاك الكذب ، ولهذا لا قبح في التعفّف ، وإن كان بغرض إفهام الغنى وأن يحسبه الجاهل غنيّاً من التعفّف ، ولا قبح في إنشاء البيع الكاشف عن مالكية المنشئ ، وإن كان بغرضه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المذكور ممنوع صغرى وكبرى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الواردة في عِدَة الرجل أهله</w:t>
      </w:r>
      <w:r>
        <w:rPr>
          <w:rStyle w:val="FootnoteAnchor"/>
          <w:rtl w:val="true"/>
        </w:rPr>
        <w:footnoteReference w:id="201"/>
      </w:r>
      <w:r>
        <w:rPr>
          <w:rFonts w:ascii="Amiri" w:hAnsi="Amiri" w:eastAsia="Amiri" w:cs="Amiri"/>
          <w:color w:val="111111"/>
          <w:sz w:val="28"/>
          <w:sz w:val="28"/>
          <w:szCs w:val="28"/>
          <w:rtl w:val="true"/>
          <w:lang w:bidi="ar-SA"/>
        </w:rPr>
        <w:t xml:space="preserve">، والواردة في الجدّ </w:t>
      </w:r>
    </w:p>
    <w:p>
      <w:pPr>
        <w:pStyle w:val="BookText"/>
        <w:rPr/>
      </w:pPr>
      <w:r>
        <w:rPr>
          <w:rFonts w:ascii="IRNazanin" w:hAnsi="IRNazanin" w:eastAsia="IRNazanin"/>
          <w:color w:val="111111"/>
          <w:sz w:val="28"/>
          <w:sz w:val="28"/>
          <w:szCs w:val="28"/>
          <w:rtl w:val="true"/>
          <w:lang w:bidi="fa-IR"/>
        </w:rPr>
        <w:t>والهزل</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التعارض بين عنوان الكذب المأخوذ فيها الظاهر في الإخبار المخالف للواقع ، وبين عنواني العِدَة والهزل الظاهرين في غير 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تحكيم الصدر على الذيل ، وحمل العدة والهزل على نوع من الإخبار المخالف للواقع ، ولا أقلّ من التعارض الموجب للإجمال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قلنا في وجه الجمع بين روايات التورية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الجمع غير مقبول لدى العقلاء ، ولا يصحّ إثبات حكم شرعي بهذا النحو من الملازمات العقلية الخارجة عن 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لازم ما ذكر من الجمع دعوى كون التورية كذباً ، ليترتّب عليها آثاره من الجواز عند إرادة الإصلاح وعدمه عند عدمها ، ثمّ دعوى أنّ ما اُريد بها الإصلاح ليس بكذب ؛ أي ليس بكذب ادّعاءً؛ لإثبات جوازها عند إرادة الإصلاح ، وهو كما ترى أمر منكر مخالف للمحاورات العقلائية لإفهام المعاني ، بيانه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 أبي جعفر علیه السلام على ما في رواية الصيقل</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كذب إبراهيم ويوسف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عن رسول اللّه رحمهما اللّه في رواية عطاء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كذب على مصلح</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ثمّ تلا الآية المربوطة بقضيتهما ونفي الكذب عنهما الظاهر في نفيه </w:t>
      </w:r>
    </w:p>
    <w:p>
      <w:pPr>
        <w:pStyle w:val="BookText"/>
        <w:rPr/>
      </w:pPr>
      <w:r>
        <w:rPr>
          <w:rFonts w:ascii="Amiri" w:hAnsi="Amiri" w:eastAsia="Amiri" w:cs="Amiri"/>
          <w:color w:val="111111"/>
          <w:sz w:val="28"/>
          <w:sz w:val="28"/>
          <w:szCs w:val="28"/>
          <w:rtl w:val="true"/>
          <w:lang w:bidi="ar-SA"/>
        </w:rPr>
        <w:t xml:space="preserve">حكماً لا موضوعاً ، إنّما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 قولهما بنحو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w:t>
      </w:r>
    </w:p>
    <w:p>
      <w:pPr>
        <w:pStyle w:val="BookText"/>
        <w:rPr/>
      </w:pPr>
      <w:r>
        <w:rPr>
          <w:rFonts w:ascii="Amiri" w:hAnsi="Amiri" w:eastAsia="Amiri" w:cs="Amiri"/>
          <w:color w:val="111111"/>
          <w:sz w:val="28"/>
          <w:sz w:val="28"/>
          <w:szCs w:val="28"/>
          <w:rtl w:val="true"/>
          <w:lang w:bidi="ar-SA"/>
        </w:rPr>
        <w:t xml:space="preserve">بنفي الموضوع النفي ادّعاء ، مع أنّ التورية ليست بكذب حقيقة ، فلا بدّ في تصحيح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التورية مطلقاً كذب ادّعاءً ، والمراد من نفيه عنهما في الروايتين نفي الحكم بلسان نفي الموضوع الادّعائي ادّعاء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دعوى كونها كذباً جوازها عند إرادة الإصلاح ؛ فإنّ الكذب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دعوى عدم كونها كذباً ادّعاء عند إرادة الإصلاح عدم كون حكمها حكم الكذب الإصلاحي ، فيلزم منه نفي الجواز لإرادة الإصلاح ، لا إثباته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لازمه التعارض بين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ما ذكرناه من الاستنتاج للتعميم ، غير وجيه خارج عن المحاورات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عدم قيام دليل على إلحاق ما ليس بكذب به ، تورية كان أو إنشاء أو فعلاً ، مع أ نّه قد وردت التورية في روايات ظاهرة في جوازها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محمّد بن إدريس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عبداللّه بن بكير بن أعين عن أبي عبداللّه علیه السلام في الرجل يستأذن عليه ، فيقول للجارية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ليس بكذب</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المشار إليه كان محلاًّ خالياً ، حتّى يخرج الإخبار عن الكذب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إطلاقها جواز التورية ولولا لإرادة الإصلاح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في سند الروايات التي نقلها ابن إدريس من بعض الاُصول ككتاب البزنطي وابن بكير وغيرهما كلام ، وهو أ نّه لم يثبت عندنا أنّ تلك الاُصول كانت معروفة في عصر ابن إدريس نحو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ممّا هي معروفة واضحة الصدور من أربابها بحيث لم نحتج إلى العنعنة في إثبات كونها منهم ، ولم يذكر ابن إدريس طريقه إليها ، ومن المحتمل أنّ ثبوت كونها منهم عنده بوجوه اجتهادية وقرائن لو قامت عندنا لم نتّكل عليها ؛ لاختلاف اجتهادنا معه ، وليس ابن إدريس ومن في طبقته ونظائره عندنا كصدوق الطائفة ونظائره ممّن كان عصره قريباً من عصر صاحب الاُصول ولم يكن دأبه الاجتهاد وإعمال النظر والاتّكال على القرائن الاجتهادية لإثبات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يبعد الاعتماد على مرسلاتهم التي أرسلوها إرسال المسلّمات دون مرسلات أضراب محمّد بن إدريس رحمه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ذلك ما استطرفناه من كتاب عبداللّه بن بكير الحسين عنه عن أبي عبداللّه علیه السلام ، ثمّ ساق الحديث</w:t>
      </w:r>
      <w:r>
        <w:rPr>
          <w:rStyle w:val="FootnoteAnchor"/>
          <w:rtl w:val="true"/>
        </w:rPr>
        <w:footnoteReference w:id="207"/>
      </w:r>
      <w:r>
        <w:rPr>
          <w:rFonts w:ascii="Amiri" w:hAnsi="Amiri" w:eastAsia="Amiri" w:cs="Amiri"/>
          <w:color w:val="111111"/>
          <w:sz w:val="28"/>
          <w:sz w:val="28"/>
          <w:szCs w:val="28"/>
          <w:rtl w:val="true"/>
          <w:lang w:bidi="ar-SA"/>
        </w:rPr>
        <w:t xml:space="preserve">، ويظهر من الأحاديث المذكورة بعده أنّ أحاديثه منقولة عن عبداللّه بواسطة الحسين ، وهو يحتمل أن يكون الحسين بن سعيد الأهوازي ، لكنّه مجرّد احتمال أو ظنّ بذلك ، فلا حجّية في الرواية وإن أغمضنا عن الإشكال الأوّل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وكرواية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علیه السلام بحديث، 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زعمت لي الساعة كذا وكذا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ذلك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زعمت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ذلك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قلته، أما علمت أنّ كلّ زعم في القرآن كذب؟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ظاهرة الدلالة في جواز التورية مطلقاً ، فإنّ دفع عبد الأعلى عن إطلاق كلمة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قلت وتستعمل في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الإصلاح الذي يجوّز الكذب أو ما بحكمه ، ولهذا لا يجوز الكذب في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وكرواية أبي بصير المتقدّمة الواردة في قصّة سالم بن أبي حفصة</w:t>
      </w:r>
      <w:r>
        <w:rPr>
          <w:rStyle w:val="FootnoteAnchor"/>
          <w:rtl w:val="true"/>
        </w:rPr>
        <w:footnoteReference w:id="209"/>
      </w:r>
      <w:r>
        <w:rPr>
          <w:rFonts w:ascii="IRNazanin" w:hAnsi="IRNazanin" w:eastAsia="IRNazanin"/>
          <w:color w:val="111111"/>
          <w:sz w:val="28"/>
          <w:sz w:val="28"/>
          <w:szCs w:val="28"/>
          <w:rtl w:val="true"/>
          <w:lang w:bidi="fa-IR"/>
        </w:rPr>
        <w:t xml:space="preserve">، فإنّ أبا جعفر علیه السلام لم يعلّل جواز إلقاء كلام ذي وجوه وكذا تورية إبراهيم علیه السلام ويوسف علیه السلام بإرادة الإصلاح ، فيفهم منها أنّ إلقاء كلام ذي وجوه وإرادة بعض الوجوه المخفيّة لا مانع منه كما فعل يوسف وإبراهيم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ذيل رواية سويد بن حنظلة المنقولة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ومعنا وائل بن حجر نريد النبي رحمهما اللّه فأخذه أعداء له ، وتحرّج القوم أن يحلفوا ، فحلفت باللّه أ نّه أخي ، فخلّى عنه العدوّ ، فذكرت ذلك للنبي رحمهما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المسلم أخو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منها وإن كان حلفه على الاُخوّة النسبية لكن يظهر منها نفي الكذب عن التورية ، ويفهم منه جوازه لذلك ، لا لإرادة الإصلاح وإن كان المورد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التورية غير جائزة إلاّ مع إرادة الإصلاح ، لكان عليه التنبيه عليه لا الحكم بالجواز لمجرّد نفي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أنّ التورية وكذا الإنشاءات والأفعال المفيدة فائدة الكذب لا تكون محرّمة ؛ للأصل وقصور الأدلّة ، بل دلالة بعض الروايات على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يستشكل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في توجيه تورية إبراهيم بأنّ كسر الأصنام صدر من إبراهيم علیه السلام وإن كانت الأصنام ينطقون ، فيلزم الكذب بالإخبار بالملازمة ، فإنّ ملاك الصدق والكذب في الشرطيات صدق الملازمة وكذبها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فإنّ كلام إبراهيم علیه السلام من قبيل التعليق على أمر محال لإثبات أنّ المعلّق عليه محال ، لا لإثبات الملازمة ، فالكلام سيق لنفي العمل لكونه معلّقاً على محال ، لا لتحقّقه بتحقّق المعلّق عليه ،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يَدْخُلُونَ الْجَنَّةَ حَتّى يَلِجَ الْجَمَلُ فِى سَمِّ الخِياطِ</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فإنّه ليس بصدد الإخبار بالملازمة بين دخول الجنّة وولوج الجمل في سمّ الخياط ، ضرورة عدم التلازم بينهما ، بل بصدد بيان استحالة دخولهم الجنّة بالتعليق على محال عادي </w:t>
      </w:r>
      <w:r>
        <w:rPr>
          <w:rFonts w:eastAsia="Amiri" w:cs="Amiri" w:ascii="Amiri" w:hAnsi="Amiri"/>
          <w:color w:val="111111"/>
          <w:sz w:val="28"/>
          <w:szCs w:val="28"/>
          <w:rtl w:val="true"/>
          <w:lang w:bidi="ar-SA"/>
        </w:rPr>
        <w:t xml:space="preserve">. </w:t>
      </w:r>
      <w:bookmarkStart w:id="48" w:name="pg15162_155360"/>
    </w:p>
    <w:p>
      <w:pPr>
        <w:pStyle w:val="BookText"/>
        <w:rPr/>
      </w:pPr>
      <w:bookmarkEnd w:id="48"/>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نظائر هذا الكلام كناية عن عدم التحقّق أو استحالته لا إخبار بالملازمة ، كما هو واضح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55372_2142443653"/>
      <w:bookmarkStart w:id="50" w:name="_Toc17"/>
      <w:bookmarkEnd w:id="49"/>
      <w:r>
        <w:rPr>
          <w:rtl w:val="true"/>
        </w:rPr>
        <w:t>انصراف المطلقات عن الكذب في مقام الهزل</w:t>
      </w:r>
      <w:bookmarkEnd w:id="50"/>
    </w:p>
    <w:p>
      <w:pPr>
        <w:pStyle w:val="BookText"/>
        <w:rPr/>
      </w:pPr>
      <w:r>
        <w:rPr>
          <w:rFonts w:ascii="Amiri" w:hAnsi="Amiri" w:eastAsia="Amiri" w:cs="Amiri"/>
          <w:color w:val="111111"/>
          <w:sz w:val="28"/>
          <w:sz w:val="28"/>
          <w:szCs w:val="28"/>
          <w:rtl w:val="true"/>
          <w:lang w:bidi="ar-SA"/>
        </w:rPr>
        <w:t xml:space="preserve">ثمّ إنّ الظاهر أنّ الأخبار المطلقة منصرفة عن الكذب في مقام الهزل وإن فرض الإخبار بالواقع لهذا الغرض ، لكن مع قيام قرينةٍ حاليةٍ أو مقاليةٍ شاهدةٍ على الهزل ، كما لو كان المجلس من المجالس التي اُعدّت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الانصراف عن أخبار غير مفيدة ، كما لو أخبر بخلاف واقع واضح لا يؤثّر في المخاطب شيئاً ، كالإخبار ببرودة النار وحرارة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كان غير مفيد لمخاطب خاصّ ، كما لو علم المتخاطبين كذب القضيّة ، فإنّ المتفاهم من أخبار الباب والإشعارات التي فيها هو حرمة الكذب في الأخبار المتداولة المعمولة بين الناس لإفادة مضمونها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أعان اللّه به على الكذّابين النسيان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الكاذب على شفا مخزاةٍ وهلكةٍ</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كذب كان أوّل من يكذّبه اللّه ، ونفسه تعلم أ نّه كاذب</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انصراف الأخبار عن الهزل لا يمكن إثبات حرمته بما وردت في </w:t>
      </w:r>
    </w:p>
    <w:p>
      <w:pPr>
        <w:pStyle w:val="BookText"/>
        <w:rPr/>
      </w:pPr>
      <w:r>
        <w:rPr>
          <w:rFonts w:ascii="Amiri" w:hAnsi="Amiri" w:eastAsia="Amiri" w:cs="Amiri"/>
          <w:color w:val="111111"/>
          <w:sz w:val="28"/>
          <w:sz w:val="28"/>
          <w:szCs w:val="28"/>
          <w:rtl w:val="true"/>
          <w:lang w:bidi="ar-SA"/>
        </w:rPr>
        <w:t>الكذب هزلاً ، فإنّها وإن كانت مستفيضةً ، فلا ينظر إلى ضعف أسنادها مع أنّ</w:t>
      </w:r>
    </w:p>
    <w:p>
      <w:pPr>
        <w:pStyle w:val="BookText"/>
        <w:rPr/>
      </w:pPr>
      <w:r>
        <w:rPr>
          <w:rFonts w:ascii="Amiri" w:hAnsi="Amiri" w:eastAsia="Amiri" w:cs="Amiri"/>
          <w:color w:val="111111"/>
          <w:sz w:val="28"/>
          <w:sz w:val="28"/>
          <w:szCs w:val="28"/>
          <w:rtl w:val="true"/>
          <w:lang w:bidi="ar-SA"/>
        </w:rPr>
        <w:t>بعضها لا يخلو من حُسنٍ كرواية الأصبغ</w:t>
      </w:r>
      <w:r>
        <w:rPr>
          <w:rStyle w:val="FootnoteAnchor"/>
          <w:rtl w:val="true"/>
        </w:rPr>
        <w:footnoteReference w:id="218"/>
      </w:r>
      <w:r>
        <w:rPr>
          <w:rFonts w:ascii="Amiri" w:hAnsi="Amiri" w:eastAsia="Amiri" w:cs="Amiri"/>
          <w:color w:val="111111"/>
          <w:sz w:val="28"/>
          <w:sz w:val="28"/>
          <w:szCs w:val="28"/>
          <w:rtl w:val="true"/>
          <w:lang w:bidi="ar-SA"/>
        </w:rPr>
        <w:t xml:space="preserve">، لكن فيها ما لا تدلّ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الأصبغ ، والحارث الأعور</w:t>
      </w:r>
      <w:r>
        <w:rPr>
          <w:rStyle w:val="FootnoteAnchor"/>
          <w:rtl w:val="true"/>
        </w:rPr>
        <w:footnoteReference w:id="219"/>
      </w:r>
      <w:r>
        <w:rPr>
          <w:rFonts w:ascii="Amiri" w:hAnsi="Amiri" w:eastAsia="Amiri" w:cs="Amiri"/>
          <w:color w:val="111111"/>
          <w:sz w:val="28"/>
          <w:sz w:val="28"/>
          <w:szCs w:val="28"/>
          <w:rtl w:val="true"/>
          <w:lang w:bidi="ar-SA"/>
        </w:rPr>
        <w:t>، بل مرسلة سيف بن عميرة</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 علي بن الحسين علیه السلام على ما في الرواية لولده في مقام النصيحة لتهذيبهم عن الذمائم ، لا يدلّ على التحريم ، مع أنّ في مادّة التقوى أيضاً إشعاراً بعدمه ،</w:t>
      </w:r>
    </w:p>
    <w:p>
      <w:pPr>
        <w:pStyle w:val="BookText"/>
        <w:rPr/>
      </w:pPr>
      <w:r>
        <w:rPr>
          <w:rFonts w:ascii="Amiri" w:hAnsi="Amiri" w:eastAsia="Amiri" w:cs="Amiri"/>
          <w:color w:val="111111"/>
          <w:sz w:val="28"/>
          <w:sz w:val="28"/>
          <w:szCs w:val="28"/>
          <w:rtl w:val="true"/>
          <w:lang w:bidi="ar-SA"/>
        </w:rPr>
        <w:t xml:space="preserve">فلا يبعد أن يكون الأمر لمجرّد الرجحان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الخدشة في دلالة رواية أبي ذرّ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 ويل للّذي يحدّث فيكذب ليضحك به القوم ، ويل له ، ويل له</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إنشاء الويل أعمّ من التحريم ، ولو سلّمت دلالتها كما 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تصلح لإثبات الحكم ؛ لضعفها سيّما في مثل المقام الذي ادّعى الأعلام السيرة على ارتكابه كما لا تبعد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عدم الحرمة في الهزل مع قيام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عدمها من رجحان في الأخبار غير المفيدة مطلقاً ، لكن الأحوط الاحتراز سيّما في الثاني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بعض المدقّقين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المرتضى </w:t>
      </w:r>
      <w:bookmarkStart w:id="51" w:name="pg15162_155362"/>
    </w:p>
    <w:p>
      <w:pPr>
        <w:pStyle w:val="BookText"/>
        <w:rPr/>
      </w:pPr>
      <w:bookmarkEnd w:id="51"/>
      <w:r>
        <w:rPr>
          <w:rFonts w:ascii="Amiri" w:hAnsi="Amiri" w:eastAsia="Amiri" w:cs="Amiri"/>
          <w:color w:val="111111"/>
          <w:sz w:val="28"/>
          <w:sz w:val="28"/>
          <w:szCs w:val="28"/>
          <w:rtl w:val="true"/>
          <w:lang w:bidi="ar-SA"/>
        </w:rPr>
        <w:t>الإجماع على حرمته ولو لم يكن فيه إغراء ؛ لكون المخاطب مثلاً عالماً بعلم المتكلّم بعدم مطابقة كلامه للواقع</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955374_2142443653"/>
      <w:bookmarkStart w:id="53" w:name="_Toc18"/>
      <w:bookmarkEnd w:id="52"/>
      <w:r>
        <w:rPr>
          <w:rtl w:val="true"/>
        </w:rPr>
        <w:t>حكم الإخبار عن قضيّة مشكوك فيها</w:t>
      </w:r>
      <w:bookmarkEnd w:id="53"/>
    </w:p>
    <w:p>
      <w:pPr>
        <w:pStyle w:val="BookText"/>
        <w:rPr/>
      </w:pPr>
      <w:r>
        <w:rPr>
          <w:rFonts w:ascii="Amiri" w:hAnsi="Amiri" w:eastAsia="Amiri" w:cs="Amiri"/>
          <w:color w:val="111111"/>
          <w:sz w:val="28"/>
          <w:sz w:val="28"/>
          <w:szCs w:val="28"/>
          <w:rtl w:val="true"/>
          <w:lang w:bidi="ar-SA"/>
        </w:rPr>
        <w:t xml:space="preserve">ثمّ إنّ مقتضى الاُصول العقلية والنقلية جواز الإخبار عن قضيّة مشكوك فيها ؛ فلو شكّ في أنّ زيداً قائم يجوز له الإخبار بقيامه ؛ لأ نّه من الشبهة المصداقية لأدلّة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وجوب الصدق ، لا بمعنى وجوبه مطلقاً ، بل بمعنى أ نّه لو أراد المتكلّم الإخبار يجب عليه أن يصدق ، فلا بدّ له من إحراز كونه صدقاً بعلم أو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إثبات ذلك مشكل بل ممنوع ، وإن أفتى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فإنّ الأخبار لا تصلح لإثباته ، إمّا لقصور الدلالة كما هو كذلك غالباً ، أو لقصور السند ، فراجعها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 بإلغاء الخصوصية ممّا وردت متواترةً</w:t>
      </w:r>
      <w:r>
        <w:rPr>
          <w:rStyle w:val="FootnoteAnchor"/>
          <w:rtl w:val="true"/>
        </w:rPr>
        <w:footnoteReference w:id="225"/>
      </w:r>
      <w:r>
        <w:rPr>
          <w:rFonts w:ascii="Amiri" w:hAnsi="Amiri" w:eastAsia="Amiri" w:cs="Amiri"/>
          <w:color w:val="111111"/>
          <w:sz w:val="28"/>
          <w:sz w:val="28"/>
          <w:szCs w:val="28"/>
          <w:rtl w:val="true"/>
          <w:lang w:bidi="ar-SA"/>
        </w:rPr>
        <w:t>بحرمة الفتوى بغير علم ، وما وردت بحرمة القضاء وكذا الشهادة كذلك</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غاية ما يمكن إلغاؤها هو الكذب على اللّه تعالى وعلى رسوله رحمهما اللّه والأئمّة علیهم السلام في خصوص الأحكام ولو كان بنحو الإخبار لا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أخبر عن اللّه أو عن رسوله رحمهما اللّه بأ نّه قال كذا في مورد الشبهة الحكمية ، يكون محرّماً ؛ لفحوى أدلّة حرمة الفتوى بغير علم ، دون الإخبار بالاُمور الاُخر ، كالإخبار بأنّ للنبي رحمهما اللّه صفةً كذائية أو نحو ذلك ، فضلاً عن الإخبارات العادية بالنسبة إلى 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في مورد الشكّ جزماً إخبار عن علم المخبر ، وهو كذب أو له مفسدته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إخباراً عنه ، بل ينتقل السامع 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عدم الدليل على حرمة مثله ومنع كون مناط الكذب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العلم الإجمالي المنجّز في الموارد المشكوك فيها ؛ فإنّ في كلّ مورد منها يعلم إجمالاً بأ نّه إمّا الإخبار عن الثبوت كذب محرّم أو الإخبار عن عدمه ، فلا يجوز عقلاً الإخبار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كحسنة علي بن جعفر ، عن أخيه موسى بن جعفر علیه السلام ، عن آبائه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أن تتكلّم بما شئت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بِهِ عِلْمٌ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منها أنّ الآية الكريمة تشمل القول بغير علم ، فتكون هي مضافاً إلى الرواية دليلاً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أ نّها أعمّ من القول بغير علم ، والاعتقاد بما لا يعلم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والمتيقّن من الرواية هو القول بغير علم بقرينة استشهاده بالآية الشريفة ، ومقتضى إطلاقها عموم الحكم لجميع مصاديق الإخبار بغير علم ، ولا دليل على اختصاصها بالإخبار عن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وصحيحة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على خلقه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يقولوا ما يعلمون ويكفّوا عمّا لا يعلمون ، فإذا فعلوا ذلك فقد أدّوا إلى اللّه حقّه</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ونحوها رواية زرارة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فيها بأنّ مطلق ثبوت حقّ منه تعالى على خلقه لا يدلّ على وجوب أدائه ، إذ لعلّه من الحقوق المستحبّة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فيها منصرف إلى ما هو من قبيل أحكام اللّه تعالى ، لا مطلق القول بغير علم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زياد بن أبي رجاء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علمتم فقولوا ، وما لم تعلموا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 إنّ الرجل لينتزع الآية من القرآن يخرّ فيها </w:t>
      </w:r>
    </w:p>
    <w:p>
      <w:pPr>
        <w:pStyle w:val="BookText"/>
        <w:rPr/>
      </w:pPr>
      <w:r>
        <w:rPr>
          <w:rFonts w:ascii="Amiri" w:hAnsi="Amiri" w:eastAsia="Amiri" w:cs="Amiri"/>
          <w:color w:val="111111"/>
          <w:sz w:val="28"/>
          <w:sz w:val="28"/>
          <w:szCs w:val="28"/>
          <w:rtl w:val="true"/>
          <w:lang w:bidi="ar-SA"/>
        </w:rPr>
        <w:t>أبعد ما بين السماء والأرض</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إلاّ أن يناقش فيها بأنّ ذيلها قرينة على أنّ المراد من القول بغير علم مثل الفتوى والإخبار عن اللّه تعالى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مصداق أهمّ المصاديق لا يصير قرينة على الاختصاص ، فالعبرة بإطلاق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فيها باشتمالها على ما لا يجب جزماً وهو القول بأنّ اللّه أعلم ، ففي غير محلّها ؛ لأ نّه كناية عن عدم جواز القول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المتفاهم منها عدم 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 المطلوب رواية أبي يعقوب إسحاق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اختصاصها بالأحكام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حقيقة الإيمان أن لا يجوز منطقك علمك</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أيضاً فحوى صحيحة محمّد بن مسلم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سئل الرجل منكم عمّا لا يعلم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ولا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 فيوقع في قلب صاحبه شكّاً ، وإذا قال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فلا يتّهمه السائل</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قبح الإخبار بغير علم ، بل الظاهر عدم جوازه في ارتكاز المتشرّعة ، وكان منزلته منزلة الكذب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الاستصحاب في بعض الموارد ، وإلاّ فقد يمكن التمسّك به لإحراز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طلوع الشمس بعد اليقين بعدم طلوعها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بطلوعها كان كذباً ، والآن كما كان فينقّح به موضوع الحرمة ، وهذا ليس باستصحاب تعليقي ، بل تنجيزي على عنوان كلّي قبل تحقّق مصاديقه ، كاستصحاب حرمة شرب الخمر وأكل الربا ، واستصحاب وجوب صلاة الجمعة الذي يرجع إلى فعل المكلّف ؛ أي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الأصل الحكمي مع الغضّ عن الموضوعي على عنوان كلّي ، فينحلّ العلم الإجمالي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استصحاب عدم طلوع الشمس لا يثبت كون الإخبار بالطلوع كذباً ومحرّماً ، كما لا يخفى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بحرمة القول بغير علم هل يجري </w:t>
      </w:r>
    </w:p>
    <w:p>
      <w:pPr>
        <w:pStyle w:val="BookText"/>
        <w:rPr/>
      </w:pPr>
      <w:r>
        <w:rPr>
          <w:rFonts w:ascii="Amiri" w:hAnsi="Amiri" w:eastAsia="Amiri" w:cs="Amiri"/>
          <w:color w:val="111111"/>
          <w:sz w:val="28"/>
          <w:sz w:val="28"/>
          <w:szCs w:val="28"/>
          <w:rtl w:val="true"/>
          <w:lang w:bidi="ar-SA"/>
        </w:rPr>
        <w:t>الاستصحاب ويقوم مقام العلم الموضوعي بدليله فيستصحب عدم طلوعها ويخبر به أو لا ؟</w:t>
      </w:r>
    </w:p>
    <w:p>
      <w:pPr>
        <w:pStyle w:val="BookText"/>
        <w:rPr/>
      </w:pPr>
      <w:r>
        <w:rPr>
          <w:rFonts w:ascii="Amiri" w:hAnsi="Amiri" w:eastAsia="Amiri" w:cs="Amiri"/>
          <w:color w:val="111111"/>
          <w:sz w:val="28"/>
          <w:sz w:val="28"/>
          <w:szCs w:val="28"/>
          <w:rtl w:val="true"/>
          <w:lang w:bidi="ar-SA"/>
        </w:rPr>
        <w:t>الظاهر جريانه ؛ لما قلنا في محلّه من قيامه مقامه بدليله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قلنا بأنّ العلم المأخوذ في أدلّة حرمة القول بغير علم ، العلم الوجداني ، وأمّا إن قلنا بأنّ المراد به في نظائر المقام الحجّة ، كما هو الحقّ ، فلا إشكال في وروده عليها وإخراج موضوعه عن القول بغير علم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التنبيه على أمرين </w:t>
      </w:r>
      <w:r>
        <w:rPr>
          <w:rFonts w:eastAsia="Amiri" w:cs="Amiri" w:ascii="Amiri" w:hAnsi="Amiri"/>
          <w:color w:val="111111"/>
          <w:sz w:val="28"/>
          <w:szCs w:val="28"/>
          <w:rtl w:val="true"/>
          <w:lang w:bidi="ar-SA"/>
        </w:rPr>
        <w:t xml:space="preserve">: </w:t>
      </w:r>
      <w:bookmarkStart w:id="54" w:name="pg15162_155368"/>
    </w:p>
    <w:p>
      <w:pPr>
        <w:pStyle w:val="Heading3"/>
        <w:numPr>
          <w:ilvl w:val="2"/>
          <w:numId w:val="1"/>
        </w:numPr>
        <w:rPr/>
      </w:pPr>
      <w:bookmarkStart w:id="55" w:name="__RefHeading___Toc1955376_2142443653"/>
      <w:bookmarkStart w:id="56" w:name="_Toc19"/>
      <w:bookmarkEnd w:id="54"/>
      <w:bookmarkEnd w:id="55"/>
      <w:r>
        <w:rPr>
          <w:rtl w:val="true"/>
        </w:rPr>
        <w:t>الأمر الأوّل في كون الكذب من الكبائر</w:t>
      </w:r>
      <w:bookmarkEnd w:id="56"/>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هل هو من الكبائر مطلقاً أو لا كذلك ، أو يختلف حكمه باعتبار المخبر به ، أو لا يكون فيه اقتضاء الحرمة بذاته أصلاً ، وإنّما يحرم تبعاً لفساد متعلّقه ويصير كبيرة أيضاً بتبعه ، فإذا لم يكن في المتعلّق مصلحة ولا مفسدة لا يكون حراماً ؟</w:t>
      </w:r>
    </w:p>
    <w:p>
      <w:pPr>
        <w:pStyle w:val="BookText"/>
        <w:rPr/>
      </w:pPr>
      <w:r>
        <w:rPr>
          <w:rFonts w:ascii="Amiri" w:hAnsi="Amiri" w:eastAsia="Amiri" w:cs="Amiri"/>
          <w:color w:val="111111"/>
          <w:sz w:val="28"/>
          <w:sz w:val="28"/>
          <w:szCs w:val="28"/>
          <w:rtl w:val="true"/>
          <w:lang w:bidi="ar-SA"/>
        </w:rPr>
        <w:t xml:space="preserve">وهذا العنوان الأخير وإن كان تقديمه على التنبيه أنسب ، لكن لمّا كان تحقيقه متوقّفاً على ذكر الروايات أخّرناه عنه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955378_2142443653"/>
      <w:bookmarkStart w:id="58" w:name="_Toc20"/>
      <w:bookmarkEnd w:id="57"/>
      <w:r>
        <w:rPr>
          <w:rtl w:val="true"/>
        </w:rPr>
        <w:t>الاستدلال بالروايات على كون الكذب مطلقاً من الكبائر</w:t>
      </w:r>
      <w:bookmarkEnd w:id="58"/>
    </w:p>
    <w:p>
      <w:pPr>
        <w:pStyle w:val="BookText"/>
        <w:rPr/>
      </w:pPr>
      <w:r>
        <w:rPr>
          <w:rFonts w:ascii="Amiri" w:hAnsi="Amiri" w:eastAsia="Amiri" w:cs="Amiri"/>
          <w:color w:val="111111"/>
          <w:sz w:val="28"/>
          <w:sz w:val="28"/>
          <w:szCs w:val="28"/>
          <w:rtl w:val="true"/>
          <w:lang w:bidi="ar-SA"/>
        </w:rPr>
        <w:t xml:space="preserve">وقد استدلّ على كونه مطلقاً كبيرة بروايات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بروايتي العيون والخصال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عن الفضل بن شاذان عن الرضا علیه السلام </w:t>
      </w:r>
      <w:r>
        <w:rPr>
          <w:rStyle w:val="FootnoteAnchor"/>
          <w:rtl w:val="true"/>
        </w:rPr>
        <w:footnoteReference w:id="239"/>
      </w:r>
      <w:r>
        <w:rPr>
          <w:rFonts w:ascii="IRNazanin" w:hAnsi="IRNazanin" w:eastAsia="IRNazanin"/>
          <w:color w:val="111111"/>
          <w:sz w:val="28"/>
          <w:sz w:val="28"/>
          <w:szCs w:val="28"/>
          <w:rtl w:val="true"/>
          <w:lang w:bidi="fa-IR"/>
        </w:rPr>
        <w:t xml:space="preserve">، ورواية الأعمش عن جعفر بن محمّد علیه السلام في حديث </w:t>
      </w:r>
    </w:p>
    <w:p>
      <w:pPr>
        <w:pStyle w:val="BookText"/>
        <w:rPr/>
      </w:pPr>
      <w:r>
        <w:rPr>
          <w:rFonts w:ascii="Amiri" w:hAnsi="Amiri" w:eastAsia="Amiri" w:cs="Amiri"/>
          <w:color w:val="111111"/>
          <w:sz w:val="28"/>
          <w:sz w:val="28"/>
          <w:szCs w:val="28"/>
          <w:rtl w:val="true"/>
          <w:lang w:bidi="ar-SA"/>
        </w:rPr>
        <w:t>شرائع الدين</w:t>
      </w:r>
      <w:r>
        <w:rPr>
          <w:rStyle w:val="FootnoteAnchor"/>
          <w:rtl w:val="true"/>
        </w:rPr>
        <w:footnoteReference w:id="240"/>
      </w:r>
      <w:r>
        <w:rPr>
          <w:rFonts w:ascii="Amiri" w:hAnsi="Amiri" w:eastAsia="Amiri" w:cs="Amiri"/>
          <w:color w:val="111111"/>
          <w:sz w:val="28"/>
          <w:sz w:val="28"/>
          <w:szCs w:val="28"/>
          <w:rtl w:val="true"/>
          <w:lang w:bidi="ar-SA"/>
        </w:rPr>
        <w:t xml:space="preserve">، حيث عدّ فيهما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ضعيفة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بعضهم تحسين الاُولى أو تصحيحها </w:t>
      </w:r>
      <w:r>
        <w:rPr>
          <w:rStyle w:val="FootnoteAnchor"/>
          <w:rtl w:val="true"/>
        </w:rPr>
        <w:footnoteReference w:id="241"/>
      </w:r>
      <w:r>
        <w:rPr>
          <w:rFonts w:ascii="Amiri" w:hAnsi="Amiri" w:eastAsia="Amiri" w:cs="Amiri"/>
          <w:color w:val="111111"/>
          <w:sz w:val="28"/>
          <w:sz w:val="28"/>
          <w:szCs w:val="28"/>
          <w:rtl w:val="true"/>
          <w:lang w:bidi="ar-SA"/>
        </w:rPr>
        <w:t xml:space="preserve">بأنّ للصدوق إلى الفضل ثلاثة طرق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عبدوس العطّار النيسابوري ، عن علي بن محمّد بن قتيبة النيسابوري ، عن الفضل بن شاذان ، وهو طريق حسن بل صحيح ؛ لأنّ الصدوق روى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من ثلاث طرق وقال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عبد الواحد بن محمّد بن عبدوس عندي أصحّ</w:t>
      </w:r>
      <w:r>
        <w:rPr>
          <w:rStyle w:val="FootnoteAnchor"/>
          <w:rtl w:val="true"/>
        </w:rPr>
        <w:footnoteReference w:id="242"/>
      </w:r>
      <w:r>
        <w:rPr>
          <w:rFonts w:ascii="Amiri" w:hAnsi="Amiri" w:eastAsia="Amiri" w:cs="Amiri"/>
          <w:color w:val="111111"/>
          <w:sz w:val="28"/>
          <w:sz w:val="28"/>
          <w:szCs w:val="28"/>
          <w:rtl w:val="true"/>
          <w:lang w:bidi="ar-SA"/>
        </w:rPr>
        <w:t xml:space="preserve">، وهو توثيق رجال السند سيّما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تصحيح العلاّمة رواية هو في سندها </w:t>
      </w:r>
      <w:r>
        <w:rPr>
          <w:rStyle w:val="FootnoteAnchor"/>
          <w:rtl w:val="true"/>
        </w:rPr>
        <w:footnoteReference w:id="243"/>
      </w:r>
      <w:r>
        <w:rPr>
          <w:rFonts w:ascii="Amiri" w:hAnsi="Amiri" w:eastAsia="Amiri" w:cs="Amiri"/>
          <w:color w:val="111111"/>
          <w:sz w:val="28"/>
          <w:sz w:val="28"/>
          <w:szCs w:val="28"/>
          <w:rtl w:val="true"/>
          <w:lang w:bidi="ar-SA"/>
        </w:rPr>
        <w:t>، وتبعه الشهيد الثاني محتجّاً بذلك وبكونه من المشايخ الذين ينقل عنهم الصدوق بغير واسطة مع تكرّر ذلك الظاهر منه الاعتماد عليه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الصدوق راجع إلى متن الرواية ، فإنّها بطريقها الآخر مشتملة على بعض الزيادات المخالف للمذهب ، كمعصية الأنبياء وغير ذلك</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تصحيح السند بهذا الاصطلاح لعلّه غير معهود عند الصدوق وأمثاله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وتصحيح العلاّمة لعلّه لقرائن دالّة على صحّة المتن ، ولهذا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 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يحضرني حال عبد الواحد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ثبت وثاقته صار الخبر صحيحاً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ومعه لا يمكن الاعتماد على تصحيحه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نقل الصدوق وترضّيه لا يفيدان شيئاً يمكن الاتّكال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محمّد بن قتيبة أيضاً لا يخلو من كلام</w:t>
      </w:r>
      <w:r>
        <w:rPr>
          <w:rStyle w:val="FootnoteAnchor"/>
          <w:rtl w:val="true"/>
        </w:rPr>
        <w:footnoteReference w:id="247"/>
      </w:r>
      <w:r>
        <w:rPr>
          <w:rFonts w:ascii="Amiri" w:hAnsi="Amiri" w:eastAsia="Amiri" w:cs="Amiri"/>
          <w:color w:val="111111"/>
          <w:sz w:val="28"/>
          <w:sz w:val="28"/>
          <w:szCs w:val="28"/>
          <w:rtl w:val="true"/>
          <w:lang w:bidi="ar-SA"/>
        </w:rPr>
        <w:t xml:space="preserve">، وإن 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اعتمد عليه الكشّي</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 نّه فاضل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الطريق الآخر ففيه جعفر بن نعيم الشاذاني ، ولم يرد فيه شيء إلاّ ترضّي</w:t>
      </w:r>
    </w:p>
    <w:p>
      <w:pPr>
        <w:pStyle w:val="BookText"/>
        <w:rPr/>
      </w:pPr>
      <w:r>
        <w:rPr>
          <w:rFonts w:ascii="Amiri" w:hAnsi="Amiri" w:eastAsia="Amiri" w:cs="Amiri"/>
          <w:color w:val="111111"/>
          <w:sz w:val="28"/>
          <w:sz w:val="28"/>
          <w:szCs w:val="28"/>
          <w:rtl w:val="true"/>
          <w:lang w:bidi="ar-SA"/>
        </w:rPr>
        <w:t>الصدوق عليه</w:t>
      </w:r>
      <w:r>
        <w:rPr>
          <w:rStyle w:val="FootnoteAnchor"/>
          <w:rtl w:val="true"/>
        </w:rPr>
        <w:footnoteReference w:id="250"/>
      </w:r>
      <w:r>
        <w:rPr>
          <w:rFonts w:ascii="Amiri" w:hAnsi="Amiri" w:eastAsia="Amiri" w:cs="Amiri"/>
          <w:color w:val="111111"/>
          <w:sz w:val="28"/>
          <w:sz w:val="28"/>
          <w:szCs w:val="28"/>
          <w:rtl w:val="true"/>
          <w:lang w:bidi="ar-SA"/>
        </w:rPr>
        <w:t xml:space="preserve">، وهو غير كافٍ في الاعتماد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المحكيّ عن الصدوق بأ نّي لم أذكر في مصنّفاتي إلاّ ما صحّحه شيخي ابن الوليد</w:t>
      </w:r>
      <w:r>
        <w:rPr>
          <w:rStyle w:val="FootnoteAnchor"/>
          <w:rtl w:val="true"/>
        </w:rPr>
        <w:footnoteReference w:id="251"/>
      </w:r>
      <w:r>
        <w:rPr>
          <w:rFonts w:ascii="Amiri" w:hAnsi="Amiri" w:eastAsia="Amiri" w:cs="Amiri"/>
          <w:color w:val="111111"/>
          <w:sz w:val="28"/>
          <w:sz w:val="28"/>
          <w:szCs w:val="28"/>
          <w:rtl w:val="true"/>
          <w:lang w:bidi="ar-SA"/>
        </w:rPr>
        <w:t xml:space="preserve">فإن كان المراد تصحيح السند فيوجب ذلك الإشكال في تصحيحات ابن الوليد ؛ ضرورة اشتمال مصنّفاته على روايات ضعاف إلى ما شاء اللّه ، وإن كان المراد تصحيح المتن فهو غير مفيد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الثالث ضعيف ؛ لقنبر بن علي بن شاذان وأبيه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الإشكال في إطلاقهما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بصدد بيان عدّ الكبائر </w:t>
      </w:r>
    </w:p>
    <w:p>
      <w:pPr>
        <w:pStyle w:val="BookText"/>
        <w:rPr/>
      </w:pPr>
      <w:r>
        <w:rPr>
          <w:rFonts w:ascii="Amiri" w:hAnsi="Amiri" w:eastAsia="Amiri" w:cs="Amiri"/>
          <w:color w:val="111111"/>
          <w:sz w:val="28"/>
          <w:sz w:val="28"/>
          <w:szCs w:val="28"/>
          <w:rtl w:val="true"/>
          <w:lang w:bidi="ar-SA"/>
        </w:rPr>
        <w:t xml:space="preserve">لا بيان حال كلّ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بصدد بيان العدّ لا المعدود حتّى يؤخذ بإطلاقهما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الشريعة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والصوم والحجّ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والكذب والسرقة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حيث لا يمكن الأخذ بإطلاقه بالنسبة إلى كلّ واحد منها ، فيدفع به الشكّ في شرطية شيء أو مانعيته بالنسبة إلى الصلاة وغيرها ، أو بالنسبة إلى بعض المصاديق المشكوك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الإطلاق فيهما من ذكر تقييدات فيهما ، كتقييد قتل النفس بالتي حرّم اللّه تعالى ، وأكل مال اليتيم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 وما اُهلّ لغير اللّه</w:t>
      </w:r>
    </w:p>
    <w:p>
      <w:pPr>
        <w:pStyle w:val="BookText"/>
        <w:rPr/>
      </w:pPr>
      <w:r>
        <w:rPr>
          <w:rFonts w:ascii="Amiri" w:hAnsi="Amiri" w:eastAsia="Amiri" w:cs="Amiri"/>
          <w:color w:val="111111"/>
          <w:sz w:val="28"/>
          <w:sz w:val="28"/>
          <w:szCs w:val="28"/>
          <w:rtl w:val="true"/>
          <w:lang w:bidi="ar-SA"/>
        </w:rPr>
        <w:t xml:space="preserve">بغير ضرورة ، وأكل الربا ببعد البيّنة ، وحبس الحقوق بغير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كونهما في مقام البيان لا وجه لذكر القيود ، فإنّ البيان على نحو العدّ والإهمال لا يناسبه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تلك القيود إنّما هو بتبع ورودها في الكتاب الكريم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التى حَرَّمَ اللّه‌ُ إِلاّ بِالْحَقِّ</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آية الربا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جاءَهُ مَوْعِظَةٌ </w:t>
      </w:r>
      <w:r>
        <w:rPr>
          <w:rFonts w:eastAsia="Amiri" w:cs="Amiri" w:ascii="Amiri" w:hAnsi="Amiri"/>
          <w:color w:val="111111"/>
          <w:sz w:val="28"/>
          <w:szCs w:val="28"/>
          <w:rtl w:val="true"/>
          <w:lang w:bidi="ar-SA"/>
        </w:rPr>
        <w:t>.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59" w:name="pg15162_155372"/>
    </w:p>
    <w:p>
      <w:pPr>
        <w:pStyle w:val="BookText"/>
        <w:rPr/>
      </w:pPr>
      <w:bookmarkEnd w:id="59"/>
      <w:r>
        <w:rPr>
          <w:rFonts w:ascii="Amiri" w:hAnsi="Amiri" w:eastAsia="Amiri" w:cs="Amiri"/>
          <w:color w:val="111111"/>
          <w:sz w:val="28"/>
          <w:sz w:val="28"/>
          <w:szCs w:val="28"/>
          <w:rtl w:val="true"/>
          <w:lang w:bidi="ar-SA"/>
        </w:rPr>
        <w:t xml:space="preserve">وقال في حقّ الغريم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عليه أنّ هذه القيود في الموارد الخمسة وردت في الروايتين ، فيكون ذكرها بتبع الكتاب ، لا لكونه في مقام البيان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الإشارة إلى القيود المذكورة في الكتاب أيضاً دليل على كونه في مقام البيان ، 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الاتّكال عليهما لإثبات كون الكذب في الجملة كبيرة مشكل ، فضلاً عن إثبات كونه كذلك بجميع مصاديقه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955380_2142443653"/>
      <w:bookmarkStart w:id="61" w:name="_Toc21"/>
      <w:bookmarkEnd w:id="60"/>
      <w:r>
        <w:rPr>
          <w:rtl w:val="true"/>
        </w:rPr>
        <w:t>إشكال العلاّمة الشيرازي في المقام</w:t>
      </w:r>
      <w:bookmarkEnd w:id="61"/>
    </w:p>
    <w:p>
      <w:pPr>
        <w:pStyle w:val="BookText"/>
        <w:rPr/>
      </w:pPr>
      <w:r>
        <w:rPr>
          <w:rFonts w:ascii="Amiri" w:hAnsi="Amiri" w:eastAsia="Amiri" w:cs="Amiri"/>
          <w:color w:val="111111"/>
          <w:sz w:val="28"/>
          <w:sz w:val="28"/>
          <w:szCs w:val="28"/>
          <w:rtl w:val="true"/>
          <w:lang w:bidi="ar-SA"/>
        </w:rPr>
        <w:t xml:space="preserve">وقد يستشكل عليهما وعلى كلّ ما دلّت على كونه من الكبائر بأ نّها معارضة لصحيحة عبد العظيم الحسني الحاكية لدخول عمرو بن عبيد على أبي عبداللّه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وجلس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ثمّ أمسك ، فقال له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أسكتك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أعرف الكبائر من كتاب اللّه‌</w:t>
      </w:r>
      <w:r>
        <w:rPr>
          <w:rStyle w:val="FootnoteAnchor"/>
          <w:rtl w:val="true"/>
        </w:rPr>
        <w:footnoteReference w:id="259"/>
      </w:r>
      <w:r>
        <w:rPr>
          <w:rFonts w:ascii="Amiri" w:hAnsi="Amiri" w:eastAsia="Amiri" w:cs="Amiri"/>
          <w:color w:val="111111"/>
          <w:sz w:val="28"/>
          <w:sz w:val="28"/>
          <w:szCs w:val="28"/>
          <w:rtl w:val="true"/>
          <w:lang w:bidi="ar-SA"/>
        </w:rPr>
        <w:t xml:space="preserve">، فعدّها ولم يعدّ منها الكذب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بأنّ المراد من الروايات التي عدّته كبيرة بيان ما يكون كبيرة في الجملة ولو بالنسبة إلى بعض مصاديقه ، ومن الصحيحة ما يكون كبيرة بجميع </w:t>
      </w:r>
    </w:p>
    <w:p>
      <w:pPr>
        <w:pStyle w:val="BookText"/>
        <w:rPr/>
      </w:pPr>
      <w:r>
        <w:rPr>
          <w:rFonts w:ascii="Amiri" w:hAnsi="Amiri" w:eastAsia="Amiri" w:cs="Amiri"/>
          <w:color w:val="111111"/>
          <w:sz w:val="28"/>
          <w:sz w:val="28"/>
          <w:szCs w:val="28"/>
          <w:rtl w:val="true"/>
          <w:lang w:bidi="ar-SA"/>
        </w:rPr>
        <w:t xml:space="preserve">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يبقى في الروايات دلالة على كون الكذب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بالصحيحة خصوص الكبائر الثابتة في الكتاب ، ومن الروايتين وغيرهما مطلقها ، كما يشهد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أن أعرف الكبائر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حمل الكذب فيهما على 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معرفة مطلقها ؛ إذ من الظاهر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الكبائر المذكورة في الصحيحة أعمّ ممّا في كتاب اللّه ، كترك الصلاة وشيء ممّا فرضه اللّه ، فإنّه استشهد على كونه كبيرة بقول</w:t>
      </w:r>
    </w:p>
    <w:p>
      <w:pPr>
        <w:pStyle w:val="BookText"/>
        <w:rPr/>
      </w:pPr>
      <w:r>
        <w:rPr>
          <w:rFonts w:ascii="Amiri" w:hAnsi="Amiri" w:eastAsia="Amiri" w:cs="Amiri"/>
          <w:color w:val="111111"/>
          <w:sz w:val="28"/>
          <w:sz w:val="28"/>
          <w:szCs w:val="28"/>
          <w:rtl w:val="true"/>
          <w:lang w:bidi="ar-SA"/>
        </w:rPr>
        <w:t xml:space="preserve">رسول اللّه رحمهما اللّه فلا وجه للحمل المذكور ولا شاهد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ذكرناه أيضاً عدّ خصوص اليمين وشهادة الزور في تلك الرواية من الكبائر ؛ إذ مع كون مطلق الكذب منها لا وقع لذلك</w:t>
      </w:r>
      <w:r>
        <w:rPr>
          <w:rStyle w:val="FootnoteAnchor"/>
          <w:rtl w:val="true"/>
        </w:rPr>
        <w:footnoteReference w:id="26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الجمع المذكور ليس جمعاً عقلائياً رافعاً للتعارض وإلاّ لصحّ الجمع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ولا تكرم العلماء ، بحمل الأوّل على القرشي والثاني على غيره ، فلا وجه ولا شاهد لحمل الكبائر في مورد على قسم منها وفي مورد آخر على قسم آخر مع وحدة اللفظ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غير تامّ ؛ لأنّ الصحيحة مشتملة على ما لا يكون بجميع مصاديقه محرّمة فضلاً عن كونه كبيرة ، كالربا ، فإنّ كثيراً من مصاديقه جائز ، تأمّل ، وغير مشتملة على ما يكون كبيرة بجميع مصاديقه ، كالقمار واللواط والسرقة والتعرّب بعد الهجرة والقنوط من رحمة اللّه والاستخفاف بالحجّ 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يتمّ ما ذكره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سؤال عمرو إرادة معرفة الكبائر</w:t>
      </w:r>
    </w:p>
    <w:p>
      <w:pPr>
        <w:pStyle w:val="BookText"/>
        <w:rPr/>
      </w:pPr>
      <w:r>
        <w:rPr>
          <w:rFonts w:ascii="IRNazanin" w:hAnsi="IRNazanin" w:eastAsia="IRNazanin"/>
          <w:color w:val="111111"/>
          <w:sz w:val="28"/>
          <w:sz w:val="28"/>
          <w:szCs w:val="28"/>
          <w:rtl w:val="true"/>
          <w:lang w:bidi="fa-IR"/>
        </w:rPr>
        <w:t xml:space="preserve">من كتاب اللّه ، فتصدّى أبو عبداللّه علیه السلام لذكر ما تكون كذلك في كتاب اللّه حتّى يوافق جوابه لمسؤوله ، وما لا يكون كتاب اللّه دالاًّ على كونها كذلك لا مجال لذكرها ؛ لعدم إمكان معرفتها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ذكر ترك الصلاة والفرائض لأهمّيتها ، وإن لم يدلّ كتاب اللّه على كونها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بالفرائض غير مطلق الواجبات ، بل من قبيل الحجّ والزكاة والصوم ونحوها من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سؤال ، وهو ما وجه عدم ذكر بعض الكبائر التي دلّ الكتاب على كونه كبيرة ، كالميسر الذي فيه إثم كبير ، واللواط الذي سمّاه فاحشة وعذّب قوماً به ، والنقص في المكيال والميزان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تَنْقُصُوا المِكْيالَ وَالمِيزانَ إِنّى أَريكمْ بِخَيْرٍ وَإِنّى أَخافُ عَلَيْكُمْ عَذابَ يَومٍ مُحيطٍ</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والافتراء على اللّه تعالى إلى غير ذلك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عبيد اختنقه البكاء ولم يتمالك نفسه ، فخرج صارخاً قبل أن يتمّ أبو عبداللّه علیه السلام عدّ الكبائر ، ولعلّ فيها إشعاراً بذلك؛ حيث قال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وقطيعة الرحم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عمرو وله صراخ من بكائه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فيه ما يدلّ على سكوت أبي عبداللّه علیه السلام وإتمام كلامه ، فلا يمكن استفادة الحصر بالمذكورات </w:t>
      </w:r>
      <w:bookmarkStart w:id="62" w:name="pg15162_155375"/>
    </w:p>
    <w:p>
      <w:pPr>
        <w:pStyle w:val="BookText"/>
        <w:rPr/>
      </w:pPr>
      <w:bookmarkEnd w:id="62"/>
      <w:r>
        <w:rPr>
          <w:rFonts w:ascii="Amiri" w:hAnsi="Amiri" w:eastAsia="Amiri" w:cs="Amiri"/>
          <w:color w:val="111111"/>
          <w:sz w:val="28"/>
          <w:sz w:val="28"/>
          <w:szCs w:val="28"/>
          <w:rtl w:val="true"/>
          <w:lang w:bidi="ar-SA"/>
        </w:rPr>
        <w:t xml:space="preserve">فيها مع الاحتمال المذكور الذي لا يبعد إشعار الرواية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جعله مؤيّداً لمرامه من عدّ خصوص اليمين وشهادة الزور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اليمين ليس من الإخبار بل إنشاء ، وحرمته بعنوانه غير حرمة الكذب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الكاذبة باعتبار متعلّقها فلا وجه لجعله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ذكره وذكر شهادة الزور التي هي من كتمان الشهادة أيضاً لأجل استفادة حكمهما من كتاب اللّه وقد أراد السائل معرفة الكبائر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باستفادة كون مطلق الكذب كبيرة من الكتاب يتوجّه السؤال عن وجه اختصاصهما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لأجل اختصاصهما به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ذكر الكذب المطلق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ذكر كثير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ما يمكن أن يكون وجهاً له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955382_2142443653"/>
      <w:bookmarkStart w:id="64" w:name="_Toc22"/>
      <w:bookmarkEnd w:id="63"/>
      <w:r>
        <w:rPr>
          <w:rtl w:val="true"/>
        </w:rPr>
        <w:t>الاستدلال بموثّقة محمّد بن مسلم</w:t>
      </w:r>
      <w:bookmarkEnd w:id="64"/>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محمّد بن مسلم ،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w:t>
      </w:r>
    </w:p>
    <w:p>
      <w:pPr>
        <w:pStyle w:val="BookText"/>
        <w:rPr/>
      </w:pPr>
      <w:r>
        <w:rPr>
          <w:rFonts w:ascii="Amiri" w:hAnsi="Amiri" w:eastAsia="Amiri" w:cs="Amiri"/>
          <w:color w:val="111111"/>
          <w:sz w:val="28"/>
          <w:sz w:val="28"/>
          <w:szCs w:val="28"/>
          <w:rtl w:val="true"/>
          <w:lang w:bidi="ar-SA"/>
        </w:rPr>
        <w:t>للشرّ أقفالاً وجعل مفاتيح تلك الأقفال الشراب ، والكذب شرّ من الشراب</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اُخرى ، إلاّ أنّ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من الشراب الكذب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بعيداً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مراد به التفضيل ، بل </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نشوية ، وأراد به أنّ الكذب شرّ ناشٍ من الشراب ؛ أي من جملة الشرور المترتّبة على الشراب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تشهد به رواية محمّد بن سنان ، عن أبي الحسن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الخمر لما فيها من الفساد ، ومن تغيير عقول شاربها ، وحملها إيّاهم على إنكار اللّه عزّ وجلّ والفرية عليه وعلى رسله ، وسائر ما يكون منهم من الفساد والقتل والقذف والزنا </w:t>
      </w:r>
      <w:r>
        <w:rPr>
          <w:rFonts w:eastAsia="IRNazanin" w:cs="IRNazanin"/>
          <w:color w:val="111111"/>
          <w:sz w:val="28"/>
          <w:szCs w:val="28"/>
          <w:rtl w:val="true"/>
          <w:lang w:bidi="fa-IR"/>
        </w:rPr>
        <w:t>.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جعل فيها الكذب على اللّه وعلى رسوله وعلى المؤمنات ناشياً من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الروايات الكثيرة القائلة بأنّ الخمر رأس كلّ إثم ومفتاح كلّ شرّ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أنّ قوله في الموثّقة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للشرّ أقفالاً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مطلق الشرّ ، ومن البعيد أن يراد بذيله استثناء الكذب ، مع أنّ الشراب مفتاح الكذب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أنّ ما ذكر خلاف المتفاهم العرفي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المحتمل أن يكون المراد من الموثّقة بيان أمر تكويني ؛ أي بيان كيفية صدور الشرور من شاربها وإن كان ذلك بنحو الاستعارة والادّعاء ، بأن ادّعى أنّ طبيعة الشرّ في الإنسان كأ نّها موجود متمثّل جعل اللّه تعالى </w:t>
      </w:r>
    </w:p>
    <w:p>
      <w:pPr>
        <w:pStyle w:val="BookText"/>
        <w:rPr/>
      </w:pPr>
      <w:r>
        <w:rPr>
          <w:rFonts w:ascii="IRNazanin" w:hAnsi="IRNazanin" w:eastAsia="IRNazanin"/>
          <w:color w:val="111111"/>
          <w:sz w:val="28"/>
          <w:sz w:val="28"/>
          <w:szCs w:val="28"/>
          <w:rtl w:val="true"/>
          <w:lang w:bidi="fa-IR"/>
        </w:rPr>
        <w:t xml:space="preserve">أقفالاً له لولاها لخرج معربداً مفسداً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لأنّ طبيعة الشهوة والغضب والشيطنة في الإنسان مقتضية للفساد بنحو الإطلاق بلا قيد وشرط من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قوّة الشهوة الالتذاذ بكلّ ما يمكن بأيّ طريق كان بلا قيد مطلقاً ، وكذا مقتضى القوّتين الاُخريين ، وإنّما حاجزها وعقالها وأقفالها قوى وملكات اُخر جعلها اللّه تعالى في الإنسان وديعةً ، رأسها العاقلة ، وبعدها الحياء ، والشرف ، والخوف من اللّه ومن الناس ، وعزّ النفس وعظمتها ، وطلب الكمال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ومفتاح كلّ تلك الأقفال ورافع تلك الحواجز الشراب ؛ بمعنى أنّ ذاته كذات المفتاح وشربه آليته الفعلية ، لا بمعنى ترتّب جميع الشرور على شربه فعلاً ، بل بمعنى رفع الحاجز عمّا هو مقتضٍ للفساد ، فلا يبالي معه بما فعل وما فعل به ، ويأتي بما يمكنه ويهويه من مشتهياته ومقتضيات قواه المائلة إلى الفساد، فلا يبالي بقتل النفس المحترمة ولا بالزنا بالمحارم ولا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الكذب فهو شرّ منه في هذه الخاصّة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أنّ الشراب رافع الموانع عن الشرور ، والكذب محرّك وداعٍ إليها ، فإنّه قد يثير الشهوات والقوى الغضبية والشيطنة إلى العمل على مقتضياتها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هذه الحيثية 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أنّ المفاسد المترتّبة على الكذب لا يقاس بالمفاسد المترتّبة على الخمر ، لا بمعنى أنّ كلّ كذب كذلك ، بل بمعنى ملاحظة الطبيعتين في الجامعة البشرية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فمقنّن القوانين لجميع عائلة البشر إذا نظر إلى الكذب ومفاسده بنحو الوجود </w:t>
      </w:r>
    </w:p>
    <w:p>
      <w:pPr>
        <w:pStyle w:val="BookText"/>
        <w:rPr/>
      </w:pPr>
      <w:r>
        <w:rPr>
          <w:rFonts w:ascii="Amiri" w:hAnsi="Amiri" w:eastAsia="Amiri" w:cs="Amiri"/>
          <w:color w:val="111111"/>
          <w:sz w:val="28"/>
          <w:sz w:val="28"/>
          <w:szCs w:val="28"/>
          <w:rtl w:val="true"/>
          <w:lang w:bidi="ar-SA"/>
        </w:rPr>
        <w:t xml:space="preserve">الساري ، وإلى الخمر ومفاسدها كذلك يرى أنّ مفاسد الكذب أكثر وأعظم ؛ لأنّ جميع الأديان الباطلة إنّما حدثت وانتشرت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الواحد قد ينتهي إلى خراب البلدان وقتل النفوس الزكيّة وانتهاك حرمات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تقاس المفاسد المترتّبة على الكذب في الجامعة البشرية على المفاسد المترتّبة على الخمر أو سائر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على هذا الاحتمال لا يمكن إثبات حرمة الخمر بهذه الرواية فضلاً عن كونها كبيرةً ، فضلاً عن إثبات حرمة الكذب أو كونه كبيرةً في الجملة فضلاً عن جميع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تلك المفاسد لو كانت مترتّبة على الخمر أو على الكذب ولو بنحو المسبّبية والمعلولية ، لما توجب حرمتهما ؛ لما قرّر في محلّه من عدم حرمة مقدّمة الحرام وإن كانت علّة تامّة</w:t>
      </w:r>
      <w:r>
        <w:rPr>
          <w:rStyle w:val="FootnoteAnchor"/>
          <w:rtl w:val="true"/>
        </w:rPr>
        <w:footnoteReference w:id="267"/>
      </w:r>
      <w:r>
        <w:rPr>
          <w:rFonts w:ascii="Amiri" w:hAnsi="Amiri" w:eastAsia="Amiri" w:cs="Amiri"/>
          <w:color w:val="111111"/>
          <w:sz w:val="28"/>
          <w:sz w:val="28"/>
          <w:szCs w:val="28"/>
          <w:rtl w:val="true"/>
          <w:lang w:bidi="ar-SA"/>
        </w:rPr>
        <w:t xml:space="preserve">فضلاً عمّا إذا لم تكن كذلك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الخمر ليست علّة تامّة لما ذكر بل تكون رافعة للموانع ، وكذا الكذب وإن كان بعض مصاديقه داعياً إلى إتيان المحرّم لكن لا يكون علّةً تامّة 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بالرواية أنّ الخمر صارت محرّمة لأجل تلك المفاسد لا لكون سبب المحرّم محرّماً ، بل كونها مفتاحاً لأقفال الشرور صار نكتة لجعل التحريم القانوني على جميع مصاديقها ، وللتوعيد عليها بالعذاب فصارت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الكذب شرّاً منها تكون شرّيته نكتة لجعل الحرمة على جميع مصاديقه ولكونه كبيرة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يناقش فيه بأنّ تلك المفاسد لو كانت علّة للحرمة وكونها كبيرة لكان لما ذكر وجه ؛ لأنّ المعلول تبع لعلّته في التحقّق والشدّة والضعف والكمال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احتمال فاسد ؛ لعدم دوران الحرمة مدارها ، بل عدم دوران كون الخمر كبيرة مدارها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المفاسد نكتة الجعل فلا بدّ في إثبات مقداره وكيفيته من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الخمر فيظهر من جملة من الروايات أنّ جميع مصاديقها كبيرة قليلها وكثيرها ، وأنّ نكتة ذلك هي ما تترتّب عليها من المفاسد ، كصيرورة العبد بحال لا يعرف ربّه ، وصيرورته مشركاً ، وغير ذلك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دليل على أنّ الكذب إذا كان ببعض مصاديقه شرّاً من الشراب بالمعنى المتقدّم صار ذلك علّة لجعل الحكم على جميع مصاديقه على نحو القانونية ، بل لعلّ شرّيته صارت موجبة لجعله على خصوص ما يترتّب عليه ذلك لا مطلقاً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للفرق بين الخمر والكذب من جهة أنّ فساد الخمر نوعي بل عمومي لمتعارف الناس عند تعارف شربها ، فالشرب المتعارف يوجب السكر في متعارف الناس ويوجب صيرورة الشارب بحيث لا يعرف ربّه ، ولا يبالي بما فعل وما فعل به ، ولأجل تلك النوعية أو العمومية صارت محرّمة وكبيرة بجميع مصاديقها ضرباً للقانون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الكذب وإن كان بملاحظة مجموع أفراده ومقايستها لمجموع أفراد الخمر يكون شرّاً منها ، لكن ليس شرّه عامّاً كشرّ شرب الخمر ولا يترتّب على كلّ مصداق منه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وترتّبه على بعض مصاديقه </w:t>
      </w:r>
    </w:p>
    <w:p>
      <w:pPr>
        <w:pStyle w:val="BookText"/>
        <w:rPr/>
      </w:pPr>
      <w:r>
        <w:rPr>
          <w:rFonts w:ascii="Amiri" w:hAnsi="Amiri" w:eastAsia="Amiri" w:cs="Amiri"/>
          <w:color w:val="111111"/>
          <w:sz w:val="28"/>
          <w:sz w:val="28"/>
          <w:szCs w:val="28"/>
          <w:rtl w:val="true"/>
          <w:lang w:bidi="ar-SA"/>
        </w:rPr>
        <w:t xml:space="preserve">لا يوجب جعل الحرمة على مصاديقه فضلاً عن جعلها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يستفاد حرمة جميع مصاديقه ، أو كونه كبيرة من الرواية على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يستفاد منها الحرمة لو كان المراد بيان أنّ الكذب شرّ من الخمر في الخاصّة المترتّبة عليها بالنسبة إلى كلّ شخص ؛ أي أ نّه يوجب الدخول في المعاصي ويجعل النفس مائلة إلى الشهوات والمعاصي وإن لم نعلم كيفيته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يهدي إلى الفجور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الخبائث حطّت في بيت ومفتاحه الكذب</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أنّ الوجدانيات لا يمكن أن تخفى علينا في غير محلّه ؛ لأنّ كثيراً ما تخفى علينا ملكاتنا الخبيثة وخصوصيات أميالنا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شرّية الكذب من الشراب لكونه هادياً إلى الشرور ، بخلاف الخمر ، فإنّها رافعة للمانع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الاحتمال أيضاً لا تدلّ على حرمة الكذب والخمر ؛ لأنّ رافع مانع المحرّمات والهادي إليها لا يلزم أن يكون محرّماً نفساً فضلاً عن كونه كبيرةً ، بل ولا محرّماً بالغير ؛ لأنّ مقدّمة الحرام ليست بحرام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احتمال آخر ، وهو أنّ الجملتين صدرتا على نحو من الادّعاء والمبالغة ، أو أنّ الثانية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يدّعى أنّ الخمر رافعة لجميع الموانع عن </w:t>
      </w:r>
    </w:p>
    <w:p>
      <w:pPr>
        <w:pStyle w:val="BookText"/>
        <w:rPr/>
      </w:pPr>
      <w:r>
        <w:rPr>
          <w:rFonts w:ascii="Amiri" w:hAnsi="Amiri" w:eastAsia="Amiri" w:cs="Amiri"/>
          <w:color w:val="111111"/>
          <w:sz w:val="28"/>
          <w:sz w:val="28"/>
          <w:szCs w:val="28"/>
          <w:rtl w:val="true"/>
          <w:lang w:bidi="ar-SA"/>
        </w:rPr>
        <w:t xml:space="preserve">الشرور ، ويدّعى أنّ الكذب شرّ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إمّا أن يدّعى أنّ الكذب شرّ منها في تلك الخصوصية ؛ أي كونه مفتاحاً للشرور ، أو يراد أ نّه شرّ منها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تدلّ على الحرمة فضلاً عن كونه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تدلّ على كونه كبيرة ؛ لأنّ المبالغة في شرّيته منها إنّما تصحّ إذا كان معصية عظيمة ، ومع كونه صغيرة لا تصحّ الادّعاء ولا مصحّح للمبالغة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أشجع من الأسد ، أو فلان أجمل من الشمس والقمر ، يكون ظاهراً في أنّ القائل في مقام تعظيم الكمال ، فيكون شجاعته وجماله بحدّ يصحّ أن يرجّحهما في مقام المبالغة على الأسد والشمس والقمر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بما ذكرناه خلاف الواقع والضرورة ، فإنّ الكذب في نفسه لا يكون أكبر من الخمر ، ولهذا لو دار الأمر بين ارتكاب أحدهما ولم يترتّب على الكذب مفاسد اُخر لا شبهة في وجوب اختيار الكذب ، وذلك لأنّ هذا المحذور غير لازم على فرض الادّعاء والمبالغة ، فتدلّ الرواية على أكبرية الخمر حقيقة ، وعلى كون الكذب كبيرة لا أكبريته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 وهو كون الجملتين كناية عن كونهما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أصالة الظهور تعيّن الاحتمال الأوّل أو الثاني ، فإنّ فيهما أيضاً وإن كان التشبيه بالأقفال والمفاتيح على نحو الاستعارة والتجوّز لكن لا ادّعاء زائداً عليه ، ويكون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 بخلاف سائر الاحتمالات فإنّ فيها نحو تأوّل زائداً عليه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يسقط الاستدلال بالرواية للمقصود ، ولو منع ترجيح الأوّل فلا ترجيح </w:t>
      </w:r>
    </w:p>
    <w:p>
      <w:pPr>
        <w:pStyle w:val="BookText"/>
        <w:rPr/>
      </w:pPr>
      <w:r>
        <w:rPr>
          <w:rFonts w:ascii="Amiri" w:hAnsi="Amiri" w:eastAsia="Amiri" w:cs="Amiri"/>
          <w:color w:val="111111"/>
          <w:sz w:val="28"/>
          <w:sz w:val="28"/>
          <w:szCs w:val="28"/>
          <w:rtl w:val="true"/>
          <w:lang w:bidi="ar-SA"/>
        </w:rPr>
        <w:t xml:space="preserve">للحمل على ما يستفاد منه كونه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استفادة الحرمة وكونه كبيرةً يقع الكلام في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يراد به أنّ هذه الطبيعة بنفسها مع الغضّ عن</w:t>
      </w:r>
    </w:p>
    <w:p>
      <w:pPr>
        <w:pStyle w:val="BookText"/>
        <w:rPr/>
      </w:pPr>
      <w:r>
        <w:rPr>
          <w:rFonts w:ascii="Amiri" w:hAnsi="Amiri" w:eastAsia="Amiri" w:cs="Amiri"/>
          <w:color w:val="111111"/>
          <w:sz w:val="28"/>
          <w:sz w:val="28"/>
          <w:szCs w:val="28"/>
          <w:rtl w:val="true"/>
          <w:lang w:bidi="ar-SA"/>
        </w:rPr>
        <w:t>لواحق اُخر شرّ من طبيعة الشراب كذلك ؟</w:t>
      </w:r>
    </w:p>
    <w:p>
      <w:pPr>
        <w:pStyle w:val="BookText"/>
        <w:rPr/>
      </w:pPr>
      <w:r>
        <w:rPr>
          <w:rFonts w:ascii="Amiri" w:hAnsi="Amiri" w:eastAsia="Amiri" w:cs="Amiri"/>
          <w:color w:val="111111"/>
          <w:sz w:val="28"/>
          <w:sz w:val="28"/>
          <w:szCs w:val="28"/>
          <w:rtl w:val="true"/>
          <w:lang w:bidi="ar-SA"/>
        </w:rPr>
        <w:t xml:space="preserve">أو يراد به أ نّها بوجودها الساري شرّ منها ؟ فيكون كلّ مصداق منها شرّاً من طبيعة الشراب أو كلّ مصداق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أنّ هذه الطبيعة على نحو الإهمال شرّ منه ولو باعتبار بعض مصاديقه ؟ فيكون الانتساب إلى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كونه في مقام البيان ، أو للادّعاء بأنّ الطبيعة ليست إلاّ ما يترتّب عليها الفساد الذي جعلها كبيرةً ، فيكون</w:t>
      </w:r>
    </w:p>
    <w:p>
      <w:pPr>
        <w:pStyle w:val="BookText"/>
        <w:rPr/>
      </w:pPr>
      <w:r>
        <w:rPr>
          <w:rFonts w:ascii="Amiri" w:hAnsi="Amiri" w:eastAsia="Amiri" w:cs="Amiri"/>
          <w:color w:val="111111"/>
          <w:sz w:val="28"/>
          <w:sz w:val="28"/>
          <w:szCs w:val="28"/>
          <w:rtl w:val="true"/>
          <w:lang w:bidi="ar-SA"/>
        </w:rPr>
        <w:t xml:space="preserve">الكلام مبنيّاً على دعوى أنّ المصاديق المترتّبة عليها المفاسد ، كالذي ينطبق عليه عنوان النميمة ، أو الافتراء على اللّه تعالى تمام حقيقته ، وغيرها بمنزلة العدم ، فحينئذٍ يستفاد منها كونه كبيرةً في الجملة لا بجميع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الاحتمالات تأتي في أمثال هذا التركيب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خير من المرأة ، والرطب خير من العنب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الاحتمال الأوّل أظهر ، لكن في المقام لمّا لم يمكن الحمل عليه ؛ ضرورة عدم كون الكذب بنفسه شرّاً من الخمر ، وكذا لا يمكن الحمل على الاحتمال الثاني على نحو الحقيقة ، فلا بدّ من الحمل على حقيقة 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دعوى كون الطبيعة بنفسها شرّاً من الشراب ، أو دعوى كونها بجميع مصاديقها كذلك ، أو دعوى كونها كذلك بلحاظ بعض المصاديق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والأرجح الأوّل ثمّ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يستفاد منها كونه كبيرةً بنفسه أو بجميع </w:t>
      </w:r>
    </w:p>
    <w:p>
      <w:pPr>
        <w:pStyle w:val="BookText"/>
        <w:rPr/>
      </w:pPr>
      <w:r>
        <w:rPr>
          <w:rFonts w:ascii="Amiri" w:hAnsi="Amiri" w:eastAsia="Amiri" w:cs="Amiri"/>
          <w:color w:val="111111"/>
          <w:sz w:val="28"/>
          <w:sz w:val="28"/>
          <w:szCs w:val="28"/>
          <w:rtl w:val="true"/>
          <w:lang w:bidi="ar-SA"/>
        </w:rPr>
        <w:t xml:space="preserve">مصاديقه ، ولا يستفاد منها أكبريته من الشراب حقيقة ، بل هو ادّعاء يثبت به كونه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في ترجيح الاحتمال الذي يستفاد منه كونه كبيرةً من بين الاحتمالات المتقدّمة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الجملة الاُولى أنّ الشراب من الكبائر بجعل ما ذكر كنايةً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الجملة الثانية بعد عدم إمكان الحمل على الحقيقة ، هو دعوى كون طبيعة الكذب بلا قيد شرّاً من الشراب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هذه الدعوى كونه كبيرةً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منه إشكال كما توهّم ، فإنّه إذا قامت القرينة على عدم إرادة الحقيقة ، لا يجوز طرح الرواية ، بل تحمل على الحقيقة الادّعائية ، ولازمها كون الكذب بنفسه وعلى نحو الإطلاق شرّاً من الشراب ادّعاءً ، ولازم ذلك كونه كبيرة على نحو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هذا التشبيه والدعوى لا يدلّ على كونه كناية عن كونها</w:t>
      </w:r>
    </w:p>
    <w:p>
      <w:pPr>
        <w:pStyle w:val="BookText"/>
        <w:rPr/>
      </w:pPr>
      <w:r>
        <w:rPr>
          <w:rFonts w:ascii="Amiri" w:hAnsi="Amiri" w:eastAsia="Amiri" w:cs="Amiri"/>
          <w:color w:val="111111"/>
          <w:sz w:val="28"/>
          <w:sz w:val="28"/>
          <w:szCs w:val="28"/>
          <w:rtl w:val="true"/>
          <w:lang w:bidi="ar-SA"/>
        </w:rPr>
        <w:t xml:space="preserve">كبيرةً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حبّ الدنيا رأس كلّ خطيئة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مريداً به أنّ حبّها اُمّ الخطايا مع أ نّه غير محرّم بلا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يكون المراد بالرواية التنبيه على مفاسد الخمر والكذب ، لا بيان حرمتهما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قرينة على كونه بصدد بيان الحرمة فضلاً عن كونهما كبيرةً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كون الجملتين كناية عن حرمتهما ، أو كونهما كبيرة ، عارية </w:t>
      </w:r>
      <w:bookmarkStart w:id="65" w:name="pg15162_155384"/>
    </w:p>
    <w:p>
      <w:pPr>
        <w:pStyle w:val="BookText"/>
        <w:rPr/>
      </w:pPr>
      <w:bookmarkEnd w:id="65"/>
      <w:r>
        <w:rPr>
          <w:rFonts w:ascii="Amiri" w:hAnsi="Amiri" w:eastAsia="Amiri" w:cs="Amiri"/>
          <w:color w:val="111111"/>
          <w:sz w:val="28"/>
          <w:sz w:val="28"/>
          <w:szCs w:val="28"/>
          <w:rtl w:val="true"/>
          <w:lang w:bidi="ar-SA"/>
        </w:rPr>
        <w:t xml:space="preserve">عن الشاهد ومخالفة لأصالة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الاُولى بعد كونها استعارة تكون لها ظهور ثانوي لأجل قيام القرينة في المعنى الاستعاري ، وجعل هذا المعنى الاستعاري كنايةً عن أمر آخر ، وهو الحرمة أو كونه كبيرةً ، خلاف الظاهر لا بدّ فيه من قيام قرينة وهي 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أنّ حرمة الخمر كانت معلومةً في عصر صدور الرواية بالكتاب والسنّة لم يحتج إلى بيانها ، والمحتاج إليه بيان مفاسدها ومصالح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الاُولى سيقت لبيانها ، والثانية تبع لها في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 نّه شرّ من</w:t>
      </w:r>
    </w:p>
    <w:p>
      <w:pPr>
        <w:pStyle w:val="BookText"/>
        <w:rPr/>
      </w:pPr>
      <w:r>
        <w:rPr>
          <w:rFonts w:ascii="Amiri" w:hAnsi="Amiri" w:eastAsia="Amiri" w:cs="Amiri"/>
          <w:color w:val="111111"/>
          <w:sz w:val="28"/>
          <w:sz w:val="28"/>
          <w:szCs w:val="28"/>
          <w:rtl w:val="true"/>
          <w:lang w:bidi="ar-SA"/>
        </w:rPr>
        <w:t xml:space="preserve">الشراب في هذه المفاسد والتبعات ، فلا تكون الرواية بصدد بيان الحرمة حتّى يؤخذ بإطلاقها لحرمة جميع المصاديق ، بل لا يصحّ التمسّك بها لإثبات الحرمة ولو في الجملة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بعض ما ذكرناه يظهر حال ما روي عن العسكري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كلّها في بيت واحد وجعل مفتاحها الكذب</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955384_2142443653"/>
      <w:bookmarkStart w:id="67" w:name="_Toc23"/>
      <w:bookmarkEnd w:id="66"/>
      <w:r>
        <w:rPr>
          <w:rtl w:val="true"/>
        </w:rPr>
        <w:t>الاستدلال بالمرسلة التي ذكرها الشيخ الأعظم</w:t>
      </w:r>
      <w:bookmarkEnd w:id="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التي ذكرها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عن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بأكبر الكبائر ؟ الإشراك باللّه ، وعقوق الوالدين ، وقول الزور ؛ أي الكذب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68" w:name="pg15162_155385"/>
    </w:p>
    <w:p>
      <w:pPr>
        <w:pStyle w:val="BookText"/>
        <w:rPr/>
      </w:pPr>
      <w:bookmarkEnd w:id="68"/>
      <w:r>
        <w:rPr>
          <w:rFonts w:ascii="Amiri" w:hAnsi="Amiri" w:eastAsia="Amiri" w:cs="Amiri"/>
          <w:color w:val="111111"/>
          <w:sz w:val="28"/>
          <w:sz w:val="28"/>
          <w:szCs w:val="28"/>
          <w:rtl w:val="true"/>
          <w:lang w:bidi="ar-SA"/>
        </w:rPr>
        <w:t xml:space="preserve">وعن ابن أبي جمهور ، عنه رحمهما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اُنبّئكم بأكبر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الإشراك باللّه ، وعقوق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فجلس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يكرّرها حتّى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سكت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والتفسير في الاُولى يمكن أن يكون من الراوي ، فتكون الرواية دالّة على أعمّ من الكذب ، وإن كان من المرويّ عنه تختصّ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ودلالتهما على كون المذكورات كبيرة لا تنكر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بأنّ الضرورة قائمة بأنّ الكذب وكذا عقوق الوالدين ليس أكبر الكبائر ، لا يوجب طرحهما ، بل تصير قرينة على أنّ الكلام مبنيّ على المبالغة ، فيفهم أ نّهما كبيرة حيث يدّعى في مقام المبالغة أ نّهما أكبر الكبائر، كما مرّ نظيره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إطلاقهما ، وإن أمكنت المناقشة فيه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بصدد بيان أكبرية المذكورات عن غيرها بعد مفروغية حكمها ، لا بيان كونها محرّمة أو كبيرة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بصدد عدّ أكبر الكبائر ، لا حال المعدود ، فلا إطلاق لهما من هذه الجهة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955386_2142443653"/>
      <w:bookmarkStart w:id="70" w:name="_Toc24"/>
      <w:bookmarkEnd w:id="69"/>
      <w:r>
        <w:rPr>
          <w:rtl w:val="true"/>
        </w:rPr>
        <w:t>الاستدلال برواية أنس</w:t>
      </w:r>
      <w:bookmarkEnd w:id="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إذا كذب بغير عذر ، لعنه سبعون ألف ملك ، وخرج من قلبه نتن حتّى يبلغ العرش فيلعنه حملة </w:t>
      </w:r>
      <w:bookmarkStart w:id="71" w:name="pg15162_155386"/>
    </w:p>
    <w:p>
      <w:pPr>
        <w:pStyle w:val="BookText"/>
        <w:rPr/>
      </w:pPr>
      <w:bookmarkEnd w:id="71"/>
      <w:r>
        <w:rPr>
          <w:rFonts w:ascii="Amiri" w:hAnsi="Amiri" w:eastAsia="Amiri" w:cs="Amiri"/>
          <w:color w:val="111111"/>
          <w:sz w:val="28"/>
          <w:sz w:val="28"/>
          <w:szCs w:val="28"/>
          <w:rtl w:val="true"/>
          <w:lang w:bidi="ar-SA"/>
        </w:rPr>
        <w:t>العرش ، وكتب اللّه عليه بتلك الكذبة سبعين زنية ، أهونها كمن يزني مع اُمّه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ودلالتها على كونه كبيرةً لا تنكر ، ولو مع قطع النظر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لأنّ الظاهر أ نّه بصدد بيان عظمة الذنب وكبره ، سواء كان بصدد الإخبار عن الواقع ، أو بصدد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ذيلها كونه بصدد الإخبار عن الواقع ، وإن كان عدد السبعين كناية عن الكثرة مبالغةً ، وهو مطروح ؛ لقيام الضرورة على أهونية الكذب من حيث هو عن الزنا ، فضلاً عن الزنا بالاُمّ ، وهو لا يوجب طرح صدرها الدالّ على كونه كبيرةً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955388_2142443653"/>
      <w:bookmarkStart w:id="73" w:name="_Toc25"/>
      <w:bookmarkEnd w:id="72"/>
      <w:r>
        <w:rPr>
          <w:rtl w:val="true"/>
        </w:rPr>
        <w:t>الاستدلال برواية أبي ذرّ</w:t>
      </w:r>
      <w:bookmarkEnd w:id="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ذرّ ، عن النبي رحمهما اللّه في وصيته 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 من ملك ما بين فخذيه وما بين لحييه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لنؤاخذ بما تنطق به ألسنتنا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يكبّ الناس على مناخرهم في النار إلاّ حصائد ألسنتهم ؟ إنّك لا تزال سالماً ما سكتّ ، فإذا تكلّمت كتب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الرجل ليتكلّم بالكلمة في المجلس ليضحك بها ، فيهوي في جهنّم ما بين السماء والأرض ، يا أبا ذرّ ، ويل للّذي يحدّث فيكذب ليضحك به القوم ، ويل له ، ويل له </w:t>
      </w:r>
      <w:r>
        <w:rPr>
          <w:rFonts w:eastAsia="Amiri" w:cs="Amiri" w:ascii="Amiri" w:hAnsi="Amiri"/>
          <w:color w:val="111111"/>
          <w:sz w:val="28"/>
          <w:szCs w:val="28"/>
          <w:rtl w:val="true"/>
          <w:lang w:bidi="ar-SA"/>
        </w:rPr>
        <w:t>.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74" w:name="pg15162_155387"/>
    </w:p>
    <w:p>
      <w:pPr>
        <w:pStyle w:val="BookText"/>
        <w:rPr/>
      </w:pPr>
      <w:bookmarkEnd w:id="74"/>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 ويل للّذي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يكبّ الناس على مناخرهم في النار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واحتمال كونه كلاماً مستأنفاً غير مربوط بالصدر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أنّ الكذب موجب لدخول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سابقاً </w:t>
      </w:r>
      <w:r>
        <w:rPr>
          <w:rStyle w:val="FootnoteAnchor"/>
          <w:rtl w:val="true"/>
        </w:rPr>
        <w:footnoteReference w:id="278"/>
      </w:r>
      <w:r>
        <w:rPr>
          <w:rFonts w:ascii="Amiri" w:hAnsi="Amiri" w:eastAsia="Amiri" w:cs="Amiri"/>
          <w:color w:val="111111"/>
          <w:sz w:val="28"/>
          <w:sz w:val="28"/>
          <w:szCs w:val="28"/>
          <w:rtl w:val="true"/>
          <w:lang w:bidi="ar-SA"/>
        </w:rPr>
        <w:t>أنّ الظاهر من صحيحة عبد العظيم الحسني</w:t>
      </w:r>
      <w:r>
        <w:rPr>
          <w:rStyle w:val="FootnoteAnchor"/>
          <w:rtl w:val="true"/>
        </w:rPr>
        <w:footnoteReference w:id="279"/>
      </w:r>
      <w:r>
        <w:rPr>
          <w:rFonts w:ascii="Amiri" w:hAnsi="Amiri" w:eastAsia="Amiri" w:cs="Amiri"/>
          <w:color w:val="111111"/>
          <w:sz w:val="28"/>
          <w:sz w:val="28"/>
          <w:szCs w:val="28"/>
          <w:rtl w:val="true"/>
          <w:lang w:bidi="ar-SA"/>
        </w:rPr>
        <w:t xml:space="preserve">أنّ إيعاد رسول اللّه رحمهما اللّه العذاب على شيء من شواهد كونه كبيرةً بل إيعاده إيعاد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 الروايات الدالّة على أنّ الكبيرة ما أوعد اللّه عليه النار</w:t>
      </w:r>
      <w:r>
        <w:rPr>
          <w:rStyle w:val="FootnoteAnchor"/>
          <w:rtl w:val="true"/>
        </w:rPr>
        <w:footnoteReference w:id="280"/>
      </w:r>
      <w:r>
        <w:rPr>
          <w:rFonts w:ascii="Amiri" w:hAnsi="Amiri" w:eastAsia="Amiri" w:cs="Amiri"/>
          <w:color w:val="111111"/>
          <w:sz w:val="28"/>
          <w:sz w:val="28"/>
          <w:szCs w:val="28"/>
          <w:rtl w:val="true"/>
          <w:lang w:bidi="ar-SA"/>
        </w:rPr>
        <w:t xml:space="preserve">أنّ اللازم إيعاده في الكتاب العزيز ونحوه ، فتدلّ الرواية على حرمة سائر أنواع الكذب بالفحوى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فيها بأ نّها منصرفة إلى من يصدر منه كراراً ويشتغل به ، بل</w:t>
      </w:r>
    </w:p>
    <w:p>
      <w:pPr>
        <w:pStyle w:val="BookText"/>
        <w:rPr/>
      </w:pPr>
      <w:r>
        <w:rPr>
          <w:rFonts w:ascii="Amiri" w:hAnsi="Amiri" w:eastAsia="Amiri" w:cs="Amiri"/>
          <w:color w:val="111111"/>
          <w:sz w:val="28"/>
          <w:sz w:val="28"/>
          <w:szCs w:val="28"/>
          <w:rtl w:val="true"/>
          <w:lang w:bidi="ar-SA"/>
        </w:rPr>
        <w:t>لا يبعد دعوى ظهورها في ذلك ، فيكون مصرّاً به والإصرار بالصغائر كبيرة على ما في الروايات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955390_2142443653"/>
      <w:bookmarkStart w:id="76" w:name="_Toc26"/>
      <w:bookmarkEnd w:id="75"/>
      <w:r>
        <w:rPr>
          <w:rtl w:val="true"/>
        </w:rPr>
        <w:t>الاستدلال بالروايات الدالّة على عدم اجتماع الكذب والإيمان</w:t>
      </w:r>
      <w:bookmarkEnd w:id="7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التعابير والمضامين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الكذب لا يجتمع مع الإيمان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كمرسلة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فاصدقوا إنّ اللّه </w:t>
      </w:r>
    </w:p>
    <w:p>
      <w:pPr>
        <w:pStyle w:val="BookText"/>
        <w:rPr/>
      </w:pPr>
      <w:r>
        <w:rPr>
          <w:rFonts w:ascii="Amiri" w:hAnsi="Amiri" w:eastAsia="Amiri" w:cs="Amiri"/>
          <w:color w:val="111111"/>
          <w:sz w:val="28"/>
          <w:sz w:val="28"/>
          <w:szCs w:val="28"/>
          <w:rtl w:val="true"/>
          <w:lang w:bidi="ar-SA"/>
        </w:rPr>
        <w:t>مع الصادقين ، وجانبوا الكذب فإنّه يجانب الإيمان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خراب الإيمان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معمّر بن خلاّد 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المؤمن جباناً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بخيلاً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كذّاباً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رحمهما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خصال من علامات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 وإذا ائتمن خان ، وإذا وعد أخلف</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رجل 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يسرق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المؤمن يكذب؟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 عن أبي الحسن الرضا علیه السلام أ نّه </w:t>
      </w:r>
    </w:p>
    <w:p>
      <w:pPr>
        <w:pStyle w:val="BookText"/>
        <w:rPr/>
      </w:pPr>
      <w:r>
        <w:rPr>
          <w:rFonts w:ascii="Amiri" w:hAnsi="Amiri" w:eastAsia="Amiri" w:cs="Amiri"/>
          <w:color w:val="111111"/>
          <w:sz w:val="28"/>
          <w:sz w:val="28"/>
          <w:szCs w:val="28"/>
          <w:rtl w:val="true"/>
          <w:lang w:bidi="ar-SA"/>
        </w:rPr>
        <w:t xml:space="preserve">ذكر رجلاً كذّاباً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العشرة ، 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استشهد بالآية الكريمة في الأخيرتين فالأولى صرف الكلام إلى مفادها مع قطع النظر عن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 بِآياتِ اللّه‌ِ وَاُولئِكَ هُمُ الكاذِبُونَ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يمكن تقريبها للمدّعى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وردت بعد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وبعد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 نَّهُم يَقُولُونَ إِنَّما يُعَلِّمُهُ بَشَر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لكنّه بصدد بيان كبرى كلّية ، وهي أنّ اختلاق الكذب مقصورة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اختصاص بالكذب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التعميم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وَاُولئِكَ هُمُ الْكاذِبُونَ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لظهوره في أنّ الكاذب مقصور على غير المؤمن ، وأنّ غير المؤمنين بآيات اللّه هم الكاذبون منحصراً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منه أنّ الكذب مطلقاً من خواصّ غير المؤمن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في مقام تعظيم الكذب وتكبيره ، ولو بدعوى أنّ الكاذبين غير المؤمنين ، يفهم منه أ نّه عظيمة كبيرة ، وإلاّ لما صحّت الدعوى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احتمال آخر فيها ، وهو أ نّها بصدد ردّ القائلين وإنشاء ذمّهم ، لا الإخبار</w:t>
      </w:r>
    </w:p>
    <w:p>
      <w:pPr>
        <w:pStyle w:val="BookText"/>
        <w:rPr/>
      </w:pPr>
      <w:r>
        <w:rPr>
          <w:rFonts w:ascii="Amiri" w:hAnsi="Amiri" w:eastAsia="Amiri" w:cs="Amiri"/>
          <w:color w:val="111111"/>
          <w:sz w:val="28"/>
          <w:sz w:val="28"/>
          <w:szCs w:val="28"/>
          <w:rtl w:val="true"/>
          <w:lang w:bidi="ar-SA"/>
        </w:rPr>
        <w:t xml:space="preserve">بأمر واقعي حتّى يحتاج في تصحيحها إلى التأوّل والدعوى ، نظير ما نسب إلى زينب الكبرى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جواب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يفتضح الفاجر ، وهو غيرنا</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إنشاء الذمّ ، لا الإخبار عن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قولك في ردّ 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بخيل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البخيل من يأكل 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ردّ قوله بإنشاء ذمّ بالجملة الخبرية ، لا الإخبار بأنّ آكل مال الناس بخيل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المقصود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قولهم بإنشاء ذمّ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ثالث ، وهو أنّ الآية بصدد ردّهم بجملة إخبارية ، وهي أنّ الذين يقولون بأ نّك مفتر ، ويقولون يعلّمه بشر ، هم يفترون الكذب في انتساب الافتراء إليك ، وإنّهم هم الكاذبون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الاحتمال الثاني أقرب إلى الذوق في المقام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سلّم رجحان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الروايتين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دلالتها على حرمة الكذب مجال مناقشة ؛ لإمكان أن يكون المراد بدعوى قصر الكذب على غير المؤمن ونفي اتّصاف المؤمنين به ، هو أنّ الكذب لمّا كان صفة خبيثة دنيّة يناسب أرذال الناس ، والمؤمن شريف كامل لا يناسب صدوره منه ، فسلب الصفة عنه ليس لكونه معصية كبيرة ، بل لكونه صفة رديّة </w:t>
      </w:r>
      <w:bookmarkStart w:id="77" w:name="pg15162_155391"/>
    </w:p>
    <w:p>
      <w:pPr>
        <w:pStyle w:val="BookText"/>
        <w:rPr/>
      </w:pPr>
      <w:bookmarkEnd w:id="77"/>
      <w:r>
        <w:rPr>
          <w:rFonts w:ascii="Amiri" w:hAnsi="Amiri" w:eastAsia="Amiri" w:cs="Amiri"/>
          <w:color w:val="111111"/>
          <w:sz w:val="28"/>
          <w:sz w:val="28"/>
          <w:szCs w:val="28"/>
          <w:rtl w:val="true"/>
          <w:lang w:bidi="ar-SA"/>
        </w:rPr>
        <w:t xml:space="preserve">قبيحة قذرة لا تناسب مقام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تدلّ على كونه محرّماً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لفي شغل عن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 اللغو معرضون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الاحتمال ، جارٍ في جميع الروايات التي تكون بهذا المضمون ، وقد مرّت جملة منها ، ولعلّ في بعضها شهادة على ما ذكرناه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كلّ منها نحو مناقشة يظهر بالتأمّل فيها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955392_2142443653"/>
      <w:bookmarkStart w:id="79" w:name="_Toc27"/>
      <w:bookmarkEnd w:id="78"/>
      <w:r>
        <w:rPr>
          <w:rtl w:val="true"/>
        </w:rPr>
        <w:t>الاستدلال بالروايات الدالّة على أنّ قول الزور عدل الشرك</w:t>
      </w:r>
      <w:bookmarkEnd w:id="7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الروايات التي يستفاد منها أنّ شهادة الزور عدل الشرك ، متمسّكاً فيها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الزور أن يشهد</w:t>
      </w:r>
    </w:p>
    <w:p>
      <w:pPr>
        <w:pStyle w:val="BookText"/>
        <w:rPr/>
      </w:pPr>
      <w:r>
        <w:rPr>
          <w:rFonts w:ascii="Amiri" w:hAnsi="Amiri" w:eastAsia="Amiri" w:cs="Amiri"/>
          <w:color w:val="111111"/>
          <w:sz w:val="28"/>
          <w:sz w:val="28"/>
          <w:szCs w:val="28"/>
          <w:rtl w:val="true"/>
          <w:lang w:bidi="ar-SA"/>
        </w:rPr>
        <w:t xml:space="preserve">الرجل بما لا يعلم ، أو ينكر ما يعلم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تبارك اسمه شهادة الزور بالشرك</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تفسير الشيخ أبي الفتوح ، عن رسول اللّه رحمهما اللّه أ نّه قال في خطبة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شهادة الزور تعادل الشرك باللّه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عن ابن أبي جمهور عن النبي رحمهما اللّه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فتدلّ هذه الروايات على أنّ مقارنة قول الزور للشرك في الآية الكريمة ليست بمجرّد كونه من المحرّمات ، بل لكونه عدلاً للشرك في كونه كبيرة خصّه تعالى بالذكر قريناً للشرك من بين سائر المحرّمات ؛ تنبيهاً على عظمه وكبره ، كما يوافقه الاعتبار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وتؤيّده صحيحة عبد العظيم الحسني ، عن أبي عبداللّه علیه السلام في تعديد الكبائر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وشرب الخمر ؛ لأنّ اللّه عزّ وجلّ نهى عنها ، كما نهى عن عبادة الأوثان</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فتمسّك لكونه كبيرة بمقارنته في الكتاب العزيز لعبادة الأوثان ، مشيراً إلى</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وَالْمَيْسِرُ وَالأَنْصَابُ وَالأَزْلامُ رِجْسٌ </w:t>
      </w:r>
      <w:r>
        <w:rPr>
          <w:rFonts w:eastAsia="Amiri" w:cs="Amiri" w:ascii="Amiri" w:hAnsi="Amiri"/>
          <w:color w:val="111111"/>
          <w:sz w:val="28"/>
          <w:szCs w:val="28"/>
          <w:rtl w:val="true"/>
          <w:lang w:bidi="ar-SA"/>
        </w:rPr>
        <w:t>. .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منها أنّ المقارنة له في الذكر في الكتاب للتنبيه على عظمة الذنب وكبره ، ولهذا استفدنا منها كون القمار كبيرة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الزور الذي جعل عدلاً للشرك يكون كبيرةً ؛ لعين ما ذكر في الرواية ، وهو أعمّ من شهادة الزور ، فيشمل الكذب مطلقاً ، فتدلّ الآية </w:t>
      </w:r>
    </w:p>
    <w:p>
      <w:pPr>
        <w:pStyle w:val="BookText"/>
        <w:rPr/>
      </w:pPr>
      <w:r>
        <w:rPr>
          <w:rFonts w:ascii="Amiri" w:hAnsi="Amiri" w:eastAsia="Amiri" w:cs="Amiri"/>
          <w:color w:val="111111"/>
          <w:sz w:val="28"/>
          <w:sz w:val="28"/>
          <w:szCs w:val="28"/>
          <w:rtl w:val="true"/>
          <w:lang w:bidi="ar-SA"/>
        </w:rPr>
        <w:t xml:space="preserve">بإطلاقها بضميمة الروايات على أنّ الكذب مطلقاً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يناقش في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الروايات عدا الصحيحة التي يأتي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الزور يأتي في اللغة بمعنى الباطل والكذب والشرك باللّه وغيرها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مطلق الباطل ، الأعمّ من جميع المذكورات</w:t>
      </w:r>
    </w:p>
    <w:p>
      <w:pPr>
        <w:pStyle w:val="BookText"/>
        <w:rPr/>
      </w:pPr>
      <w:r>
        <w:rPr>
          <w:rFonts w:ascii="Amiri" w:hAnsi="Amiri" w:eastAsia="Amiri" w:cs="Amiri"/>
          <w:color w:val="111111"/>
          <w:sz w:val="28"/>
          <w:sz w:val="28"/>
          <w:szCs w:val="28"/>
          <w:rtl w:val="true"/>
          <w:lang w:bidi="ar-SA"/>
        </w:rPr>
        <w:t xml:space="preserve">وغيرها ، وجميع الأقاويل الباطلة ، خلاف الضرورة ، فإنّ مطلق الباطل ليس بحرام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خصوص الكذب يحتاج إلى شاهد بعد عدم إرادة مطلق الباطل ، ولعلّه أراد خصوص شهادة الزور كما يظهر من الروايات المتقدّمة ، فإنّ الظاهر منها أ نّه تعالى عدل بين خصوصها مع الشرك ، لا مطلق الكذب وتكون الشهادة من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إرادة مطلق الكذب في الآية ، عدم استشهاد النبي رحمهما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علیهم السلام في شيء من الروايات الواردة في الكذب على كثرتها بالآية الكريمة ، إلاّ المرسلة التي ذكرها الشيخ</w:t>
      </w:r>
      <w:r>
        <w:rPr>
          <w:rStyle w:val="FootnoteAnchor"/>
          <w:rtl w:val="true"/>
        </w:rPr>
        <w:footnoteReference w:id="299"/>
      </w:r>
      <w:r>
        <w:rPr>
          <w:rFonts w:ascii="Amiri" w:hAnsi="Amiri" w:eastAsia="Amiri" w:cs="Amiri"/>
          <w:color w:val="111111"/>
          <w:sz w:val="28"/>
          <w:sz w:val="28"/>
          <w:szCs w:val="28"/>
          <w:rtl w:val="true"/>
          <w:lang w:bidi="ar-SA"/>
        </w:rPr>
        <w:t xml:space="preserve">، ولم أعثر على أصلها مع احتمال كون التفسير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دلالة الآية على حرمة الكذب مطلقاً ، وعدم استشهادهم بها في شيء من الروايات الكثيرة ، واستشهادهم بها لشهادة الزور على ما في الروايات المتقدّمة</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وللغناء على ما في روايات كثيرة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سلّمت دلالتها على حرمة الكذب ، لكن يمكن أن يكون جعله عدلاً للشرك بملاحظة بعض مصاديقه ، كشهادة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على اللّه تعالى ورسوله رحمهما اللّه ، والبدع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الكذب بكثير من مصاديقه ذا مفسدة عظيمة ، يكفي في جعله مقارناً للشرك تعظيماً له ، ولا يلزم أن يكون بجميع مصاديقه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بإطلاقه قريناً له ، لا يوجب كونه بإطلاقه كبيرةً ، وليس إطلاق للآية من هذه الجهة يؤخذ به ، كما لا يخفى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عبد العظيم علیه السلام فلا تكون مؤيّدةً للمطلوب ؛ لأنّ الآية النازلة في الخمر والميسر تفارق الآية في قول الزور ، فإنّ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جعلت العناوين الأربعة أو الثلاثة موضوعة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وللنهي، فتكون وحدة السياق ووحدة النهي شاهدة على المطلوب ، ولهذا استشهد أبو عبداللّه علیه السلام في الصحيحة لكون الخمر كبيرةً ، بأنّ اللّه تعالى نهى عنها كما نهى عن عبادة الأوثان ، ولعلّ نظره إلى وحدة الأمر وكيفية الأداء في المذكورات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 الأمر بالاجتناب بمنزلة النهي وفي قوّته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يكون فيه الأمر بالاجتناب مكرّراً ، فلم تكن هذه الآية بمثابة الآية المتقدّمة ، ولعلّ في التكرار نحو إشارة إلى اختلافهما </w:t>
      </w:r>
      <w:r>
        <w:rPr>
          <w:rFonts w:eastAsia="Amiri" w:cs="Amiri" w:ascii="Amiri" w:hAnsi="Amiri"/>
          <w:color w:val="111111"/>
          <w:sz w:val="28"/>
          <w:szCs w:val="28"/>
          <w:rtl w:val="true"/>
          <w:lang w:bidi="ar-SA"/>
        </w:rPr>
        <w:t xml:space="preserve">. </w:t>
      </w:r>
      <w:bookmarkStart w:id="80" w:name="pg15162_155395"/>
    </w:p>
    <w:p>
      <w:pPr>
        <w:pStyle w:val="Heading3"/>
        <w:numPr>
          <w:ilvl w:val="2"/>
          <w:numId w:val="1"/>
        </w:numPr>
        <w:rPr/>
      </w:pPr>
      <w:bookmarkStart w:id="81" w:name="__RefHeading___Toc1955394_2142443653"/>
      <w:bookmarkStart w:id="82" w:name="_Toc28"/>
      <w:bookmarkEnd w:id="80"/>
      <w:bookmarkEnd w:id="81"/>
      <w:r>
        <w:rPr>
          <w:rtl w:val="true"/>
        </w:rPr>
        <w:t>الاستدلال بمرسلة الصدوق</w:t>
      </w:r>
      <w:bookmarkEnd w:id="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الصدوق في ضمن تعديده لألفاظ رسول اللّه رحمهما اللّه عدّ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أربى الربا الكذب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ويصحّ الاستدلال بها للمطلوب ، سواء قلنا بأنّ التفضيل على وجه الحقيقة أو على نحو المبالغة ؛ لعدم صحّة دعوى كون صغيرة أربى الربا الذي هو من أعظم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فيها بأنّ المذكور في المرسلة ألفاظ كثيرة منسوبة إلى رسول اللّه رحمهما اللّه ، والظاهر عدم صدورها في مجلس واحد ، بل كان في مقامات عديدة ، وقد جمعوها في رواية ، ولم يعلم أنّ تلك اللفظة في أيّ مقام صدرت منه رحمهما اللّه ، ولعلّه كان في مقام لم يكن له إطلاق ، تأمّل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يناقش بأ نّه ليس بصدد بيان حكم الكذب بل بصدد ترجيحه على الربا ، فهي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الإشراك باللّه ، وعقوق الوالدين ، وقول الزور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حيث قلنا بأ نّه بصدد بيان حكم آخر هو أكبرية هذا من ذاك بعد الفراغ عن أصل الحكم ، فلا يجوز التمسّك بإطلاقه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83" w:name="pg15162_155396"/>
    </w:p>
    <w:p>
      <w:pPr>
        <w:pStyle w:val="Heading3"/>
        <w:numPr>
          <w:ilvl w:val="2"/>
          <w:numId w:val="1"/>
        </w:numPr>
        <w:rPr/>
      </w:pPr>
      <w:bookmarkStart w:id="84" w:name="__RefHeading___Toc1955396_2142443653"/>
      <w:bookmarkStart w:id="85" w:name="_Toc29"/>
      <w:bookmarkEnd w:id="83"/>
      <w:bookmarkEnd w:id="84"/>
      <w:r>
        <w:rPr>
          <w:rtl w:val="true"/>
        </w:rPr>
        <w:t>الاستدلال بروايات ضعيفة سنداً أو دلالة</w:t>
      </w:r>
      <w:bookmarkEnd w:id="8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ممّا هو ضعيف سنداً ، أو دلالة ، أو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الخطايا ، اللسان الكذوب</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الكذب أقبح علّة</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سوأة أسوء من الكذب</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والكذب ، فإنّه من الفجور ، وإنّهما في النار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بسند صحيح عن عبداللّه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رحمهما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حكى عنه ما هو من أشراط الساعة إلى</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الكذب عندهم ظرافة ، فلعنة اللّه على الكاذب وإن كان مازحاً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إشكال ؛ لأنّ اللعن لا يدلّ على كبر المعصية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عدم قيام دليل على كون الكذب بنحو الإطلاق من الكبائر </w:t>
      </w:r>
      <w:r>
        <w:rPr>
          <w:rFonts w:eastAsia="Amiri" w:cs="Amiri" w:ascii="Amiri" w:hAnsi="Amiri"/>
          <w:color w:val="111111"/>
          <w:sz w:val="28"/>
          <w:szCs w:val="28"/>
          <w:rtl w:val="true"/>
          <w:lang w:bidi="ar-SA"/>
        </w:rPr>
        <w:t xml:space="preserve">. </w:t>
      </w:r>
      <w:bookmarkStart w:id="86" w:name="pg15162_155397"/>
    </w:p>
    <w:p>
      <w:pPr>
        <w:pStyle w:val="Heading3"/>
        <w:numPr>
          <w:ilvl w:val="2"/>
          <w:numId w:val="1"/>
        </w:numPr>
        <w:rPr/>
      </w:pPr>
      <w:bookmarkStart w:id="87" w:name="__RefHeading___Toc1955398_2142443653"/>
      <w:bookmarkStart w:id="88" w:name="_Toc30"/>
      <w:bookmarkEnd w:id="86"/>
      <w:bookmarkEnd w:id="87"/>
      <w:r>
        <w:rPr>
          <w:rtl w:val="true"/>
        </w:rPr>
        <w:t>في أنّ الكذب كبيرة في الجملة</w:t>
      </w:r>
      <w:bookmarkEnd w:id="88"/>
    </w:p>
    <w:p>
      <w:pPr>
        <w:pStyle w:val="BookText"/>
        <w:rPr/>
      </w:pPr>
      <w:r>
        <w:rPr>
          <w:rFonts w:ascii="IRNazanin" w:hAnsi="IRNazanin" w:eastAsia="IRNazanin"/>
          <w:color w:val="111111"/>
          <w:sz w:val="28"/>
          <w:sz w:val="28"/>
          <w:szCs w:val="28"/>
          <w:rtl w:val="true"/>
          <w:lang w:bidi="fa-IR"/>
        </w:rPr>
        <w:t xml:space="preserve">نعم ، لا شبهة في كونه كبيرةً في الجملة ؛ لأنّ الأخبار الدالّة عليه مستفيضة ، بل لعلّها متواترة من طرق الفريقين ، والمتيقّن منه الكذب على اللّه وعلى رسوله والأئمّة علیهم السلام ، وشهادة الزور ، والتهمة ، بناء على كونها من مصاديق الكذب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أعمّ من وجه منه ، فحاله كالنميمة ممّا دلّت الروايات على كونها كبيرةً</w:t>
      </w:r>
      <w:r>
        <w:rPr>
          <w:rStyle w:val="FootnoteAnchor"/>
          <w:rtl w:val="true"/>
        </w:rPr>
        <w:footnoteReference w:id="312"/>
      </w:r>
      <w:r>
        <w:rPr>
          <w:rFonts w:ascii="Amiri" w:hAnsi="Amiri" w:eastAsia="Amiri" w:cs="Amiri"/>
          <w:color w:val="111111"/>
          <w:sz w:val="28"/>
          <w:sz w:val="28"/>
          <w:szCs w:val="28"/>
          <w:rtl w:val="true"/>
          <w:lang w:bidi="ar-SA"/>
        </w:rPr>
        <w:t xml:space="preserve">، فإذا انطبقت على الكذب لا يوجب صيرورته كبيرةً ، فإنّ الحكم المتعلّق على عنوان لا يسري إلى عنوان آخر متّحد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لو صار موجباً لفساد ، لا يوجب ذلك حرمته لأجله فضلاً عن صيرورته كبيرةً كما مرّت الإشارة إليه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الكذب في غير ما دلّ الدليل على كونه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كالموردين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الصغائر ؛ لرواية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ليكذب حتّى يكتب من الكذّابين ، فإذا كذب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وفجر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الحارث الأعور عن علي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من الكذب جدّ ولا هزل ، ولا أن يعد أحدكم صبيّه ثمّ لا يفي له ، إنّ الكذب يهدي إلى الفجور ، </w:t>
      </w:r>
    </w:p>
    <w:p>
      <w:pPr>
        <w:pStyle w:val="BookText"/>
        <w:rPr/>
      </w:pPr>
      <w:r>
        <w:rPr>
          <w:rFonts w:ascii="Amiri" w:hAnsi="Amiri" w:eastAsia="Amiri" w:cs="Amiri"/>
          <w:color w:val="111111"/>
          <w:sz w:val="28"/>
          <w:sz w:val="28"/>
          <w:szCs w:val="28"/>
          <w:rtl w:val="true"/>
          <w:lang w:bidi="ar-SA"/>
        </w:rPr>
        <w:t xml:space="preserve">والفجور يهدي إلى النار ، وما يزال أحدكم يكذب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 ، وما يزال أحدكم يكذب حتّى لا تكذب</w:t>
      </w:r>
      <w:r>
        <w:rPr>
          <w:rStyle w:val="FootnoteAnchor"/>
          <w:rtl w:val="true"/>
        </w:rPr>
        <w:footnoteReference w:id="315"/>
      </w:r>
      <w:r>
        <w:rPr>
          <w:rFonts w:ascii="Amiri" w:hAnsi="Amiri" w:eastAsia="Amiri" w:cs="Amiri"/>
          <w:color w:val="111111"/>
          <w:sz w:val="28"/>
          <w:sz w:val="28"/>
          <w:szCs w:val="28"/>
          <w:rtl w:val="true"/>
          <w:lang w:bidi="ar-SA"/>
        </w:rPr>
        <w:t>موضع إبرة صدق فيسمّى عند اللّه كذّاباً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الموجود في الطبع الجديد من وسائل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 ، أبواب أحكام العشرة ،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w:t>
      </w:r>
    </w:p>
    <w:p>
      <w:pPr>
        <w:pStyle w:val="BookText"/>
        <w:rPr/>
      </w:pPr>
      <w:r>
        <w:rPr>
          <w:rFonts w:ascii="Amiri" w:hAnsi="Amiri" w:eastAsia="Amiri" w:cs="Amiri"/>
          <w:color w:val="111111"/>
          <w:sz w:val="28"/>
          <w:sz w:val="28"/>
          <w:szCs w:val="28"/>
          <w:rtl w:val="true"/>
          <w:lang w:bidi="ar-SA"/>
        </w:rPr>
        <w:t>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الأمالي ،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في قلبه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رواية أبي بصير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تفريع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يكتب من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ومعناه أ نّه بعد كتبه منهم إذا كذب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وفجر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 فإنّه أنسب من سائر معانيه ، فيظهر منه أ نّه</w:t>
      </w:r>
    </w:p>
    <w:p>
      <w:pPr>
        <w:pStyle w:val="BookText"/>
        <w:rPr/>
      </w:pPr>
      <w:r>
        <w:rPr>
          <w:rFonts w:ascii="Amiri" w:hAnsi="Amiri" w:eastAsia="Amiri" w:cs="Amiri"/>
          <w:color w:val="111111"/>
          <w:sz w:val="28"/>
          <w:sz w:val="28"/>
          <w:szCs w:val="28"/>
          <w:rtl w:val="true"/>
          <w:lang w:bidi="ar-SA"/>
        </w:rPr>
        <w:t xml:space="preserve">بعد كتبه منهم إذا كذب صار فاجراً فاسقاً ، مع أ نّه لو كان كبيرةً صار المرتكب له بمجرّد ارتكابه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هي والتي بعدها على أنّ مجرّد تكرار الكذب لا يوجب الفسق ، بل لا بدّ فيه من كونه مدمناً وكذّاباً مطبوعاً على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الاُولى أ نّه بعد ذلك لا بدّ من صدور كذب منه،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الروايتان على أنّ الإصرار الموجب للفسق في الكذب ، غير الإصرار في سائر المعاصي ، لو قلنا فيها بكفاية مطلق التكرار أو عدم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المراد بقول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أخزاه وهتك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أن يكون الفجور عند اللّه غير ما في ظاهر الشريعة ، وكاحتمال أ نّه تعالى لا يقول بكلّ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فاجر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ويؤيّد صغره قوله في الرواية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يهدي إلى الفجور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مشعرة بعدم كونه منها ، بل تدلّ أيضاً على عدم كونه في نفسه موجباً للنار ، ويؤيّده أنّ في كثير من الروايات جعل الكذّاب موضوعاً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جملة من الروايات أنّ ما يخالف الإيمان ، أو ما هو من علائم النفاق ، المطبوعية على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عبد الرحمان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 هو الذي يكذب في الشيء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ما من أحد إلاّ يكون ذلك منه ، ولكنّ المطبوع على الكذب</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بمنزلة التفسير لما دلّ على أنّ الكذب يجانب الإيمان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يدلّ على أنّ كلّ أحد وإن كان مؤمناً يبتلى بالكذب ، ولكنّ الكذّاب هو المطبوع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السائل كان ذهنه مسبوقاً بأنّ الكذّاب فاجر فاسق ، أو أ نّه لا يكون مؤمناً ، فسأل ما 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نظره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فليس بشيء ، فإنّه مربوط ببعض الاُمم السالفة ، ولا يناسب المقام ، فراجع</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منه احتمال أن يكون السؤال والجواب راجعاً إلى تفسير اللغة ، بل هو </w:t>
      </w:r>
    </w:p>
    <w:p>
      <w:pPr>
        <w:pStyle w:val="BookText"/>
        <w:rPr/>
      </w:pPr>
      <w:r>
        <w:rPr>
          <w:rFonts w:ascii="Amiri" w:hAnsi="Amiri" w:eastAsia="Amiri" w:cs="Amiri"/>
          <w:color w:val="111111"/>
          <w:sz w:val="28"/>
          <w:sz w:val="28"/>
          <w:szCs w:val="28"/>
          <w:rtl w:val="true"/>
          <w:lang w:bidi="ar-SA"/>
        </w:rPr>
        <w:t xml:space="preserve">مقطوع الخلاف ولا 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وكرواية الحسن بن محبوب المرويّة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المؤمن بخيلاً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جباناً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كذّاباً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المؤمن على كلّ طبيعة إلاّ الخيانة والكذب</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ينطبع على كلّ شيء إلاّ على الكذب والخيانة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كان منافقاً ، وإن صام وصلّى وزعم أ 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ائتمن خان ، وإذا حدّث كذب ، وإذا وعد أخلف </w:t>
      </w:r>
      <w:r>
        <w:rPr>
          <w:rFonts w:eastAsia="IRNazanin" w:cs="IRNazanin"/>
          <w:color w:val="111111"/>
          <w:sz w:val="28"/>
          <w:szCs w:val="28"/>
          <w:rtl w:val="true"/>
          <w:lang w:bidi="fa-IR"/>
        </w:rPr>
        <w:t>.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روايات اُخر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أنّ الكذب في نفسه في غير بعض أنواعه الذي دلّ </w:t>
      </w:r>
      <w:bookmarkStart w:id="89" w:name="pg15162_155401"/>
    </w:p>
    <w:p>
      <w:pPr>
        <w:pStyle w:val="BookText"/>
        <w:rPr/>
      </w:pPr>
      <w:bookmarkEnd w:id="89"/>
      <w:r>
        <w:rPr>
          <w:rFonts w:ascii="Amiri" w:hAnsi="Amiri" w:eastAsia="Amiri" w:cs="Amiri"/>
          <w:color w:val="111111"/>
          <w:sz w:val="28"/>
          <w:sz w:val="28"/>
          <w:szCs w:val="28"/>
          <w:rtl w:val="true"/>
          <w:lang w:bidi="ar-SA"/>
        </w:rPr>
        <w:t xml:space="preserve">الدليل على كونه كبيرةً ، صغيرةٌ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لا دلالة في رواية أبي خديجة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على اللّه وعلى رسوله من الكبائر</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على عدم غيره منها ؛ لأنّ نكتة اختصاصهما بالذكر ، بعد أهمّية الموضوع ، لعلّها كثرة القالة على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 نّه في مقام التحديد ، كما ترى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955400_2142443653"/>
      <w:bookmarkStart w:id="91" w:name="_Toc31"/>
      <w:bookmarkEnd w:id="90"/>
      <w:r>
        <w:rPr>
          <w:rtl w:val="true"/>
        </w:rPr>
        <w:t>دفع كون تحريم الكذب باعتبار اللواحق</w:t>
      </w:r>
      <w:bookmarkEnd w:id="91"/>
    </w:p>
    <w:p>
      <w:pPr>
        <w:pStyle w:val="Heading4"/>
        <w:numPr>
          <w:ilvl w:val="3"/>
          <w:numId w:val="1"/>
        </w:numPr>
        <w:rPr/>
      </w:pPr>
      <w:bookmarkStart w:id="92" w:name="__RefHeading___Toc1955402_2142443653"/>
      <w:bookmarkStart w:id="93" w:name="_Toc32"/>
      <w:bookmarkEnd w:id="92"/>
      <w:r>
        <w:rPr>
          <w:rtl w:val="true"/>
        </w:rPr>
        <w:t>حكم العقل بقبح الكذب ذاتاً</w:t>
      </w:r>
      <w:bookmarkEnd w:id="93"/>
    </w:p>
    <w:p>
      <w:pPr>
        <w:pStyle w:val="BookText"/>
        <w:rPr/>
      </w:pPr>
      <w:r>
        <w:rPr>
          <w:rFonts w:ascii="Amiri" w:hAnsi="Amiri" w:eastAsia="Amiri" w:cs="Amiri"/>
          <w:color w:val="111111"/>
          <w:sz w:val="28"/>
          <w:sz w:val="28"/>
          <w:szCs w:val="28"/>
          <w:rtl w:val="true"/>
          <w:lang w:bidi="ar-SA"/>
        </w:rPr>
        <w:t xml:space="preserve">ثمّ إنّ هاهنا كلاماً آخر لا بدّ من التعرّض له تتميماً للمرام ، وهو احتمال أن يكون الكذب من العناوين اللا اقتضائية ، حتّى من حيث الحرمة بحسب حكم الشارع ، فيكون تحريمه باعتبار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إلى حكم العقل في المقام ، ثمّ إلى حكم الشارع الأقدس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بحسب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الكذب قبيحاً ذاتاً ، ويكون علّة تامّة له لا ينفكّ عنه ، فيكون في موارد مزاحمته مع ما هو أقبح منه باقياً على قبحه ، وإن جاز أو لزم ارتكابه ؛ لاختيار العقل أقلّ القبيحين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مقتضياً له ، بمعنى أنّ فيه اقتضاءه ويؤثّر ذلك في القبح إلاّ أنّ منعه مانع عن فعليته ، كاقتضاء النار للإحراق ، فلا ينافي ذلك الاقتضاء عدم التأثير </w:t>
      </w:r>
    </w:p>
    <w:p>
      <w:pPr>
        <w:pStyle w:val="BookText"/>
        <w:rPr/>
      </w:pP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 يكون الكذب المنجي للمؤمن من الهلكة قبيحاً فعلاً ، ومعنى كونه مقتضياً أ نّه لولا ذلك المانع لصار فعلياً ، فحينئذٍ يكون الكذب مزاحاً وفي موارد لا يترتّب عليه صلاح ولا فساد ، قبيحاً ؛ لاقتضائه الذاتي وفقدان ما يمنعه عن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الاقتضاء والتأثير والعلّية ، كلّها هاهنا ليست على حذو علل التكوين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لا اقتضاء ذاتاً ، ويكون قبحه وحسنه بالوجوه والاعتبار ، وعروض جهات مقبّحة أو محسّنة ، ولا يكون قبيحاً ولا حسناً مع عدم عروض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كون القبح بالوجوه والاعتبار ، وإن يظهر من الشيخ الأنصاري</w:t>
      </w:r>
      <w:r>
        <w:rPr>
          <w:rStyle w:val="FootnoteAnchor"/>
          <w:rtl w:val="true"/>
        </w:rPr>
        <w:footnoteReference w:id="325"/>
      </w:r>
      <w:r>
        <w:rPr>
          <w:rFonts w:ascii="Amiri" w:hAnsi="Amiri" w:eastAsia="Amiri" w:cs="Amiri"/>
          <w:color w:val="111111"/>
          <w:sz w:val="28"/>
          <w:sz w:val="28"/>
          <w:szCs w:val="28"/>
          <w:rtl w:val="true"/>
          <w:lang w:bidi="ar-SA"/>
        </w:rPr>
        <w:t xml:space="preserve">في المقام الثاني ما يشعر بخلاف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الاحتمال أضعف الاحتمالات ، فإنّ العقل يدرك قبحه وحزازته في نفسه ، فيرى الكذب الذي لا يترتّب عليه مفسدة ومصلحة قبيحاً ، له حزازة بلا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في الاحتمالين الآخرين ، ولا يبعد ترجيح الأوّل ، بدليل أ نّه في المورد الذي يتوقّف إنجاء النبي رحمهما اللّه أو المؤمن على الكذب ، يرى العقل أ نّه لو كان إنجاؤه متوقّفاً على الصدق كان أحسن ، فلا يسوّي بين الكذب والصدق التقديري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على أنّ العقل يدرك قبحه فعلاً لا اقتضاءً بالمعنى المتقدّم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مع تجرّده عن كافّة المتعلّقات ، والنظر إلى ذاته </w:t>
      </w:r>
      <w:bookmarkStart w:id="94" w:name="pg15162_155403"/>
    </w:p>
    <w:p>
      <w:pPr>
        <w:pStyle w:val="BookText"/>
        <w:rPr/>
      </w:pPr>
      <w:bookmarkEnd w:id="94"/>
      <w:r>
        <w:rPr>
          <w:rFonts w:ascii="Amiri" w:hAnsi="Amiri" w:eastAsia="Amiri" w:cs="Amiri"/>
          <w:color w:val="111111"/>
          <w:sz w:val="28"/>
          <w:sz w:val="28"/>
          <w:szCs w:val="28"/>
          <w:rtl w:val="true"/>
          <w:lang w:bidi="ar-SA"/>
        </w:rPr>
        <w:t>بذاته له قبح ما عقلاً لا ينفكّ عنه ، والجهات الخارجية لا تأثير لها في رفعه ، ولهذا يتمنّى العاقل أن يكون الصدق مكان الكذب منجياً للنبي رحمهما اللّه وليس</w:t>
      </w:r>
    </w:p>
    <w:p>
      <w:pPr>
        <w:pStyle w:val="BookText"/>
        <w:rPr/>
      </w:pPr>
      <w:r>
        <w:rPr>
          <w:rFonts w:ascii="Amiri" w:hAnsi="Amiri" w:eastAsia="Amiri" w:cs="Amiri"/>
          <w:color w:val="111111"/>
          <w:sz w:val="28"/>
          <w:sz w:val="28"/>
          <w:szCs w:val="28"/>
          <w:rtl w:val="true"/>
          <w:lang w:bidi="ar-SA"/>
        </w:rPr>
        <w:t xml:space="preserve">ذلك إلاّ لعدم رفع حزازته وقبحه وإن لزم ارتكابه ، وله نظائر تظهر بالتأمّل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955404_2142443653"/>
      <w:bookmarkStart w:id="96" w:name="_Toc33"/>
      <w:bookmarkEnd w:id="95"/>
      <w:r>
        <w:rPr>
          <w:rtl w:val="true"/>
        </w:rPr>
        <w:t>مناط حكم الشرع في الكذب غير مناط حكم العقل</w:t>
      </w:r>
      <w:bookmarkEnd w:id="96"/>
    </w:p>
    <w:p>
      <w:pPr>
        <w:pStyle w:val="BookText"/>
        <w:rPr/>
      </w:pPr>
      <w:r>
        <w:rPr>
          <w:rFonts w:ascii="Amiri" w:hAnsi="Amiri" w:eastAsia="Amiri" w:cs="Amiri"/>
          <w:color w:val="111111"/>
          <w:sz w:val="28"/>
          <w:sz w:val="28"/>
          <w:szCs w:val="28"/>
          <w:rtl w:val="true"/>
          <w:lang w:bidi="ar-SA"/>
        </w:rPr>
        <w:t xml:space="preserve">ثمّ لو كان حكم الشارع بحرمته بملاك حكم العقل ، فلا محالة يتبعه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قبحه بناءً على أقوى الوجوه باقٍ ولو مع عروض المصالح ، تكون حرمته أيضاً باقية مع ذلك ، بناءً على ما قوّيناه في باب تزاحم المقتضيات ، وباب الأهمّ والمهمّ ، من أنّ الحكم باقٍ بفعليته في المزاحمين وفي الأهمّ والمهمّ جميعاً ، وإن كان المكلّف معذوراً في ترك المهمّ مع الاشتغال بالأهمّ ، وفي أحد المتزاحمين ، مع الإتيان بالمزاحم الآخر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الكذب على ذلك محرّماً فعلاً وإن كان معذوراً في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وجوبه مقدّمة لإنجاء النبي رحمهما اللّه وهو لا يجتمع مع الحرمة قد فرغنا عن تهجينه ، ولو قلنا بوجوب المقدّمة ، فلا تنافي بينه وبين حرمة الكذب ؛ لما قلنا من أ نّه على فرض وجوبها ، يكون متعلّقه هو عنوان الموصل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من مظانّه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الشأن في كون الحكم الشرعي بمناط حكم العقل ، إذ لا دليل عليه ، وليس حكم العقل بقبحه في ذاته بمثابة تكشف منه الحرمة الشرعية </w:t>
      </w:r>
      <w:r>
        <w:rPr>
          <w:rFonts w:eastAsia="Amiri" w:cs="Amiri" w:ascii="Amiri" w:hAnsi="Amiri"/>
          <w:color w:val="111111"/>
          <w:sz w:val="28"/>
          <w:szCs w:val="28"/>
          <w:rtl w:val="true"/>
          <w:lang w:bidi="ar-SA"/>
        </w:rPr>
        <w:t xml:space="preserve">. </w:t>
      </w:r>
      <w:bookmarkStart w:id="97" w:name="pg15162_155404"/>
    </w:p>
    <w:p>
      <w:pPr>
        <w:pStyle w:val="BookText"/>
        <w:rPr/>
      </w:pPr>
      <w:bookmarkEnd w:id="97"/>
      <w:r>
        <w:rPr>
          <w:rFonts w:ascii="Amiri" w:hAnsi="Amiri" w:eastAsia="Amiri" w:cs="Amiri"/>
          <w:color w:val="111111"/>
          <w:sz w:val="28"/>
          <w:sz w:val="28"/>
          <w:szCs w:val="28"/>
          <w:rtl w:val="true"/>
          <w:lang w:bidi="ar-SA"/>
        </w:rPr>
        <w:t xml:space="preserve">بل يمكن الاستئناس لعدم وحدة المناطين ، بما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جواز الكذب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 اللّه تعالى الكذب في الإصلاح</w:t>
      </w:r>
      <w:r>
        <w:rPr>
          <w:rStyle w:val="FootnoteAnchor"/>
          <w:rtl w:val="true"/>
        </w:rPr>
        <w:footnoteReference w:id="328"/>
      </w:r>
      <w:r>
        <w:rPr>
          <w:rFonts w:ascii="Amiri" w:hAnsi="Amiri" w:eastAsia="Amiri" w:cs="Amiri"/>
          <w:color w:val="111111"/>
          <w:sz w:val="28"/>
          <w:sz w:val="28"/>
          <w:szCs w:val="28"/>
          <w:rtl w:val="true"/>
          <w:lang w:bidi="ar-SA"/>
        </w:rPr>
        <w:t xml:space="preserve">، فإنّه لو كانت حرمته بمناط حكم العقل لما صار محبوباً في شيء من الموارد ؛ لأنّ الكذب الإصلاحي على ذلك مبغوض بذاته وإن كان العبد معذوراً فيه ، فالحكم بالمحبوبية دليل على أنّ حكم الشارع بالتحريم والتجويز ليس بملاك حكم العقل ، والحمل على المحبوبية بالعرض خروج عن ظاهر الدليل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القبيح عقلاً لا يمكن أن يصير محبوباً شرعاً ، يمكن دفعها بأ نّه وجيه لو كان المناط منحصراً بما أدركه العقل ، أو كان المناط بحيث يكشف حكم الشرع منه ، ولعلّ فيه مناطات اُخر مجهولة علينا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955406_2142443653"/>
      <w:bookmarkStart w:id="99" w:name="_Toc34"/>
      <w:bookmarkEnd w:id="98"/>
      <w:r>
        <w:rPr>
          <w:rtl w:val="true"/>
        </w:rPr>
        <w:t>مقتضى الروايات حرمة الكذب مطلقاً</w:t>
      </w:r>
      <w:bookmarkEnd w:id="99"/>
    </w:p>
    <w:p>
      <w:pPr>
        <w:pStyle w:val="BookText"/>
        <w:rPr/>
      </w:pPr>
      <w:r>
        <w:rPr>
          <w:rFonts w:ascii="Amiri" w:hAnsi="Amiri" w:eastAsia="Amiri" w:cs="Amiri"/>
          <w:color w:val="111111"/>
          <w:sz w:val="28"/>
          <w:sz w:val="28"/>
          <w:szCs w:val="28"/>
          <w:rtl w:val="true"/>
          <w:lang w:bidi="ar-SA"/>
        </w:rPr>
        <w:t xml:space="preserve">ثمّ بعد فرض عدم الدليل على وحدة المناط في حكم العقل والشرع ، لا بدّ من أخذ إطلاق أدلّة حرمة الكذب لو كان ، وكذا الأخذ بالمخصّص والمقيّد والحكم بعدم الحرمة في موردهما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الكذب في الشرع بالوجوه والاعتبار بالمعنى المتقدّم ، وإن كان قبحه بذاته عقلاً ؟ وليستأنس له بروايات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كمرسلة سيف بن عميرة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w:t>
      </w:r>
    </w:p>
    <w:p>
      <w:pPr>
        <w:pStyle w:val="BookText"/>
        <w:rPr/>
      </w:pPr>
      <w:r>
        <w:rPr>
          <w:rFonts w:ascii="IRNazanin" w:hAnsi="IRNazanin" w:eastAsia="IRNazanin"/>
          <w:color w:val="111111"/>
          <w:sz w:val="28"/>
          <w:sz w:val="28"/>
          <w:szCs w:val="28"/>
          <w:rtl w:val="true"/>
          <w:lang w:bidi="fa-IR"/>
        </w:rPr>
        <w:t xml:space="preserve">الحسين علیه السلام يقول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الكذب ، الصغير منه والكبير ، في كلّ جدّ وهزل ، فإنّ الرجل إذا كذب في الصغير اجترأ على الكبير </w:t>
      </w:r>
      <w:r>
        <w:rPr>
          <w:rFonts w:eastAsia="IRNazanin" w:cs="IRNazanin"/>
          <w:color w:val="111111"/>
          <w:sz w:val="28"/>
          <w:szCs w:val="28"/>
          <w:rtl w:val="true"/>
          <w:lang w:bidi="fa-IR"/>
        </w:rPr>
        <w:t>. .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أنّ الظاهر من التعليل أنّ الأمر بالاتّقاء عن الصغير ليس لذاته ، بل لأجل عدم الابتلاء بالكبير ، فلو كان الكذب الصغير محرّماً ، لما يناسب هذا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قوله في روايات التثليث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فالأمر بالاتّقاء عن الصغير إرشادي لغرض عدم الوقوع في المحرّم ، وهو الكذب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كبر الكذب وصغره باعتبار ترتّب الفساد على المخبر به ومراتب الفساد ، وإلاّ فنفس الكذب من حيث ذاته لا يتّصف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يمكن الاستئناس للمطلوب بأنّ الكذب في حدّ ذاته لا يكون شيئاً ، وإنّما حرمته وحلّيته وكبره وصغره باعتبار الوجوه المنطبقة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ورواية حمّاد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عن الصادق عن آبائه علیهم السلام في وصيّة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رحمهما اللّه لعلي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ثلاث يحسن فيهنّ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المكيدة في الحرب ، وعدتك زوجتك ، والإصلاح بين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إنّ اللّه </w:t>
      </w:r>
    </w:p>
    <w:p>
      <w:pPr>
        <w:pStyle w:val="BookText"/>
        <w:rPr/>
      </w:pPr>
      <w:r>
        <w:rPr>
          <w:rFonts w:ascii="Amiri" w:hAnsi="Amiri" w:eastAsia="Amiri" w:cs="Amiri"/>
          <w:color w:val="111111"/>
          <w:sz w:val="28"/>
          <w:sz w:val="28"/>
          <w:szCs w:val="28"/>
          <w:rtl w:val="true"/>
          <w:lang w:bidi="ar-SA"/>
        </w:rPr>
        <w:t>أحبّ الكذب في الصلاح ، وأبغض الصدق في الفساد</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روايات</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الصدوق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اليمين التي يؤجر عليها الرجل إذا حلف كاذباً ولم تلزمه الكفّارة فهو أن يحلف الرجل في خلاص امرئ مسلم أو خلاص ماله من متعدّ يتعدّى عليه من لصّ أو غيره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زرارة عن أبي جعفر علیه السلام في باب الحلف كاذباً للعشّار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فاحلف لهم ، فهو أحلّ من التمر والزبد</w:t>
      </w:r>
      <w:r>
        <w:rPr>
          <w:rFonts w:eastAsia="IRNazanin" w:cs="IRNazanin"/>
          <w:color w:val="111111"/>
          <w:sz w:val="28"/>
          <w:szCs w:val="28"/>
          <w:rtl w:val="true"/>
          <w:lang w:bidi="fa-IR"/>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نّها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 نّه لو لم تكن حرمته بالوجوه والاعتبار ، لما صار أحبّ إلى اللّه ولا حسناً ولا 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ولا مأجوراً عليه لأجل طروء عنوان ذي مصلحة عليه ، بل كان من قبيل تزاحم المقتضيات في مقام العمل ، وللكاذب عذر في اختيار أقلّ المحذورين والمبغوضين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يمكن أن يستشهد بتلك الروايات ، </w:t>
      </w:r>
    </w:p>
    <w:p>
      <w:pPr>
        <w:pStyle w:val="BookText"/>
        <w:rPr/>
      </w:pPr>
      <w:r>
        <w:rPr>
          <w:rFonts w:ascii="Amiri" w:hAnsi="Amiri" w:eastAsia="Amiri" w:cs="Amiri"/>
          <w:color w:val="111111"/>
          <w:sz w:val="28"/>
          <w:sz w:val="28"/>
          <w:szCs w:val="28"/>
          <w:rtl w:val="true"/>
          <w:lang w:bidi="ar-SA"/>
        </w:rPr>
        <w:t xml:space="preserve">ما عدا الاُولى أنّ الكذب ليس علّة تامّة للحرمة ، وليست الحرمة لازم ذاته ؛ لأنّ الظاهر منها أ نّه محبوب وحسن في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تزاحم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على حرمته ومبغوضيته ، لا صيرورته محبوباً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المحبوبية العرضية مع كونه مبغوضاً بالفعل ذاتاً ،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على أنّ حرمته بالوجوه والاعتبار فلا ؛ لإمكان أن يكون مقتضياً للحرمة ، ويكون العنوان الطارئ من قبيل المانع عن تأثيره ، فيمكن أن يكون ما فيه اقتضاء الحرمة والمبغوضية غير محرّم ولا مبغوض لأجل عروض المانع ، بل يمكن أن يصير محبوباً فعلاً ؛ لعدم التنافي بين المبغوضية الاقتضائية والمحبوبية الفعلية ، سيّما إذا كانت المحبوبية بالعرض ، كما في المقام ، فإنّ محبوبيته لأجل كونه في الصلاح ، فالصلاح محبوب بالذات ، وهو محبوب ثانياً وبالعرض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دار الأمر بين الاحتمالين لا يمكن رفع اليد عن إطلاق أدلّة حرمة الكذب، لو فرض إطلاق فيها ، بل يمكن كشف حال الموضوع من إطلاقها والحكم بكونه مقتضياً للحرمة لولا عروض ما يمنعه عن تأثير مقتضاه بدليل دالّ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الاُولى فلا دلالة لها على المطلوب ، بل ولا إشعار فيها به ؛ لأنّ الاجتراء على المعصية الكبيرة بارتكاب الصغيرة طبيعي للنفس ، فأشار في الرواية إليه ، والتعليل صحيح موجّه بعد كون المحرّمات ذات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لا كونها كذلك لكان لما ذكر وجه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وجود الإطلاق والعموم في أخبار كثيرة ربما توجب كثرتها </w:t>
      </w:r>
    </w:p>
    <w:p>
      <w:pPr>
        <w:pStyle w:val="BookText"/>
        <w:rPr/>
      </w:pPr>
      <w:r>
        <w:rPr>
          <w:rFonts w:ascii="Amiri" w:hAnsi="Amiri" w:eastAsia="Amiri" w:cs="Amiri"/>
          <w:color w:val="111111"/>
          <w:sz w:val="28"/>
          <w:sz w:val="28"/>
          <w:szCs w:val="28"/>
          <w:rtl w:val="true"/>
          <w:lang w:bidi="ar-SA"/>
        </w:rPr>
        <w:t xml:space="preserve">الاطمئنان والوثوق بصدور بعضها إجمالاً ، فلا ينظر إلى ضعف أسانيدها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وصيّة النبي رحمهما اللّه لأبيذرّ رضى‌الله‌عنه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يخرجنّ من فيك كذبة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توبة الرجل الذي يكذب متعمّداً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وصلوات الخمس تغسل ذلك</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هذه الفقرة فقرة يمكن دعوى الإطلاق فيها أيضاً، وإن لا يخلو من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عيسى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كذب مسؤول عنه صاحبه يوماً إلاّ كذباً في ثلاثة </w:t>
      </w:r>
      <w:r>
        <w:rPr>
          <w:rFonts w:eastAsia="IRNazanin" w:cs="IRNazanin"/>
          <w:color w:val="111111"/>
          <w:sz w:val="28"/>
          <w:szCs w:val="28"/>
          <w:rtl w:val="true"/>
          <w:lang w:bidi="fa-IR"/>
        </w:rPr>
        <w:t>.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رواية الطبرسي</w:t>
      </w:r>
      <w:r>
        <w:rPr>
          <w:rStyle w:val="FootnoteAnchor"/>
          <w:rtl w:val="true"/>
        </w:rPr>
        <w:footnoteReference w:id="338"/>
      </w:r>
      <w:r>
        <w:rPr>
          <w:rFonts w:ascii="IRNazanin" w:hAnsi="IRNazanin" w:eastAsia="IRNazanin"/>
          <w:color w:val="111111"/>
          <w:sz w:val="28"/>
          <w:sz w:val="28"/>
          <w:szCs w:val="28"/>
          <w:rtl w:val="true"/>
          <w:lang w:bidi="fa-IR"/>
        </w:rPr>
        <w:t xml:space="preserve">عنه علیه السلام ، ولعلّهما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جعفر بن أحمد القمّي ، عن أحمد بن الحسين ، بإسناده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والكذب كلّه إثم ، إلاّ ما نفعت به مؤمناً </w:t>
      </w:r>
      <w:r>
        <w:rPr>
          <w:rFonts w:eastAsia="IRNazanin" w:cs="IRNazanin"/>
          <w:color w:val="111111"/>
          <w:sz w:val="28"/>
          <w:szCs w:val="28"/>
          <w:rtl w:val="true"/>
          <w:lang w:bidi="fa-IR"/>
        </w:rPr>
        <w:t>. .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العشرة ،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الطبرسي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مذموم</w:t>
      </w:r>
      <w:r>
        <w:rPr>
          <w:rFonts w:eastAsia="IRNazanin" w:cs="IRNazanin"/>
          <w:color w:val="111111"/>
          <w:sz w:val="28"/>
          <w:szCs w:val="28"/>
          <w:rtl w:val="true"/>
          <w:lang w:bidi="fa-IR"/>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أبي إسحاق الخراساني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والكذب </w:t>
      </w:r>
      <w:r>
        <w:rPr>
          <w:rFonts w:eastAsia="IRNazanin" w:cs="IRNazanin"/>
          <w:color w:val="111111"/>
          <w:sz w:val="28"/>
          <w:szCs w:val="28"/>
          <w:rtl w:val="true"/>
          <w:lang w:bidi="fa-IR"/>
        </w:rPr>
        <w:t>. .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الحسن الصيقل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 الكذب في غير الإصلاح</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أنس ، المتقدّمة عن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إذا كذب بغير عذر لعنه سبعون ألف ملك </w:t>
      </w:r>
      <w:r>
        <w:rPr>
          <w:rFonts w:eastAsia="Amiri" w:cs="Amiri" w:ascii="Amiri" w:hAnsi="Amiri"/>
          <w:color w:val="111111"/>
          <w:sz w:val="28"/>
          <w:szCs w:val="28"/>
          <w:rtl w:val="true"/>
          <w:lang w:bidi="ar-SA"/>
        </w:rPr>
        <w:t>.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وإيّاكم والكذب ، فإنّه لا يصلح إلاّ لأهله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أقبح علّة</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سوأة أسوء من الكذب</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أوصاني رسول اللّه رحمهما اللّه حين زوّجني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والكذب ، فإنّه يسوّد الوجه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الكذب وإن رأيتم فيه النجاة ، فإنّ فيه الهلكة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 فإنّه من الفجور وإنّهما في النار</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الصحيح عن رسول اللّه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الكاذب وإن كان مازحاً</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حرمته مطلقاً إلاّ ما استثني </w:t>
      </w:r>
      <w:r>
        <w:rPr>
          <w:rFonts w:eastAsia="Amiri" w:cs="Amiri" w:ascii="Amiri" w:hAnsi="Amiri"/>
          <w:color w:val="111111"/>
          <w:sz w:val="28"/>
          <w:szCs w:val="28"/>
          <w:rtl w:val="true"/>
          <w:lang w:bidi="ar-SA"/>
        </w:rPr>
        <w:t xml:space="preserve">. </w:t>
      </w:r>
      <w:bookmarkStart w:id="100" w:name="pg15162_155411"/>
    </w:p>
    <w:p>
      <w:pPr>
        <w:pStyle w:val="Heading3"/>
        <w:numPr>
          <w:ilvl w:val="2"/>
          <w:numId w:val="1"/>
        </w:numPr>
        <w:rPr/>
      </w:pPr>
      <w:bookmarkStart w:id="101" w:name="__RefHeading___Toc1955408_2142443653"/>
      <w:bookmarkStart w:id="102" w:name="_Toc35"/>
      <w:bookmarkEnd w:id="100"/>
      <w:bookmarkEnd w:id="101"/>
      <w:r>
        <w:rPr>
          <w:rtl w:val="true"/>
        </w:rPr>
        <w:t>الأمر الثاني في مسوّغات الكذب</w:t>
      </w:r>
      <w:bookmarkEnd w:id="102"/>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 الكذب ، الأعمّ من الشرعية والعقلية ، وبالعنوان الأوّلي أو الثانوي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955410_2142443653"/>
      <w:bookmarkStart w:id="104" w:name="_Toc36"/>
      <w:bookmarkEnd w:id="103"/>
      <w:r>
        <w:rPr>
          <w:rtl w:val="true"/>
        </w:rPr>
        <w:t>في أنّ الضرورة من مسوّغات الكذب</w:t>
      </w:r>
      <w:bookmarkEnd w:id="104"/>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الكذب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الإكراه والاضطرار ، وكذا الدوران بين المحذورين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كلام جعل الأخبار الواردة في باب اليمين لنجاة مال نفسه أو غيره مربوطة بالمقام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 نّه على فرض كونها مربوطة به يكون مقتضى إطلاقها جواز الكذب لمال نفسه ولو غير معتدّ به ، وصريح بعضها جوازه لمال غيره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العنوان غير التسويغ للضرورة ؛ إذ لا ينطبق عليه أحد العناوين المتقدّمة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الإكراه والدوران بين المحذورين فظاهر ؛ إذ لا يجب على الإنسان حفظ مال نفسه فضلاً عن مال غيره إذا لم يكن تحت 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الاضطرار فلا يصدق إلاّ مع كون المال بمقدار يكون دفعه موجباً للحرج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دفع المال إلى الظالم حرجي ، لا يصحّ ذلك بالنسبة إلى مال الغير إذا لم يكن تحت يده ، ومقتضى إطلاق بعض الروايات جواز الحلف كاذباً في خلاص مال مسلم وإن لم يكن أمانة عنده وتحت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تلك الروايات من أدلّة الباب ، لا بدّ من جعل المسوّغ زائداً على اثنين ، أو تعميم المسوّغ الثاني بما يشمل مورد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مكرهاً على الكذب ، فأكرهه المكره به بعنوانه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مضطرّاً إليه ، إذا كان في تركه ضرر عليه نفساً ، أو عرضاً ، أو مالاً بمقدار معتدّ به ، أو مطلقاً في بعض الأحيان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كذبه لترجيح أخفّ المحرّمين على الآخر ، كما لو كلّفه على شرب الخمر من لا يأمن سوطه وسلطانه ، فرجّح الكذب للتخلّص ، وهذا غير عنوان الاضطرار المرفوع بأدلّته،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في تلك العناوين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استفادة مورد رابع من الروايات الواردة في باب الحلف أو لا ؟ لا بدّ من نقل بعضها ليتّضح الحال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إسماعيل بن سعد الأشعري عن أبي الحسن الرضا علیه السلام في 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أحلفه السلطان بالطلاق أو غير ذلك فحلف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رجل يخاف على ماله من السلطان فيحلفه لينجو به منه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هل يحلف الرجل على مال أخيه كما يحلف على ماله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 بالمال على العشّار ، فيطلبون منّا أن نحلف لهم ويخلّون سبيلنا ، ولا يرضون منّا إلاّ بذلك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فاحلف لهم ، فهو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أحلى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والزبد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 أ نّه سأل أبا عبداللّه علیه السلام عن الرجل يحلف لصاحب العشور يحرز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ماله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اُخرى لزرارة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نمرّ على هؤلاء القوم ، فيستحلفونا على أموالنا وقد أدّينا زكاتها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 إذا خفت فاحلف لهم ما شاؤوا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بالطلاق والعتاق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شاؤوا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هي نحوها أو قريب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إطلاقها للحلف الصادق والكاذب لإنجاء ماله أو مال غيره 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عنوان غير العناوين السالفة ، وغير الكذب في الإصلاح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بصدد بيان حكم آخر ، وهو جواز الحلف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الحلف عبارة عن جملة إنشائية تأتي بها لتأكيد الجملة الإخبارية ، أو الإنشائية في بعض الأحيان ، وهي غير الجملة الإخبارية المؤكّدة بها ، ولا تتّصف بالصدق والكذب ، وإطلاقهما أحياناً عليها إنّما هو بنحو من التأويل والتسامح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الكاذبة أو الصادقة باعتبار متعلّقهما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في الكتاب العزيز النهي عن جعل اللّه تعالى عرضة للأيمان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وورد في الروايات النهي عنها كاذباً أو صادقاً </w:t>
      </w:r>
      <w:r>
        <w:rPr>
          <w:rStyle w:val="FootnoteAnchor"/>
          <w:rtl w:val="true"/>
        </w:rPr>
        <w:footnoteReference w:id="358"/>
      </w:r>
      <w:r>
        <w:rPr>
          <w:rFonts w:ascii="Amiri" w:hAnsi="Amiri" w:eastAsia="Amiri" w:cs="Amiri"/>
          <w:color w:val="111111"/>
          <w:sz w:val="28"/>
          <w:sz w:val="28"/>
          <w:szCs w:val="28"/>
          <w:rtl w:val="true"/>
          <w:lang w:bidi="ar-SA"/>
        </w:rPr>
        <w:t xml:space="preserve">يمكن أن يكون ذاك وذلك منشأً للشبهة في أنّ اليمين غير جائزة حتّى لإنجاء المال والتخلّص من العشّار وغيره ، فسألوا عن حكم اليمين من حيث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إطلاق فيها يشمل اليمين المقارنة للجملة الكاذبة ؛ لأنّ جواز نفس اليمين غير مربوط ولا ملازم لجواز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معنى للإطلاق بالنسبة إلى المقارن والمتعلّق ، فإنّ معنى الإطلاق هو كون نفس طبيعة موضوع حكم من غير دخالة شيء آخر فيه ، فتكون الطبيعة في أيّ مورد وجدت محكومة به ، واليمين من حيث هي إنشاء لا كذب فيها ، وإسراء حكم الكذب عليه من متعلّقه لا معنى له ، فتكون الروايات أجنبيّة عمّا نحن بصدده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 ما ذكرناه موثّقة زرارة الثانية ، فإنّ ظاهرها أ نّه مع أداء الزكاة كانوا يطلبون منه زكاة ماله ، فكان محطّ سؤاله اليمين الصادقة ، بأن حلف على أ نّه </w:t>
      </w:r>
    </w:p>
    <w:p>
      <w:pPr>
        <w:pStyle w:val="BookText"/>
        <w:rPr/>
      </w:pPr>
      <w:r>
        <w:rPr>
          <w:rFonts w:ascii="Amiri" w:hAnsi="Amiri" w:eastAsia="Amiri" w:cs="Amiri"/>
          <w:color w:val="111111"/>
          <w:sz w:val="28"/>
          <w:sz w:val="28"/>
          <w:szCs w:val="28"/>
          <w:rtl w:val="true"/>
          <w:lang w:bidi="ar-SA"/>
        </w:rPr>
        <w:t xml:space="preserve">ليس في المال زكاة أو حقّ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اليمين بجملة اُخرى كاذبة خلاف الظاهر ، فتشهد بأنّ مورد السؤال نفس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يستكشف مورد سائر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مرسلة الصدوق الآتية</w:t>
      </w:r>
      <w:r>
        <w:rPr>
          <w:rStyle w:val="FootnoteAnchor"/>
          <w:rtl w:val="true"/>
        </w:rPr>
        <w:footnoteReference w:id="359"/>
      </w:r>
      <w:r>
        <w:rPr>
          <w:rFonts w:ascii="IRNazanin" w:hAnsi="IRNazanin" w:eastAsia="IRNazanin"/>
          <w:color w:val="111111"/>
          <w:sz w:val="28"/>
          <w:sz w:val="28"/>
          <w:szCs w:val="28"/>
          <w:rtl w:val="true"/>
          <w:lang w:bidi="fa-IR"/>
        </w:rPr>
        <w:t xml:space="preserve">فظاهرة بقرينة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كاذباً لم تلزمه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إنشاء عهدة عليه ، أو الالتزام بعمل ،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مال زيد ، عليّ كذا أو اُنفق 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يمكن دفع المناقشة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القرائن الموجودة في نفس الأخبار أنّ محطّ السؤال والجواب فيها هو الحلف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إسماعيل ابن سعد ، فإنّ السؤال عن حلف السلطان بالطلاق ، منشؤه احتمال وقوعه مع عدم موافقة مقدّمه للواقع ، فإنّه مع صدقه لا يحتمل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مال زيد فامرأتي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إنشاءً ، لكن وقوع الطلاق عند العامّة إنّما هو فيما إذا كان مال زيد ، وكان القائل في مقام إنكاره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كان محطّ الحلف بالطلاق والعتاق في مورد كان المسؤول بالحلف يحلف في مقام إنكار ما كان واقعاً أو إثبات ما لم يكن كذلك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رجل يخاف على ماله من السلطان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مورد الحلف كذباً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ما ورد فيها السؤال عن الحلف بالطلاق والعتاق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معاذ بيّاع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وثاقته بشهادة المفيد</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نستحلف بالطلاق والعتاق ، فما ترى ، أحلف لهم ؟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لهم بما أرادوا إذا خفت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إسماعيل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وثاقته بشهادة العلاّمة</w:t>
      </w:r>
      <w:r>
        <w:rPr>
          <w:rStyle w:val="FootnoteAnchor"/>
          <w:rtl w:val="true"/>
        </w:rPr>
        <w:footnoteReference w:id="362"/>
      </w:r>
      <w:r>
        <w:rPr>
          <w:rFonts w:ascii="Amiri" w:hAnsi="Amiri" w:eastAsia="Amiri" w:cs="Amiri"/>
          <w:color w:val="111111"/>
          <w:sz w:val="28"/>
          <w:sz w:val="28"/>
          <w:szCs w:val="28"/>
          <w:rtl w:val="true"/>
          <w:lang w:bidi="ar-SA"/>
        </w:rPr>
        <w:t xml:space="preserve">والمجلسي وغيرهما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بالعشّار ومعي المال ، فيستحلفوني ، فإن حلفت تركوني ، وإن لم أحلف فتّشوني وظلموني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حلّفوني بالطلاق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فاحلف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المال لا يكون 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تتّقي مال أخيك</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عن أبي جعفر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تاجر أمرّ بالعشّار ومعي مال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غيّبه ما استطعت ، وضعه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حلّفني بالعتاق والطلاق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أخذ تمرة فحفّ بها من زبد كان قدّامه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اُبالي حلفت لهم بالطلاق والعتاق أو أكلتها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ترى ظاهرة جدّاً في جواز الكذب والحلف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زرارة المتقدّمة وما هي بهذا المضمون ، فإنّ موردها بقرينة السؤال عن الحلف بالطلاق والعتاق هو الحلف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الحلف بهما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إنشاء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الحلف بهما هو الكذب لولا الإنشاء ، فيستكشف منه أنّ مورد الأسئلة في غيره هو الحلف كذباً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فيستحلفوني ؛ أي يستحلفوني كذباً ، بالقرينة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لما ذكرناه أيضاً ما اُشير فيها إلى التقيّة والضرورة والاضطرار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أبي الصباح عن أبي عبداللّه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من شيء أو حلفتم عليه من يمين في تقيّة فأنتم منه في سعة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سماعة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تقيّة لم يضرّه إذا هو اُكره واضطرّ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ممّا حرّم اللّه إلاّ وقد أحلّه لمن اضطرّ إليه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الظاهر منها أنّ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والاضطرار والإكراه صارت منشأً للجواز ، ولولا تلك العناوين المجوّزة لم يكن جائزاً ، بل رواية سماعة كالصريح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شبهة في جواز الحلف صادقاً مطلقاً ، كما فعل الأئمّة علیهم السلام كثيراً ، وقد حلف أبو عبداللّه علیه السلام في صحيح أبي الصباح المتقدّم ، وحلف أبو الصباح</w:t>
      </w:r>
    </w:p>
    <w:p>
      <w:pPr>
        <w:pStyle w:val="BookText"/>
        <w:rPr/>
      </w:pPr>
      <w:r>
        <w:rPr>
          <w:rFonts w:ascii="Amiri" w:hAnsi="Amiri" w:eastAsia="Amiri" w:cs="Amiri"/>
          <w:color w:val="111111"/>
          <w:sz w:val="28"/>
          <w:sz w:val="28"/>
          <w:szCs w:val="28"/>
          <w:rtl w:val="true"/>
          <w:lang w:bidi="ar-SA"/>
        </w:rPr>
        <w:t xml:space="preserve">بمحضره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عدم الكراهة كما ترى ، بل هو مقطوع الخلاف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له أيضاً مرسلة يونس ، عن بعض أصحابه عن أحدهما ، في رجل حلف تقيّة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 على مالك ودمك فاحلف تردّه بيمينك ، فإن لم تر أنّ ذلك يردّ شيئاً ، فلا تحلف لهم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أنّ النهي عن الحلف للحرمة ، فيكشف منه أنّ مورده الحلف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الصدوق فالظاهر منها جدّاً أنّ موردها الحلف كاذباً لا الإنشاء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اليمين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والاُخرى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يؤجر الرجل عليه إذا حلف كاذباً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كفّارة عليه ولا أجر له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كفّارة عليه فيها</w:t>
      </w:r>
    </w:p>
    <w:p>
      <w:pPr>
        <w:pStyle w:val="BookText"/>
        <w:rPr/>
      </w:pPr>
      <w:r>
        <w:rPr>
          <w:rFonts w:ascii="Amiri" w:hAnsi="Amiri" w:eastAsia="Amiri" w:cs="Amiri"/>
          <w:color w:val="111111"/>
          <w:sz w:val="28"/>
          <w:sz w:val="28"/>
          <w:szCs w:val="28"/>
          <w:rtl w:val="true"/>
          <w:lang w:bidi="ar-SA"/>
        </w:rPr>
        <w:t>والعقوبة فيها دخول النار ، فأمّا التي يؤجر عليها الرجل إذا حلف كاذباً ولا تلزمه الكفّارة فهو أن يحلف الرجل في خلاص امرئ مسلم أو خلاص ماله من متعدّ يتعدّى عليه من لصّ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التي عقوبتها دخول النار فهو أن يحلف الرجل على مال امرئ مسلم ، أو على حقّه ظلماً ، فهذه يمين غموس توجب النار ولا كفّارة عليه في الدنيا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الحلف كذباً هو الحلف على إخبار مخالف للواقع ، وليس نفي الكفّارة قرينة على كون الحلف لإنشاء الالتزام ، فإنّ نفيها كما يكون في إنشاء الالتزام لدفع الظلم كذلك يكون في الإخبار كاذباً ، كما صرّح فيها بنفي الكفّارة في اليمين الغموس ، ولا إشكال في أ نّها حلف في مقام الدعوى لإنكار حقّ الغير ، فكما قال فيها لا كفّارة عليه قال فيما تقدّم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شبهة في أنّ الظاهر من الروايات أنّ مصبّها الحلف كذباً ، وليس في مورد منها السؤال عن الأعمّ أو خصوص الصدق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يكون هذا عنواناً آخر غير عنوان الاضطرار والإكراه والدوران بين المحذورين ، وغير الكذب في الإصلاح لو خصّصناه به ولم نتعدّ إلى مطلق المصلحة ولو لنفسه ، وسيأتي الكلام فيه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مطلق إعطاء المال الظالم ظلماً ، حرج على المظلوم ، فيكون الجواز للاضطرار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لممنوعيته بنحو الإطلاق ، فإنّ أخذ العشّار والوالي بعد تعارف أخذهما من الناس ليس بحرجي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مقتضى بعض الروايات جواز الكذب والحلف عليه لإنجاء مال غيره ، ولو لم يكن تحت يده ، كإطلاق ذيل صحيحة إسماعيل بن سعد المتقدّمة</w:t>
      </w:r>
      <w:r>
        <w:rPr>
          <w:rStyle w:val="FootnoteAnchor"/>
          <w:rtl w:val="true"/>
        </w:rPr>
        <w:footnoteReference w:id="370"/>
      </w:r>
      <w:r>
        <w:rPr>
          <w:rFonts w:ascii="Amiri" w:hAnsi="Amiri" w:eastAsia="Amiri" w:cs="Amiri"/>
          <w:color w:val="111111"/>
          <w:sz w:val="28"/>
          <w:sz w:val="28"/>
          <w:szCs w:val="28"/>
          <w:rtl w:val="true"/>
          <w:lang w:bidi="ar-SA"/>
        </w:rPr>
        <w:t xml:space="preserve">، ومرسلة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الحلف على مال الغير الذي لا يكون أمانة عنده وتحت يده ليس لاضطرار وضرورة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ذكرناه من أنّ محطّ الروايات الحلف كاذباً ، تكون أخصّ مطلقاً من مطلقات حرمة الكذب ، فتوهّم التعارض بالعموم من وجه لعلّه ناشٍ من توهّم أعمّية موردها من الكذب ، وقد عرفت ما فيه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أفاده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معارضتها لمفهوم رواية سماعة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تقيّة لم يضرّه إذا هو اُكره أو اضطرّ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ممّا حرّم اللّه إلاّ وقد أحلّه لمن اضطرّ إليه</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مفهومها عدم الجواز في غير حال الضرورة والإكراه ، والكذب مع إمكان التورية ليس </w:t>
      </w:r>
    </w:p>
    <w:p>
      <w:pPr>
        <w:pStyle w:val="BookText"/>
        <w:rPr/>
      </w:pPr>
      <w:r>
        <w:rPr>
          <w:rFonts w:ascii="Amiri" w:hAnsi="Amiri" w:eastAsia="Amiri" w:cs="Amiri"/>
          <w:color w:val="111111"/>
          <w:sz w:val="28"/>
          <w:sz w:val="28"/>
          <w:szCs w:val="28"/>
          <w:rtl w:val="true"/>
          <w:lang w:bidi="ar-SA"/>
        </w:rPr>
        <w:t>مضطرّاً إليه ، فلا يجوز بمقتضى إطلاقه ، ويجوز لحفظ المال بمقتضى إطلاق الروايات ، فبعد التعارض يرجع إلى إطلاقات حرمة الكذب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المفهوم للشرطية كما حقّق في محلّه</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ليس من مفهوم الشرط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حلفه كان للخوف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الأعمّ من التقيّة الخوفية والتقيّة المداراتية والتحبيبية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هو اُكره أو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لبيان حال القيد ، ولا يكون شرطية مستقلّة ، وفي مثلها لا مفهوم لها ، إذ يكون ذكرها تبعاً للقيد وبياناً لحاله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مفهوم فلا بدّ</w:t>
      </w:r>
    </w:p>
    <w:p>
      <w:pPr>
        <w:pStyle w:val="BookText"/>
        <w:rPr/>
      </w:pPr>
      <w:r>
        <w:rPr>
          <w:rFonts w:ascii="Amiri" w:hAnsi="Amiri" w:eastAsia="Amiri" w:cs="Amiri"/>
          <w:color w:val="111111"/>
          <w:sz w:val="28"/>
          <w:sz w:val="28"/>
          <w:szCs w:val="28"/>
          <w:rtl w:val="true"/>
          <w:lang w:bidi="ar-SA"/>
        </w:rPr>
        <w:t xml:space="preserve">أن يكون للقيد وهو لا مفهوم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للشرطية على القول به ليس لدلالة وضعية لفظية لأداة الشرط ؛ بمعنى عدم وضع أداته للعلّة المنحصرة وهو واضح ، بل بجهات اُخرى عمدتها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يمكن دعوى المفهوم فيما إذا كان المتكلّم بصدد بيان حال ما عدا مورد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حيث يكون المتكلّم به بصدد بيان حدّ عدم الانفعال لإفادة انفعال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 المثال فلا مشاحّة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سماعة ليس المتكلّم بصدد بيان حال حرمة الكذب وحدودها ، بل بصدد بيان أنّ الاضطرار يرفع حكمه بعد مفروضيته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 الشرطية لبيان رفع الاضطرار حكم الكذب ، وفي مثله لا مفهوم لها ، ولهذا قال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شيء ممّا حرّم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هذا من تتمّة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فالمفهوم للشرطية محلّ إشكال من وجوه عمدتها عدم المفهوم لها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المفهوم لها في نفسها لكن في المقام تكون تلك الروايات المتقدّمة قرينة على عدم المفهوم ، فلا تقع المعارضة بينه وبين تلك الروايات ؛ ضرورة أنّ كثرتها في هذا المقام والمقامات الاُخر نظيره ، من غير تعرّض أو إشارة إلى التورية ، دليل على عدم اعتبار العجز عنها ، سيّما أنّ بعضها شاهدة على جواز الحلف كاذباً مع إمكان التورية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معمّر بن يحيى ، الصحيحة على الظاهر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بضائع للناس ، ونحن نمرّ بها على هؤلاء العشّار فيحلفونا عليها فنحلف لهم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 نّي أقدر على أن اُجيز أموال المسلمين كلّها وأحلف عليها ، كلّ ما خاف المؤمن على نفسه فيه ضرورة فله فيه التقيّة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أنّ المراد بالحلف المسؤول عنه هو الحلف كذباً كما تقدّم</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الظاهر أنّ مورد ودّ أبي جعفر علیه السلام الحلف لإنجاء أموال المسلمين مورد </w:t>
      </w:r>
    </w:p>
    <w:p>
      <w:pPr>
        <w:pStyle w:val="BookText"/>
        <w:rPr/>
      </w:pPr>
      <w:r>
        <w:rPr>
          <w:rFonts w:ascii="IRNazanin" w:hAnsi="IRNazanin" w:eastAsia="IRNazanin"/>
          <w:color w:val="111111"/>
          <w:sz w:val="28"/>
          <w:sz w:val="28"/>
          <w:szCs w:val="28"/>
          <w:rtl w:val="true"/>
          <w:lang w:bidi="fa-IR"/>
        </w:rPr>
        <w:t xml:space="preserve">السؤال المذكور ، لا سنخ مخالف له ، مع أنّ أبا جعفر علیه السلام لا يعقل إلجاؤه واضطراره إلى الكذب ، لقدرته على أنحاء التورية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منها ومن غيرها كمرسلة الصدوق</w:t>
      </w:r>
      <w:r>
        <w:rPr>
          <w:rStyle w:val="FootnoteAnchor"/>
          <w:rtl w:val="true"/>
        </w:rPr>
        <w:footnoteReference w:id="377"/>
      </w:r>
      <w:r>
        <w:rPr>
          <w:rFonts w:ascii="Amiri" w:hAnsi="Amiri" w:eastAsia="Amiri" w:cs="Amiri"/>
          <w:color w:val="111111"/>
          <w:sz w:val="28"/>
          <w:sz w:val="28"/>
          <w:szCs w:val="28"/>
          <w:rtl w:val="true"/>
          <w:lang w:bidi="ar-SA"/>
        </w:rPr>
        <w:t>، وموثّقة زرارة</w:t>
      </w:r>
      <w:r>
        <w:rPr>
          <w:rStyle w:val="FootnoteAnchor"/>
          <w:rtl w:val="true"/>
        </w:rPr>
        <w:footnoteReference w:id="378"/>
      </w:r>
      <w:r>
        <w:rPr>
          <w:rFonts w:ascii="Amiri" w:hAnsi="Amiri" w:eastAsia="Amiri" w:cs="Amiri"/>
          <w:color w:val="111111"/>
          <w:sz w:val="28"/>
          <w:sz w:val="28"/>
          <w:szCs w:val="28"/>
          <w:rtl w:val="true"/>
          <w:lang w:bidi="ar-SA"/>
        </w:rPr>
        <w:t xml:space="preserve">المتقدّمة أنّ الكذب محبوب وحسن ومأجور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مورد إمكان التورية محرّماً ولو مع غفلة الحالف ، لا يصير محبوباً وأحلى من التمر ، بل يكون محرّماً مبغوضاً وإن كان المكلّف معذوراً ، كسائر المبغوضات المأتيّ بها 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الأنصاري لرفع الاستبعاد عن تقييد الأخبار بأنّ موردها مورد الغفلة عن التورية</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تماميته في بعض الأخبار كما أشرنا</w:t>
      </w:r>
    </w:p>
    <w:p>
      <w:pPr>
        <w:pStyle w:val="BookText"/>
        <w:rPr/>
      </w:pPr>
      <w:r>
        <w:rPr>
          <w:rFonts w:ascii="Amiri" w:hAnsi="Amiri" w:eastAsia="Amiri" w:cs="Amiri"/>
          <w:color w:val="111111"/>
          <w:sz w:val="28"/>
          <w:sz w:val="28"/>
          <w:szCs w:val="28"/>
          <w:rtl w:val="true"/>
          <w:lang w:bidi="ar-SA"/>
        </w:rPr>
        <w:t xml:space="preserve">إليه ، ولا يناسبه التعبير بالمأجورية وكونه أحلى أو أحلّ من التمر والزبد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التورية مغفولاً عنها يؤكّد الاستبعاد المذكور ، فإنّ الكذب لو كان محرّماً مع إمكان التورية ، وكان القيد ممّا يغفله العامّة ، كان</w:t>
      </w:r>
    </w:p>
    <w:p>
      <w:pPr>
        <w:pStyle w:val="BookText"/>
        <w:rPr/>
      </w:pPr>
      <w:r>
        <w:rPr>
          <w:rFonts w:ascii="IRNazanin" w:hAnsi="IRNazanin" w:eastAsia="IRNazanin"/>
          <w:color w:val="111111"/>
          <w:sz w:val="28"/>
          <w:sz w:val="28"/>
          <w:szCs w:val="28"/>
          <w:rtl w:val="true"/>
          <w:lang w:bidi="fa-IR"/>
        </w:rPr>
        <w:t xml:space="preserve">على المعصوم علیه السلام بيانه ، ولا يمكن الأمر بالحلف كاذباً في تلك الروايات الكثيرة ، من غير إشارة إلى أنّ جوازه موقوف على عدم إمكانها ،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هذه الروايات معارضة بروايات دلّت على حصر جواز الكذب بثلاثة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كرواية عيسى بن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كذب مسؤول عنه صاحبه يوماً إلاّ كذباً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كائد في حروبه فهو موضوع عنه ، أو رجل أصلح بين اثنين يلقي هذا بغير ما يلقي به هذا ، يريد بذلك </w:t>
      </w:r>
    </w:p>
    <w:p>
      <w:pPr>
        <w:pStyle w:val="BookText"/>
        <w:rPr/>
      </w:pPr>
      <w:r>
        <w:rPr>
          <w:rFonts w:ascii="Amiri" w:hAnsi="Amiri" w:eastAsia="Amiri" w:cs="Amiri"/>
          <w:color w:val="111111"/>
          <w:sz w:val="28"/>
          <w:sz w:val="28"/>
          <w:szCs w:val="28"/>
          <w:rtl w:val="true"/>
          <w:lang w:bidi="ar-SA"/>
        </w:rPr>
        <w:t>الإصلاح ما بينهما ، أو رجل وعد أهله شيئاً وهو لا يريد أن يتمّ لهم</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أبي 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الواسطي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Amiri" w:hAnsi="Amiri" w:eastAsia="Amiri" w:cs="Amiri"/>
          <w:color w:val="111111"/>
          <w:sz w:val="28"/>
          <w:sz w:val="28"/>
          <w:szCs w:val="28"/>
          <w:rtl w:val="true"/>
          <w:lang w:bidi="ar-SA"/>
        </w:rPr>
        <w:t>وكذب وإصلاح بين الناس</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وتشعر بالحصر بعض ما تأتي</w:t>
      </w:r>
      <w:r>
        <w:rPr>
          <w:rStyle w:val="FootnoteAnchor"/>
          <w:rtl w:val="true"/>
        </w:rPr>
        <w:footnoteReference w:id="382"/>
      </w:r>
      <w:r>
        <w:rPr>
          <w:rFonts w:ascii="Amiri" w:hAnsi="Amiri" w:eastAsia="Amiri" w:cs="Amiri"/>
          <w:color w:val="111111"/>
          <w:sz w:val="28"/>
          <w:sz w:val="28"/>
          <w:szCs w:val="28"/>
          <w:rtl w:val="true"/>
          <w:lang w:bidi="ar-SA"/>
        </w:rPr>
        <w:t xml:space="preserve">في المستثنى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هذه الروايات على الحصر الإضافي بعيد ، بل لا وجه 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الحصر ليس بجمع عقلائي مقبول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كثرة استعمال الاستثناء في أخبارنا في غير الحصر الحقيقي توجب وهناً في دلالته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القرينة العقلية قائمة في المقام على عدم الحصر ؛ لوضوح أنّ الكذب لإنجاء المؤمن من الهلكة غير مسؤول عنه ، وكذا في موارد دوران الأمر بينه وبين المحذور الأشدّ كالزنا وشرب المسكر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في نفس تلك الروايات أيضاً اختلافاً كالروايتين المتقدّمتين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الخطب ضعف الروايتين سنداً وضعف سائرها المشعرة بذلك سنداً ودلالة ، وكثرة الروايات المقابلة لها وفيها الصحيحة والموثّقة ممّا لا تصلح هي لمعارضتها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مرّ جواز الكذب لتخلّص مال نفسه أو غيره ، وهو عنوان آخر غير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 تلك الروايات جواز الكذب لتخلّص نفسه أو غيره من سائر المؤمنين من أنحاء الضرر النفسي والعرضي ، لإلقاء الخصوصية عرفاً ، وفحوى الروايات ، وإطلاق بعضها كمرسلة الصدوق ، الدالّة على مأجورية الكاذب إذا حلف في خلاص امرئ مسلم ، أو خلاص ماله من متعدّ يتعدّى عليه من لصّ أو غيره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منها عدم خصوصية للعشّار وأعوان الظلمة ، بل هو مقتضى تعليق الحكم على الخوف على نفسه ، أو ماله ، أو مال غيره ، فإنّ الظاهر منه أنّ الموضوع للحكم ذلك ، ولا دخالة لظالم خاصّ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فاحتمال الخصوصية في عمّال الظلمة بدعوى أنّ دفع المال إليهم موجب لتقويتهم وتقوية سلطانهم ، فلهم خصوصية من بين الظلمة ، ضعيف مخالف لظواهر الروايات ، وصريح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تلك الروايات ، جواز الحلف كاذباً وجواز الكذب في كلّ ضرورة وإكراه ، سواء تمكّن من التورية أم لا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لولاها ، وكان المستند في جوازه أدلّة نفي الاضطرار والإكراه ، كان عدم التمكّن منها معتبراً في جوازه ، من غير فرق بين الإكراه والاضطرار ؛ لعدم </w:t>
      </w:r>
    </w:p>
    <w:p>
      <w:pPr>
        <w:pStyle w:val="BookText"/>
        <w:rPr/>
      </w:pPr>
      <w:r>
        <w:rPr>
          <w:rFonts w:ascii="Amiri" w:hAnsi="Amiri" w:eastAsia="Amiri" w:cs="Amiri"/>
          <w:color w:val="111111"/>
          <w:sz w:val="28"/>
          <w:sz w:val="28"/>
          <w:szCs w:val="28"/>
          <w:rtl w:val="true"/>
          <w:lang w:bidi="ar-SA"/>
        </w:rPr>
        <w:t xml:space="preserve">صدقهما مع إمكانها بنحو لا يخاف المورّي عن كشف الواقعة لدهشة ووحشة مستولية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صدق الإكراه ولو مع إمكانها ؛ لأنّ المكرِه أكرهه على الواقع وطلب منه الكذب ، وإن أمكن التخلّص عنه بالتورية ، فمع إمكانها لا يخرج الكذب عن وقوعه عن إكراه ، بخلاف الاضطرار ، فإنّه مع إمكانها لا يصدق أ نّه مضطرّ على الكذب</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وجيهة ؛ لأنّ الإكراه على الواقع المجهول عن علم المكرِه غير ممكن ، ومع إمكان التورية والتفصّي عن إكراهه بها أو بغيرها ، لا يصدق أ نّه مكرَه على الكذب ، وإن كان مكرهاً على التنطّق بالألفاظ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الاضطرار بذلك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 منه قتل مؤمن محقون الدم وأمكنه التخلّص منه بقتل كافر مهدور ، لا يصدق أ نّه مكره على قتل المؤمن ؛ لأنّ المكره طلب منه قتل المؤمن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افتراق الفقهاء بين الكذب ، حيث اعتبروا في جوازه عدم إمكان التورية</w:t>
      </w:r>
      <w:r>
        <w:rPr>
          <w:rStyle w:val="FootnoteAnchor"/>
          <w:rtl w:val="true"/>
        </w:rPr>
        <w:footnoteReference w:id="385"/>
      </w:r>
      <w:r>
        <w:rPr>
          <w:rFonts w:ascii="Amiri" w:hAnsi="Amiri" w:eastAsia="Amiri" w:cs="Amiri"/>
          <w:color w:val="111111"/>
          <w:sz w:val="28"/>
          <w:sz w:val="28"/>
          <w:szCs w:val="28"/>
          <w:rtl w:val="true"/>
          <w:lang w:bidi="ar-SA"/>
        </w:rPr>
        <w:t xml:space="preserve">، وبين العقود والإيقاعات والألفاظ المحرّمة كالسبّ والتبرّي ، فلم يعتبروا إمكانها في لغويتها </w:t>
      </w:r>
      <w:r>
        <w:rPr>
          <w:rStyle w:val="FootnoteAnchor"/>
          <w:rtl w:val="true"/>
        </w:rPr>
        <w:footnoteReference w:id="386"/>
      </w:r>
      <w:r>
        <w:rPr>
          <w:rFonts w:ascii="IRNazanin" w:hAnsi="IRNazanin" w:eastAsia="IRNazanin"/>
          <w:color w:val="111111"/>
          <w:sz w:val="28"/>
          <w:sz w:val="28"/>
          <w:szCs w:val="28"/>
          <w:rtl w:val="true"/>
          <w:lang w:bidi="fa-IR"/>
        </w:rPr>
        <w:t>بل صرّح بعضهم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اعتبار العجز </w:t>
      </w:r>
    </w:p>
    <w:p>
      <w:pPr>
        <w:pStyle w:val="BookText"/>
        <w:rPr/>
      </w:pPr>
      <w:r>
        <w:rPr>
          <w:rFonts w:ascii="IRNazanin" w:hAnsi="IRNazanin" w:eastAsia="IRNazanin"/>
          <w:color w:val="111111"/>
          <w:sz w:val="28"/>
          <w:sz w:val="28"/>
          <w:szCs w:val="28"/>
          <w:rtl w:val="true"/>
          <w:lang w:bidi="fa-IR"/>
        </w:rPr>
        <w:t xml:space="preserve">عنها </w:t>
      </w:r>
      <w:r>
        <w:rPr>
          <w:rStyle w:val="FootnoteAnchor"/>
          <w:rtl w:val="true"/>
        </w:rPr>
        <w:footnoteReference w:id="387"/>
      </w:r>
      <w:r>
        <w:rPr>
          <w:rFonts w:ascii="IRNazanin" w:hAnsi="IRNazanin" w:eastAsia="IRNazanin"/>
          <w:color w:val="111111"/>
          <w:sz w:val="28"/>
          <w:sz w:val="28"/>
          <w:szCs w:val="28"/>
          <w:rtl w:val="true"/>
          <w:lang w:bidi="fa-IR"/>
        </w:rPr>
        <w:t xml:space="preserve">كما حكاه الشيخ الأنصاري رحمه الله علیه </w:t>
      </w:r>
      <w:r>
        <w:rPr>
          <w:rStyle w:val="FootnoteAnchor"/>
          <w:rtl w:val="true"/>
        </w:rPr>
        <w:footnoteReference w:id="388"/>
      </w:r>
      <w:r>
        <w:rPr>
          <w:rFonts w:ascii="Amiri" w:hAnsi="Amiri" w:eastAsia="Amiri" w:cs="Amiri"/>
          <w:color w:val="111111"/>
          <w:sz w:val="28"/>
          <w:sz w:val="28"/>
          <w:szCs w:val="28"/>
          <w:rtl w:val="true"/>
          <w:lang w:bidi="ar-SA"/>
        </w:rPr>
        <w:t>فلعلّه لذهابهم إلى عدم إطلاق في الروايات الواردة في باب الحلف ، فلا تشمل الحلف الكاذب بما تقدّم وجهه والجواب عنه</w:t>
      </w:r>
      <w:r>
        <w:rPr>
          <w:rStyle w:val="FootnoteAnchor"/>
          <w:rtl w:val="true"/>
        </w:rPr>
        <w:footnoteReference w:id="389"/>
      </w:r>
      <w:r>
        <w:rPr>
          <w:rFonts w:ascii="Amiri" w:hAnsi="Amiri" w:eastAsia="Amiri" w:cs="Amiri"/>
          <w:color w:val="111111"/>
          <w:sz w:val="28"/>
          <w:sz w:val="28"/>
          <w:szCs w:val="28"/>
          <w:rtl w:val="true"/>
          <w:lang w:bidi="ar-SA"/>
        </w:rPr>
        <w:t>، فيكون تجويزهم الكذب بمقتضى مثل حديث الرفع</w:t>
      </w:r>
      <w:r>
        <w:rPr>
          <w:rStyle w:val="FootnoteAnchor"/>
          <w:rtl w:val="true"/>
        </w:rPr>
        <w:footnoteReference w:id="390"/>
      </w:r>
      <w:r>
        <w:rPr>
          <w:rFonts w:ascii="Amiri" w:hAnsi="Amiri" w:eastAsia="Amiri" w:cs="Amiri"/>
          <w:color w:val="111111"/>
          <w:sz w:val="28"/>
          <w:sz w:val="28"/>
          <w:szCs w:val="28"/>
          <w:rtl w:val="true"/>
          <w:lang w:bidi="ar-SA"/>
        </w:rPr>
        <w:t xml:space="preserve">وقد تقدّم أنّ المستند فيه إذا كان ذلك لا محيص عن اعتبار العجز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اعتباره في باب العقود والإيقاعات ، فلورود روايات خاصّة في لغويتها مع الإكراه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إطلاقها عدم اعتباره ، ولهذا عطفوا عليها</w:t>
      </w:r>
    </w:p>
    <w:p>
      <w:pPr>
        <w:pStyle w:val="BookText"/>
        <w:rPr/>
      </w:pPr>
      <w:r>
        <w:rPr>
          <w:rFonts w:ascii="Amiri" w:hAnsi="Amiri" w:eastAsia="Amiri" w:cs="Amiri"/>
          <w:color w:val="111111"/>
          <w:sz w:val="28"/>
          <w:sz w:val="28"/>
          <w:szCs w:val="28"/>
          <w:rtl w:val="true"/>
          <w:lang w:bidi="ar-SA"/>
        </w:rPr>
        <w:t>السبّ والبراءة كما نسب إليهم الشيخ الأنصاري ، وذلك لورود روايات فيهما راجعة إلى قضيّة عمّار وغيرها من غير إشارة فيها إلى لزوم التورية مع الإمكان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شبهة في اعتبار العجز عنها في الدوران بينه وبين محذور أشدّ الذي هو أحد العناوين المجوّزة له ، وذلك لوضوح أ نّه مع إمكانها ليس من دوران الأمر بين المحذورين ، إلاّ أن يقال بحرمة التورية بلا عذر ، كالكذب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عبارة عن التقوّل بكلام ظاهر في مخالفة الواقع وإن لم يكن ظاهره مراداً ، وهما فاسدان مرّ الكلام فيهما </w:t>
      </w:r>
      <w:r>
        <w:rPr>
          <w:rFonts w:eastAsia="Amiri" w:cs="Amiri" w:ascii="Amiri" w:hAnsi="Amiri"/>
          <w:color w:val="111111"/>
          <w:sz w:val="28"/>
          <w:szCs w:val="28"/>
          <w:rtl w:val="true"/>
          <w:lang w:bidi="ar-SA"/>
        </w:rPr>
        <w:t xml:space="preserve">. </w:t>
      </w:r>
      <w:bookmarkStart w:id="105" w:name="pg15162_155427"/>
    </w:p>
    <w:p>
      <w:pPr>
        <w:pStyle w:val="Heading3"/>
        <w:numPr>
          <w:ilvl w:val="2"/>
          <w:numId w:val="1"/>
        </w:numPr>
        <w:rPr/>
      </w:pPr>
      <w:bookmarkStart w:id="106" w:name="__RefHeading___Toc1955412_2142443653"/>
      <w:bookmarkStart w:id="107" w:name="_Toc37"/>
      <w:bookmarkEnd w:id="105"/>
      <w:bookmarkEnd w:id="106"/>
      <w:r>
        <w:rPr>
          <w:rtl w:val="true"/>
        </w:rPr>
        <w:t>في أنّ إرادة الإصلاح من مسوّغات الكذب</w:t>
      </w:r>
      <w:bookmarkEnd w:id="107"/>
    </w:p>
    <w:p>
      <w:pPr>
        <w:pStyle w:val="BookText"/>
        <w:rPr/>
      </w:pPr>
      <w:r>
        <w:rPr>
          <w:rFonts w:ascii="Amiri" w:hAnsi="Amiri" w:eastAsia="Amiri" w:cs="Amiri"/>
          <w:color w:val="111111"/>
          <w:sz w:val="28"/>
          <w:sz w:val="28"/>
          <w:szCs w:val="28"/>
          <w:rtl w:val="true"/>
          <w:lang w:bidi="ar-SA"/>
        </w:rPr>
        <w:t xml:space="preserve">ومن مسوّغات الكذب إرادة الإصلاح ، والروايات الواردة في هذا الباب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استثناء الكذب في الإصلاح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الصدوق في وصيّة النبي رحمهما اللّه لعلي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 ثلاث يحسن فيهنّ 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المكيدة في الحرب ، وعدتك زوجتك ، والإصلاح بين الناس</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المحاربي</w:t>
      </w:r>
      <w:r>
        <w:rPr>
          <w:rStyle w:val="FootnoteAnchor"/>
          <w:rtl w:val="true"/>
        </w:rPr>
        <w:footnoteReference w:id="394"/>
      </w:r>
      <w:r>
        <w:rPr>
          <w:rFonts w:ascii="Amiri" w:hAnsi="Amiri" w:eastAsia="Amiri" w:cs="Amiri"/>
          <w:color w:val="111111"/>
          <w:sz w:val="28"/>
          <w:sz w:val="28"/>
          <w:szCs w:val="28"/>
          <w:rtl w:val="true"/>
          <w:lang w:bidi="ar-SA"/>
        </w:rPr>
        <w:t>عن الصادق عن آبائه عنه رحمهما اللّه ورواية</w:t>
      </w:r>
    </w:p>
    <w:p>
      <w:pPr>
        <w:pStyle w:val="BookText"/>
        <w:rPr/>
      </w:pPr>
      <w:r>
        <w:rPr>
          <w:rFonts w:ascii="Amiri" w:hAnsi="Amiri" w:eastAsia="Amiri" w:cs="Amiri"/>
          <w:color w:val="111111"/>
          <w:sz w:val="28"/>
          <w:sz w:val="28"/>
          <w:szCs w:val="28"/>
          <w:rtl w:val="true"/>
          <w:lang w:bidi="ar-SA"/>
        </w:rPr>
        <w:t>الطبرسي</w:t>
      </w:r>
      <w:r>
        <w:rPr>
          <w:rStyle w:val="FootnoteAnchor"/>
          <w:rtl w:val="true"/>
        </w:rPr>
        <w:footnoteReference w:id="395"/>
      </w:r>
      <w:r>
        <w:rPr>
          <w:rFonts w:ascii="IRNazanin" w:hAnsi="IRNazanin" w:eastAsia="IRNazanin"/>
          <w:color w:val="111111"/>
          <w:sz w:val="28"/>
          <w:sz w:val="28"/>
          <w:szCs w:val="28"/>
          <w:rtl w:val="true"/>
          <w:lang w:bidi="fa-IR"/>
        </w:rPr>
        <w:t>عن أبي عبداللّه علیه السلام وقريب منها رواية عيسى بن حسّان</w:t>
      </w:r>
      <w:r>
        <w:rPr>
          <w:rStyle w:val="FootnoteAnchor"/>
          <w:rtl w:val="true"/>
        </w:rPr>
        <w:footnoteReference w:id="396"/>
      </w:r>
      <w:r>
        <w:rPr>
          <w:rFonts w:ascii="Amiri" w:hAnsi="Amiri" w:eastAsia="Amiri" w:cs="Amiri"/>
          <w:color w:val="111111"/>
          <w:sz w:val="28"/>
          <w:sz w:val="28"/>
          <w:szCs w:val="28"/>
          <w:rtl w:val="true"/>
          <w:lang w:bidi="ar-SA"/>
        </w:rPr>
        <w:t xml:space="preserve">،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عنه رحمهما اللّه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مرسلة الواسطي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وكذب وإصلاح بين الناس </w:t>
      </w:r>
      <w:r>
        <w:rPr>
          <w:rFonts w:eastAsia="IRNazanin" w:cs="IRNazanin"/>
          <w:color w:val="111111"/>
          <w:sz w:val="28"/>
          <w:szCs w:val="28"/>
          <w:rtl w:val="true"/>
          <w:lang w:bidi="fa-IR"/>
        </w:rPr>
        <w:t>.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استثناء ما يراد به نفع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الصدوق عن الرضا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ليصدق على أخيه فيناله عنت من صدقه فيكون كذّاباً عند اللّه ، وإنّ الرجل ليكذب على أخيه يريد به نفعه فيكون عند اللّه صادقاً</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كلّه إثم إلاّ ما نفعت به مؤمناً أو دفعت به عن دين المسلم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ونحوها رواية جعفر بن أحمد القمّي بإسناده عن أبي جعفر علیه السلام عن رسول اللّه رحمهما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الشيخ المفيد بإسناده عن صالح بن سهل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مسلم سئل عن مسلم فصدق ، فأدخل على ذلك المسلم مضرّة ، كتب من الكاذبين ، ومن سئل عن مسلم فكذب ، فأدخل على ذلك المسلم منفعة ، كتب عند اللّه من الصادقين</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استثناء إرادة الصلاح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وصيّة النبي رحمهما اللّه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 اللّه أحبّ الكذب في </w:t>
      </w:r>
    </w:p>
    <w:p>
      <w:pPr>
        <w:pStyle w:val="BookText"/>
        <w:rPr/>
      </w:pPr>
      <w:r>
        <w:rPr>
          <w:rFonts w:ascii="Amiri" w:hAnsi="Amiri" w:eastAsia="Amiri" w:cs="Amiri"/>
          <w:color w:val="111111"/>
          <w:sz w:val="28"/>
          <w:sz w:val="28"/>
          <w:szCs w:val="28"/>
          <w:rtl w:val="true"/>
          <w:lang w:bidi="ar-SA"/>
        </w:rPr>
        <w:t>الصلاح ، وأبغض الصدق في الفساد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أعمّ من عنوان الإصلاح بين الناس ، سيّما مع استثناء الكذب للإصلاح بين الناس أيضاً في هذه الوصيّة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الصيقل عن أبي عبداللّه علیه السلام في قضيّة إبراهيم علیه السلام ويوسف علیه السلام ، وفيها بعد ذكر حبّ اللّه تعالى الكذب في الإصلاح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الإصلاح ، ودلالة على أ نّهم لا يفعلون ، وقال يوسف علیه السلام إرادة الإصلاح</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عطاء عنه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سرقوا وما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 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فعلوه وما كذب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منهما أنّ إبراهيم علیه السلام ويوسف علیه السلام إنّما قالا ذلك إرادة الإصلاح ولم يكن قولهما كذباً محرّماً ، بل كان كذباً محبوباً عند اللّه ، فما كذبا عند 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والإصلاح الذي أراد إبراهيم هو التنبيه على فساد رأي عابدي الأوثان وإرجاعهم إلى الحقّ ، كما أنّ الإصلاح الذي أراد يوسف ظاهراً إبقاء أخيه عنده </w:t>
      </w:r>
    </w:p>
    <w:p>
      <w:pPr>
        <w:pStyle w:val="BookText"/>
        <w:rPr/>
      </w:pPr>
      <w:r>
        <w:rPr>
          <w:rFonts w:ascii="IRNazanin" w:hAnsi="IRNazanin" w:eastAsia="IRNazanin"/>
          <w:color w:val="111111"/>
          <w:sz w:val="28"/>
          <w:sz w:val="28"/>
          <w:szCs w:val="28"/>
          <w:rtl w:val="true"/>
          <w:lang w:bidi="fa-IR"/>
        </w:rPr>
        <w:t xml:space="preserve">ليجيء يعقوب النبي علیه السلام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على إرادة إبراهيم علیه السلام الصلح بين نفسه والقوم ، وإرادة يوسف علیه السلام رفع الخصومة بينه وبين إخوته</w:t>
      </w:r>
      <w:r>
        <w:rPr>
          <w:rStyle w:val="FootnoteAnchor"/>
          <w:rtl w:val="true"/>
        </w:rPr>
        <w:footnoteReference w:id="406"/>
      </w:r>
      <w:r>
        <w:rPr>
          <w:rFonts w:ascii="Amiri" w:hAnsi="Amiri" w:eastAsia="Amiri" w:cs="Amiri"/>
          <w:color w:val="111111"/>
          <w:sz w:val="28"/>
          <w:sz w:val="28"/>
          <w:szCs w:val="28"/>
          <w:rtl w:val="true"/>
          <w:lang w:bidi="ar-SA"/>
        </w:rPr>
        <w:t xml:space="preserve">، كما ترى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الاستشهاد بهما ، بل برواية معاوية بن حكيم ، عن أبيه ، عن جدّه ، عن أبي عبداللّه علیه السلام </w:t>
      </w:r>
      <w:r>
        <w:rPr>
          <w:rStyle w:val="FootnoteAnchor"/>
          <w:rtl w:val="true"/>
        </w:rPr>
        <w:footnoteReference w:id="407"/>
      </w:r>
      <w:r>
        <w:rPr>
          <w:rFonts w:ascii="IRNazanin" w:hAnsi="IRNazanin" w:eastAsia="IRNazanin"/>
          <w:color w:val="111111"/>
          <w:sz w:val="28"/>
          <w:sz w:val="28"/>
          <w:szCs w:val="28"/>
          <w:rtl w:val="true"/>
          <w:lang w:bidi="fa-IR"/>
        </w:rPr>
        <w:t xml:space="preserve">على أنّ المراد من صحيحة معاوية بن عمّار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 xml:space="preserve">هو الأعمّ من الإصلاح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اُضيفت إلى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معناها التوفيق بينهم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أفسده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 الأمر ، يكون بمعنى إيقاع الصلاح والفساد ، وإذا اُطلق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أعمّ ، فإذا كذب لإرادة نفع لأخيه أو دفع ضرر عنه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الإصلاح بكذبه وأ نّه مصلح ، إلاّ أن يدّعى الانصراف إلى الإصلاح بين الناس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التعارض المتراءى بين مفهوم الحصر في رواية عيسى بن حسّان ورواية الطبرسي ، عن أبي عبداللّه علیه السلام ، وكذا مفهوم العدد في مقام التحديد في مرسلة الواسطي ورواية وصيّة النبي رحمهما اللّه وغيرهما ، وبين سائر الروايات ، يمكن دفعه بما أشرنا إليه سابقاً من أنّ القرينة العقلية قائمة بعدم إرادة الحصر </w:t>
      </w:r>
      <w:bookmarkStart w:id="108" w:name="pg15162_155431"/>
    </w:p>
    <w:p>
      <w:pPr>
        <w:pStyle w:val="BookText"/>
        <w:rPr/>
      </w:pPr>
      <w:bookmarkEnd w:id="108"/>
      <w:r>
        <w:rPr>
          <w:rFonts w:ascii="Amiri" w:hAnsi="Amiri" w:eastAsia="Amiri" w:cs="Amiri"/>
          <w:color w:val="111111"/>
          <w:sz w:val="28"/>
          <w:sz w:val="28"/>
          <w:szCs w:val="28"/>
          <w:rtl w:val="true"/>
          <w:lang w:bidi="ar-SA"/>
        </w:rPr>
        <w:t>من الاستثناء في المقام</w:t>
      </w:r>
      <w:r>
        <w:rPr>
          <w:rStyle w:val="FootnoteAnchor"/>
          <w:rtl w:val="true"/>
        </w:rPr>
        <w:footnoteReference w:id="409"/>
      </w:r>
      <w:r>
        <w:rPr>
          <w:rFonts w:ascii="Amiri" w:hAnsi="Amiri" w:eastAsia="Amiri" w:cs="Amiri"/>
          <w:color w:val="111111"/>
          <w:sz w:val="28"/>
          <w:sz w:val="28"/>
          <w:szCs w:val="28"/>
          <w:rtl w:val="true"/>
          <w:lang w:bidi="ar-SA"/>
        </w:rPr>
        <w:t xml:space="preserve">؛ ضرورة أنّ العقل حاكم بأنّ الكذب للفرار من مفسدة أعظم من مفسدته غير مسؤول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تقدّمت من الروايات في المسألة المتقدّمة المجوّزة للكذب لإنجاء ماله ، أو نفسه ، أو مال غيره أو نفسه</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التصرّف في الحصر بنحو لا يخالف ما تقدّم ، فيصير مفادها بعد رفع التعارض جواز الكذب لكلّ مصلحة ونفع ، كائناً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الروايات الواردة في جوازه لتخلّص النفس والمال إليها ، فيكون الجواز فيها أيضاً للمصلحة والنفع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سند هذه الروايات عدا صحيحة معاوية بن عمّار ، والروايات المتقدّمة التي لها عنوان آخر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واستفاضتها وكثرتها وإن توجب الوثوق بصدور بعضها إجمالاً ، لكن لا بدّ معه من أخذ ما هو أخصّ مضموناً ، وهو الإصلاح بين الناس ، فيقال بجوازه فيه المتطابق عليه الروايات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الالتزام بجوازه في مطلق الصلاح والنفع غير ممكن ، بل لعلّه موجب لإخراج الأكثر البشيع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الصحيحة فيمكن دعوى انصرافها إلى الإصلاح بين الناس كما تقدّم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955414_2142443653"/>
      <w:bookmarkStart w:id="110" w:name="_Toc38"/>
      <w:bookmarkEnd w:id="109"/>
      <w:r>
        <w:rPr>
          <w:rtl w:val="true"/>
        </w:rPr>
        <w:t>هل يجوز الكذب في الوعد مع الأهل أم لا ؟</w:t>
      </w:r>
      <w:bookmarkEnd w:id="1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بجواز الكذب في الوعد مع الأهل كما ورد في الروايات مشكل ؛ لضعفها ، وإجمال المراد منها ، فإنّ الظاهر من استثناء عدة الأهل من الكذب ، أنّ </w:t>
      </w:r>
    </w:p>
    <w:p>
      <w:pPr>
        <w:pStyle w:val="BookText"/>
        <w:rPr/>
      </w:pPr>
      <w:r>
        <w:rPr>
          <w:rFonts w:ascii="Amiri" w:hAnsi="Amiri" w:eastAsia="Amiri" w:cs="Amiri"/>
          <w:color w:val="111111"/>
          <w:sz w:val="28"/>
          <w:sz w:val="28"/>
          <w:szCs w:val="28"/>
          <w:rtl w:val="true"/>
          <w:lang w:bidi="ar-SA"/>
        </w:rPr>
        <w:t xml:space="preserve">المراد بها الإخبار عن خلاف الواقع ، والظاهر من عنوان العدة أ نّها 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تجعل العدة قرينة على تصرّف في الكذب ، فيراد به الأعمّ منه وممّا هو شبيه به ، كالوعد الذي لا يراد إنجازه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يجعل الكذب قرينة على أنّ المراد بالوعد الإخبار بالإعطاء مع عدم إرادة الإتيان به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الأحوط لو لم يكن الأقوى عدم جوازه إلاّ مع إكراه أو اضطرار كما قد يتّفق ، ويمكن حمل الروايات على مورد الاضطرار ، تأمّل </w:t>
      </w:r>
      <w:r>
        <w:rPr>
          <w:rFonts w:eastAsia="Amiri" w:cs="Amiri" w:ascii="Amiri" w:hAnsi="Amiri"/>
          <w:color w:val="111111"/>
          <w:sz w:val="28"/>
          <w:szCs w:val="28"/>
          <w:rtl w:val="true"/>
          <w:lang w:bidi="ar-SA"/>
        </w:rPr>
        <w:t xml:space="preserve">. </w:t>
      </w:r>
      <w:bookmarkStart w:id="111" w:name="pg15162_155433"/>
    </w:p>
    <w:p>
      <w:pPr>
        <w:pStyle w:val="Heading2"/>
        <w:numPr>
          <w:ilvl w:val="1"/>
          <w:numId w:val="1"/>
        </w:numPr>
        <w:rPr/>
      </w:pPr>
      <w:bookmarkStart w:id="112" w:name="__RefHeading___Toc1955416_2142443653"/>
      <w:bookmarkStart w:id="113" w:name="_Toc39"/>
      <w:bookmarkEnd w:id="111"/>
      <w:bookmarkEnd w:id="112"/>
      <w:r>
        <w:rPr>
          <w:rtl w:val="true"/>
        </w:rPr>
        <w:t>المسألة السادسة في معونة الظالم</w:t>
      </w:r>
      <w:bookmarkEnd w:id="113"/>
    </w:p>
    <w:p>
      <w:pPr>
        <w:pStyle w:val="Heading3"/>
        <w:numPr>
          <w:ilvl w:val="2"/>
          <w:numId w:val="1"/>
        </w:numPr>
        <w:rPr/>
      </w:pPr>
      <w:bookmarkStart w:id="114" w:name="__RefHeading___Toc1955418_2142443653"/>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معونة الظالم في ظلمه محرّمة بلا إشكال ، وقد تقدّم</w:t>
      </w:r>
      <w:r>
        <w:rPr>
          <w:rStyle w:val="FootnoteAnchor"/>
          <w:rtl w:val="true"/>
        </w:rPr>
        <w:footnoteReference w:id="411"/>
      </w:r>
      <w:r>
        <w:rPr>
          <w:rFonts w:ascii="Amiri" w:hAnsi="Amiri" w:eastAsia="Amiri" w:cs="Amiri"/>
          <w:color w:val="111111"/>
          <w:sz w:val="28"/>
          <w:sz w:val="28"/>
          <w:szCs w:val="28"/>
          <w:rtl w:val="true"/>
          <w:lang w:bidi="ar-SA"/>
        </w:rPr>
        <w:t xml:space="preserve">البحث عن حرمة الإعانة على الإثم مستقصى ، مضافاً إلى الأدلّة الخاصّة في المقام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955420_2142443653"/>
      <w:bookmarkStart w:id="117" w:name="_Toc41"/>
      <w:bookmarkEnd w:id="116"/>
      <w:r>
        <w:rPr>
          <w:rtl w:val="true"/>
        </w:rPr>
        <w:t>هل تكون معونة الظالم من الكبائر مطلقاً أم لا ؟</w:t>
      </w:r>
      <w:bookmarkEnd w:id="117"/>
    </w:p>
    <w:p>
      <w:pPr>
        <w:pStyle w:val="BookText"/>
        <w:rPr/>
      </w:pPr>
      <w:r>
        <w:rPr>
          <w:rFonts w:ascii="Amiri" w:hAnsi="Amiri" w:eastAsia="Amiri" w:cs="Amiri"/>
          <w:color w:val="111111"/>
          <w:sz w:val="28"/>
          <w:sz w:val="28"/>
          <w:szCs w:val="28"/>
          <w:rtl w:val="true"/>
          <w:lang w:bidi="ar-SA"/>
        </w:rPr>
        <w:t xml:space="preserve">إنّما الكلام في جهات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كبيرةً مطلقاً ، أو لا كذلك ، أو يفصّل بما يأتي ، وكونها محرّمة ولو في غير ظلمه ، وغيرهما ممّا يأتي الكلام فيه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الظالم قد يكون ممّن يتلبّس بظلمٍ ما ، وقد يكون شغله ذلك كالسارق القاطع للطريق ، وقد يكون سلطاناً أو أميراً جائراً ، وقد يكون مدّعي الخلافة عن رسول اللّه رحمهما اللّه ويكون غاصباً لولاية أئمّة الحقّ علیهم السلام كخلفاء بني اُميّة وبني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تكون معونة جميع الطوائف في ظلمهم كبيرة؟ </w:t>
      </w:r>
    </w:p>
    <w:p>
      <w:pPr>
        <w:pStyle w:val="BookText"/>
        <w:rPr/>
      </w:pPr>
      <w:r>
        <w:rPr>
          <w:rFonts w:ascii="Amiri" w:hAnsi="Amiri" w:eastAsia="Amiri" w:cs="Amiri"/>
          <w:color w:val="111111"/>
          <w:sz w:val="28"/>
          <w:sz w:val="28"/>
          <w:szCs w:val="28"/>
          <w:rtl w:val="true"/>
          <w:lang w:bidi="ar-SA"/>
        </w:rPr>
        <w:t xml:space="preserve">يمكن الاستدلال عليه في أوّل العناوين برواية طلحة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سندها محمّد بن سنان ، وهو لا بأس به</w:t>
      </w:r>
      <w:r>
        <w:rPr>
          <w:rStyle w:val="FootnoteAnchor"/>
          <w:rtl w:val="true"/>
        </w:rPr>
        <w:footnoteReference w:id="412"/>
      </w:r>
      <w:r>
        <w:rPr>
          <w:rFonts w:ascii="Amiri" w:hAnsi="Amiri" w:eastAsia="Amiri" w:cs="Amiri"/>
          <w:color w:val="111111"/>
          <w:sz w:val="28"/>
          <w:sz w:val="28"/>
          <w:szCs w:val="28"/>
          <w:rtl w:val="true"/>
          <w:lang w:bidi="ar-SA"/>
        </w:rPr>
        <w:t xml:space="preserve">، وعن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طلحة معتمد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 ثلاثتهم</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مرسلاً عن الباقر علیه السلام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بكونهم شركاء تسويتهم في درجة الإثم والعقوبة ، وبناءً على أنّ الظلم مطلقاً من الكبائر ، كما يستظهر من بعض الروايات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بامتناع كونهم في درجة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القتل أعظم من الرضا به والإعانة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ذلك قرينة على بناء الكلام على المبالغة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كعابد وثن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وقد تقدّم</w:t>
      </w:r>
      <w:r>
        <w:rPr>
          <w:rStyle w:val="FootnoteAnchor"/>
          <w:rtl w:val="true"/>
        </w:rPr>
        <w:footnoteReference w:id="418"/>
      </w:r>
      <w:r>
        <w:rPr>
          <w:rFonts w:ascii="Amiri" w:hAnsi="Amiri" w:eastAsia="Amiri" w:cs="Amiri"/>
          <w:color w:val="111111"/>
          <w:sz w:val="28"/>
          <w:sz w:val="28"/>
          <w:szCs w:val="28"/>
          <w:rtl w:val="true"/>
          <w:lang w:bidi="ar-SA"/>
        </w:rPr>
        <w:t xml:space="preserve">أنّ المبالغة إنّما تحسن وتصحّ إن كان المورد معصية عظيمة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صغيرة لا تصحّ المبالغة فيها ، </w:t>
      </w:r>
    </w:p>
    <w:p>
      <w:pPr>
        <w:pStyle w:val="BookText"/>
        <w:rPr/>
      </w:pPr>
      <w:r>
        <w:rPr>
          <w:rFonts w:ascii="Amiri" w:hAnsi="Amiri" w:eastAsia="Amiri" w:cs="Amiri"/>
          <w:color w:val="111111"/>
          <w:sz w:val="28"/>
          <w:sz w:val="28"/>
          <w:szCs w:val="28"/>
          <w:rtl w:val="true"/>
          <w:lang w:bidi="ar-SA"/>
        </w:rPr>
        <w:t xml:space="preserve">فالتسوية بينها مبالغة دليل على كونهما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حكم العقل بعدم التسوية بينهم كما يمكن أن يجعل الكلام مبنيّاً على المبالغة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شركتهم في أصل الإثم لا في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 بيان أصل الشركة لا كيفية الاشتراك والتسوية ، فلا تدلّ إلاّ على أنّ المعين له يكون عاصياً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فاستظهار الاحتمال الأوّل الدالّ على المقصود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يشكل استفادة حرمة الإعانة في غير ظلمه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يرجع إلى العامل ، ويكون مقتضى الإطلاق عدم جواز إعانة العامل ، سواء في ظلمه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ولو لأجل مقارنته للراضي به الراجع ضميره إلى الظلم وبمناسبة الحكم والموضوع عرفاً أنّ المراد به المعين له في ظلمه ، مضافاً إلى أنّ الإطلاق فيه ممنوع ؛ لأ نّه في مقام بيان التسوية أو الاشتراك بين الثلاثة لا في مقام بيان حكم المعين له ، فلا إطلاق فيه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الصدوق بإسناده عن رسول اللّه رحمهما اللّه في حديث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 أو أعانه عليها نزل به ملك الموت بالبشرى بلعنه ونار جهنّم وبئس المصير</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عنه رحمهما اللّه في حديث المناهي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قام بأمر خصومته بأن يقبل وكالته في تلك الخصومة الظالمانة ، أو أعان الظالم في الخصومة ، أو أعان المتولّي فيها بشّره ملك الموت بكذا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أنّ تولّي الخصومة من الظالم ، والإعانة عليها ، كبيرة موجبة للدخول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421"/>
      </w:r>
      <w:r>
        <w:rPr>
          <w:rFonts w:ascii="Amiri" w:hAnsi="Amiri" w:eastAsia="Amiri" w:cs="Amiri"/>
          <w:color w:val="111111"/>
          <w:sz w:val="28"/>
          <w:sz w:val="28"/>
          <w:szCs w:val="28"/>
          <w:rtl w:val="true"/>
          <w:lang w:bidi="ar-SA"/>
        </w:rPr>
        <w:t>أنّ الظاهر من صحيحة عبد العظيم الحسني</w:t>
      </w:r>
      <w:r>
        <w:rPr>
          <w:rStyle w:val="FootnoteAnchor"/>
          <w:rtl w:val="true"/>
        </w:rPr>
        <w:footnoteReference w:id="422"/>
      </w:r>
      <w:r>
        <w:rPr>
          <w:rFonts w:ascii="Amiri" w:hAnsi="Amiri" w:eastAsia="Amiri" w:cs="Amiri"/>
          <w:color w:val="111111"/>
          <w:sz w:val="28"/>
          <w:sz w:val="28"/>
          <w:szCs w:val="28"/>
          <w:rtl w:val="true"/>
          <w:lang w:bidi="ar-SA"/>
        </w:rPr>
        <w:t xml:space="preserve">في عدّ الكبائر أنّ إيعاد رسول اللّه رحمهما اللّه النار على معصية ، كاشف عن كونها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يناقش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الظالم فيها السلطان الجائر بقرينة سائر فقراتها المذكور فيها السلطان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 لسلطان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دلّ سلطاناً على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علّق سوطاً بين يدي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سعى بأخيه إلى سلطان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ويحتمل أن يكون المراد من تولّي خصومته ، القيام بأمر القضاء من قبله وإن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الحمل على خصوص السلطان أيضاً بعيد بل غير صحيح في الرواية الثانية ، لكن الرواية لا تصلح لإثبات حكم ؛ لضعفها سنداً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ومضمرة ورّام بن أبي فراس المرسلة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إلى ظالم </w:t>
      </w:r>
    </w:p>
    <w:p>
      <w:pPr>
        <w:pStyle w:val="BookText"/>
        <w:rPr/>
      </w:pPr>
      <w:r>
        <w:rPr>
          <w:rFonts w:ascii="Amiri" w:hAnsi="Amiri" w:eastAsia="Amiri" w:cs="Amiri"/>
          <w:color w:val="111111"/>
          <w:sz w:val="28"/>
          <w:sz w:val="28"/>
          <w:szCs w:val="28"/>
          <w:rtl w:val="true"/>
          <w:lang w:bidi="ar-SA"/>
        </w:rPr>
        <w:t>ليعينه وهو يعلم أ نّه ظالم فقد خرج من الإسلام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التجارة ، أبواب ما يكتسب به ،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رحمهما اللّه نحوها تقريباً إلاّ أنّ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خرج من الإيمان</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رحمهما اللّه نحوها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السيّد فضل اللّه 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شهد به المحدّث النوري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موسى بن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نكث بيعة ، أو رفع لواء ضلالة ، أو كتم علماً ، أو اعتقل مالاً ظلماً ، أو أعان ظالماً على ظلمه وهو يعلم أ نّه ظالم ، فقد برئ من الإسلام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ما يكتسب به ،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الروايات على المطلوب لأجل تلك المبالغة العظيمة فيها ؛ ضرورة أنّ الخروج من الإسلام والإيمان والبراءة منه ليس على نحو الحقيقة ، بل بنحو المبالغة ، وهي لا تصحّ أو لا تحسن في الصغيرة ، فلو صحّت في بعض الأحيان لكن الظاهر المتفاهم من نحوها كونها كبيرة عظيمة في نظر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ينبغي الإشكال في دلالتها في مورد الإعانة على الظلم ، سيّما مع اقترانها في الأخيرة مع نكث البيعة ورفع لواء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على الإعانة في غيره فلا ؛ لأنّ الظاهر حتّى من غير الأخيرة الإعانة في ظلمه لا مطلقاً ، ولا أقلّ من عدم إطلاقها ، مع محفوفيتها بما تصلح للقرينية ، بل مقتضى تقييد الأخيرة دخالة القيد في الحكم ، فتكون مقيّدة لإطلاقها مع فرض الإطلاق أو رافعة لإجمالها على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دلالة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 أو أعانه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للإطلاق الشامل للخصومة في غير مورد الظلم ، ضعيف مخالف لفهم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مع إرادة الإطلاق لكان اختصاص الخصومة بالذكر بعيداً ، ومع التسليم فالرواية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القول بكونها كبيرة في مورد الإعانة على الظلم ؛ لتظافر الروايات واعتبار بعضها وتصحيح الأخيرة ، ولم يحضرني كتاب الراوندي حتّى أنظر سندها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إعانة الظلمة الذين كان الظلم شغلاً وصفةً ثابتةً لهم ، كقطّاع الطريق دون الخلفاء والسلاطين ، فيمكن الاستدلال على كونها كبيرة في مورد الإعانة على ظلمهم ، مضافاً إلى الروايات المتقدّمة ، بجملة اُخرى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إذ دخل عليه رجل من أصحابنا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ربما أصاب الرجل منّا الضيق والشدّة فيدعى إلى البناء يبنيه ، والنهر يكريه ، والمسنّاة يصلحها ، فما تقول في ذلك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اُحبّ أ نّي عقدت لهم عقدة ، أو وكيت لهم وكاء وأنّ لي ما بين لابتيها ، لا ولا مدّة 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أعوان الظلمة يوم القيامة في سرادق </w:t>
      </w:r>
    </w:p>
    <w:p>
      <w:pPr>
        <w:pStyle w:val="BookText"/>
        <w:rPr/>
      </w:pPr>
      <w:r>
        <w:rPr>
          <w:rFonts w:ascii="Amiri" w:hAnsi="Amiri" w:eastAsia="Amiri" w:cs="Amiri"/>
          <w:color w:val="111111"/>
          <w:sz w:val="28"/>
          <w:sz w:val="28"/>
          <w:szCs w:val="28"/>
          <w:rtl w:val="true"/>
          <w:lang w:bidi="ar-SA"/>
        </w:rPr>
        <w:t>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صدرها وإن كان في مورد الدخول في أعمال خلفاء الجور أو الاُمراء من قبلهم ، لكن ذيلها بمنزلة كبرى كلّية تشمل جميع الظلمة ، سواء كانوا منهم ، أو مثل سلاطين الجور والحكّام من قبلهم ، أو مثل قطّاع الطرق وأمثالهم ممّن شأنهم وشغلهم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انصرافها إلى خصوص الطائفة الاُولى ، أو هي والثانية ، كأ نّها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منها بقرينة صدرها أنّ إعانتهم في غير ظلمهم أيضاً محرّمة كبيرة ، فإنّ السؤال عن البناء والنهر وإصلاح المسنّاة ، وهي غير مورد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السؤال غير مذكور فيها ، ومعلوم أنّ عدم ذكره كان للتقيّة والخوف ، ومن المحتمل أن يكون المعهود من مورده أمير المدينة مثلاً ونحوه ، وكان البناء والنهر والمسنّاة المدعوّ إليها من الأموال المغصوبة ، كالأراضي الخراجية التي كانت تحت يدهم غصباً ، أو من أموال الناس المغصوبة ، وكان الأعمال فيها إعانة عليهم في ظلمهم ، فإنّ إبقاء المغصوب تحت يد الظالم ظلم مستمرّ منه ، والتصرّف فيه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العمّال لمّا كانوا غير مستقلّين في التصرّف ، وكانوا يداً للغاصب عُدّوا معيناً لهم لا ظالماً في تصرّفهم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الاحتمال الجائي من إجمال السؤال، لا يمكن استفادة حرمة إعانة </w:t>
      </w:r>
    </w:p>
    <w:p>
      <w:pPr>
        <w:pStyle w:val="BookText"/>
        <w:rPr/>
      </w:pPr>
      <w:r>
        <w:rPr>
          <w:rFonts w:ascii="Amiri" w:hAnsi="Amiri" w:eastAsia="Amiri" w:cs="Amiri"/>
          <w:color w:val="111111"/>
          <w:sz w:val="28"/>
          <w:sz w:val="28"/>
          <w:szCs w:val="28"/>
          <w:rtl w:val="true"/>
          <w:lang w:bidi="ar-SA"/>
        </w:rPr>
        <w:t xml:space="preserve">الخلفاء والاُمراء من قبلهم في غير مورد ظلمهم منها ، فضلاً عن سائر الظلمة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اُحبّ أ نّي عقدت لهم عقدة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كناية عن عدم جواز مطلق الإعانة عليهم ، كانت في مورد ظلمهم أم لا ، فيدفع به الاحتمال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الحرمة بل يدلّ على الكراهة ضعيف جدّاً وإن قال به الشيخ الأنصاري</w:t>
      </w:r>
      <w:r>
        <w:rPr>
          <w:rStyle w:val="FootnoteAnchor"/>
          <w:rtl w:val="true"/>
        </w:rPr>
        <w:footnoteReference w:id="429"/>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كلّية وبمنزلة تعليل لما تقدّم ، فكيف يصحّ الحمل على الكراهة ؟ فهو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منها أيضاً ببركة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الأعوان أعمّ ممّن تلبّس بإعانةٍ ما ، أو كان شغله الإعانة عليهم ؛ إذ لولا ذلك لأمكن دعوى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كذا ، مع قطع النظر عن صدره ، له جهات من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كظهور الظلمة في نحو الاُمراء والسلاطين والخلفاء ، أو الأعمّ منهم وممّن شغله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الإضافة إلى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شغله العون ، كالجُندي والقاضي والكاتب ونحوهم ، ولا تشمل من أعان في مورد أو موردين ، فلا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أعوان الظلمة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الحكم والموضوع والإضافة إلى الموصوف </w:t>
      </w:r>
    </w:p>
    <w:p>
      <w:pPr>
        <w:pStyle w:val="BookText"/>
        <w:rPr/>
      </w:pPr>
      <w:r>
        <w:rPr>
          <w:rFonts w:ascii="Amiri" w:hAnsi="Amiri" w:eastAsia="Amiri" w:cs="Amiri"/>
          <w:color w:val="111111"/>
          <w:sz w:val="28"/>
          <w:sz w:val="28"/>
          <w:szCs w:val="28"/>
          <w:rtl w:val="true"/>
          <w:lang w:bidi="ar-SA"/>
        </w:rPr>
        <w:t xml:space="preserve">بوصف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المعين معينهم في ظلمهم ، كعمّال الخلفاء والسلاطين بحسب النوع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وبلحاظ صدر الرواية يقع التعارض بدواً بين الظهورين الأخيرين ، وبين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اُحبّ أ نّي عقدت لهم عقدة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فإنّ الظاهر أ نّه كناية عن مطلق العمل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وبين الظهورين أو الظهور الأخير وبين المذكورات في مورد السؤال ؛ لأنّ البنّاء ونحوه لا يكون معيناً للظلم ولا شغله الإعانة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فيدور الأمر بين رفع اليد عن ظاهر الذيل وحمله بقرينة الأمثلة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لا اُحبُّ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مطلق العمل لهم ، كان إعانة عليهم أو في ظلمهم أم لا ، فتكون التوسعة لذلك تعبّدية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 جعل قوله علیه السلام كناية عن الدخول في أعمالهم التي كان إعانة عليهم في ظلمهم لا محالة بحسب النوع ، فيكون موافقاً للظهورين ، أو عن الإعانة لهم في ظلمهم بقرينة تطبيق الكبرى عليه ، فيكون موافقاً للأخير وكاشفاً ببركة الكبرى عن مورد السؤال المجهول عندنا ، كما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ولو بمناسبة الحكم والموضوع وبأ نّه علیه السلام استشهد ظاهراً بالكبرى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يكون حملها على ما تقدّم وإعمال التعبّد في غاية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الكبرى قرينةً على المعنى المكنّى عنه وأ نّه أحد المعنيين المتقدّمين ، فتكون حاصل المعنى المراد أنّ الدخول في ديوانهم المستلزم لكونه عوناً على ظلمهم محرّم أو أنّ الإعانة على ظلمهم محرّمة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الاُخر التي علّق فيها الحكم على أعوان الظلمة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 موثّقة السكوني ، عن جعفر بن محمّد علیه السلام ، عن آبائه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أعوان الظلمة ، ومن لاق لهم دواة ، أو ربط لهم كيساً ، أو مدّ لهم مدّة قلم ؟ فاحشروهم معهم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السيّد فضل اللّه الراوندي ، التي صحّحها المحدّث النوري</w:t>
      </w:r>
      <w:r>
        <w:rPr>
          <w:rStyle w:val="FootnoteAnchor"/>
          <w:rtl w:val="true"/>
        </w:rPr>
        <w:footnoteReference w:id="432"/>
      </w:r>
      <w:r>
        <w:rPr>
          <w:rFonts w:ascii="IRNazanin" w:hAnsi="IRNazanin" w:eastAsia="IRNazanin"/>
          <w:color w:val="111111"/>
          <w:sz w:val="28"/>
          <w:sz w:val="28"/>
          <w:szCs w:val="28"/>
          <w:rtl w:val="true"/>
          <w:lang w:bidi="fa-IR"/>
        </w:rPr>
        <w:t xml:space="preserve">، عن موسى بن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الظلمة وأعوان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لاق لهم دواة ، أو ربط لهم كيساً ، أو مدّ لهم مدّة ؟ احشروه معهم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منهما رواية ورّام بن أبي فراس ، إلاّ أنّ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وأعوان الظلمة وأشباه الظلمة حتّى من برئ لهم قلماً </w:t>
      </w:r>
      <w:r>
        <w:rPr>
          <w:rFonts w:eastAsia="Amiri" w:cs="Amiri" w:ascii="Amiri" w:hAnsi="Amiri"/>
          <w:color w:val="111111"/>
          <w:sz w:val="28"/>
          <w:szCs w:val="28"/>
          <w:rtl w:val="true"/>
          <w:lang w:bidi="ar-SA"/>
        </w:rPr>
        <w:t>.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القطب الراوندي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الظلمة وأعوانهم ، حتّى من لاق لهم دواة </w:t>
      </w:r>
      <w:r>
        <w:rPr>
          <w:rFonts w:eastAsia="Amiri" w:cs="Amiri" w:ascii="Amiri" w:hAnsi="Amiri"/>
          <w:color w:val="111111"/>
          <w:sz w:val="28"/>
          <w:szCs w:val="28"/>
          <w:rtl w:val="true"/>
          <w:lang w:bidi="ar-SA"/>
        </w:rPr>
        <w:t>.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يحتمل في رواية السكوني أن 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لاق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أعوان الظلمة بالواو لإفادة أمر زائد على الإعانة في ظلمهم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إعانتهم في ظلمهم وفي غيره كالإعانة في الليق والربط والمدّ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بحسب هذا الظهور مخالفة لسائر الروايات ، فإنّ بعضها بلا عاطف ، فيكون ما بعد بياناً ، وفي بعضها عطف بحتّى لإفادة أخفى مراتب الإعانة فتكون المذكورات بحسب رواية السكوني مقابلة للإعانة ، وبحسب غيرها مصداقها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الأولى حمل العطف في رواية السكوني على عطف الخاصّ على العامّ ، فتطابق بين الروايات ؛ لأظهرية غيرها منها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في رواية ابن أبي يعفور</w:t>
      </w:r>
      <w:r>
        <w:rPr>
          <w:rStyle w:val="FootnoteAnchor"/>
          <w:rtl w:val="true"/>
        </w:rPr>
        <w:footnoteReference w:id="436"/>
      </w:r>
      <w:r>
        <w:rPr>
          <w:rFonts w:ascii="Amiri" w:hAnsi="Amiri" w:eastAsia="Amiri" w:cs="Amiri"/>
          <w:color w:val="111111"/>
          <w:sz w:val="28"/>
          <w:sz w:val="28"/>
          <w:szCs w:val="28"/>
          <w:rtl w:val="true"/>
          <w:lang w:bidi="ar-SA"/>
        </w:rPr>
        <w:t xml:space="preserve">، من وقوع التعارض بين صدرها وذيلها ، يأتي في تلك الروايات أيضاً ، لكن الأظهر في مفادها أنّ مطلق الإعانة على ظلمهم محرّم ومعصية كبيرة ، ولا تختصّ الحرمة بالاشتغال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يكون المراد بمن لاق ونحوه من كان شغله ذلك ، وهم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ظلمهم ؛ لأنّ ذكر مثل الدواة والقلم والكيس في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آلات الظلمة سيّما الحكّام في ظلمهم لإنفاذ الأحكام وجمع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اختصاص الإعانة بمورد الظلم ، والمذكورات من الموارد الخفيّة للإعانة على الظلم ، لا مطلق الإعانة على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الثاني لكان عليه ذكر غيرها ممّا لا دخل له في ظلمهم ، كإعطاء كأس ماء ونحوه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نّه دخل على الصادق علیه السلام رجل ، فمتّ له بالأيمان أ نّه من أوليائه ، فولّى عنه وجهه ، فدار الرجل إليه وعاود اليمين ، فولّى</w:t>
      </w:r>
    </w:p>
    <w:p>
      <w:pPr>
        <w:pStyle w:val="BookText"/>
        <w:rPr/>
      </w:pPr>
      <w:r>
        <w:rPr>
          <w:rFonts w:ascii="IRNazanin" w:hAnsi="IRNazanin" w:eastAsia="IRNazanin"/>
          <w:color w:val="111111"/>
          <w:sz w:val="28"/>
          <w:sz w:val="28"/>
          <w:szCs w:val="28"/>
          <w:rtl w:val="true"/>
          <w:lang w:bidi="fa-IR"/>
        </w:rPr>
        <w:t xml:space="preserve">عنه ، فأعاد اليمين ثالثة ، فقال علیه السلام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 من أين معاشك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أخدم السلطان ، وإنّي واللّه لك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أبي ، عن أبيه ، عن جدّه ، عن رسول اللّه رحمهما اللّه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من السماء من قبل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 أين أعوان الظلمة ؟ أين من برئ لهم قلماً ؟ أين من لاق لهم دواةً ؟ أين من جلس معهم ساعةً ؟ فيؤتى بهم جميعاً ، فيؤمر أن يضرب عليهم بسور من نار ، فهم فيه حتّى يفرغ الناس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الحساب ، ثمّ يؤمر بهم إلى النار</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فهي مع ضعفها واشتمالها على ما لا يمكن الالتزام به ، ظاهرة في أنّ الرجل كان معروفاً عند أبي عبداللّه علیه السلام ، ولهذا ولّى عنه وجهه ، ولعلّ خدمته كانت من قبيل ما صدق عليه الظلم أو الإعانة عليه ، فلا دلالة فيها على حرمة مطلق العون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المتقدّمة ، لا تدلّ إلاّ على حرمة إعانة الظالم في ظلمه ، كما صرّح بالقيد في بعضها وهي ظاهر الروايات الأخيرة ، بل وغيرها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علّق سوطاً بين يدي سلطان جائر جعلها اللّه </w:t>
      </w:r>
    </w:p>
    <w:p>
      <w:pPr>
        <w:pStyle w:val="BookText"/>
        <w:rPr/>
      </w:pPr>
      <w:r>
        <w:rPr>
          <w:rFonts w:ascii="Amiri" w:hAnsi="Amiri" w:eastAsia="Amiri" w:cs="Amiri"/>
          <w:color w:val="111111"/>
          <w:sz w:val="28"/>
          <w:sz w:val="28"/>
          <w:szCs w:val="28"/>
          <w:rtl w:val="true"/>
          <w:lang w:bidi="ar-SA"/>
        </w:rPr>
        <w:t>حيّة طولها سبعون ألف ذراع فيسلّط اللّه عليه في نار جهنّم خالداً فيها مخلّداً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فموردها الإعانة على الظالم في ظلمه ، بل لا يبعد أن يكون المراد منه ولو بمناسبة الحكم والموضوع هو السوّاط الذي كان شغله ضرب المظلومين والمجرمين بنظر حاكم الجور ، فهو من الظلمة ومعين الظلمة في ظلمهم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ابن بنت الكاهلي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اسمه في ديوان ولد سابع ، حشره اللّه يوم القيامة خنزيراً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الكاهلي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اسمه في ديوان الجبّارين من ولد فلان حشره اللّه يوم القيامة حيراناً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 وكون الروايتين واحدة ، وكانت الاُولى أيضاً عن الكاهلي ، لكن لا يعبأ بهذا الاحتمال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أبي عمير ، عن الوليد بن صبيح الكابلي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سوّد اسمه في ديوان بني شيصبان حشره اللّه </w:t>
      </w:r>
    </w:p>
    <w:p>
      <w:pPr>
        <w:pStyle w:val="BookText"/>
        <w:rPr/>
      </w:pPr>
      <w:r>
        <w:rPr>
          <w:rFonts w:ascii="Amiri" w:hAnsi="Amiri" w:eastAsia="Amiri" w:cs="Amiri"/>
          <w:color w:val="111111"/>
          <w:sz w:val="28"/>
          <w:sz w:val="28"/>
          <w:szCs w:val="28"/>
          <w:rtl w:val="true"/>
          <w:lang w:bidi="ar-SA"/>
        </w:rPr>
        <w:t>يوم القيامة مسوّداً وجهه</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شيصبان كناية عن بني العبّاس ، وشيصبان اسم شيطان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منها أو من بعضها حرمة الدخول في ديوانهم بأن يصير من أعضاء ديوان الظالم أو ديوان غاصب الخلافة ، كالشرطي ، والجُندي ، والقاضي ، والأمير ، وحواشي السلطان ، وأمثالهم ، لا مثل خيّاط السلطان ، وبنّائه ، ومعماره ،</w:t>
      </w:r>
    </w:p>
    <w:p>
      <w:pPr>
        <w:pStyle w:val="BookText"/>
        <w:rPr/>
      </w:pPr>
      <w:r>
        <w:rPr>
          <w:rFonts w:ascii="Amiri" w:hAnsi="Amiri" w:eastAsia="Amiri" w:cs="Amiri"/>
          <w:color w:val="111111"/>
          <w:sz w:val="28"/>
          <w:sz w:val="28"/>
          <w:szCs w:val="28"/>
          <w:rtl w:val="true"/>
          <w:lang w:bidi="ar-SA"/>
        </w:rPr>
        <w:t>كما قال الشيخ الأنصاري</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بما ذكر بيان المراد في رواية ابن أبي يعفور ، وإلاّ فالظاهر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اسمه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الروايات الواردة في أعوان الظلمة ظاهرة أو منصرفة إلى أعوانهم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من أنّ معمار السلطان وبنّاءه من أعوانه حقّ ، لكن تلك الروايات لا تدلّ على حرمة مطلق عون السلطان والظلمة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المتقدّمة آنفاً ، فالظاهر منها أنّ الدخول في ديوانهم وصيرورته من أعضاء حكومتهم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ملازمته للإعانة على الظلم ، أو لصيرورته موجباً لقوّة شوكتهم ، أو يكون نفس الدخول في ديوانهم إعانة على حكومتهم الجائرة الظالمة ، وإن كان مقتضى الجمود على ظواهرها أنّ الدخول فيه حرام ذاتاً لا لترتّب معصية أو عنوان آخر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بعض الكلام فيه في المسألة الآتية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يبعد اختصاص ذلك بخلفاء الجور الغاصبين لخلافة رسول اللّه رحمهما اللّه</w:t>
      </w:r>
    </w:p>
    <w:p>
      <w:pPr>
        <w:pStyle w:val="BookText"/>
        <w:rPr/>
      </w:pPr>
      <w:r>
        <w:rPr>
          <w:rFonts w:ascii="Amiri" w:hAnsi="Amiri" w:eastAsia="Amiri" w:cs="Amiri"/>
          <w:color w:val="111111"/>
          <w:sz w:val="28"/>
          <w:sz w:val="28"/>
          <w:szCs w:val="28"/>
          <w:rtl w:val="true"/>
          <w:lang w:bidi="ar-SA"/>
        </w:rPr>
        <w:t xml:space="preserve">والمدّعين لها ، والإسراء إلى غيرهم مشكل ؛ لخصوصية فيهم لعنهم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يبعد الاختصاص في رواية يونس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تعنهم على بناء مسجد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الإعانة على بناء المسجد ، ليس مطلق العمل فيه ولو لحوائج نفسه ، كالبنّاء ، والعملة العاملين لأجل حوائجهم ، من غير نظر إلى صاحب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فإعانتهم أخصّ من ذلك ؛ ضرورة أ نّه لا يقال للتاجر الذي يتّجر لأغراضه وحوائجه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معين الفقراء ، أو معين الظلمة ، بمجرّد بيع المتاع منهم كبيعه من سائر الناس ، ولا لمن باع الآجر والجصّ من الباني للمسجد ، كبيعه من 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أعانه على بناء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خصّ نفسه لبناء المسجد وانتخبه من سائر الأبنية ، مع تسهيل لأمره أو قصد التوصّل إليه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معينه في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وقف نفسه للبيع</w:t>
      </w:r>
    </w:p>
    <w:p>
      <w:pPr>
        <w:pStyle w:val="BookText"/>
        <w:rPr/>
      </w:pPr>
      <w:r>
        <w:rPr>
          <w:rFonts w:ascii="Amiri" w:hAnsi="Amiri" w:eastAsia="Amiri" w:cs="Amiri"/>
          <w:color w:val="111111"/>
          <w:sz w:val="28"/>
          <w:sz w:val="28"/>
          <w:szCs w:val="28"/>
          <w:rtl w:val="true"/>
          <w:lang w:bidi="ar-SA"/>
        </w:rPr>
        <w:t xml:space="preserve">من الظالم ، والعمل له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نظر الشيخ إلى ذلك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صار شخص بنّاءهم ، أو معمارهم ، أو خيّاطهم ، لحوائج نفسه ، وإنّما انتخب ذلك لكونه أنفع له في معاشه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معينهم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وتشهد لما ذكر رواية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 كلّ شيء منك حسن جميل ما خلا شيئاً واحداً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أيّ شيء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بقاءهم فهو منهم ، ومن كان منهم كان ورد النار </w:t>
      </w:r>
      <w:r>
        <w:rPr>
          <w:rFonts w:eastAsia="Amiri" w:cs="Amiri" w:ascii="Amiri" w:hAnsi="Amiri"/>
          <w:color w:val="111111"/>
          <w:sz w:val="28"/>
          <w:szCs w:val="28"/>
          <w:rtl w:val="true"/>
          <w:lang w:bidi="ar-SA"/>
        </w:rPr>
        <w:t>.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صدرها لا يدلّ على الحرمة ، فإنّ عدم كون الشيء جميلاً حسناً أعمّ منه ، بل لعلّه يشعر بالكراهة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التعليل بعدم جواز حبّ بقائهم ، دليل على أنّ إكراءه بنفسه غير محرّم ، وإلاّ لعلّل به لا بأمر خارج ، فتدلّ على أنّ العمل لهم لحوائج نفسه ليس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حبّ بقائهم ، فأمر آخر ليس مورد بحثنا ، ومع حرمته لا توجب تحريم أمر آخر خارج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 صحيح الحلبي الآتي في المسألة الآتية</w:t>
      </w:r>
      <w:r>
        <w:rPr>
          <w:rStyle w:val="FootnoteAnchor"/>
          <w:rtl w:val="true"/>
        </w:rPr>
        <w:footnoteReference w:id="448"/>
      </w:r>
      <w:r>
        <w:rPr>
          <w:rFonts w:ascii="Amiri" w:hAnsi="Amiri" w:eastAsia="Amiri" w:cs="Amiri"/>
          <w:color w:val="111111"/>
          <w:sz w:val="28"/>
          <w:sz w:val="28"/>
          <w:szCs w:val="28"/>
          <w:rtl w:val="true"/>
          <w:lang w:bidi="ar-SA"/>
        </w:rPr>
        <w:t xml:space="preserve">، وفيها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مسكين خدمهم رجاء أن يصيب معهم شيئاً ، فيغنيه اللّه به ، فمات في بعثهم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الأجير ،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كالصريح في أنّ العمل لهم بنيّة حوائجه لا بنيّة العون عليهم محلّل ، وأنّ الأجير لهم لم يرتكب حراماً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الأجير والخادم ، غير عنوان الديواني والدخول في شؤون السلطنة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إسراء الحكم من تلك الروايات الواردة في خلفاء الجور المدّعين لخلافة رسول اللّه رحمهما اللّه إلى غيرهم مشكل ؛ لخصوصية فيهم دون سائر الظلمة والسلاطين والاُمراء ، سيّما مثل سلاطين الشيعة واُمرائهم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الكلام في جملة من الروايات المأخوذة فيها عنوان المعونة أو العون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كرواية الفضل بن شاذان عن الرضا علیه السلام في كتابه إلى المأمون ، وعدّ فيها في جملة الكبائر معونة الظالمين ، والركون إليهم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مالك بن عطيّة هو الأحمسي الثقة </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عن علي بن الحسين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وصحبة العاصين ومعونة الظالمين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أعمال السلطان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سليمان ، الدخول في أعمالهم ، والعون لهم ، والسعي في حوائجهم عديل الكفر ، والنظر إليهم على </w:t>
      </w:r>
    </w:p>
    <w:p>
      <w:pPr>
        <w:pStyle w:val="BookText"/>
        <w:rPr/>
      </w:pPr>
      <w:r>
        <w:rPr>
          <w:rFonts w:ascii="Amiri" w:hAnsi="Amiri" w:eastAsia="Amiri" w:cs="Amiri"/>
          <w:color w:val="111111"/>
          <w:sz w:val="28"/>
          <w:sz w:val="28"/>
          <w:szCs w:val="28"/>
          <w:rtl w:val="true"/>
          <w:lang w:bidi="ar-SA"/>
        </w:rPr>
        <w:t>العمد من الكبائر التي يستحقّ بها النار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يكتسب به ،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شاذان بن جبرئيل ، عن رسول اللّه رحمهما اللّه في حديث الإسراء وما رآه مكتوباً على أبواب النار ، ومن جملته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عوناً للظالمين</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أو المنصرف منها ولو بمناسبة الحكم والموضوع العون على ظلمهم ، سيّما مع التقييد في بعض ما تقدّم وغيره ، ومع ما تقدّم من رواية صفوان وصحيح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أعمش</w:t>
      </w:r>
      <w:r>
        <w:rPr>
          <w:rStyle w:val="FootnoteAnchor"/>
          <w:rtl w:val="true"/>
        </w:rPr>
        <w:footnoteReference w:id="455"/>
      </w:r>
      <w:r>
        <w:rPr>
          <w:rFonts w:ascii="Amiri" w:hAnsi="Amiri" w:eastAsia="Amiri" w:cs="Amiri"/>
          <w:color w:val="111111"/>
          <w:sz w:val="28"/>
          <w:sz w:val="28"/>
          <w:szCs w:val="28"/>
          <w:rtl w:val="true"/>
          <w:lang w:bidi="ar-SA"/>
        </w:rPr>
        <w:t xml:space="preserve">، حيث عدّ فيها من الكبائر ترك إعانة المظلومين ، ومعلوم أنّ المراد تركها فيما ظلموا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انصراف السلطان في رواية الجعفري إلى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والجواب ناظران إليهم ، فإنّهم محلّ الحاجة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القول بحرمة إعانتهم مطلقاً ، والسعي في حوائجهم والدخول في أعمالهم ، بل والنظر إليهم ، لكن الظاهر لزوم توجيه الأخير بوجه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الخدشة في سند الرواية ، فإنّ العيّاشي وإن كان ثقة</w:t>
      </w:r>
      <w:r>
        <w:rPr>
          <w:rStyle w:val="FootnoteAnchor"/>
          <w:rtl w:val="true"/>
        </w:rPr>
        <w:footnoteReference w:id="456"/>
      </w:r>
      <w:r>
        <w:rPr>
          <w:rFonts w:ascii="Amiri" w:hAnsi="Amiri" w:eastAsia="Amiri" w:cs="Amiri"/>
          <w:color w:val="111111"/>
          <w:sz w:val="28"/>
          <w:sz w:val="28"/>
          <w:szCs w:val="28"/>
          <w:rtl w:val="true"/>
          <w:lang w:bidi="ar-SA"/>
        </w:rPr>
        <w:t xml:space="preserve">، وأدرك </w:t>
      </w:r>
    </w:p>
    <w:p>
      <w:pPr>
        <w:pStyle w:val="BookText"/>
        <w:rPr/>
      </w:pPr>
      <w:r>
        <w:rPr>
          <w:rFonts w:ascii="Amiri" w:hAnsi="Amiri" w:eastAsia="Amiri" w:cs="Amiri"/>
          <w:color w:val="111111"/>
          <w:sz w:val="28"/>
          <w:sz w:val="28"/>
          <w:szCs w:val="28"/>
          <w:rtl w:val="true"/>
          <w:lang w:bidi="ar-SA"/>
        </w:rPr>
        <w:t>الجعفري وهو ثقة</w:t>
      </w:r>
      <w:r>
        <w:rPr>
          <w:rStyle w:val="FootnoteAnchor"/>
          <w:rtl w:val="true"/>
        </w:rPr>
        <w:footnoteReference w:id="457"/>
      </w:r>
      <w:r>
        <w:rPr>
          <w:rFonts w:ascii="Amiri" w:hAnsi="Amiri" w:eastAsia="Amiri" w:cs="Amiri"/>
          <w:color w:val="111111"/>
          <w:sz w:val="28"/>
          <w:sz w:val="28"/>
          <w:szCs w:val="28"/>
          <w:rtl w:val="true"/>
          <w:lang w:bidi="ar-SA"/>
        </w:rPr>
        <w:t xml:space="preserve">، لكن ليس لنا طريق صحيح إلى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ومعروفيتها</w:t>
      </w:r>
    </w:p>
    <w:p>
      <w:pPr>
        <w:pStyle w:val="BookText"/>
        <w:rPr/>
      </w:pPr>
      <w:r>
        <w:rPr>
          <w:rFonts w:ascii="Amiri" w:hAnsi="Amiri" w:eastAsia="Amiri" w:cs="Amiri"/>
          <w:color w:val="111111"/>
          <w:sz w:val="28"/>
          <w:sz w:val="28"/>
          <w:szCs w:val="28"/>
          <w:rtl w:val="true"/>
          <w:lang w:bidi="ar-SA"/>
        </w:rPr>
        <w:t xml:space="preserve">بحيث أغنتنا عن السند غير ظاهرة ، ولم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إليه ، إلاّ أن يدّعى الاطمئنان والوثوق بكون ما عن تفسيره منه ،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الواردة في الدخول في أعمالهم ، والغشيان في سلطانهم ، والقرب من السلطان وحواشيه ، فليست من المسألة التي تعرّضنا لها ، ككثير ممّا تقدّم ، وإنّما تعرّضنا لها تبعاً للقوم ، وسيأتي الكلام فيها إن شاء اللّه في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الآتية </w:t>
      </w:r>
      <w:r>
        <w:rPr>
          <w:rFonts w:eastAsia="Amiri" w:cs="Amiri" w:ascii="Amiri" w:hAnsi="Amiri"/>
          <w:color w:val="111111"/>
          <w:sz w:val="28"/>
          <w:szCs w:val="28"/>
          <w:rtl w:val="true"/>
          <w:lang w:bidi="ar-SA"/>
        </w:rPr>
        <w:t xml:space="preserve">. </w:t>
      </w:r>
      <w:bookmarkStart w:id="118" w:name="pg15162_155452"/>
    </w:p>
    <w:p>
      <w:pPr>
        <w:pStyle w:val="Heading2"/>
        <w:numPr>
          <w:ilvl w:val="1"/>
          <w:numId w:val="1"/>
        </w:numPr>
        <w:rPr/>
      </w:pPr>
      <w:bookmarkStart w:id="119" w:name="__RefHeading___Toc1955422_2142443653"/>
      <w:bookmarkStart w:id="120" w:name="_Toc42"/>
      <w:bookmarkEnd w:id="118"/>
      <w:bookmarkEnd w:id="119"/>
      <w:r>
        <w:rPr>
          <w:rtl w:val="true"/>
        </w:rPr>
        <w:t>المسألة السابعة في الولاية من قبل الجائر</w:t>
      </w:r>
      <w:bookmarkEnd w:id="120"/>
    </w:p>
    <w:p>
      <w:pPr>
        <w:pStyle w:val="Heading3"/>
        <w:numPr>
          <w:ilvl w:val="2"/>
          <w:numId w:val="1"/>
        </w:numPr>
        <w:rPr/>
      </w:pPr>
      <w:bookmarkStart w:id="121" w:name="__RefHeading___Toc1955424_2142443653"/>
      <w:bookmarkStart w:id="122" w:name="_Toc43"/>
      <w:bookmarkEnd w:id="121"/>
      <w:r>
        <w:rPr>
          <w:rtl w:val="true"/>
        </w:rPr>
        <w:t>حرمة الولاية من قبل الجائر</w:t>
      </w:r>
      <w:bookmarkEnd w:id="122"/>
    </w:p>
    <w:p>
      <w:pPr>
        <w:pStyle w:val="BookText"/>
        <w:rPr/>
      </w:pPr>
      <w:r>
        <w:rPr>
          <w:rFonts w:ascii="Amiri" w:hAnsi="Amiri" w:eastAsia="Amiri" w:cs="Amiri"/>
          <w:color w:val="111111"/>
          <w:sz w:val="28"/>
          <w:sz w:val="28"/>
          <w:szCs w:val="28"/>
          <w:rtl w:val="true"/>
          <w:lang w:bidi="ar-SA"/>
        </w:rPr>
        <w:t xml:space="preserve">الولاية من قبل الجائر محرّمة ، كانت على المحرّمات ، أو المحلّلات ، أو ما اختلط فيها المحرّم والمحلّل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 السلطنة مجعولة بجعل اللّه تعالى لرسول اللّه رحمهما اللّه وبجعله تعالى أو بجعل رسول اللّه رحمهما اللّه بأمره تعالى مجعولة لأمير المؤمنين علیه السلام والأئمّة</w:t>
      </w:r>
    </w:p>
    <w:p>
      <w:pPr>
        <w:pStyle w:val="BookText"/>
        <w:rPr/>
      </w:pPr>
      <w:r>
        <w:rPr>
          <w:rFonts w:ascii="Amiri" w:hAnsi="Amiri" w:eastAsia="Amiri" w:cs="Amiri"/>
          <w:color w:val="111111"/>
          <w:sz w:val="28"/>
          <w:sz w:val="28"/>
          <w:szCs w:val="28"/>
          <w:rtl w:val="true"/>
          <w:lang w:bidi="ar-SA"/>
        </w:rPr>
        <w:t xml:space="preserve">الطاهرين من بعده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السلطنة وشؤونها غير أساس تبليغ الأحكام الذي هو من شؤون رسول اللّه رحمهما اللّه من حيث رسالته ونبوّته ، ومن شؤون الأئمّة بإرجاع رسول اللّه رحمهما اللّه الاُمّة إليهم في أخذها بأمره تعالى بضرورة المذهب ، وللروايات المتواترة من الفريقين ، كحديث الثقلين</w:t>
      </w:r>
      <w:r>
        <w:rPr>
          <w:rStyle w:val="FootnoteAnchor"/>
          <w:rtl w:val="true"/>
        </w:rPr>
        <w:footnoteReference w:id="458"/>
      </w:r>
      <w:r>
        <w:rPr>
          <w:rFonts w:ascii="IRNazanin" w:hAnsi="IRNazanin" w:eastAsia="IRNazanin"/>
          <w:color w:val="111111"/>
          <w:sz w:val="28"/>
          <w:sz w:val="28"/>
          <w:szCs w:val="28"/>
          <w:rtl w:val="true"/>
          <w:lang w:bidi="fa-IR"/>
        </w:rPr>
        <w:t xml:space="preserve">وحديث سفينة نوح علیه السلام </w:t>
      </w:r>
      <w:r>
        <w:rPr>
          <w:rStyle w:val="FootnoteAnchor"/>
          <w:rtl w:val="true"/>
        </w:rPr>
        <w:footnoteReference w:id="459"/>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وجب طاعتهم ؛ لكونهم سلاطين الاُمّة وولاة الأمر من قبل اللّه تعالى ، لا لكونهم مبلّغين لأحكامه تعالى ؛ لأنّ المبلّغ لها لا أمر ولا حكم له فيما يبلّغها ، ولا يكون العمل طاعة له ، بل الحكم من اللّه والإطاعة له ، وإنّما أقواله وآراؤه كاشفات عن حكم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أوامرهم الصادرة منهم بما أ نّهم ولاة الأمر وسلاطين الاُمّة ، فتجب إطاعتها لكونهم كذلك ، ولكون الأمر أمرهم لا لكشفه عن أمر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يجب طاعتهم لأجل أمر اللّه تعالى بها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ولجعل السلطنة والولاية لهم من قبله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 تجب ؛ لأنّ السلطنة والولاية مختصّة باللّه تعالى بحسب حكم العقل ، فهو تعالى مالك الأمر والولاية بالذات من غير جعل ، وهي لغيره تعالى بجعله ونصبه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السلطنة والخلافة والولاية من الاُمور الوضعية الاعتبارية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فالسلطنة بشؤونها وفروعها لهم من قبله تعالى ، ولا يجوز لأحد التصرّف فيها وتقلّدها أصلاً وفرعاً ؛ لأنّ تقلّدها غصب والتصرّف فيها وفي شؤونها ، كائنة ما كانت ، تصرّف في سلطان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الغصب بما أ نّه الاستيلاء على مال الغير أو حقّه عدواناً ، وعامل السلطان ولو من تقلّد من قبله أمر إمارة بلد ، أو ولاية ناحية ، أو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تقلّد أمر القضاء والوزارة ونحوها ليس مستولياً على شؤون السلطنة ، بل </w:t>
      </w:r>
    </w:p>
    <w:p>
      <w:pPr>
        <w:pStyle w:val="BookText"/>
        <w:rPr/>
      </w:pPr>
      <w:r>
        <w:rPr>
          <w:rFonts w:ascii="Amiri" w:hAnsi="Amiri" w:eastAsia="Amiri" w:cs="Amiri"/>
          <w:color w:val="111111"/>
          <w:sz w:val="28"/>
          <w:sz w:val="28"/>
          <w:szCs w:val="28"/>
          <w:rtl w:val="true"/>
          <w:lang w:bidi="ar-SA"/>
        </w:rPr>
        <w:t xml:space="preserve">الاستيلاء إنّما هو من السلطان وهو غاصب للخلافة والسلطنة بشؤونهما ، وعمّاله أياديه ، وليسوا مستولين على شؤونها ، حتّى الأمر الذي كانوا متولّين له بنصب من السلطان ، بل هو نظير غصب السلطان بلداً بوسيلة عمّاله ، فإنّ الغاصب له هو السلطان لا غير ، وأياديه لا يعدّون سلطاناً ومستولياً عليه ، وإن كان تصرّفهم فيه محرّماً بعنوان التصرّف في مال الغير بغير 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إنّ تقلّد أمر من شؤون السلطنة والخلافة محرّم ، لا بعنوان الغصب بل بعنوان التصرّف في سلطان الغير بلا إذنه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ذكرناه مختصّ ظاهراً بمن تولّى منصباً من قبله ، كالقضاء ، والحكومة ، والإمارة ، بل والولاية على الجباية وسائر أنحاء المناصب ، دون مثل الجندي ، وخدمة الدوائر ، ونظائرهم ؛ للفرق بين شؤون السلطنة بفروعها ، ومثل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تولّي الاُمور المتقدّمة تصرّف في شؤون السلطنة ، ولو لم يكن المتصرّف مستولياً ، ومع الاستيلاء غصب للشؤون ، بخلاف مثل الخادم والجندي ، فصيرورة شخص جندياً أو خادم دائرة غير تقلّد المناصب ، ليست محرّمة لا بعنوان الغصب ولا بعنوان التصرّف في سلطان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التماس دليل آخر على حرمتها، ويأتي الكلام في الروايات الخاصّة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يظهر النظر فيما يظهر من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من أنّ الولاية على المحلّل حلال لو لا الأخبار الخاصّة ؛ إذ ظهر أ نّها محرّمة مع الغضّ </w:t>
      </w:r>
    </w:p>
    <w:p>
      <w:pPr>
        <w:pStyle w:val="BookText"/>
        <w:rPr/>
      </w:pPr>
      <w:r>
        <w:rPr>
          <w:rFonts w:ascii="Amiri" w:hAnsi="Amiri" w:eastAsia="Amiri" w:cs="Amiri"/>
          <w:color w:val="111111"/>
          <w:sz w:val="28"/>
          <w:sz w:val="28"/>
          <w:szCs w:val="28"/>
          <w:rtl w:val="true"/>
          <w:lang w:bidi="ar-SA"/>
        </w:rPr>
        <w:t xml:space="preserve">عنها لكن لا بعنوان ذاتها بل بعنوان التصرّف في سلطان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تقلّد شيء من المناصب وشؤون السلطنة من الإذن من ولاة الأمر أو المنصوب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منهم أنّ الولاية من قبل السلطان العادل الحقّ قد تصير واجبة عيناً ، إذا عيّنه أو يتوقّف القيام بالأمر بالمعروف والنهي عن المنكر عليه ، ومن قبل الجائر تحرم إذا كانت على محرّم ، وكذا إذا كانت على ما يشتمل على محرّم ومحلّل ، كالحكومة على بعض البلدان المشتملة على خراج ، ونظام ، وسياسة ، ومحرّمات ، كالكمرك وغيره إذا لم يأمن من اعتماد ما يحرم</w:t>
      </w:r>
      <w:r>
        <w:rPr>
          <w:rStyle w:val="FootnoteAnchor"/>
          <w:rtl w:val="true"/>
        </w:rPr>
        <w:footnoteReference w:id="462"/>
      </w:r>
      <w:r>
        <w:rPr>
          <w:rFonts w:ascii="Amiri" w:hAnsi="Amiri" w:eastAsia="Amiri" w:cs="Amiri"/>
          <w:color w:val="111111"/>
          <w:sz w:val="28"/>
          <w:sz w:val="28"/>
          <w:szCs w:val="28"/>
          <w:rtl w:val="true"/>
          <w:lang w:bidi="ar-SA"/>
        </w:rPr>
        <w:t xml:space="preserve">، والظاهر من التعبيرات أنّ الولاية بما ذكر صارت بعنوانها واجبة أو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الظاهر مراداً فهو غير وجيه ؛ لأنّ الوجوب في الموردين لم يتعلّق بذاتها وعنوانها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فلأنّ الواجب عنوان إطاعة السلطان العادل ، لا عنوان الولاية ، وهما عنوانان ، ولا يلزم من وجوب أحدهما وجوب الآخر وإن كانا منطبقين على الوجود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نظير ذلك في غير المقام ، كوجوب الوضوء والغسل بالنذر والعهد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عليهم نظير ما أوردناه في المقام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الثاني فمضافاً إلى عدم وجوب المقدّمة شرعاً ، أ نّها لو كانت واجبة فالتحقيق أنّ الوجوب في المقدّمة لم يتعلّق بما هي مقدّمة بالحمل الشائع </w:t>
      </w:r>
      <w:bookmarkStart w:id="123" w:name="pg15162_155456"/>
    </w:p>
    <w:p>
      <w:pPr>
        <w:pStyle w:val="BookText"/>
        <w:rPr/>
      </w:pPr>
      <w:bookmarkEnd w:id="123"/>
      <w:r>
        <w:rPr>
          <w:rFonts w:ascii="Amiri" w:hAnsi="Amiri" w:eastAsia="Amiri" w:cs="Amiri"/>
          <w:color w:val="111111"/>
          <w:sz w:val="28"/>
          <w:sz w:val="28"/>
          <w:szCs w:val="28"/>
          <w:rtl w:val="true"/>
          <w:lang w:bidi="ar-SA"/>
        </w:rPr>
        <w:t>وبالعناوين الذاتية لها ، بل يتعلّق بعنوان الموصل بما هو كذلك ، كما هو محتمل</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وهو عنوان آخر غير عنوان ذات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فالولاية بعنوانها الذاتي لا تصير واجبة إذا توقّف واجب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التولية على أمر محرّم لا توجب حرمتها ، ولا تسري حرمة ذلك المحرّم إليها ؛ لعدم وجه للسراية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 الحرام ليست محرّمة لو فرضت كونها من مقدّماتها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عن الروايات الخاصّة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عرفت أ نّها من قبل الجائر محرّمة ، سواء كانت على محلّل أو محرّم بعنوان التصرّف في سلطان الغير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955426_2142443653"/>
      <w:bookmarkStart w:id="125" w:name="_Toc44"/>
      <w:bookmarkEnd w:id="124"/>
      <w:r>
        <w:rPr>
          <w:rtl w:val="true"/>
        </w:rPr>
        <w:t>في الروايات الدالّة على أنّ حرمة الولاية لأجل حرمة التصرّف في سلطان الإمام علیه السلام</w:t>
      </w:r>
      <w:bookmarkEnd w:id="125"/>
    </w:p>
    <w:p>
      <w:pPr>
        <w:pStyle w:val="BookText"/>
        <w:rPr/>
      </w:pPr>
      <w:r>
        <w:rPr>
          <w:rFonts w:ascii="Amiri" w:hAnsi="Amiri" w:eastAsia="Amiri" w:cs="Amiri"/>
          <w:color w:val="111111"/>
          <w:sz w:val="28"/>
          <w:sz w:val="28"/>
          <w:szCs w:val="28"/>
          <w:rtl w:val="true"/>
          <w:lang w:bidi="ar-SA"/>
        </w:rPr>
        <w:t xml:space="preserve">وأمّا الروايات فيظهر من بعضها أنّ حرمتها لما أشرنا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أبي حمزة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شيئاً أصابه من أعمال الظالمين فهو له حلال ، وما حرّمناه من ذلك فهو له حرام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بما حرّمناه ذكر بعض مصاديق ما يقابل الجملة الاُولى ، </w:t>
      </w:r>
    </w:p>
    <w:p>
      <w:pPr>
        <w:pStyle w:val="BookText"/>
        <w:rPr/>
      </w:pPr>
      <w:r>
        <w:rPr>
          <w:rFonts w:ascii="Amiri" w:hAnsi="Amiri" w:eastAsia="Amiri" w:cs="Amiri"/>
          <w:color w:val="111111"/>
          <w:sz w:val="28"/>
          <w:sz w:val="28"/>
          <w:szCs w:val="28"/>
          <w:rtl w:val="true"/>
          <w:lang w:bidi="ar-SA"/>
        </w:rPr>
        <w:t xml:space="preserve">لا إثبات قسم ثالث غير مذكور ، فيكون المراد ما لم نحلّل له فهو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ودلالتها على المطلوب مبنيّة على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من أعمالهم ،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المعنى أنّ كلّ ولاية أو نحوها أصابها ، موقوفة حلّيتها على تحليلنا ، فتدلّ على أنّ عدم الجواز في غير صورة التحليل ، بجهة التصرّف في سلطانهم ، ومع إجازتهم لا يكون التقلّد لها عدواناً فيحلّ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الأظهر أنّ المراد بالشيء الأموال التي أصابها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يحتمل أن يكون المراد منه ما يقع في يده من الزكوات والغنائم وخراج الأراضي الخراجية ، إلى غير ذلك ممّا يكون جمعها والتصرّف فيها مختصّاً بوالي الحقّ ، ويكون ولاة الجور ظالمين في الأخذ والإعطاء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على أنّ تجويزهم وتحليلهم لما أصابوا موجب للحلّية ؛ لأنّ تحليلهم إجازة لما أخذه من غير حقّ ، فيتعيّن زكاة وخراجاً بإجازتهم في هذا المقدار ؛ إذ إعطاء الزكاة والخراج لوالي الجور لا يوجب وقوعهما وتعيّنهما ، لكونه غاصباً ، ومع إجازة والي الحقّ يتعيّنان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 ما أخذه المتقلّد لولاية ، إجازة لما أخذه ،</w:t>
      </w:r>
    </w:p>
    <w:p>
      <w:pPr>
        <w:pStyle w:val="BookText"/>
        <w:rPr/>
      </w:pPr>
      <w:r>
        <w:rPr>
          <w:rFonts w:ascii="Amiri" w:hAnsi="Amiri" w:eastAsia="Amiri" w:cs="Amiri"/>
          <w:color w:val="111111"/>
          <w:sz w:val="28"/>
          <w:sz w:val="28"/>
          <w:szCs w:val="28"/>
          <w:rtl w:val="true"/>
          <w:lang w:bidi="ar-SA"/>
        </w:rPr>
        <w:t xml:space="preserve">فوقع زكاةً وخراجاً ، فحلّ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تدلّ بالملازمة على أنّ تصرّفاتهم وتقلّدهم للولاية محرّمة ؛ لأجل التصرّف في سلطان الغير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كان المراد من شيء أعمّ منها ومن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اختصاصه بالثاني لا وجه له ، لو لم نقل إنّ الظاهر اختصاصه بما تقدّم ؛ لظهور الحلّية بالتحليل في أ نّه يكون لصاحب الحقّ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وأظهر منها ما هي نظيرها عن الكشّي في رجاله عن أبي حمزة الثمالي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أحللنا 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الظالمين فهو له حلال ؛ لأنّ الأئمّة منّا مفوَّض إليهم ، فما أحلّوا فهو حلال ، وما حرّموا فهو حرام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 عن محمّد بن خالد الطيالسي ، عن ابن عميرة 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كما ترى ظاهرة في أنّ التحليل متعلّق بالأعمال وتقلّدها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p>
    <w:p>
      <w:pPr>
        <w:pStyle w:val="BookText"/>
        <w:rPr/>
      </w:pPr>
      <w:r>
        <w:rPr>
          <w:rFonts w:ascii="IRNazanin" w:hAnsi="IRNazanin" w:eastAsia="IRNazanin"/>
          <w:color w:val="111111"/>
          <w:sz w:val="28"/>
          <w:sz w:val="28"/>
          <w:szCs w:val="28"/>
          <w:rtl w:val="true"/>
          <w:lang w:bidi="fa-IR"/>
        </w:rPr>
        <w:t>بالتفويض تفويض السلطنة وشؤونها ، فيكون تحليلهم لحقّهم وأ نّهم علیهم السلام</w:t>
      </w:r>
    </w:p>
    <w:p>
      <w:pPr>
        <w:pStyle w:val="BookText"/>
        <w:rPr/>
      </w:pPr>
      <w:r>
        <w:rPr>
          <w:rFonts w:ascii="IRNazanin" w:hAnsi="IRNazanin" w:eastAsia="IRNazanin"/>
          <w:color w:val="111111"/>
          <w:sz w:val="28"/>
          <w:sz w:val="28"/>
          <w:szCs w:val="28"/>
          <w:rtl w:val="true"/>
          <w:lang w:bidi="fa-IR"/>
        </w:rPr>
        <w:t xml:space="preserve">سلطان من قبل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السيّد هبة اللّه معاصر العلاّمة عن صفوان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عبداللّه علیه السلام إذ دخل عليه رجل من الشيعة ، فشكا إليه الحاجة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التعرّض للسلطان فتدخل في بعض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حرّمتموه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خبّرني عن السلطان لنا أو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الداخلون علينا ، أم نحن الداخلون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الداخلون عليكم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هم قوم اضطرّوكم فدخلتم في بعض حقّكم </w:t>
      </w:r>
      <w:r>
        <w:rPr>
          <w:rFonts w:eastAsia="IRNazanin" w:cs="IRNazanin"/>
          <w:color w:val="111111"/>
          <w:sz w:val="28"/>
          <w:szCs w:val="28"/>
          <w:rtl w:val="true"/>
          <w:lang w:bidi="fa-IR"/>
        </w:rPr>
        <w:t>. .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 علیه السلام</w:t>
      </w:r>
    </w:p>
    <w:p>
      <w:pPr>
        <w:pStyle w:val="BookText"/>
        <w:rPr/>
      </w:pPr>
      <w:r>
        <w:rPr>
          <w:rFonts w:ascii="Amiri" w:hAnsi="Amiri" w:eastAsia="Amiri" w:cs="Amiri"/>
          <w:color w:val="111111"/>
          <w:sz w:val="28"/>
          <w:sz w:val="28"/>
          <w:szCs w:val="28"/>
          <w:rtl w:val="true"/>
          <w:lang w:bidi="ar-SA"/>
        </w:rPr>
        <w:t xml:space="preserve">عن الدخول في عمل السلطان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الداخلون عليكم ، أم أنتم الداخلون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هم الداخلون علينا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منهما جواز دخول الشيعة في أعمالهم ؛ لكونها حقّهم من قبل أئمّتهم علیهم السلام ، وأنّ ذلك نحو استنقاذ لحقّهم وحقّ أئمّتهم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إذن عامّ أو كاشف عنه للشيعة الإمامية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المطلوب رواية الحسن بن الحسين الأنباري ،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أربع عشرة سنة أستأذنه في عمل السلطان </w:t>
      </w:r>
      <w:r>
        <w:rPr>
          <w:rFonts w:eastAsia="IRNazanin" w:cs="IRNazanin"/>
          <w:color w:val="111111"/>
          <w:sz w:val="28"/>
          <w:szCs w:val="28"/>
          <w:rtl w:val="true"/>
          <w:lang w:bidi="fa-IR"/>
        </w:rPr>
        <w:t>. . .</w:t>
      </w:r>
      <w:r>
        <w:rPr>
          <w:rStyle w:val="FootnoteAnchor"/>
          <w:rtl w:val="true"/>
        </w:rPr>
        <w:footnoteReference w:id="469"/>
      </w:r>
      <w:r>
        <w:rPr>
          <w:rFonts w:ascii="Amiri" w:hAnsi="Amiri" w:eastAsia="Amiri" w:cs="Amiri"/>
          <w:color w:val="111111"/>
          <w:sz w:val="28"/>
          <w:sz w:val="28"/>
          <w:szCs w:val="28"/>
          <w:rtl w:val="true"/>
          <w:lang w:bidi="ar-SA"/>
        </w:rPr>
        <w:t xml:space="preserve">حيث إنّ الظاهر منها معهودية لزوم الإذن منهم وأ نّه مع عدم الإذن لا يجوز الدخول ومعه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للاستئذان فيما يكون محرّماً ذاتاً ، فلا بدّ وأن يكون محلّلاً</w:t>
      </w:r>
    </w:p>
    <w:p>
      <w:pPr>
        <w:pStyle w:val="BookText"/>
        <w:rPr/>
      </w:pPr>
      <w:r>
        <w:rPr>
          <w:rFonts w:ascii="IRNazanin" w:hAnsi="IRNazanin" w:eastAsia="IRNazanin"/>
          <w:color w:val="111111"/>
          <w:sz w:val="28"/>
          <w:sz w:val="28"/>
          <w:szCs w:val="28"/>
          <w:rtl w:val="true"/>
          <w:lang w:bidi="fa-IR"/>
        </w:rPr>
        <w:t xml:space="preserve">مع قطع النظر عن حقّهم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صديق من كتّاب بني اُميّة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بني اُميّة وجدوا لهم من يكتب ويجبي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الفيء ، ويقاتل عنهم ، ويشهد جماعتهم ، لما سلبونا حقّنا </w:t>
      </w:r>
      <w:r>
        <w:rPr>
          <w:rFonts w:eastAsia="Amiri" w:cs="Amiri" w:ascii="Amiri" w:hAnsi="Amiri"/>
          <w:color w:val="111111"/>
          <w:sz w:val="28"/>
          <w:szCs w:val="28"/>
          <w:rtl w:val="true"/>
          <w:lang w:bidi="ar-SA"/>
        </w:rPr>
        <w:t>.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26" w:name="pg15162_155460"/>
    </w:p>
    <w:p>
      <w:pPr>
        <w:pStyle w:val="BookText"/>
        <w:rPr/>
      </w:pPr>
      <w:bookmarkEnd w:id="126"/>
      <w:r>
        <w:rPr>
          <w:rFonts w:ascii="Amiri" w:hAnsi="Amiri" w:eastAsia="Amiri" w:cs="Amiri"/>
          <w:color w:val="111111"/>
          <w:sz w:val="28"/>
          <w:sz w:val="28"/>
          <w:szCs w:val="28"/>
          <w:rtl w:val="true"/>
          <w:lang w:bidi="ar-SA"/>
        </w:rPr>
        <w:t xml:space="preserve">والظاهر أنّ تعييرهم في الدخول في أعمالهم لأجل سلب حقّهم به ، وفيها إشعار بأنّ الولاية لهم وليس لغيرهم الدخول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احتمال آخر ، وهو أنّ الدخول في أعمالهم الموجب لشوكتهم وقوّتهم محرّم ، لا لكونه مقدّمة للحرام ، بل لتعلّق الحرمة عليه لتلك النكتة ، فكانت غير مربوطة بالروايات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الظاهر ممّا تقدّم أنّ عدم جواز التولية لأجل حرمة التصرّف في سلطانهم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طوائف اُخرى </w:t>
      </w:r>
      <w:r>
        <w:rPr>
          <w:rFonts w:eastAsia="IRNazanin" w:cs="IRNazanin"/>
          <w:color w:val="111111"/>
          <w:sz w:val="28"/>
          <w:szCs w:val="28"/>
          <w:rtl w:val="true"/>
          <w:lang w:bidi="fa-IR"/>
        </w:rPr>
        <w:t>:</w:t>
      </w:r>
    </w:p>
    <w:p>
      <w:pPr>
        <w:pStyle w:val="Heading3"/>
        <w:numPr>
          <w:ilvl w:val="2"/>
          <w:numId w:val="1"/>
        </w:numPr>
        <w:rPr/>
      </w:pPr>
      <w:bookmarkStart w:id="127" w:name="__RefHeading___Toc1955428_2142443653"/>
      <w:bookmarkStart w:id="128" w:name="_Toc45"/>
      <w:bookmarkEnd w:id="127"/>
      <w:r>
        <w:rPr>
          <w:rtl w:val="true"/>
        </w:rPr>
        <w:t>في الروايات الدالّة على حرمة الولاية ذاتاً</w:t>
      </w:r>
      <w:bookmarkEnd w:id="12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الحرمة الذاتية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الحلال من الولاية ، ولاية الوالي العادل الذي أمر اللّه بمعرفته وولايته والعمل له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فالولاية له ، والعمل معه ، ومعونته في ولايته ، وتقويته حلال محلّل ، وحلال الكسب معهم ، وذلك لأنّ في ولاية والي العدل وولاته ، إحياء كلّ حقّ وكلّ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وجه الحرام من الولاية ، فولاية الوالي الجائر ، وولاية ولاته ، الرئيس منهم وأتباع الوالي فمن دونه من ولاة الولاة إلى أدناهم باباً من أبواب الولاية على من هو والٍ عليه ، والعمل لهم والكسب معهم بجهة الولاية لهم حرام ومحرّم ، ومعذّب من فعل ذلك على قليل من فعله أو كثير ؛ لأنّ كلّ شيء من جهة المعونة له معصية كبيرة من الكبائر ، وذلك أنّ في ولاية </w:t>
      </w:r>
    </w:p>
    <w:p>
      <w:pPr>
        <w:pStyle w:val="BookText"/>
        <w:rPr/>
      </w:pPr>
      <w:r>
        <w:rPr>
          <w:rFonts w:ascii="Amiri" w:hAnsi="Amiri" w:eastAsia="Amiri" w:cs="Amiri"/>
          <w:color w:val="111111"/>
          <w:sz w:val="28"/>
          <w:sz w:val="28"/>
          <w:szCs w:val="28"/>
          <w:rtl w:val="true"/>
          <w:lang w:bidi="ar-SA"/>
        </w:rPr>
        <w:t xml:space="preserve">الوالي الجائر ، 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كلّه وإحياء الباطل كلّه ، وإظهار الظلم والجور والفساد ، وإبطال الكتب ، وقتل الأنبياء والمؤمنين ، وهدم المساجد ، وتبديل سنّة اللّه وشرائعه ، فلذلك حرم العمل معهم ، ومعونتهم ، والكسب معهم ، إلاّ بجهة الضرورة ، نظير الضرورة إلى الدم والميتة </w:t>
      </w:r>
      <w:r>
        <w:rPr>
          <w:rFonts w:eastAsia="Amiri" w:cs="Amiri" w:ascii="Amiri" w:hAnsi="Amiri"/>
          <w:color w:val="111111"/>
          <w:sz w:val="28"/>
          <w:szCs w:val="28"/>
          <w:rtl w:val="true"/>
          <w:lang w:bidi="ar-SA"/>
        </w:rPr>
        <w:t>. .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 نّها ظاهرة الدلالة على الحرمة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فيها من العلل علل للتشريع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المفاسد العظيمة مترتّبة على الولاية من قبل الجائر ، وأنّ الحكومات الجائرة الباطلة منشأ كلّ مفسدة ، حرّمها اللّه تعالى وحرّم الدخول فيها في أعمالهم والولاية من قبلهم ، وإلاّ فالمفاسد المذكورة لم تترتّب على كلّ ولاية ؛ ضرورة أنّ في عصر بني اُميّة وبني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نبي ، لكنّ المنظور بيان علّة التشريع كلّياً ، فدلالتها على الحرمة الذاتية</w:t>
      </w:r>
    </w:p>
    <w:p>
      <w:pPr>
        <w:pStyle w:val="BookText"/>
        <w:rPr/>
      </w:pPr>
      <w:r>
        <w:rPr>
          <w:rFonts w:ascii="Amiri" w:hAnsi="Amiri" w:eastAsia="Amiri" w:cs="Amiri"/>
          <w:color w:val="111111"/>
          <w:sz w:val="28"/>
          <w:sz w:val="28"/>
          <w:szCs w:val="28"/>
          <w:rtl w:val="true"/>
          <w:lang w:bidi="ar-SA"/>
        </w:rPr>
        <w:t xml:space="preserve">غير خفيّة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زياد بن أبي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علیه السلام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أسقط من حالق فأتقطّع قطعة قطعة ، أحبّ إليّ من أن أتولّى لأحد منهم عملاً أو أطأ بساط رجل منهم ، إلاّ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لتفريج كربة عن مؤمن ، أو فكّ أسره ، أو قضاء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 إنّ أهون ما يصنع اللّه عزّ وجلّ بمن تولّى لهم عملاً ، أن يضرب عليه سرادق من نار إلى أن يفرغ اللّه عزّ وجلّ من حساب الخلائق</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دلالتها على الحرمة الذاتية لأجل أنّ أبا الحسن علیه السلام مع كونه وليّ الأمر وصاحب الحقّ ، قال ما قال ، وعلّله بما ذكر ، واستثنى ما استثنى ، فلو كانت الحرمة للتصرّف في حقّهم فقط ، لما كان لذلك كلّه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وموثّقة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علیه السلام عن قوم من الشيعة يدخلون في أعمال السلطان ، يعملون لهم ويجبون لهم ويوالونهم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 من الشيعة ولكنّهم من اُولئك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قرأ أبو عبداللّه علیه 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إِسرائيلَ عَلى لِسانِ داوُدَ وَعِيسَى ابْنِ مَرْيَمَ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احتجّ اللّه على المؤمنين الموالين للكفّار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w:t>
      </w:r>
    </w:p>
    <w:p>
      <w:pPr>
        <w:pStyle w:val="BookText"/>
        <w:rPr/>
      </w:pPr>
      <w:r>
        <w:rPr>
          <w:rFonts w:ascii="Amiri" w:hAnsi="Amiri" w:eastAsia="Amiri" w:cs="Amiri"/>
          <w:color w:val="111111"/>
          <w:sz w:val="28"/>
          <w:sz w:val="28"/>
          <w:szCs w:val="28"/>
          <w:rtl w:val="true"/>
          <w:lang w:bidi="ar-SA"/>
        </w:rPr>
        <w:t>يَتَوَلّوْنَ الّذِينَ كَفَرُوا لَبِئْسَ ما قَدَّمَتْ لَهُمْ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فنهى اللّه عزّ وجلّ أن يوالي المؤمن الكافر إلاّ عند التقيّة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استثناء التقيّة أنّ المراد بالموالاة ليس المحبّة والوداد ، بل التولّي للاُمور والتصدّي لأعمالهم ، أو الأعمّ منه ومن الموالاة ظاهراً بإظهار المحبّة والوداد ، سيّما مع أنّ الظاهر من صدرها أنّ نفي التشيّع عن الجماعة ، ليس لخصوص الموالاة ، بل الظاهر أنّ من عمل لهم ودخل في أعمالهم ليس من الشيعة ويكون منهم ، ومعلوم أنّ هذا النفي والإثبات بوجه من التأويل ، وذلك لاشتراكهم حكماً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ودلالتها على الحرمة الذاتية واضحة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سليمان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أعمال السلطان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سليمان ، الدخول في أعمالهم ، والعون لهم ، والسعي في حوائجهم ، عديل الكفر </w:t>
      </w:r>
      <w:r>
        <w:rPr>
          <w:rFonts w:eastAsia="IRNazanin" w:cs="IRNazanin"/>
          <w:color w:val="111111"/>
          <w:sz w:val="28"/>
          <w:szCs w:val="28"/>
          <w:rtl w:val="true"/>
          <w:lang w:bidi="fa-IR"/>
        </w:rPr>
        <w:t>.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الثلاثة المذكورة محرّمة بعناوينها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تكون الحرمة في الدخول في أعمالهم لأجل التصرّف في سلطان الغير بعيد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القبيل الروايات المستفيضة عن الرضا علیه السلام حين سألوه عن وجه الدخول في ولاية العهد ، فأجاب بأنّ التقيّة أوجبت ذلك</w:t>
      </w:r>
      <w:r>
        <w:rPr>
          <w:rStyle w:val="FootnoteAnchor"/>
          <w:rtl w:val="true"/>
        </w:rPr>
        <w:footnoteReference w:id="477"/>
      </w:r>
      <w:r>
        <w:rPr>
          <w:rFonts w:ascii="Amiri" w:hAnsi="Amiri" w:eastAsia="Amiri" w:cs="Amiri"/>
          <w:color w:val="111111"/>
          <w:sz w:val="28"/>
          <w:sz w:val="28"/>
          <w:szCs w:val="28"/>
          <w:rtl w:val="true"/>
          <w:lang w:bidi="ar-SA"/>
        </w:rPr>
        <w:t>وإن يحتمل فيها أن يكون جوابه كذلك لحفظ قلوب المستضعفين الظانّين بأنّ الدخول فيها منافٍ للزهد ، كما يشعر به بعض الروايات</w:t>
      </w:r>
      <w:r>
        <w:rPr>
          <w:rStyle w:val="FootnoteAnchor"/>
          <w:rtl w:val="true"/>
        </w:rPr>
        <w:footnoteReference w:id="478"/>
      </w:r>
      <w:r>
        <w:rPr>
          <w:rFonts w:ascii="Amiri" w:hAnsi="Amiri" w:eastAsia="Amiri" w:cs="Amiri"/>
          <w:color w:val="111111"/>
          <w:sz w:val="28"/>
          <w:sz w:val="28"/>
          <w:szCs w:val="28"/>
          <w:rtl w:val="true"/>
          <w:lang w:bidi="ar-SA"/>
        </w:rPr>
        <w:t>أو لكون الدخول تقوية لسلطان الجور وتثبيت سلطانه ، فأجاب بما أجاب عليه الصلاة والسلام</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القبيل رواية ابن بنت الكاهلي وغيرها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سوّد اسمه </w:t>
      </w:r>
      <w:r>
        <w:rPr>
          <w:rFonts w:eastAsia="IRNazanin" w:cs="IRNazanin"/>
          <w:color w:val="111111"/>
          <w:sz w:val="28"/>
          <w:szCs w:val="28"/>
          <w:rtl w:val="true"/>
          <w:lang w:bidi="fa-IR"/>
        </w:rPr>
        <w:t>. .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129" w:name="pg15162_155464"/>
    </w:p>
    <w:p>
      <w:pPr>
        <w:pStyle w:val="BookText"/>
        <w:rPr/>
      </w:pPr>
      <w:bookmarkEnd w:id="129"/>
      <w:r>
        <w:rPr>
          <w:rFonts w:ascii="Amiri" w:hAnsi="Amiri" w:eastAsia="Amiri" w:cs="Amiri"/>
          <w:color w:val="111111"/>
          <w:sz w:val="28"/>
          <w:sz w:val="28"/>
          <w:szCs w:val="28"/>
          <w:rtl w:val="true"/>
          <w:lang w:bidi="ar-SA"/>
        </w:rPr>
        <w:t xml:space="preserve">والمراد الدخول في ديوانهم والتقلّد لأعمالهم أعمّ من التولية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منها أنّ الدخول والتقلّد محرّم بذاته ، لا أنّ الحرمة لانطباق عنوان محرّم</w:t>
      </w:r>
    </w:p>
    <w:p>
      <w:pPr>
        <w:pStyle w:val="BookText"/>
        <w:rPr/>
      </w:pPr>
      <w:r>
        <w:rPr>
          <w:rFonts w:ascii="Amiri" w:hAnsi="Amiri" w:eastAsia="Amiri" w:cs="Amiri"/>
          <w:color w:val="111111"/>
          <w:sz w:val="28"/>
          <w:sz w:val="28"/>
          <w:szCs w:val="28"/>
          <w:rtl w:val="true"/>
          <w:lang w:bidi="ar-SA"/>
        </w:rPr>
        <w:t xml:space="preserve">عليه كالتصرّف في سلطان الغير ، أو لأمر خارج كالابتلاء بالمحرّمات فيها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955430_2142443653"/>
      <w:bookmarkStart w:id="131" w:name="_Toc46"/>
      <w:bookmarkEnd w:id="130"/>
      <w:r>
        <w:rPr>
          <w:rtl w:val="true"/>
        </w:rPr>
        <w:t>في الروايات الدالّة على أنّ الحرمة لأمر خارج</w:t>
      </w:r>
      <w:bookmarkEnd w:id="13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 الحرمة لأمر خارج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أعمالهم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 لا ، ولا مدّة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أحدكم لا يصيب من دنياهم شيئاً إلاّ أصابوا من</w:t>
      </w:r>
    </w:p>
    <w:p>
      <w:pPr>
        <w:pStyle w:val="BookText"/>
        <w:rPr/>
      </w:pPr>
      <w:r>
        <w:rPr>
          <w:rFonts w:ascii="Amiri" w:hAnsi="Amiri" w:eastAsia="Amiri" w:cs="Amiri"/>
          <w:color w:val="111111"/>
          <w:sz w:val="28"/>
          <w:sz w:val="28"/>
          <w:szCs w:val="28"/>
          <w:rtl w:val="true"/>
          <w:lang w:bidi="ar-SA"/>
        </w:rPr>
        <w:t>دينه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يصيبوا من دينه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الوهم من ابن أبي عمير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النهي عن الدخول في أعمالهم للإرشاد إلى حفظ دينهم ، وأنّ الدخول فيها والإصابة من دنياهم ملازم لإصابتهم من دينه ، إمّا لملازمته للمعصية نوعاً ، أو لإرجاع الاُمور المحرّمة إليه ، أو لحصول المحبّة والوداد لهم قهراً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رواية جهم 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تغشى سلطان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بديني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عزمت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سلم لك دينك</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32" w:name="pg15162_155465"/>
    </w:p>
    <w:p>
      <w:pPr>
        <w:pStyle w:val="BookText"/>
        <w:rPr/>
      </w:pPr>
      <w:bookmarkEnd w:id="132"/>
      <w:r>
        <w:rPr>
          <w:rFonts w:ascii="IRNazanin" w:hAnsi="IRNazanin" w:eastAsia="IRNazanin"/>
          <w:color w:val="111111"/>
          <w:sz w:val="28"/>
          <w:sz w:val="28"/>
          <w:szCs w:val="28"/>
          <w:rtl w:val="true"/>
          <w:lang w:bidi="fa-IR"/>
        </w:rPr>
        <w:t xml:space="preserve">ورواية داود بن زربي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مولى لعلي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بالكوفة فقدم أبو عبداللّه علیه السلام الحيرة فأتيته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لو كلّمت</w:t>
      </w:r>
    </w:p>
    <w:p>
      <w:pPr>
        <w:pStyle w:val="BookText"/>
        <w:rPr/>
      </w:pPr>
      <w:r>
        <w:rPr>
          <w:rFonts w:ascii="Amiri" w:hAnsi="Amiri" w:eastAsia="Amiri" w:cs="Amiri"/>
          <w:color w:val="111111"/>
          <w:sz w:val="28"/>
          <w:sz w:val="28"/>
          <w:szCs w:val="28"/>
          <w:rtl w:val="true"/>
          <w:lang w:bidi="ar-SA"/>
        </w:rPr>
        <w:t xml:space="preserve">داود بن علي أو بعض هؤلاء ، فأدخل في بعض هذه الولايات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ظننت أ نّك إنّما كرهت ذلك مخافة أن أجور وأظلم ، وإنّ كلّ امرأة لي طالق ، وكلّ مملوك لي حرّ ، وعليّ وعليّ إن ظلمت أحداً أو جرت عليه وإن لم 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الأيمان ، فرفع رأسه إلى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أ نّه أيسر من العدل ، كما هو الأرجح ، فتكون دالّة أو مشعرة بالمطلوب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55432_2142443653"/>
      <w:bookmarkStart w:id="134" w:name="_Toc47"/>
      <w:bookmarkEnd w:id="133"/>
      <w:r>
        <w:rPr>
          <w:rtl w:val="true"/>
        </w:rPr>
        <w:t>في الروايات الظاهرة في الحرمة بلا عنوان</w:t>
      </w:r>
      <w:bookmarkEnd w:id="13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في الحرمة بلا عنوان ، وإن لا يبعد دعوى دلالتها على الحرمة ذاتاً ، فتكون من الطائفة السالفة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الوليد بن صبيح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فاستقبلني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خارجاً من عنده ، فقال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وليد ، أما تعجب من زرارة ؟ سألني عن أعمال هؤلاء ، أيّ شيء كان يريد ؟ أيريد أن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فيروي</w:t>
      </w:r>
      <w:r>
        <w:rPr>
          <w:rStyle w:val="FootnoteAnchor"/>
          <w:rtl w:val="true"/>
        </w:rPr>
        <w:footnoteReference w:id="484"/>
      </w:r>
      <w:r>
        <w:rPr>
          <w:rFonts w:ascii="Amiri" w:hAnsi="Amiri" w:eastAsia="Amiri" w:cs="Amiri"/>
          <w:color w:val="111111"/>
          <w:sz w:val="28"/>
          <w:sz w:val="28"/>
          <w:szCs w:val="28"/>
          <w:rtl w:val="true"/>
          <w:lang w:bidi="ar-SA"/>
        </w:rPr>
        <w:t>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وليد ، متى كانت الشيعة تسأل عن أعمالهم ؟ </w:t>
      </w:r>
    </w:p>
    <w:p>
      <w:pPr>
        <w:pStyle w:val="BookText"/>
        <w:rPr/>
      </w:pPr>
      <w:r>
        <w:rPr>
          <w:rFonts w:ascii="Amiri" w:hAnsi="Amiri" w:eastAsia="Amiri" w:cs="Amiri"/>
          <w:color w:val="111111"/>
          <w:sz w:val="28"/>
          <w:sz w:val="28"/>
          <w:szCs w:val="28"/>
          <w:rtl w:val="true"/>
          <w:lang w:bidi="ar-SA"/>
        </w:rPr>
        <w:t xml:space="preserve">إنّما كانت 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طعامهم ويشرب من شرابهم ، ويستظلّ</w:t>
      </w:r>
    </w:p>
    <w:p>
      <w:pPr>
        <w:pStyle w:val="BookText"/>
        <w:rPr/>
      </w:pPr>
      <w:r>
        <w:rPr>
          <w:rFonts w:ascii="Amiri" w:hAnsi="Amiri" w:eastAsia="Amiri" w:cs="Amiri"/>
          <w:color w:val="111111"/>
          <w:sz w:val="28"/>
          <w:sz w:val="28"/>
          <w:szCs w:val="28"/>
          <w:rtl w:val="true"/>
          <w:lang w:bidi="ar-SA"/>
        </w:rPr>
        <w:t>بظلّهم ، متى كانت الشيعة تسأل عن هذا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يحيى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يقرؤك السلام ، وفلان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يسألونك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حبسهم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 وما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استعملهم فحبسهم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 وما له ؟ ألم أنههم ؟ ألم أنههم ؟ ألم أنههم ؟ هم النار ، هم النار ، 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اجدع عنهم سلطانهم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فسألنا عنهم ، فإذا قد اُخرجوا بعد الكلام ، بثلاثة أيّام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المنافاة بين الأخبار</w:t>
      </w:r>
    </w:p>
    <w:p>
      <w:pPr>
        <w:pStyle w:val="BookText"/>
        <w:rPr/>
      </w:pPr>
      <w:r>
        <w:rPr>
          <w:rFonts w:ascii="Amiri" w:hAnsi="Amiri" w:eastAsia="Amiri" w:cs="Amiri"/>
          <w:color w:val="111111"/>
          <w:sz w:val="28"/>
          <w:sz w:val="28"/>
          <w:szCs w:val="28"/>
          <w:rtl w:val="true"/>
          <w:lang w:bidi="ar-SA"/>
        </w:rPr>
        <w:t xml:space="preserve">ثمّ إنّ هذه الطوائف لا منافاة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الأخيرة مع ما دلّت على الحرمة الذاتية فواضح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ما دلّت على الحرمة لأجل التصرّف في سلطانهم ، فلعدم المنافاة بين حرمتها ذاتاً ومن حيث التصرّف المذكور ، فإنّهما عنوانان مختلفان في محطّ تعلّق الحكم ومتّحدان خارجاً ، فلكلٍّ حكم مستقلّ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أحللنا له شيئاً من أعمال الظالمين فهو حلال</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لا دلالة له على عدم الحرمة ذاتاً للولاية ، ولا على تحليلهم ما حرّمه اللّه تعالى ذاتاً أو جواز ذلك</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كان في التحريم الذاتي استثناء كما سيأتي إن شاء اللّه ، يكون في مورد الاستثناء منه أيضاً احتياج إلى تحليلهم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الحلّية الشرعية الذاتية الأوّلية</w:t>
      </w:r>
    </w:p>
    <w:p>
      <w:pPr>
        <w:pStyle w:val="BookText"/>
        <w:rPr/>
      </w:pPr>
      <w:r>
        <w:rPr>
          <w:rFonts w:ascii="Amiri" w:hAnsi="Amiri" w:eastAsia="Amiri" w:cs="Amiri"/>
          <w:color w:val="111111"/>
          <w:sz w:val="28"/>
          <w:sz w:val="28"/>
          <w:szCs w:val="28"/>
          <w:rtl w:val="true"/>
          <w:lang w:bidi="ar-SA"/>
        </w:rPr>
        <w:t xml:space="preserve">لا تنافي الحرمة من حيث الغصب أو التصرّف في حقّ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أحللنا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يتعرّض لمورد التحليل ولا لجوازه مطلقاً ، ومعلوم أ نّهم لا يحلّلون ما حرّمه اللّه تعالى ، لكن في مورد تحليل اللّه لا تحلّ إلاّ بإذنهم ورضاهم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منافاة بين تلك الطائفة ، وبين ما دلّت على الحرمة الذاتية أو على الحرمة بلا 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ما تقدّمت ممّا دلّت على استئذانهم في الدخول الظاهر منه أ نّه محلّل ، مع قطع النظر عن الاستئذان منهم ، فمحمول على الاستئذان في مورد الاستثناء عن الحرمة ذاتاً ، كما تشعر أو تدلّ عليه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أ نّه لا إطلاق فيها يشمل مطلق التولّي والتقلّد ، فإذاً لا منافاة بينهما بوجه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بينها وبين ما تشعر أو تدلّ على الإرشاد ، فإنّ غاية ما فيها عدم الدلالة على الحرمة ذاتاً لا الدلالة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فيها إشعار به فلا يقاوم ظهور غيرها ، كما لا يخفى </w:t>
      </w:r>
      <w:r>
        <w:rPr>
          <w:rFonts w:eastAsia="Amiri" w:cs="Amiri" w:ascii="Amiri" w:hAnsi="Amiri"/>
          <w:color w:val="111111"/>
          <w:sz w:val="28"/>
          <w:szCs w:val="28"/>
          <w:rtl w:val="true"/>
          <w:lang w:bidi="ar-SA"/>
        </w:rPr>
        <w:t xml:space="preserve">. </w:t>
      </w:r>
      <w:bookmarkStart w:id="135" w:name="pg15162_155468"/>
    </w:p>
    <w:p>
      <w:pPr>
        <w:pStyle w:val="BookText"/>
        <w:rPr/>
      </w:pPr>
      <w:bookmarkEnd w:id="135"/>
      <w:r>
        <w:rPr>
          <w:rFonts w:ascii="Amiri" w:hAnsi="Amiri" w:eastAsia="Amiri" w:cs="Amiri"/>
          <w:color w:val="111111"/>
          <w:sz w:val="28"/>
          <w:sz w:val="28"/>
          <w:szCs w:val="28"/>
          <w:rtl w:val="true"/>
          <w:lang w:bidi="ar-SA"/>
        </w:rPr>
        <w:t xml:space="preserve">فتحصّل من جميع ذلك أنّ ما هو من قبيل المناصب والولايات وأمثالهما تحرم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بعنوان التصرّف العدواني ، وثانيهما بعنوانها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يكون كذلك ؛ أي ليس من المناصب وشؤون السلطنة والحكومة ، تحرم فيما تحرم بجهة واحدة ، وهي الدخول في أعمال السلطان ، وقد تقدّم المراد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تنطبق عليه عناوين اُخر ، كإعانة الظالم في ظلمه ، وتقوية شوكة الظالمين ونحوهما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955434_2142443653"/>
      <w:bookmarkStart w:id="137" w:name="_Toc48"/>
      <w:bookmarkEnd w:id="136"/>
      <w:r>
        <w:rPr>
          <w:rtl w:val="true"/>
        </w:rPr>
        <w:t>مسوّغات الولاية من قبل الجائر</w:t>
      </w:r>
      <w:bookmarkEnd w:id="137"/>
    </w:p>
    <w:p>
      <w:pPr>
        <w:pStyle w:val="BookText"/>
        <w:rPr/>
      </w:pPr>
      <w:r>
        <w:rPr>
          <w:rFonts w:ascii="Amiri" w:hAnsi="Amiri" w:eastAsia="Amiri" w:cs="Amiri"/>
          <w:color w:val="111111"/>
          <w:sz w:val="28"/>
          <w:sz w:val="28"/>
          <w:szCs w:val="28"/>
          <w:rtl w:val="true"/>
          <w:lang w:bidi="ar-SA"/>
        </w:rPr>
        <w:t xml:space="preserve">ثمّ إنّه يسوّغ الدخول في أعمالهم أمران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955436_2142443653"/>
      <w:bookmarkStart w:id="139" w:name="_Toc49"/>
      <w:bookmarkEnd w:id="138"/>
      <w:r>
        <w:rPr>
          <w:rtl w:val="true"/>
        </w:rPr>
        <w:t xml:space="preserve">الأمر الأوّل </w:t>
      </w:r>
      <w:r>
        <w:rPr>
          <w:rtl w:val="true"/>
        </w:rPr>
        <w:t xml:space="preserve">: </w:t>
      </w:r>
      <w:r>
        <w:rPr>
          <w:rtl w:val="true"/>
        </w:rPr>
        <w:t>القيام بمصالح العباد</w:t>
      </w:r>
      <w:bookmarkEnd w:id="139"/>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عليه الإجماع وعدم الخلاف</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الشيخ الأنصاري بأنّ الولاية إن كانت محرّمة لذاتها كان ارتكابها لأجل المصالح ودفع المفاسد التي هي أهمّ من مفسدة انسلاك الشخص في أعوان الظلمة بحسب الظاهر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الاستدلال أخصّ من المدّعى ، فإنّ المدّعى جواز الدخول والتولية لمصلحة ولو راجحة ، كما هو مورد دلالة الأخبار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المدّعى استثناء المورد عن الحرمة ، كما اعترف به وتدلّ عليه </w:t>
      </w:r>
      <w:bookmarkStart w:id="140" w:name="pg15162_155469"/>
    </w:p>
    <w:p>
      <w:pPr>
        <w:pStyle w:val="BookText"/>
        <w:rPr/>
      </w:pPr>
      <w:bookmarkEnd w:id="140"/>
      <w:r>
        <w:rPr>
          <w:rFonts w:ascii="Amiri" w:hAnsi="Amiri" w:eastAsia="Amiri" w:cs="Amiri"/>
          <w:color w:val="111111"/>
          <w:sz w:val="28"/>
          <w:sz w:val="28"/>
          <w:szCs w:val="28"/>
          <w:rtl w:val="true"/>
          <w:lang w:bidi="ar-SA"/>
        </w:rPr>
        <w:t xml:space="preserve">الأخبار ، لا من باب ترجيح أحد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آل الأمر إلى مزاحمة المقتضيات ، فقلّما يمكن إحراز أهمّية الدخول في الولاية المحرّمة من جهتين ، بل قد تنطبق عليه عناوين محرّمة اُخر كتقوية شوكة الظالمين والإعانة للخلفاء الغاصبين ، إن قلنا بأنّ مطلق إعانتهم ولو في غير ظلمهم محرّمة كما سبق الكلام فيه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يمكن ترجيح مقتضيات المصالح ودفع المفاسد على مقتضياتها إلاّ نادراً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955438_2142443653"/>
      <w:bookmarkStart w:id="142" w:name="_Toc50"/>
      <w:bookmarkEnd w:id="141"/>
      <w:r>
        <w:rPr>
          <w:rtl w:val="true"/>
        </w:rPr>
        <w:t>ذكر الروايات في المسألة</w:t>
      </w:r>
      <w:bookmarkEnd w:id="142"/>
    </w:p>
    <w:p>
      <w:pPr>
        <w:pStyle w:val="BookText"/>
        <w:rPr/>
      </w:pPr>
      <w:r>
        <w:rPr>
          <w:rFonts w:ascii="Amiri" w:hAnsi="Amiri" w:eastAsia="Amiri" w:cs="Amiri"/>
          <w:color w:val="111111"/>
          <w:sz w:val="28"/>
          <w:sz w:val="28"/>
          <w:szCs w:val="28"/>
          <w:rtl w:val="true"/>
          <w:lang w:bidi="ar-SA"/>
        </w:rPr>
        <w:t xml:space="preserve">فالأولى التمسّك للمطلوب بالروايات الكثيرة الواردة في هذا المضمار ، وبيان مقدار دلالتها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رجل مسلم وهو في ديوان هؤلاء ، وهو يحبّ آل محمّد رحمهما اللّه ويخرج مع هؤلاء في بعثهم ، فيقتل تحت رايتهم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يبعثه اللّه على نيّته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مسكين خدمهم رجاء أن يصيب معهم شيئاً فيغنيه اللّه به ، فمات في بعثهم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الأجير ، إنّه إنّما يعطي اللّه العباد على نيّاتهم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وأرسل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نحو الفقرة الاُولى منها </w:t>
      </w:r>
      <w:r>
        <w:rPr>
          <w:rStyle w:val="FootnoteAnchor"/>
          <w:rtl w:val="true"/>
        </w:rPr>
        <w:footnoteReference w:id="49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منهما أنّ الدخول في ديوانهم والخروج معهم في غزوهم حرمةً وحلّيةً تابعان لنيّة الشخص ، فإن كان في نيّته الدخول للصلاح يحلّ ، وإن كان لغيره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يمكن استفادة الحلّية زائدة على مورد نيّة القيام بصلاح العباد ، سيّما مع ذيل الاُولى ، وإن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شبهة في دلالتهما على أنّ الدخول بنيّة القيام بمصالح العباد أو الإسلام جائز ، فهما مع صحّة اُولاهما سنداً لا خدشة في دلالتهما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الظاهر منهما أنّ الجواز فعلي لا حيثي ، فتدلاّن على أ نّه مع خلوص نيّة الصلاح كما يجوز شرعاً بالعنوان الأوّلي ويستثنى من المحرّم الذاتي الإلهي ، يكون الإمام علیه السلام راضياً بدخوله كذلك ، فيكشف منهما الرضا في كلّ مورد كذائي والإذن العامّ لمن دخل كذلك ، فيحلّ فعلاً ومن الحيثين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الحسن علي بن محمّد علیه السلام أنّ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كتب إليه يسأله عن العمل لبني العبّاس وأخذ ما يتمكّن من أموالهم ، هل فيه رخصة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المدخل فيه بالجبر والقهر ، فاللّه قابل العذر ، وما خلا ذلك فمكروه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إليه في جواب ذلك اُعلمه أنّ مذهبي في الدخول في أمرهم وجود السبيل إلى إدخال المكروه على عدوّه وانبساط اليد في التشفّي منهم بشيء أتقرّب به إليهم ، فأجاب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ذلك فليس مدخله في العمل حراماً ، بل أجراً وثواباً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زياد بن أبي سلمة ، عن أبي الحسن موسى علیه السلام</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 لئن أسقط من حالق فأتقطّع قطعة قطعة ، أحبّ إليّ من أن أتولّى لأحد منهم عملاً أو أطأ بساط رجل منهم إلاّ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لتفريج كربة عن مؤمن ، أو فكّ أسره ، أو قضاء دينه </w:t>
      </w:r>
      <w:r>
        <w:rPr>
          <w:rFonts w:eastAsia="Amiri" w:cs="Amiri" w:ascii="Amiri" w:hAnsi="Amiri"/>
          <w:color w:val="111111"/>
          <w:sz w:val="28"/>
          <w:szCs w:val="28"/>
          <w:rtl w:val="true"/>
          <w:lang w:bidi="ar-SA"/>
        </w:rPr>
        <w:t>.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وإن كانت متعرّضة لجواز دخوله علیه السلام لتلك الغايات ، لكنّ الظاهر أنّ ذلك لبيان مورد الجواز حتّى يستفيد منه السامع ، لا لبيان اختصاص الجواز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منها أيضاً الإذن العامّ والرضا المطلق للدخول في حقّهم مضافاً إلى الجواز شرعاً وذاتاً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يونس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لأبي عبداللّه علیه السلام</w:t>
      </w:r>
    </w:p>
    <w:p>
      <w:pPr>
        <w:pStyle w:val="BookText"/>
        <w:rPr/>
      </w:pPr>
      <w:r>
        <w:rPr>
          <w:rFonts w:ascii="Amiri" w:hAnsi="Amiri" w:eastAsia="Amiri" w:cs="Amiri"/>
          <w:color w:val="111111"/>
          <w:sz w:val="28"/>
          <w:sz w:val="28"/>
          <w:szCs w:val="28"/>
          <w:rtl w:val="true"/>
          <w:lang w:bidi="ar-SA"/>
        </w:rPr>
        <w:t xml:space="preserve">من يقول بهذا الأمر ممّن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ولّوكم يدخلون عليكم المرفق وينفعونكم في حوائجكم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يفعل ذلك ومنهم من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يفعل ذلك منهم فابرأوا منه برئ اللّه منه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استفصاله وتخصيص البراءة بمن لم يفعل ، دالّ على أنّ من يفعل لا يكون بهذه المثابة ، فيدلّ على الجواز ذاتاً ، وعلى الإذن العامّ بما مرّ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علي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مواليك يدخلون في عمل السلطان ، ولا يؤثرون </w:t>
      </w:r>
    </w:p>
    <w:p>
      <w:pPr>
        <w:pStyle w:val="BookText"/>
        <w:rPr/>
      </w:pPr>
      <w:r>
        <w:rPr>
          <w:rFonts w:ascii="Amiri" w:hAnsi="Amiri" w:eastAsia="Amiri" w:cs="Amiri"/>
          <w:color w:val="111111"/>
          <w:sz w:val="28"/>
          <w:sz w:val="28"/>
          <w:szCs w:val="28"/>
          <w:rtl w:val="true"/>
          <w:lang w:bidi="ar-SA"/>
        </w:rPr>
        <w:t xml:space="preserve">على إخوانهم ، وإن نابت أحداً من مواليك نائبة قاموا ؟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المؤمنون حقّاً ، عليهم مغفرة من ربّهم ورحمة ، واُولئك هم المهتدون</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اُخرى عنه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الجارود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من عمل السلطان والدخول معهم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إذا وصلت إخوانك ، وعضدت أهل ولايتك</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الوليد بن صبيح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 اسمه في ديوان</w:t>
      </w:r>
    </w:p>
    <w:p>
      <w:pPr>
        <w:pStyle w:val="BookText"/>
        <w:rPr/>
      </w:pPr>
      <w:r>
        <w:rPr>
          <w:rFonts w:ascii="Amiri" w:hAnsi="Amiri" w:eastAsia="Amiri" w:cs="Amiri"/>
          <w:color w:val="111111"/>
          <w:sz w:val="28"/>
          <w:sz w:val="28"/>
          <w:szCs w:val="28"/>
          <w:rtl w:val="true"/>
          <w:lang w:bidi="ar-SA"/>
        </w:rPr>
        <w:t>بني شيصبان ، حشره اللّه يوم القيامة مسوّداً وجهه ، إلاّ من دخل في أمرهم على معرفة وبصيرة ، وينوي الإحسان إلى أهل ولايته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سنان 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من عمل السلطان ، والدخول معهم ، وما عليهم فيما هم فيه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واسى إخوانه ، وأنصف المظلوم ، وأغاث الملهوف من أهل ولايته</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رجال الكشّي في ترجمة محمّد بن إسماعيل بن بزيع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بأبواب الظالمين من نوّر اللّه له البرهان ، ومكّن له في البلاد ، ليدفع بهم عن أوليائه ويصلح اللّه به اُمور المسلمين ، إليهم</w:t>
      </w:r>
    </w:p>
    <w:p>
      <w:pPr>
        <w:pStyle w:val="BookText"/>
        <w:rPr/>
      </w:pPr>
      <w:r>
        <w:rPr>
          <w:rFonts w:ascii="Amiri" w:hAnsi="Amiri" w:eastAsia="Amiri" w:cs="Amiri"/>
          <w:color w:val="111111"/>
          <w:sz w:val="28"/>
          <w:sz w:val="28"/>
          <w:szCs w:val="28"/>
          <w:rtl w:val="true"/>
          <w:lang w:bidi="ar-SA"/>
        </w:rPr>
        <w:t>ملجأ المؤمنين من الضرر ، إليهم يفزع ذو الحاجة من شيعتنا ، وبهم يؤمن اللّه روعة المؤمنين في دار الظلمة ، اُولئك هم المؤمنون حقّاً ، اُولئك اُمناء اللّه في</w:t>
      </w:r>
    </w:p>
    <w:p>
      <w:pPr>
        <w:pStyle w:val="BookText"/>
        <w:rPr/>
      </w:pP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فهنيئاً لهم ، ما على أحدكم أن لو شاء لنال 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جعلني اللّه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 فكن منهم يا محمّد</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ذيلها الترغيب في دخول شيعته في أعمالهم لهذا المقصد وحمله على أ نّه لو كان معهم لفعل كذا خلاف الظاهر جدّاً ، مع أنّ تقريره لكونهم معهم على الفرض كافٍ في المطلوب ، سيّما مع هذه التوصيفات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وما هي نظيره لا دلالة فيها على جواز الدخول ؛ لأ نّه إخبار عن وجود أمثال هؤلاء في ديوانهم وأبوابهم ، ولعلّه كان دخولهم إجباراً وقهراً أو تقيّةً واضطراراً ، فالعمدة دلالة ذيلها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منهم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لترغيبه بالإحسان إلى الشيعة لو كان ذلك في زمان تقلّده عملهم ، ويحتمل أن يكون صدوره في زمان لم يكن متقلّداً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احتمال كون المذكورين في رواية محمّد بن إسماعيل ونظائرها من غير المتقلّدين لأمرهم ، بل من أشراف البلد الذين لهم ذهاب وإياب في أبوابهم</w:t>
      </w:r>
      <w:r>
        <w:rPr>
          <w:rStyle w:val="FootnoteAnchor"/>
          <w:rtl w:val="true"/>
        </w:rPr>
        <w:footnoteReference w:id="502"/>
      </w:r>
      <w:r>
        <w:rPr>
          <w:rFonts w:ascii="Amiri" w:hAnsi="Amiri" w:eastAsia="Amiri" w:cs="Amiri"/>
          <w:color w:val="111111"/>
          <w:sz w:val="28"/>
          <w:sz w:val="28"/>
          <w:szCs w:val="28"/>
          <w:rtl w:val="true"/>
          <w:lang w:bidi="ar-SA"/>
        </w:rPr>
        <w:t xml:space="preserve">، فهو خلاف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ومكّن له في البلاد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بل خلاف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بأبواب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سيّما مع كون الراوي لها مثل محمّد بن إسماعيل ولبعضها علي بن يقطين ، وهما متقلّدان لأعمالهم ، ولعلّها صادرة لترغيبهم في البقاء على بابهم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له رواية محمّد بن عيسى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يقطين إلى أبي الحسن علیه السلام في الخروج من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أرى لك الخروج من عمل السلطان ، فإنّ للّه عزّ وجلّ بأبواب الجبابرة من يدفع بهم عن أوليائه ، وهم عتقاؤه من النار ، فاتّق اللّه في إخوانك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كما قال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يظهر المراد من قوله في رواية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بأبواب الظالمين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فهذه جملة من الروايات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جملة وافرة اُخرى متوافقة المضمون دالّة على جواز الدخول في أعمالهم لإصلاح حال المؤمنين والقيام بمصالحهم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وتظافرها وكثرتها أغنانا عن النظر إلى الأسناد والمصادر ؛ للوثوق والاطمئنان بصدور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فيها صحيحة الحلبي المتقدّمة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وصحيحة علي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بن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مع السلطان أولياء يدفع بهم عن أوليائه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قوله ذلك لترغيبه في بقائه على شغله ، كما تشهد به مضافاً إلى</w:t>
      </w:r>
    </w:p>
    <w:p>
      <w:pPr>
        <w:pStyle w:val="BookText"/>
        <w:rPr/>
      </w:pPr>
      <w:r>
        <w:rPr>
          <w:rFonts w:ascii="IRNazanin" w:hAnsi="IRNazanin" w:eastAsia="IRNazanin"/>
          <w:color w:val="111111"/>
          <w:sz w:val="28"/>
          <w:sz w:val="28"/>
          <w:szCs w:val="28"/>
          <w:rtl w:val="true"/>
          <w:lang w:bidi="fa-IR"/>
        </w:rPr>
        <w:t xml:space="preserve">رواية محمّد بن عيسى المتقدّمة روايته الاُخرى ، أ نّه كتب إلى أبي الحسن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قلبي يضيق ممّا أنا عليه من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وزيراً لهارون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أذنت جعلني اللّه فداك هربت منه ؟ فرجع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آذن لك بالخروج من عملهم ، واتّق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كما قال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التقيّة بعيد ولو بملاحظة سائر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الحسين بن زيد عن الصادق علیه السلام في مناهي رسول اللّه رحمهما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عرافة قوم اُتي به يوم القيامة ويداه مغلولتان إلى عنقه ، فإن قام فيهم بأمر اللّه عزّ وجلّ أطلقه اللّه ، وإن كان ظالماً</w:t>
      </w:r>
    </w:p>
    <w:p>
      <w:pPr>
        <w:pStyle w:val="BookText"/>
        <w:rPr/>
      </w:pPr>
      <w:r>
        <w:rPr>
          <w:rFonts w:ascii="Amiri" w:hAnsi="Amiri" w:eastAsia="Amiri" w:cs="Amiri"/>
          <w:color w:val="111111"/>
          <w:sz w:val="28"/>
          <w:sz w:val="28"/>
          <w:szCs w:val="28"/>
          <w:rtl w:val="true"/>
          <w:lang w:bidi="ar-SA"/>
        </w:rPr>
        <w:t>هوى به في نار جهنّم وبئس المصير</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تدلّ على المقصود ؛ لأ نّها بصدد بيان التحذير عن الدخول في الرئاسة </w:t>
      </w:r>
    </w:p>
    <w:p>
      <w:pPr>
        <w:pStyle w:val="BookText"/>
        <w:rPr/>
      </w:pPr>
      <w:r>
        <w:rPr>
          <w:rFonts w:ascii="Amiri" w:hAnsi="Amiri" w:eastAsia="Amiri" w:cs="Amiri"/>
          <w:color w:val="111111"/>
          <w:sz w:val="28"/>
          <w:sz w:val="28"/>
          <w:szCs w:val="28"/>
          <w:rtl w:val="true"/>
          <w:lang w:bidi="ar-SA"/>
        </w:rPr>
        <w:t xml:space="preserve">حتّى مثل رئاسة قبيلة ، لا في مقام بيان جواز الرئاسة فضلاً عن الرئاسة من قبلهم حتّى يؤخذ بإطلاقها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في مقام بيان أنّ الرئيس إن كان عادلاً فكذا ، وإن كان ظالماً فكذا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إن كان عادلاً يجوز حكمه وقضاؤه ، وإن كان فاسقاً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تعرّض له لجواز تحصيل العلم ولا يجوز التمسّك بإطلاقه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روايات ربما يقال بالتعارض بينها في نفسها ، وبينها وبين الروايات المتقدّمة المجوّزة للدخول في أعمالهم لغرض القيام بمصالح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حرم العمل معهم ومعونتهم ، والكسب معهم إلاّ بجهة الضرورة نظير الضرورة إلى الدم والميتة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بملاحظة التنظير ، الضرورة في المعاش ، لا الاضطرار في الدخول للخوف منهم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فتكون نحو موثّقة عمّار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أعمال السلطان يخرج فيه الرجل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 لا يقدر على شيء يأكل ولا يشرب ، ولا يقدر على حيلة ، فإن فعل فصار في يده شيء فليبعث بخمسه إلى أهل البيت</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وظاهرهما عدم جواز الدخول إلاّ عند الاضطرار في المعاش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إدريس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المدخل فيه بالجبر والقهر فاللّه قابل العذر ، وما خلا ذلك فمكروه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والمراد بالمكروه المحرّم بلا ريب بقرينة المقام وبقرينة ذيلها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تدلّ على عدم الجواز إلاّ في مورد القهر والجبر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موثّقة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علیه السلام عن قوم من الشيعة يدخلون في أعمال السلطان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فنهى اللّه عزّ وجلّ أن يوالي المؤمن الكافر إلاّ عند التقيّة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رواية علي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أعمال هؤلاء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 بدّ فاعلاً فاتّق أموال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علي أ نّه كان يجبيها من الشيعة علانيةً ويردّها عليهم في السرّ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الموالاة في الاُولى بمعنى النصر والدخول في أعمالهم ، وعلى أنّ المراد باللابدّية في الثانية كونها للخوف من سلطانهم وسوطهم لولا الدخول ، كما هو كذلك من مثل علي بن يقطين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بمقتضى الحصر في كلّ عنوان منها تعارض بعضها بعضاً ، وتعارض مع ما تقدّمت من الروايات المجوّزة للدخول لنيّة صلاح المؤمن </w:t>
      </w:r>
      <w:r>
        <w:rPr>
          <w:rFonts w:eastAsia="Amiri" w:cs="Amiri" w:ascii="Amiri" w:hAnsi="Amiri"/>
          <w:color w:val="111111"/>
          <w:sz w:val="28"/>
          <w:szCs w:val="28"/>
          <w:rtl w:val="true"/>
          <w:lang w:bidi="ar-SA"/>
        </w:rPr>
        <w:t xml:space="preserve">. </w:t>
      </w:r>
      <w:bookmarkStart w:id="143" w:name="pg15162_155478"/>
    </w:p>
    <w:p>
      <w:pPr>
        <w:pStyle w:val="Heading3"/>
        <w:numPr>
          <w:ilvl w:val="2"/>
          <w:numId w:val="1"/>
        </w:numPr>
        <w:rPr/>
      </w:pPr>
      <w:bookmarkStart w:id="144" w:name="__RefHeading___Toc1955440_2142443653"/>
      <w:bookmarkStart w:id="145" w:name="_Toc51"/>
      <w:bookmarkEnd w:id="143"/>
      <w:bookmarkEnd w:id="144"/>
      <w:r>
        <w:rPr>
          <w:rtl w:val="true"/>
        </w:rPr>
        <w:t>عدم المعارضة بين الروايات لدى العرف والعقلاء</w:t>
      </w:r>
      <w:bookmarkEnd w:id="145"/>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معارضة بين أنفسها ؛ لأ نّها إذا عرضت على العرف والعقلاء يجمعون بينها بأنّ المجوّز للدخول مطلق العذر ، وإنّما ذكر في كلّ منها مصداق منه ، وإلاّ فلا ينقدح في الأذهان من الحصر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إرادة سلب الجواز حتّى مع التقيّة أو القهر والجبر ، وهكذا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الناظر فيها لا يشكّ في أنّ المراد سلب الجواز بلا عذر ، من غير خصوصية لعذر خاصّ بين الأعذار ، سيّما مع ملاحظة عمومات التقيّة ورفع الاضطرار والاستكراه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معارضة بينها وبين الروايات المتقدّمة ؛ لأنّ الروايات الواردة في الأعذار متعرّضة للعناوين الثانوية ورتبتها متأخّرة عن الروايات المقيّدة والمخصّصة للعناوين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أخبار الأعذار هو المحرّم الأوّلي ، والروايات المخصّصة رافعة لموضوعها في مورد التخصيص ، فتكون حاكمة عليها لا معارضة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في تلك الروايات ما تشهد على أنّ المراد بها غير مورد الورود في الولاية للإصلاح أو لإيقاع المكروه عليهم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محمّد بن إدريس بعد السؤال عن العمل لبني العبّاس والجواب بعدم الجواز فيما عدا مورد الجبر والقهر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في جواب ذلك اُعلمه أنّ مذهبي في الدخول في أمرهم ، وجود السبيل إلى إدخال المكروه على عدوّه ، </w:t>
      </w:r>
    </w:p>
    <w:p>
      <w:pPr>
        <w:pStyle w:val="BookText"/>
        <w:rPr/>
      </w:pPr>
      <w:r>
        <w:rPr>
          <w:rFonts w:ascii="Amiri" w:hAnsi="Amiri" w:eastAsia="Amiri" w:cs="Amiri"/>
          <w:color w:val="111111"/>
          <w:sz w:val="28"/>
          <w:sz w:val="28"/>
          <w:szCs w:val="28"/>
          <w:rtl w:val="true"/>
          <w:lang w:bidi="ar-SA"/>
        </w:rPr>
        <w:t xml:space="preserve">وانبساط اليد في التشفّي منهم بشيء أتقرّب به إليهم ؟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ذلك فليس مدخله في العمل حراماً ، بل أجراً وثواباً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فيظهر منها صدراً وذيلاً أ نّه علیه السلام حمل العمل لبني العبّاس في المكاتبة الاُولى على العمل المتعارف الذي كانوا يدخلون فيه لأغراض أنفسهم ، فأجاب بعدم الجواز إلاّ مع الجبر والقهر ، فلمّا كتب إليه ثانياً بأنّ مدخله لمقصد كذا أجاب بأ نّه ليس بمحرّم ، بل فيه أجر وثواب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شاهدة جمع بين سائر الروايات ، مع أنّ الموالاة في موثّقة مسعدة يمكن أن تكون بمعنى النصرة والإعانة ، فيكون الدخول في أعمالهم لغرض إيقاع المكروه عليهم ، أو غرض إعانة المؤمن ورفع المكروه عنه خارجاً عنها موضوعاً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روايات اُخر ربما يتوهّم التنافي بينها وبين ما تقدّمت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كمرسلة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قضاء حوائج الإخوان</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زياد بن أبي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علیه السلام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 إنّك لتعمل عمل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لي مروءة ، وعليّ عيال ، وليس وراء ظهري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ولّيت شيئاً من أعمالهم فأحسن إلى إخوانك ، </w:t>
      </w:r>
    </w:p>
    <w:p>
      <w:pPr>
        <w:pStyle w:val="BookText"/>
        <w:rPr/>
      </w:pPr>
      <w:r>
        <w:rPr>
          <w:rFonts w:ascii="Amiri" w:hAnsi="Amiri" w:eastAsia="Amiri" w:cs="Amiri"/>
          <w:color w:val="111111"/>
          <w:sz w:val="28"/>
          <w:sz w:val="28"/>
          <w:szCs w:val="28"/>
          <w:rtl w:val="true"/>
          <w:lang w:bidi="ar-SA"/>
        </w:rPr>
        <w:t xml:space="preserve">فواحدة بواحدة ، واللّه من وراء ذلك </w:t>
      </w:r>
      <w:r>
        <w:rPr>
          <w:rFonts w:eastAsia="Amiri" w:cs="Amiri" w:ascii="Amiri" w:hAnsi="Amiri"/>
          <w:color w:val="111111"/>
          <w:sz w:val="28"/>
          <w:szCs w:val="28"/>
          <w:rtl w:val="true"/>
          <w:lang w:bidi="ar-SA"/>
        </w:rPr>
        <w:t>.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السيّد هبة اللّه ، 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p>
    <w:p>
      <w:pPr>
        <w:pStyle w:val="BookText"/>
        <w:rPr/>
      </w:pPr>
      <w:r>
        <w:rPr>
          <w:rFonts w:ascii="IRNazanin" w:hAnsi="IRNazanin" w:eastAsia="IRNazanin"/>
          <w:color w:val="111111"/>
          <w:sz w:val="28"/>
          <w:sz w:val="28"/>
          <w:szCs w:val="28"/>
          <w:rtl w:val="true"/>
          <w:lang w:bidi="fa-IR"/>
        </w:rPr>
        <w:t xml:space="preserve">زياد بن مروان العبدي على مولاي موسى بن جعفر علیه السلام ، فقال لزياد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أتقلّد لهم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 إنّي رجل لي مروءة ، عليّ عيلة ، وليس لي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 واللّه لئن أقع من السماء إلى الأرض فأنقطع قطعاً ، ويفصلني الطير بمناقيرها مفصلاً مفصلاً ، لأحبّ إليّ من أن أتقلّدهم عملاً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لماذا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لإعزاز مؤمن ، أو فكّ 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وعد من يتقلّد لهم عملاً أن يضرب عليه سرادقاً من نار ، حتّى يفرغ اللّه من حساب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وأعزز من إخوانك واحداً ، واللّه من وراء ذلك يفعل ما يشاء</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 نّه سقط منها شيء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إرادة إعزاز واحدٍ منهم بعيد جدّاً بل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رواية زياد المتقدّمة ، ويأتي احتمال وحدتهما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الشيخ المفيد عن علي 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رجل أبا الحسن موسى علیه السلام في أعمال السلطان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ولا قطّة قلم ، إلاّ لإعزاز مؤمن ، أو </w:t>
      </w:r>
    </w:p>
    <w:p>
      <w:pPr>
        <w:pStyle w:val="BookText"/>
        <w:rPr/>
      </w:pPr>
      <w:r>
        <w:rPr>
          <w:rFonts w:ascii="Amiri" w:hAnsi="Amiri" w:eastAsia="Amiri" w:cs="Amiri"/>
          <w:color w:val="111111"/>
          <w:sz w:val="28"/>
          <w:sz w:val="28"/>
          <w:szCs w:val="28"/>
          <w:rtl w:val="true"/>
          <w:lang w:bidi="ar-SA"/>
        </w:rPr>
        <w:t>فكّ أسره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أعمالكم الإحسان إلى إخوانكم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الفضل بن عبد الرحمان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أستأذنه في</w:t>
      </w:r>
    </w:p>
    <w:p>
      <w:pPr>
        <w:pStyle w:val="BookText"/>
        <w:rPr/>
      </w:pPr>
      <w:r>
        <w:rPr>
          <w:rFonts w:ascii="Amiri" w:hAnsi="Amiri" w:eastAsia="Amiri" w:cs="Amiri"/>
          <w:color w:val="111111"/>
          <w:sz w:val="28"/>
          <w:sz w:val="28"/>
          <w:szCs w:val="28"/>
          <w:rtl w:val="true"/>
          <w:lang w:bidi="ar-SA"/>
        </w:rPr>
        <w:t xml:space="preserve">أعمال السلطان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ما لم يغيّر حكماً، ولم يبطل حدّاً ، وكفّارته قضاء حوائج إخوانكم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الحسن بن الحسين الأنباري ، عن أبي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أربع عشرة سنة أستأذنه في عمل السلطان ، فلمّا كان في آخر كتاب كتبته إليه أذكر أ نّي أخاف على خيط عنقي ، وأنّ السلطان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رافضي ، ولسنا نشكّ في أ نّك تركت العمل للسلطان للرفض ، فكتب إليّ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كتابك وما ذكرت من الخوف على نفسك ، فإن كنت تعلم أ نّك إذا ولّيت عملت في عملك بما أمر به رسول اللّه رحمهما اللّه ثمّ تصيّر أعوانك وكتّابك أهل ملّتك ، وإذا صار إليك شيء واسيت به فقراء المؤمنين حتّى تكون واحداً منهم ، كان ذا بذا وإلاّ فلا</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العيّاشي عن أبي عبداللّه علیه السلام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ترى مكاني من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ما أصبت ، فعد به على أصحابك ، فإنّ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الحَسَناتِ يُذْهِبْنَ السَّيِّئات</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تلك الطائفة حرمة عمل السلطان ، وإنّما يكفّرها قضاء حوائج المؤمنين ، والتي مرّت تدلّ على نفي البأس ، بل والفضل والرجحان فيه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الورود في أعمالهم وديوانهم تارةً يكون لمحض إعزاز المؤمن وفكّ أسره ونحوهما ، واُخرى لذلك ولمعيشته ، وثالثةً لمحض المعاش ونحوه ، ورابعةً لمعونتهم وتقوية سلطانهم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الاُولى، كذيل رواية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وبعض فقرات رواية زياد بن أبي سلمة</w:t>
      </w:r>
      <w:r>
        <w:rPr>
          <w:rStyle w:val="FootnoteAnchor"/>
          <w:rtl w:val="true"/>
        </w:rPr>
        <w:footnoteReference w:id="525"/>
      </w:r>
      <w:r>
        <w:rPr>
          <w:rFonts w:ascii="Amiri" w:hAnsi="Amiri" w:eastAsia="Amiri" w:cs="Amiri"/>
          <w:color w:val="111111"/>
          <w:sz w:val="28"/>
          <w:sz w:val="28"/>
          <w:szCs w:val="28"/>
          <w:rtl w:val="true"/>
          <w:lang w:bidi="ar-SA"/>
        </w:rPr>
        <w:t>وزياد العبدي</w:t>
      </w:r>
      <w:r>
        <w:rPr>
          <w:rStyle w:val="FootnoteAnchor"/>
          <w:rtl w:val="true"/>
        </w:rPr>
        <w:footnoteReference w:id="526"/>
      </w:r>
      <w:r>
        <w:rPr>
          <w:rFonts w:ascii="Amiri" w:hAnsi="Amiri" w:eastAsia="Amiri" w:cs="Amiri"/>
          <w:color w:val="111111"/>
          <w:sz w:val="28"/>
          <w:sz w:val="28"/>
          <w:szCs w:val="28"/>
          <w:rtl w:val="true"/>
          <w:lang w:bidi="ar-SA"/>
        </w:rPr>
        <w:t xml:space="preserve">حيث استثني فيهما من عدم جواز الدخول ما كان لمصلحة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منها أيضاً رواية محمّد بن إسماعيل المتقدّمة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النحو من الدخول راجح ، وفيه أجر وثواب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وطائفة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إلى الثانية ، كرواية أبي الجارود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من عمل السلطان والدخول معهم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إذا وصلت إخوانك ، </w:t>
      </w:r>
    </w:p>
    <w:p>
      <w:pPr>
        <w:pStyle w:val="BookText"/>
        <w:rPr/>
      </w:pPr>
      <w:r>
        <w:rPr>
          <w:rFonts w:ascii="Amiri" w:hAnsi="Amiri" w:eastAsia="Amiri" w:cs="Amiri"/>
          <w:color w:val="111111"/>
          <w:sz w:val="28"/>
          <w:sz w:val="28"/>
          <w:szCs w:val="28"/>
          <w:rtl w:val="true"/>
          <w:lang w:bidi="ar-SA"/>
        </w:rPr>
        <w:t>وعضدت أهل ولايتك</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وما هي بمضمونها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السؤال عن الدخول في أعمالهم للمعيشة ونحوها من أغراضه ، فأجاب بنفي البأس إذا وصلت ؛ أي إذا قصدت ذلك في خلال عملك ، لا بمعنى كون القصد موضوعاً ، بل بمعنى القصد الطريقي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أنّ ذلك بوجوده الواقعي شرط الجواز بنحو الشرط المتأخّر ، بعيد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الثالثة ، وهي الروايات المتقدّمة المشتملة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فواحدة بواحدة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وعلى أنّ كفّارة عملهم قضاء حوائج الإخوان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زياد بن أبي سلمة ، فإنّ الظاهر من صدرها أ نّه كان وارداً في عمل</w:t>
      </w:r>
    </w:p>
    <w:p>
      <w:pPr>
        <w:pStyle w:val="BookText"/>
        <w:rPr/>
      </w:pPr>
      <w:r>
        <w:rPr>
          <w:rFonts w:ascii="IRNazanin" w:hAnsi="IRNazanin" w:eastAsia="IRNazanin"/>
          <w:color w:val="111111"/>
          <w:sz w:val="28"/>
          <w:sz w:val="28"/>
          <w:szCs w:val="28"/>
          <w:rtl w:val="true"/>
          <w:lang w:bidi="fa-IR"/>
        </w:rPr>
        <w:t xml:space="preserve">السلطان ومشتغلاً به لأجل معيشته ، وقد حذّره أبو الحسن عن العمل لهم إلاّ لإعزاز مؤمن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ولّيت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فرض كونه متولّياً لأمرهم وعاملاً لهم 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ولّيت في اشتغالك بأعمالهم بما يحتاج إليك إخوانك فأحسن إليهم ، حتّى يكون لك عمل صالح في مقابل السيّء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علیه السلام أشار بذلك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 عَسَى اللّه‌ُ أَنْ يَتُوبَ عَلَيْهِمْ إِنَّ اللّه‌َ غَفُورٌ </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فيكون حاصل مفادها أنّ الوارد في أعمالهم لمعيشته ارتكب حراماً ، فإن أحسن إلى إخوانه يكون واحداً بواحد وعسى اللّه أن يتوب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رواية زياد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هو زياد بن أبي سلمة ، بل ولا يبعد أن يكون العبدي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زياد بن أبي سلمة زياد بن مروان القندي ، ولعلّ مروان كان مكنّى بأبي سلمة ، فإنّ الروايتين كأ نّهما في قضيّة واحدة نقلت الثانية بالمعنى ، ولهذا لا تخلو من نحو اغتشاش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أظهر في المقصود ؛ لعدم اشتمالها على الشرطية ،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 وأعزز إخوانك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فأمره بالإعزاز لمن كان مشتغلاً بعملهم للهداية إلى طريق لو سلكه عسى اللّه أن يتوب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علي بن رئاب فلأنّ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كفّارة أعمالكم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يراد به الدخول لإعزاز المؤمن ؛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تناسب الكفّارة مع نفي الحرمة عرفاً ، فإنّها لتكفير 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أو النقيصة الحاصلة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الدخول لذلك له أجر وثواب حسب الروايات المتقدّمة ، فلا معنى للكفّارة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ذاك وذا قرينة على أنّ المراد بأعمالهم ما دخلوا فيها لمقاصدهم ، كما هو كذلك بحسب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مرسلة الصدوق ورواية العيّاشي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الحسن الأنباري فالظاهر أنّ أبا الحسن علیه السلام كان لم يصدّقه في دعواه الخوف على نفسه ، أو كان علیه السلام عالماً بعدم وقوع مكروه عليه لو لم يدخل </w:t>
      </w:r>
    </w:p>
    <w:p>
      <w:pPr>
        <w:pStyle w:val="BookText"/>
        <w:rPr/>
      </w:pPr>
      <w:r>
        <w:rPr>
          <w:rFonts w:ascii="Amiri" w:hAnsi="Amiri" w:eastAsia="Amiri" w:cs="Amiri"/>
          <w:color w:val="111111"/>
          <w:sz w:val="28"/>
          <w:sz w:val="28"/>
          <w:szCs w:val="28"/>
          <w:rtl w:val="true"/>
          <w:lang w:bidi="ar-SA"/>
        </w:rPr>
        <w:t xml:space="preserve">في عملهم ، وإلاّ لأجازه بلا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بل المعلوم أنّ اشتراطه بما ذكر</w:t>
      </w:r>
    </w:p>
    <w:p>
      <w:pPr>
        <w:pStyle w:val="BookText"/>
        <w:rPr/>
      </w:pPr>
      <w:r>
        <w:rPr>
          <w:rFonts w:ascii="Amiri" w:hAnsi="Amiri" w:eastAsia="Amiri" w:cs="Amiri"/>
          <w:color w:val="111111"/>
          <w:sz w:val="28"/>
          <w:sz w:val="28"/>
          <w:szCs w:val="28"/>
          <w:rtl w:val="true"/>
          <w:lang w:bidi="ar-SA"/>
        </w:rPr>
        <w:t xml:space="preserve">تعليق على أمر غير مقدور له ، فإنّ التولّي لهم في ذلك العصر مع انتخاب جميع الكتّاب والأعوان من غيرهم ومن خصوص الشيعة ، كان غير ممكن عادةً ، كما أنّ المواساة للفقراء بحيث يكون المتولّي للأمر كأحد منهم كأ نّه غير ميسور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إنّ هذه الرواية من الروايات الناهية عن الدخول في أعمالهم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ظاهرها مخالف للقواعد ، ولهذا حملناها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رواية الفضل مخالفة لروايات الباب ؛ لأنّ الظاهر منها عدم حرمة التولّي ذاتاً ما لم يغيّر حكماً أو يبطل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دلالة الروايات على حرمته ذاتاً ، ومقتضى اُصول المذهب حرمة التولّي بغير إذنهم ، مضافاً إلى التنافي بين صدرها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نفي البأس ينافي الكفّارة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حملها على أنّ كفّارة عملهم لمعيشته كذا ، فإنّه المتعارف في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الأدلّة جواز الدخول في أعمالهم للمقصد الراجح بما تقدّم ولو لزم من التصدّي جمع الزكوات والخراج من غير الشيعة وإيصالها إلى السلطان الجائر ، فإنّ التولّي لاُمورهم في مثل ولاية النواحي لا ينفكّ عن مثله ، فالسكوت عنه في تلك الروايات الكثيرة دليل على جوازه بالنسبة إلى من كان على مذهبهم ، وكان معتقداً بلزوم إيصال الخراج والزكوات والغنائم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هو إلزامهم بما التزموا به ، مع أ نّه قد يكون التولّي لخصوص ذلك ، ومقتضى الإطلاق جوازه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الروايات على ما لا يلزم من التولّي سوى إعزاز المؤمن ونحوه في </w:t>
      </w:r>
      <w:bookmarkStart w:id="146" w:name="pg15162_155486"/>
    </w:p>
    <w:p>
      <w:pPr>
        <w:pStyle w:val="BookText"/>
        <w:rPr/>
      </w:pPr>
      <w:bookmarkEnd w:id="146"/>
      <w:r>
        <w:rPr>
          <w:rFonts w:ascii="Amiri" w:hAnsi="Amiri" w:eastAsia="Amiri" w:cs="Amiri"/>
          <w:color w:val="111111"/>
          <w:sz w:val="28"/>
          <w:sz w:val="28"/>
          <w:szCs w:val="28"/>
          <w:rtl w:val="true"/>
          <w:lang w:bidi="ar-SA"/>
        </w:rPr>
        <w:t xml:space="preserve">قوّة طرحها ؛ لعدم إمكان العمل بها ، أو ندرة ذلك جدّاً ، مع أ نّه لا دليل لحملها على ذلك سوى الحصر في بعضها ، وقد عرفت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أشارت إلى ذلك رواية صفوان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w:t>
      </w:r>
    </w:p>
    <w:p>
      <w:pPr>
        <w:pStyle w:val="BookText"/>
        <w:rPr/>
      </w:pPr>
      <w:r>
        <w:rPr>
          <w:rFonts w:ascii="Amiri" w:hAnsi="Amiri" w:eastAsia="Amiri" w:cs="Amiri"/>
          <w:color w:val="111111"/>
          <w:sz w:val="28"/>
          <w:sz w:val="28"/>
          <w:szCs w:val="28"/>
          <w:rtl w:val="true"/>
          <w:lang w:bidi="ar-SA"/>
        </w:rPr>
        <w:t xml:space="preserve">إذ دخل عليه رجل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سيرة وأحكاماً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أجرى لهم الناس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أجروهم عليهم في</w:t>
      </w:r>
    </w:p>
    <w:p>
      <w:pPr>
        <w:pStyle w:val="BookText"/>
        <w:rPr/>
      </w:pPr>
      <w:r>
        <w:rPr>
          <w:rFonts w:ascii="Amiri" w:hAnsi="Amiri" w:eastAsia="Amiri" w:cs="Amiri"/>
          <w:color w:val="111111"/>
          <w:sz w:val="28"/>
          <w:sz w:val="28"/>
          <w:szCs w:val="28"/>
          <w:rtl w:val="true"/>
          <w:lang w:bidi="ar-SA"/>
        </w:rPr>
        <w:t>ديوانهم ، وإيّاكم وظلم المؤمن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الروايات ما هي كالصريح في تولّيهم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علي بن يقطين المتقدّمة</w:t>
      </w:r>
      <w:r>
        <w:rPr>
          <w:rStyle w:val="FootnoteAnchor"/>
          <w:rtl w:val="true"/>
        </w:rPr>
        <w:footnoteReference w:id="534"/>
      </w:r>
      <w:r>
        <w:rPr>
          <w:rFonts w:ascii="IRNazanin" w:hAnsi="IRNazanin" w:eastAsia="IRNazanin"/>
          <w:color w:val="111111"/>
          <w:sz w:val="28"/>
          <w:sz w:val="28"/>
          <w:szCs w:val="28"/>
          <w:rtl w:val="true"/>
          <w:lang w:bidi="fa-IR"/>
        </w:rPr>
        <w:t>، الحاكية عن جبايته أموال الشيعة علانيةً والردّ إليهم سرّاً ، بعد توصية أبي الحسن علیه السلام ، وما اشتملت على كتابة أبي عبداللّه علیه السلام إلى النجاشي والي الأهواز وفارس</w:t>
      </w:r>
      <w:r>
        <w:rPr>
          <w:rStyle w:val="FootnoteAnchor"/>
          <w:rtl w:val="true"/>
        </w:rPr>
        <w:footnoteReference w:id="535"/>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إن شاء اللّه ما ينفع بالمقام في جوائز السلطان </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955442_2142443653"/>
      <w:bookmarkStart w:id="148" w:name="_Toc52"/>
      <w:bookmarkEnd w:id="147"/>
      <w:r>
        <w:rPr>
          <w:rtl w:val="true"/>
        </w:rPr>
        <w:t>كلام الشيخ الأعظم في الولاية المكروهة والمستحبّة</w:t>
      </w:r>
      <w:bookmarkEnd w:id="1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الأنصاري</w:t>
      </w:r>
      <w:r>
        <w:rPr>
          <w:rStyle w:val="FootnoteAnchor"/>
          <w:rtl w:val="true"/>
        </w:rPr>
        <w:footnoteReference w:id="536"/>
      </w:r>
      <w:r>
        <w:rPr>
          <w:rFonts w:ascii="IRNazanin" w:hAnsi="IRNazanin" w:eastAsia="IRNazanin"/>
          <w:color w:val="111111"/>
          <w:sz w:val="28"/>
          <w:sz w:val="28"/>
          <w:szCs w:val="28"/>
          <w:rtl w:val="true"/>
          <w:lang w:bidi="fa-IR"/>
        </w:rPr>
        <w:t xml:space="preserve">جمع بين رواية مهران بن محمّد بن أبي نصر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جبّار إلاّ ومعه مؤمن يدفع اللّه </w:t>
      </w:r>
    </w:p>
    <w:p>
      <w:pPr>
        <w:pStyle w:val="BookText"/>
        <w:rPr/>
      </w:pPr>
      <w:r>
        <w:rPr>
          <w:rFonts w:ascii="Amiri" w:hAnsi="Amiri" w:eastAsia="Amiri" w:cs="Amiri"/>
          <w:color w:val="111111"/>
          <w:sz w:val="28"/>
          <w:sz w:val="28"/>
          <w:szCs w:val="28"/>
          <w:rtl w:val="true"/>
          <w:lang w:bidi="ar-SA"/>
        </w:rPr>
        <w:t>عزّ وجلّ به من المؤمنين ، وهو أقلّهم حظّاً في الآخرة ؛ يعني أقلّ المؤمنين حظّاً بصحبة الجبّار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مثل رواية محمّد بن إسماعيل بن بزيع</w:t>
      </w:r>
      <w:r>
        <w:rPr>
          <w:rStyle w:val="FootnoteAnchor"/>
          <w:rtl w:val="true"/>
        </w:rPr>
        <w:footnoteReference w:id="538"/>
      </w:r>
      <w:r>
        <w:rPr>
          <w:rFonts w:ascii="Amiri" w:hAnsi="Amiri" w:eastAsia="Amiri" w:cs="Amiri"/>
          <w:color w:val="111111"/>
          <w:sz w:val="28"/>
          <w:sz w:val="28"/>
          <w:szCs w:val="28"/>
          <w:rtl w:val="true"/>
          <w:lang w:bidi="ar-SA"/>
        </w:rPr>
        <w:t xml:space="preserve">، بحمل الاُولى على من تولّى لهم لنظام معاشه قاصداً الإحسان في خلال ذلك إلى المؤمنين ودفع الضرر عنهم ، وحمل الثانية على من لم يقصد بدخوله إلاّ الإحسان إلى المؤمنين ، فذهب إلى كراهة الأوّل واستحباب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سلطان إلاّ ومعه من يدفع اللّه به عن المؤمنين ، اُولئك أوفر حظّاً في الآخرة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الجمع بين هذه الرواية وكذا الروايات المتقدّمة ، وبين رواية مهران بما ذكره ، غير مقبول عرفاً ، سيّما مع كون الورود في عملهم أو الصحابة لهم لغرض إلهي محض نادراً جدّاً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بعض منها على ذلك مع شواهد عليه كما مرّ الكلام فيه وإن لا يبعد ، لكن حمل جميع تلك الروايات الكثيرة عليه بعيد جدّاً ، بل غير صحيح ، سيّما في الرواية المتقدّمة إذا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أقلّ المؤمنين حظّاً بصحبة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الحديث ، ليكون ذلك بمنزلة التعليل الدالّ على أنّ صحبة الجبّار علّة </w:t>
      </w:r>
    </w:p>
    <w:p>
      <w:pPr>
        <w:pStyle w:val="BookText"/>
        <w:rPr/>
      </w:pPr>
      <w:r>
        <w:rPr>
          <w:rFonts w:ascii="Amiri" w:hAnsi="Amiri" w:eastAsia="Amiri" w:cs="Amiri"/>
          <w:color w:val="111111"/>
          <w:sz w:val="28"/>
          <w:sz w:val="28"/>
          <w:szCs w:val="28"/>
          <w:rtl w:val="true"/>
          <w:lang w:bidi="ar-SA"/>
        </w:rPr>
        <w:t xml:space="preserve">لأقلّية حظّه ، فمقتضاها أقلّية حظّ مطلق المصاحب ، سواء كان لمحض غرض راجح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الرواية معارضة لرواية محمّد بن إسماعيل وغيرها ، ولا يصحّ الجمع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بين الدخول بنحو الصحابة وغيرها أيضاً بعيد ؛ لأنّ موضوع رواية مهران ورواية المفضّل واحد ، والمراد بالمعية فيهما واحد وهو الصحابة كما فسّرت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شبهة في أنّ الورود لمحض الإحسان على المؤمنين أرجح وأفضل منه لغايتين ، لكن ذلك لا يوجب صحّة الجمع بين الروايات سيّما بين الروايتين المتقدّمتين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مهران بتقديم الخاء المعجمة على الطاء غير المعجمة ، وكان التفسير من بعض الرواة ، وكان الأصل الذي فيه الرواية مأخوذاً بالمناولة لا بالقراءة وكان تفسيره لاشتباه وقع في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وإن كان غير معتمد في نفسه لكن بعد ورود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أوفر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اُخرى ، وبعد التصرّف فيها وورود روايات اُخر تؤيّدها ، لا بُعد فيه ، سيّما مع قرب وقوع الاشتباه في مثل الكلمة المذكورة التي يكون منشأ الاشتباه فيها تغيير محلّ النقطة قليلاً ، وفي مثله ليس الاحتمال المذكور مخالفةً معتدّاً بها للأصل العقلائي سيّما مع ورود الروايات على خلافه ، والأمر سهل </w:t>
      </w:r>
      <w:r>
        <w:rPr>
          <w:rFonts w:eastAsia="Amiri" w:cs="Amiri" w:ascii="Amiri" w:hAnsi="Amiri"/>
          <w:color w:val="111111"/>
          <w:sz w:val="28"/>
          <w:szCs w:val="28"/>
          <w:rtl w:val="true"/>
          <w:lang w:bidi="ar-SA"/>
        </w:rPr>
        <w:t xml:space="preserve">. </w:t>
      </w:r>
      <w:bookmarkStart w:id="149" w:name="pg15162_155489"/>
    </w:p>
    <w:p>
      <w:pPr>
        <w:pStyle w:val="Heading3"/>
        <w:numPr>
          <w:ilvl w:val="2"/>
          <w:numId w:val="1"/>
        </w:numPr>
        <w:rPr/>
      </w:pPr>
      <w:bookmarkStart w:id="150" w:name="__RefHeading___Toc1955444_2142443653"/>
      <w:bookmarkStart w:id="151" w:name="_Toc53"/>
      <w:bookmarkEnd w:id="149"/>
      <w:bookmarkEnd w:id="150"/>
      <w:r>
        <w:rPr>
          <w:rtl w:val="true"/>
        </w:rPr>
        <w:t>في وجوب تصدّي الولاية فيما توقّف الأمر بالمعروف والنهي عن المنكر عليه</w:t>
      </w:r>
      <w:bookmarkEnd w:id="151"/>
    </w:p>
    <w:p>
      <w:pPr>
        <w:pStyle w:val="BookText"/>
        <w:rPr/>
      </w:pPr>
      <w:r>
        <w:rPr>
          <w:rFonts w:ascii="Amiri" w:hAnsi="Amiri" w:eastAsia="Amiri" w:cs="Amiri"/>
          <w:color w:val="111111"/>
          <w:sz w:val="28"/>
          <w:sz w:val="28"/>
          <w:szCs w:val="28"/>
          <w:rtl w:val="true"/>
          <w:lang w:bidi="ar-SA"/>
        </w:rPr>
        <w:t>ثمّ إنّه قد يجب عقلاً تصدّي الولاية فيما كان جائزاً لتوقّف الأمر بالمعروف</w:t>
      </w:r>
    </w:p>
    <w:p>
      <w:pPr>
        <w:pStyle w:val="BookText"/>
        <w:rPr/>
      </w:pPr>
      <w:r>
        <w:rPr>
          <w:rFonts w:ascii="Amiri" w:hAnsi="Amiri" w:eastAsia="Amiri" w:cs="Amiri"/>
          <w:color w:val="111111"/>
          <w:sz w:val="28"/>
          <w:sz w:val="28"/>
          <w:szCs w:val="28"/>
          <w:rtl w:val="true"/>
          <w:lang w:bidi="ar-SA"/>
        </w:rPr>
        <w:t>والنهي عن المنكر عليه ، لكن حكي عن غير واحد استحبابه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الشيخ الأنصاري لتوجيه كلامهم بأنّ نفس الولاية قبيحة محرّمة ؛ لأ نّها توجب إعلاء كلمة الباطل وتقوية شوكته، وترك الأمر بالمعروف قبيح آخر، وليس أحدهما أقلّ قبحاً من الآخر ، فيكون المقام من قبيل تزاحم المقتضيين ، ويمكن الحكم باستحباب اختيار أحدهما لمصلحة لم تبلغ حدّ الإلزام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كلام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بأ نّه يمكن تقوية عدم الوجوب بتعارض ما دلّ على وجوب الأمر بالمعروف وما دلّ على حرمة الولاية عن الجائر ، بناءً على الحرمة الذاتية ، والنسبة عموم من وجه </w:t>
      </w:r>
      <w:r>
        <w:rPr>
          <w:rFonts w:eastAsia="Amiri" w:cs="Amiri" w:ascii="Amiri" w:hAnsi="Amiri"/>
          <w:color w:val="111111"/>
          <w:sz w:val="28"/>
          <w:szCs w:val="28"/>
          <w:rtl w:val="true"/>
          <w:lang w:bidi="ar-SA"/>
        </w:rPr>
        <w:t>.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955446_2142443653"/>
      <w:bookmarkStart w:id="153" w:name="_Toc54"/>
      <w:bookmarkEnd w:id="152"/>
      <w:r>
        <w:rPr>
          <w:rtl w:val="true"/>
        </w:rPr>
        <w:t>مقتضى القواعد مع قطع النظر عن الأخبار</w:t>
      </w:r>
      <w:bookmarkEnd w:id="1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التعارض بين الأدلّة وكذا التزاحم بين المقتضيات ، موقوف على إطلاق الأدلّة وكشف المقتضي في مورد التزاحم منها ، أو حكم العقل </w:t>
      </w:r>
    </w:p>
    <w:p>
      <w:pPr>
        <w:pStyle w:val="BookText"/>
        <w:rPr/>
      </w:pPr>
      <w:r>
        <w:rPr>
          <w:rFonts w:ascii="Amiri" w:hAnsi="Amiri" w:eastAsia="Amiri" w:cs="Amiri"/>
          <w:color w:val="111111"/>
          <w:sz w:val="28"/>
          <w:sz w:val="28"/>
          <w:szCs w:val="28"/>
          <w:rtl w:val="true"/>
          <w:lang w:bidi="ar-SA"/>
        </w:rPr>
        <w:t xml:space="preserve">استقلالاً بوجود المقتضي في المزاحمين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إنكار إطلاق أدلّة الأمر بالمعروف لمورد توقّفه على الولاية من قبل الجائر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الأمر بالمعروف إنّما هو لإقامة الفرائض ، ولا إطلاق فيها يشمل ما يوجب سقوط فريضة أو ارتكاب محرّم ، فلا يقع التعارض بينها وبين أدلّة حرمة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أنّ كلّ عامّين من وجه كذلك حتّى يقال باستلزامه نفي التعارض بينهما مطلقاً ، وهو خلاف ما عليه الفقهاء وخلاف الواقع ؛ لأنّ كلّ عنوان محكوم بحكم لا ينظر حكمه إلى حكم عنوان آخر ، بل يلاحظ الإطلاق بالنسبة إلى حالات الموضوع مع قطع النظر عن حكم آخر وبلا لحاظ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مرادنا أنّ في المقام خصوصية موجبة لذلك ، وهي أنّ موضوع أدلّة وجوب الأمر بالمعروف والنهي عن المنكر هو الأمر بالواجبات والنهي عن المحرّمات ، ومن الواضح بحكم العقل والعقلاء أنّ إيجابهما ليس لاقتضاء في نفسهما بحيث يكون إنشاء الأمر والنهي أو نفسهما ذا مصلحة قائمة بهما ، بل هو للتوصّل بهما إلى فعل الواجب وترك الحرام ، ولهذا لا يجبان إلاّ مع احتمال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فريضة تقام بها الفرائض</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العناوين التوصّلية إذا وقعت متعلّقة للأمر لا ينقدح في أذهان العرف والعقلاء إلاّ أنّ الأمر بها للتوصّل لا لمصلحة ذاتية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p>
    <w:p>
      <w:pPr>
        <w:pStyle w:val="BookText"/>
        <w:rPr/>
      </w:pPr>
      <w:r>
        <w:rPr>
          <w:rFonts w:ascii="Amiri" w:hAnsi="Amiri" w:eastAsia="Amiri" w:cs="Amiri"/>
          <w:color w:val="111111"/>
          <w:sz w:val="28"/>
          <w:sz w:val="28"/>
          <w:szCs w:val="28"/>
          <w:rtl w:val="true"/>
          <w:lang w:bidi="ar-SA"/>
        </w:rPr>
        <w:t xml:space="preserve">واجبان للغير لا غيريان ، فإذا كان كذلك لا يستفاد من أدلّة وجوبهما إطلاق يشمل ما يستلزم منه ارتكاب محرّم أو ترك واجب ، فإنّ ما وجب لإقامة الفريضة لا إطلاق لوجوبه لمورد إماتتها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من أدلّة وجوبهما أ نّه معلّق بعدم استلزام ترك واجب أو فعل حرام ، ودليل حرمة الولاية مطلق في موضوعه على نحو التنجيز ، ولا يعارض المعلّق المنجّز ، بل دليله حاكم على دليل الحكم المعلّق ، فكما لا تعارض بين الأدلّة بما عرفت لا مجال للتزاحم بعد عدم إطلاق يكشف منه المقتضي وعدم استقلال العقل بوجود المقتضي حتّى في مورد لزوم ارتكاب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المقتضي الذي قام بالأمر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المقتضيات التي في المعروف والمنكر فلا وجه لتزاحمها مع مقتضي الحرمة في تقلّد الولاية ؛ لأنّ تزاحم المقتضيات إنّما هو في التكاليف المتوجّهة إلى مكلّف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دار أمر مكلّف بين شرب الخمر وقتل النفس المحترمة يقدّم الشرب ، ومع تساوي المقتضيات 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دوران الأمر بين ارتكاب مكلّف محرّماً وارتكاب مكلّف آخر محرّماً ، فلا وجه لملاحظة المقتضيات ، ولا يجوز ارتكاب شخص محرّماً لدفع ارتكاب شخص آخر محرّماً ولو كان مقتضاه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توقّف ترك شرب الخمر من زيد على ارتكاب عمرو محرّماً دون شربها في المقتضي لا يمكن الالتزام بجوازه أو وجوبه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إذا كان وجود شيء مبغوضاً مطلقاً ويجب على كلّ مكلّف دفعه يكون من قبيل تزاحم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توقّف إنجاء النبي رحمهما اللّه من </w:t>
      </w:r>
    </w:p>
    <w:p>
      <w:pPr>
        <w:pStyle w:val="BookText"/>
        <w:rPr/>
      </w:pPr>
      <w:r>
        <w:rPr>
          <w:rFonts w:ascii="Amiri" w:hAnsi="Amiri" w:eastAsia="Amiri" w:cs="Amiri"/>
          <w:color w:val="111111"/>
          <w:sz w:val="28"/>
          <w:sz w:val="28"/>
          <w:szCs w:val="28"/>
          <w:rtl w:val="true"/>
          <w:lang w:bidi="ar-SA"/>
        </w:rPr>
        <w:t>يد ظالم أراد قتله على شرب الخمر أو غيره من المحرّمات ، يجب عقلاً إنجاؤه</w:t>
      </w:r>
    </w:p>
    <w:p>
      <w:pPr>
        <w:pStyle w:val="BookText"/>
        <w:rPr/>
      </w:pPr>
      <w:r>
        <w:rPr>
          <w:rFonts w:ascii="Amiri" w:hAnsi="Amiri" w:eastAsia="Amiri" w:cs="Amiri"/>
          <w:color w:val="111111"/>
          <w:sz w:val="28"/>
          <w:sz w:val="28"/>
          <w:szCs w:val="28"/>
          <w:rtl w:val="true"/>
          <w:lang w:bidi="ar-SA"/>
        </w:rPr>
        <w:t xml:space="preserve">بارتكاب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يكون وجوب الأمر بالمعروف والنهي عن المنكر شرعياً ، وأمّا بناءً على كونه عقلياً ويرى العقل لزوم حفظ أغراض المولى التي لا يرضى بنقضها ، وقبح ترك المنع عن مخالفة المولى وعن نقض أغراضه من غير فرق بين كون الناقض نفسه أو غيره من سائر المكلّفين ، فلا يبعد القول بتزاحم المقتضيات القائمة بالمعروف والمنكر مع مقتضي حرمة التولّي من الجائر ، لكنّه في غاية الإشكال ، إلاّ في العظائم التي يعلم بلزوم حفظها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توقّف ترك شرب الخمر من زيد على ارتكاب عمرو معصية دونه ، فتجويز ارتكابه لدفعه في غاية الإشكال ، بل غير ممكن ، ولا أظنّ التزام فقيه به ، سواء قلنا بأنّ وجوب الأمر بالمعروف والنهى عن المنكر عقلي أو 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العبيد لمولى واحد بمنزلة شخص واحد في توجّه التكليف ، فكما يقع التزاحم في تكليف شخص واحد ، كذلك يقع في العبيد لمولى واحد ، أو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أغراض المولى واجب على العبيد كلّهم ، ولا بدّ من رفع اليد عن غرضه المهمّ لإقامة الأهمّ كما في الموالي العرفية ، فإذا علم العبد أنّ نقض غرضه المهمّ موجب لحفظ غرضه الأهمّ يحكم العقل بلزوم حفظه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غير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فواضح ؛ لعدم دليل على كونهم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فله وجه في الموالي العرفية ، فإنّ أغراضهم معلومة وموارد رضاهم وسخطهم واضحة لدينا ، وأمّا المولى الحقيقي فأحكامه ليست لأغراض 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أحكامه لمحض اللطف على العباد ولمصالحهم ، وفي مثله </w:t>
      </w:r>
      <w:bookmarkStart w:id="154" w:name="pg15162_155493"/>
    </w:p>
    <w:p>
      <w:pPr>
        <w:pStyle w:val="BookText"/>
        <w:rPr/>
      </w:pPr>
      <w:bookmarkEnd w:id="154"/>
      <w:r>
        <w:rPr>
          <w:rFonts w:ascii="Amiri" w:hAnsi="Amiri" w:eastAsia="Amiri" w:cs="Amiri"/>
          <w:color w:val="111111"/>
          <w:sz w:val="28"/>
          <w:sz w:val="28"/>
          <w:szCs w:val="28"/>
          <w:rtl w:val="true"/>
          <w:lang w:bidi="ar-SA"/>
        </w:rPr>
        <w:t>لا يصحّ ما ذكر ، ولا يجوّز العقل مخالفته لدفع مخالفة الغير وإيقاع نفسه في</w:t>
      </w:r>
    </w:p>
    <w:p>
      <w:pPr>
        <w:pStyle w:val="BookText"/>
        <w:rPr/>
      </w:pPr>
      <w:r>
        <w:rPr>
          <w:rFonts w:ascii="Amiri" w:hAnsi="Amiri" w:eastAsia="Amiri" w:cs="Amiri"/>
          <w:color w:val="111111"/>
          <w:sz w:val="28"/>
          <w:sz w:val="28"/>
          <w:szCs w:val="28"/>
          <w:rtl w:val="true"/>
          <w:lang w:bidi="ar-SA"/>
        </w:rPr>
        <w:t xml:space="preserve">المهلكة لعدم وقوع غيره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من نفسك جواز شرب الخمر إذا رأى المكلّف دوران الأمر بين شربه وشرب غيره وعلم أ نّه لو لم يشربها ، يشربها غيره ؟ فلو كان المورد من قبيل المتزاحمين لا بدّ من الالتزام بالتخيير في المورد ، وكذا الالتزام بلزوم ارتكاب القمار مثلاً لمنع شرب الخمر ، وهو مخالف لضرورة الفقه والعقل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955448_2142443653"/>
      <w:bookmarkStart w:id="156" w:name="_Toc55"/>
      <w:bookmarkEnd w:id="155"/>
      <w:r>
        <w:rPr>
          <w:rtl w:val="true"/>
        </w:rPr>
        <w:t>مقتضى الأخبار في المقام</w:t>
      </w:r>
      <w:bookmarkEnd w:id="156"/>
    </w:p>
    <w:p>
      <w:pPr>
        <w:pStyle w:val="BookText"/>
        <w:rPr/>
      </w:pPr>
      <w:r>
        <w:rPr>
          <w:rFonts w:ascii="Amiri" w:hAnsi="Amiri" w:eastAsia="Amiri" w:cs="Amiri"/>
          <w:color w:val="111111"/>
          <w:sz w:val="28"/>
          <w:sz w:val="28"/>
          <w:szCs w:val="28"/>
          <w:rtl w:val="true"/>
          <w:lang w:bidi="ar-SA"/>
        </w:rPr>
        <w:t>هذا كلّه مع الغضّ عن أخبار الباب ، وأمّا بالنظر إليها فمحصّل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التولّي لولاية الجائر ؛ فقد يعلم بأ نّه إذا تولاّها يمكن له دفع منكر أو منكرات أو إقامة فريضة أو فرائض ، وقد يظنّ ذلك ، وقد يحتمل ؛ بمعنى أ نّه يحتمل مع تولّيه تأثير أمره بخلاف ما إذا لم يتولّها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المنكر موجوداً والمعروف متروكاً ، وقد لا يكون كذلك ، لكن علم أو ظنّ أو احتمل وجودها فيما يأتي ، 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مأموناً من ارتكاب المعصية في ديوانهم ، واُخرى لا يكون ، أو يكون في معرض ارتكابها ، إلى غير ذلك من الفروض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استفادة جواز الدخول من الروايات الخاصّة في جميع الفروض أو لا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يستدلّ به على المطلوب روايات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رجل مسلم وهو في </w:t>
      </w:r>
    </w:p>
    <w:p>
      <w:pPr>
        <w:pStyle w:val="BookText"/>
        <w:rPr/>
      </w:pPr>
      <w:r>
        <w:rPr>
          <w:rFonts w:ascii="Amiri" w:hAnsi="Amiri" w:eastAsia="Amiri" w:cs="Amiri"/>
          <w:color w:val="111111"/>
          <w:sz w:val="28"/>
          <w:sz w:val="28"/>
          <w:szCs w:val="28"/>
          <w:rtl w:val="true"/>
          <w:lang w:bidi="ar-SA"/>
        </w:rPr>
        <w:t xml:space="preserve">ديوان هؤلاء ، وهو يحبّ آل محمّد رحمهما اللّه ويخرج مع هؤلاء في بعثهم ، فيقتل تحت رايتهم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مسكين خدمهم رجاء أن يصيب معهم شيئاً فيغنيه اللّه به ، فمات في بعثهم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الأجير ،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الصدوق</w:t>
      </w:r>
      <w:r>
        <w:rPr>
          <w:rStyle w:val="FootnoteAnchor"/>
          <w:rtl w:val="true"/>
        </w:rPr>
        <w:footnoteReference w:id="545"/>
      </w:r>
      <w:r>
        <w:rPr>
          <w:rFonts w:ascii="Amiri" w:hAnsi="Amiri" w:eastAsia="Amiri" w:cs="Amiri"/>
          <w:color w:val="111111"/>
          <w:sz w:val="28"/>
          <w:sz w:val="28"/>
          <w:szCs w:val="28"/>
          <w:rtl w:val="true"/>
          <w:lang w:bidi="ar-SA"/>
        </w:rPr>
        <w:t xml:space="preserve">قريب من الفقرة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بالرجل المسلم المحبّ لهم هو الشيعي ، فإنّ ترك الاستفصال عن أنّ وروده في ديوانهم هل هو بالقهر والجبر والتقيّة أو بالاختيار دليل على أنّ الوارد بالاختيار إذا كان وروده بنيّة صالحة يحشره اللّه على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وروده وخروجه إلى الغزو بالاختيار ؛ لأنّ الحشر على نيّته إنّما هو في مورده لا في مورد الجبر والقهر، مع أ نّه لو كان وروده بنحو الجبر فلا محالة كان خروجه كذلك أيضاً ، أو بحسب النوع ، فلا يبقى مجال لنيّته والحشر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لو كان مقهوراً في الورود كان على السائل ذكر كونه مكرهاً ، وإلاّ فظاهر السؤال أ نّه كان مختاراً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شبهة في أنّ ظاهرها أنّ الورود والخروج كانا باختياره ، وأنّ الثواب والعقاب فيهما حسب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خيراً فيثاب وإن شرّاً فيعاقب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بنيّة إصلاح حال الشيعة والإحسان إليهم يحتاج إلى مخصّص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 مقابل المسلم الناصب ، وهو غير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عليه ، لا يدلّ على كونه مثاباً مع نيّة الخير ، فإنّ الثواب لا يكون إلاّ مع الولاية</w:t>
      </w:r>
    </w:p>
    <w:p>
      <w:pPr>
        <w:pStyle w:val="BookText"/>
        <w:rPr/>
      </w:pPr>
      <w:r>
        <w:rPr>
          <w:rFonts w:ascii="IRNazanin" w:hAnsi="IRNazanin" w:eastAsia="IRNazanin"/>
          <w:color w:val="111111"/>
          <w:sz w:val="28"/>
          <w:sz w:val="28"/>
          <w:szCs w:val="28"/>
          <w:rtl w:val="true"/>
          <w:lang w:bidi="fa-IR"/>
        </w:rPr>
        <w:t xml:space="preserve">والتصديق بإمامتهم علیهم السلام ، بل مع إطلاقها بالنسبة إلينا وإلى غيرنا يشكل أيضاً استفادة الحكم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الاحتمال بعيد ؛ لأنّ الظاهر أنّ السائل في الفقرة الاُولى كان شيعياً ، وفي الفقرة الثانية كان السائل هو الحلبي ، ومن البعيد جدّاً أن يسأل الشيعي ، سيّما مثل الحلبي العريق في التشيّع خلفاً عن سلف وأباً عن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المخالف بعد موته لأجل الدخول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السؤال عن حال الشيعي بأنّ ذلك موجب لعقوبته؟ ولو كان المراد بالسؤال معرفة حكم المسألة فلا وجه للسؤال عن عمل غيرنا ، فإنّ فقهاء أصحابنا كانوا يسألون المسائل ويحفظونها في اُصولهم للبثّ في الشيعة ، فلا وجه للسؤال عن حال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قوله في ذيل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يعطي اللّه العباد على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يكشف المراد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ويدفع الاحتمال المتقدّم ، بل هو كبرى كلّية لإفادة أنّ الأجر بحسب النيّات ، ولا شبهة في أ نّه راجع إلى من يليق بإعطاء الثواب والأجر عليه ، وهو الشيعي بحسب اُصول المذهب ، فلا ينبغي الإشكال في أنّ السؤال عن الرجل من هذه العصابة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الواردة في جواز الدخول مع نيّة الإحسان إلى الإخوان ، وقد مرّت جملة منها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إلغاء الخصوصية منها ، أو دعوى الفحوى والأولوية القطعية ، فإنّ الأمر بالمعروف والنهي عن المنكر فريضة عظيمة ، فكيف يمكن جواز الدخول لصلة الإخوان المستحبّة ، وعدم جوازه مع توقّف فريضة عظيمة عليه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الواردة في الجواز على كثرتها ضعيفة سنداً ، لكنّ الوثوق والاطمئنان حاصل بصدور بعضها إجمالاً ، فلا بدّ من الأخذ بأخصّها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الجواز مطلقاً ، كرواية صفوان بن مهران</w:t>
      </w:r>
      <w:r>
        <w:rPr>
          <w:rStyle w:val="FootnoteAnchor"/>
          <w:rtl w:val="true"/>
        </w:rPr>
        <w:footnoteReference w:id="547"/>
      </w:r>
      <w:r>
        <w:rPr>
          <w:rFonts w:ascii="Amiri" w:hAnsi="Amiri" w:eastAsia="Amiri" w:cs="Amiri"/>
          <w:color w:val="111111"/>
          <w:sz w:val="28"/>
          <w:sz w:val="28"/>
          <w:szCs w:val="28"/>
          <w:rtl w:val="true"/>
          <w:lang w:bidi="ar-SA"/>
        </w:rPr>
        <w:t>، ورواية إسحاق بن عمّار</w:t>
      </w:r>
      <w:r>
        <w:rPr>
          <w:rStyle w:val="FootnoteAnchor"/>
          <w:rtl w:val="true"/>
        </w:rPr>
        <w:footnoteReference w:id="548"/>
      </w:r>
      <w:r>
        <w:rPr>
          <w:rFonts w:ascii="Amiri" w:hAnsi="Amiri" w:eastAsia="Amiri" w:cs="Amiri"/>
          <w:color w:val="111111"/>
          <w:sz w:val="28"/>
          <w:sz w:val="28"/>
          <w:szCs w:val="28"/>
          <w:rtl w:val="true"/>
          <w:lang w:bidi="ar-SA"/>
        </w:rPr>
        <w:t xml:space="preserve">المرويّتين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منهما جوازه ؛ لكونه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مع نيّة الإحسان إلى أهل ولايته إذا دخل على معرفة وبصيرة ، كرواية الوليد بن صبيح</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لإعزاز المؤمن أو فكّ أسره أو قضاء دينه ، كرواية زياد بن أبي سلمة</w:t>
      </w:r>
      <w:r>
        <w:rPr>
          <w:rStyle w:val="FootnoteAnchor"/>
          <w:rtl w:val="true"/>
        </w:rPr>
        <w:footnoteReference w:id="550"/>
      </w:r>
      <w:r>
        <w:rPr>
          <w:rFonts w:ascii="IRNazanin" w:hAnsi="IRNazanin" w:eastAsia="IRNazanin"/>
          <w:color w:val="111111"/>
          <w:sz w:val="28"/>
          <w:sz w:val="28"/>
          <w:szCs w:val="28"/>
          <w:rtl w:val="true"/>
          <w:lang w:bidi="fa-IR"/>
        </w:rPr>
        <w:t>، وصفوان بن مهران</w:t>
      </w:r>
      <w:r>
        <w:rPr>
          <w:rStyle w:val="FootnoteAnchor"/>
          <w:rtl w:val="true"/>
        </w:rPr>
        <w:footnoteReference w:id="551"/>
      </w:r>
      <w:r>
        <w:rPr>
          <w:rFonts w:ascii="Amiri" w:hAnsi="Amiri" w:eastAsia="Amiri" w:cs="Amiri"/>
          <w:color w:val="111111"/>
          <w:sz w:val="28"/>
          <w:sz w:val="28"/>
          <w:szCs w:val="28"/>
          <w:rtl w:val="true"/>
          <w:lang w:bidi="ar-SA"/>
        </w:rPr>
        <w:t>وعلي بن رئاب</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هذه الطائفة الجواز لشيء من منافع الشيعة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لإعزاز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الغاية للدخول إذا كانت نحو ذلك يجوز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الإعزاز ونحوه غاية محرّكة لا يمكن إلاّ مع العلم أو </w:t>
      </w:r>
    </w:p>
    <w:p>
      <w:pPr>
        <w:pStyle w:val="BookText"/>
        <w:rPr/>
      </w:pPr>
      <w:r>
        <w:rPr>
          <w:rFonts w:ascii="Amiri" w:hAnsi="Amiri" w:eastAsia="Amiri" w:cs="Amiri"/>
          <w:color w:val="111111"/>
          <w:sz w:val="28"/>
          <w:sz w:val="28"/>
          <w:szCs w:val="28"/>
          <w:rtl w:val="true"/>
          <w:lang w:bidi="ar-SA"/>
        </w:rPr>
        <w:t xml:space="preserve">الوثوق والاطمئنان بأنّ الدخول فيها يمكّنه منه ، وإلاّ فمع احتماله أو ظنّه لا يمكن أن يصير الإعزاز غاية بل يكون رجاؤه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جوازه إذا وصل إخوانه وعضد أهل ولايته ، كما في رواية أبي الجارود</w:t>
      </w:r>
      <w:r>
        <w:rPr>
          <w:rStyle w:val="FootnoteAnchor"/>
          <w:rtl w:val="true"/>
        </w:rPr>
        <w:footnoteReference w:id="553"/>
      </w:r>
      <w:r>
        <w:rPr>
          <w:rFonts w:ascii="Amiri" w:hAnsi="Amiri" w:eastAsia="Amiri" w:cs="Amiri"/>
          <w:color w:val="111111"/>
          <w:sz w:val="28"/>
          <w:sz w:val="28"/>
          <w:szCs w:val="28"/>
          <w:rtl w:val="true"/>
          <w:lang w:bidi="ar-SA"/>
        </w:rPr>
        <w:t>، أو إذا واسى إخوانه ، وأنصف المظلوم ، وأغاث الملهوف من أهل ولايته ، كما في رواية محمّد بن سنان</w:t>
      </w:r>
      <w:r>
        <w:rPr>
          <w:rStyle w:val="FootnoteAnchor"/>
          <w:rtl w:val="true"/>
        </w:rPr>
        <w:footnoteReference w:id="554"/>
      </w:r>
      <w:r>
        <w:rPr>
          <w:rFonts w:ascii="Amiri" w:hAnsi="Amiri" w:eastAsia="Amiri" w:cs="Amiri"/>
          <w:color w:val="111111"/>
          <w:sz w:val="28"/>
          <w:sz w:val="28"/>
          <w:szCs w:val="28"/>
          <w:rtl w:val="true"/>
          <w:lang w:bidi="ar-SA"/>
        </w:rPr>
        <w:t>، أو إذا وصل إخوانه ، وعاد أهل ولايته ، كما في رواية أبي الجارود الاُخرى</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باختلاف التعابير على أنّ للّه في أبواب الظلمة من يدفع عن أوليائه ، كمرسلة الصدوق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xml:space="preserve">، ومرسلته الاُخرى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 وروايات محمّد بن عيسى بن يقطين</w:t>
      </w:r>
      <w:r>
        <w:rPr>
          <w:rStyle w:val="FootnoteAnchor"/>
          <w:rtl w:val="true"/>
        </w:rPr>
        <w:footnoteReference w:id="558"/>
      </w:r>
      <w:r>
        <w:rPr>
          <w:rFonts w:ascii="Amiri" w:hAnsi="Amiri" w:eastAsia="Amiri" w:cs="Amiri"/>
          <w:color w:val="111111"/>
          <w:sz w:val="28"/>
          <w:sz w:val="28"/>
          <w:szCs w:val="28"/>
          <w:rtl w:val="true"/>
          <w:lang w:bidi="ar-SA"/>
        </w:rPr>
        <w:t>، وسدير</w:t>
      </w:r>
      <w:r>
        <w:rPr>
          <w:rStyle w:val="FootnoteAnchor"/>
          <w:rtl w:val="true"/>
        </w:rPr>
        <w:footnoteReference w:id="559"/>
      </w:r>
      <w:r>
        <w:rPr>
          <w:rFonts w:ascii="IRNazanin" w:hAnsi="IRNazanin" w:eastAsia="IRNazanin"/>
          <w:color w:val="111111"/>
          <w:sz w:val="28"/>
          <w:sz w:val="28"/>
          <w:szCs w:val="28"/>
          <w:rtl w:val="true"/>
          <w:lang w:bidi="fa-IR"/>
        </w:rPr>
        <w:t>، وهشام بن سالم</w:t>
      </w:r>
      <w:r>
        <w:rPr>
          <w:rStyle w:val="FootnoteAnchor"/>
          <w:rtl w:val="true"/>
        </w:rPr>
        <w:footnoteReference w:id="5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والمفضّل بن عمر</w:t>
      </w:r>
      <w:r>
        <w:rPr>
          <w:rStyle w:val="FootnoteAnchor"/>
          <w:rtl w:val="true"/>
        </w:rPr>
        <w:footnoteReference w:id="561"/>
      </w:r>
      <w:r>
        <w:rPr>
          <w:rFonts w:ascii="Amiri" w:hAnsi="Amiri" w:eastAsia="Amiri" w:cs="Amiri"/>
          <w:color w:val="111111"/>
          <w:sz w:val="28"/>
          <w:sz w:val="28"/>
          <w:szCs w:val="28"/>
          <w:rtl w:val="true"/>
          <w:lang w:bidi="ar-SA"/>
        </w:rPr>
        <w:t>، ومهران بن محمّد بن أبي نصر</w:t>
      </w:r>
      <w:r>
        <w:rPr>
          <w:rStyle w:val="FootnoteAnchor"/>
          <w:rtl w:val="true"/>
        </w:rPr>
        <w:footnoteReference w:id="562"/>
      </w:r>
      <w:r>
        <w:rPr>
          <w:rFonts w:ascii="Amiri" w:hAnsi="Amiri" w:eastAsia="Amiri" w:cs="Amiri"/>
          <w:color w:val="111111"/>
          <w:sz w:val="28"/>
          <w:sz w:val="28"/>
          <w:szCs w:val="28"/>
          <w:rtl w:val="true"/>
          <w:lang w:bidi="ar-SA"/>
        </w:rPr>
        <w:t xml:space="preserve">، وحمران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ومن جملتها صحيحة علي بن يقطين</w:t>
      </w:r>
      <w:r>
        <w:rPr>
          <w:rStyle w:val="FootnoteAnchor"/>
          <w:rtl w:val="true"/>
        </w:rPr>
        <w:footnoteReference w:id="564"/>
      </w:r>
      <w:r>
        <w:rPr>
          <w:rFonts w:ascii="Amiri" w:hAnsi="Amiri" w:eastAsia="Amiri" w:cs="Amiri"/>
          <w:color w:val="111111"/>
          <w:sz w:val="28"/>
          <w:sz w:val="28"/>
          <w:szCs w:val="28"/>
          <w:rtl w:val="true"/>
          <w:lang w:bidi="ar-SA"/>
        </w:rPr>
        <w:t xml:space="preserve">لكن هي بنفسها لا تدلّ على المطلوب، والقرائن الشاهدة على كونها مربوطة به من الضعاف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الاستناد في كون سائر تلك الطائفة كذلك لأجل قرينيتها ، كرواية محمّد بن عيسى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يقطين إلى أبي الحسن علیه السلام في الخروج من عمل السلطان ، فأجابه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أرى لك الخروج من عمل السلطان ، فإنّ للّه عزّ وجلّ بأبواب الجبابرة من يدفع بهم عن أوليائه ، وهم عتقاؤه من النار ، فاتّق اللّه في إخوانك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كما قال</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روايات اُخر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أنّ الدخول في أعمالهم والبقاء فيها جائز ، بل راجح للدفع عن أوليائه تعالى ، وأنّ عدم إجازته للخروج لذلك لا للخوف عليه من شرّ السلطان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يبعد ذلك الاحتمال في رواية اُخرى عنه تتضمّن الإذن للهرب من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كما قال</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أيضاً ما اشتملت على السؤال عن أنّ قوماً من الموالي يدخلون في عملهم ولا يؤثرون على إخوانهم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كرواية السيّاري</w:t>
      </w:r>
      <w:r>
        <w:rPr>
          <w:rStyle w:val="FootnoteAnchor"/>
          <w:rtl w:val="true"/>
        </w:rPr>
        <w:footnoteReference w:id="568"/>
      </w:r>
      <w:r>
        <w:rPr>
          <w:rFonts w:ascii="IRNazanin" w:hAnsi="IRNazanin" w:eastAsia="IRNazanin"/>
          <w:color w:val="111111"/>
          <w:sz w:val="28"/>
          <w:sz w:val="28"/>
          <w:szCs w:val="28"/>
          <w:rtl w:val="true"/>
          <w:lang w:bidi="fa-IR"/>
        </w:rPr>
        <w:t xml:space="preserve">عن علي بن جعفر في مكاتبته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منها أيضاً جواز الدخول لذلك ، وهي أيضاً قرينة على المراد في الروايات 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من الأخذ بأخصّ مضموناً منها ، والظاهر أنّ المتيقّن منها جواز الدخول مع العلم بأنّ في دخوله يدفع عن الشيعة ويحفظ منافعهم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مجموع تلك الروايات الكثيرة جدّاً المتقاربة المضمون ، يحصل الاطمئنان بجواز الدخول لذلك مع علمه بتوفيقه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الحسن بن الحسين الأنباري المتقدّمة</w:t>
      </w:r>
      <w:r>
        <w:rPr>
          <w:rStyle w:val="FootnoteAnchor"/>
          <w:rtl w:val="true"/>
        </w:rPr>
        <w:footnoteReference w:id="569"/>
      </w:r>
      <w:r>
        <w:rPr>
          <w:rFonts w:ascii="Amiri" w:hAnsi="Amiri" w:eastAsia="Amiri" w:cs="Amiri"/>
          <w:color w:val="111111"/>
          <w:sz w:val="28"/>
          <w:sz w:val="28"/>
          <w:szCs w:val="28"/>
          <w:rtl w:val="true"/>
          <w:lang w:bidi="ar-SA"/>
        </w:rPr>
        <w:t>وإن كانت أخصّ منها ، لكن قد تقدّم</w:t>
      </w:r>
      <w:r>
        <w:rPr>
          <w:rStyle w:val="FootnoteAnchor"/>
          <w:rtl w:val="true"/>
        </w:rPr>
        <w:footnoteReference w:id="570"/>
      </w:r>
      <w:r>
        <w:rPr>
          <w:rFonts w:ascii="IRNazanin" w:hAnsi="IRNazanin" w:eastAsia="IRNazanin"/>
          <w:color w:val="111111"/>
          <w:sz w:val="28"/>
          <w:sz w:val="28"/>
          <w:szCs w:val="28"/>
          <w:rtl w:val="true"/>
          <w:lang w:bidi="fa-IR"/>
        </w:rPr>
        <w:t xml:space="preserve">أنّ الظاهر منها أنّ أبا الحسن علیه السلام لم يصدّقه في دعواه ، وعلّق الجواز على أمر غير ممكن في العادة ، ولعلّه لخصوصية فيه عرفها منه </w:t>
      </w:r>
      <w:r>
        <w:rPr>
          <w:rFonts w:eastAsia="IRNazanin" w:cs="IRNazanin"/>
          <w:color w:val="111111"/>
          <w:sz w:val="28"/>
          <w:szCs w:val="28"/>
          <w:rtl w:val="true"/>
          <w:lang w:bidi="fa-IR"/>
        </w:rPr>
        <w:t xml:space="preserve">. </w:t>
      </w:r>
      <w:bookmarkStart w:id="157" w:name="pg15162_155500"/>
    </w:p>
    <w:p>
      <w:pPr>
        <w:pStyle w:val="Heading3"/>
        <w:numPr>
          <w:ilvl w:val="2"/>
          <w:numId w:val="1"/>
        </w:numPr>
        <w:rPr/>
      </w:pPr>
      <w:bookmarkStart w:id="158" w:name="__RefHeading___Toc1955450_2142443653"/>
      <w:bookmarkStart w:id="159" w:name="_Toc56"/>
      <w:bookmarkEnd w:id="157"/>
      <w:bookmarkEnd w:id="158"/>
      <w:r>
        <w:rPr>
          <w:rtl w:val="true"/>
        </w:rPr>
        <w:t>هل يمكن إلغاء الخصوصية من مورد الجواز أم لا ؟</w:t>
      </w:r>
      <w:bookmarkEnd w:id="159"/>
    </w:p>
    <w:p>
      <w:pPr>
        <w:pStyle w:val="BookText"/>
        <w:rPr/>
      </w:pPr>
      <w:r>
        <w:rPr>
          <w:rFonts w:ascii="Amiri" w:hAnsi="Amiri" w:eastAsia="Amiri" w:cs="Amiri"/>
          <w:color w:val="111111"/>
          <w:sz w:val="28"/>
          <w:sz w:val="28"/>
          <w:szCs w:val="28"/>
          <w:rtl w:val="true"/>
          <w:lang w:bidi="ar-SA"/>
        </w:rPr>
        <w:t>ثمّ إنّه يقع الكلام في أ نّه هل يمكن إلغاء الخصوصية منها ، أو القطع بالأولوية وإسراء الحكم إلى كلّ مصلحة أو نيّة حسنة ، أو إلى خصوص مورد التمكّن من الأمر بالمعروف والنهي عن المنكر مطلقاً ، أو مع العلم أو الوثوق بالتأثير ؟</w:t>
      </w:r>
    </w:p>
    <w:p>
      <w:pPr>
        <w:pStyle w:val="BookText"/>
        <w:rPr/>
      </w:pPr>
      <w:r>
        <w:rPr>
          <w:rFonts w:ascii="Amiri" w:hAnsi="Amiri" w:eastAsia="Amiri" w:cs="Amiri"/>
          <w:color w:val="111111"/>
          <w:sz w:val="28"/>
          <w:sz w:val="28"/>
          <w:szCs w:val="28"/>
          <w:rtl w:val="true"/>
          <w:lang w:bidi="ar-SA"/>
        </w:rPr>
        <w:t>فيه تردّد ؛ من حيث إنّه لو كان مطلق المصالح سيّما التمكّن منهما من المجوّزات أو الموجبات للدخول في سلطانهم ، لأشاروا إليه في تلك الروايات الكثيرة جدّاً ، مع كون الأمر بالمعروف والنهي عن المنكر من الفرائض المهمّة العظيمة ، ولم ينهوا عن الدخول بنحو مطلق تارةً وبنحو الحصر اُخرى في مواضع كثيرة ، ومعه كيف يمكن إلغاء الخصوصية أو دعوى الأولوية القطعية ؟</w:t>
      </w:r>
    </w:p>
    <w:p>
      <w:pPr>
        <w:pStyle w:val="BookText"/>
        <w:rPr/>
      </w:pPr>
      <w:r>
        <w:rPr>
          <w:rFonts w:ascii="Amiri" w:hAnsi="Amiri" w:eastAsia="Amiri" w:cs="Amiri"/>
          <w:color w:val="111111"/>
          <w:sz w:val="28"/>
          <w:sz w:val="28"/>
          <w:szCs w:val="28"/>
          <w:rtl w:val="true"/>
          <w:lang w:bidi="ar-SA"/>
        </w:rPr>
        <w:t>بل مع تظافر الروايات الدالّة على الحرمة ، إلاّ في مورد كان الورود لأجل مصالح الشيعة والدفع عنهم ، تقيّد صحيحة الحلبي</w:t>
      </w:r>
      <w:r>
        <w:rPr>
          <w:rStyle w:val="FootnoteAnchor"/>
          <w:rtl w:val="true"/>
        </w:rPr>
        <w:footnoteReference w:id="571"/>
      </w:r>
      <w:r>
        <w:rPr>
          <w:rFonts w:ascii="Amiri" w:hAnsi="Amiri" w:eastAsia="Amiri" w:cs="Amiri"/>
          <w:color w:val="111111"/>
          <w:sz w:val="28"/>
          <w:sz w:val="28"/>
          <w:szCs w:val="28"/>
          <w:rtl w:val="true"/>
          <w:lang w:bidi="ar-SA"/>
        </w:rPr>
        <w:t xml:space="preserve">، بناءً على إطلاقها لمطلق نيّة الخير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احتمال أن يكون التسويغ للورود في سلطانهم في تلك الأعصار تسويغاً سياسياً لمصلحة بقاء المذهب ، فإنّ الطائفة المحقّة في ذلك العصر كانت تحت سلطة الأعادي وكانت خلفاء الجور واُمراؤهم من ألدّ الأعداء لهذه العصابة ، فلولا دخول بعض اُمراء الشيعة وذوي جلالتهم في الحكومات ، والتولّي للاُمور لحفظ مصالحهم والصلة إليهم والدفع منهم لكان الأفراد السواد منهم في معرض الاستهلاك في الدول ، بل في معرض تزلزل الضعفاء منهم </w:t>
      </w:r>
    </w:p>
    <w:p>
      <w:pPr>
        <w:pStyle w:val="BookText"/>
        <w:rPr/>
      </w:pPr>
      <w:r>
        <w:rPr>
          <w:rFonts w:ascii="Amiri" w:hAnsi="Amiri" w:eastAsia="Amiri" w:cs="Amiri"/>
          <w:color w:val="111111"/>
          <w:sz w:val="28"/>
          <w:sz w:val="28"/>
          <w:szCs w:val="28"/>
          <w:rtl w:val="true"/>
          <w:lang w:bidi="ar-SA"/>
        </w:rPr>
        <w:t xml:space="preserve">من شدّة الضيق عليهم ، فكانت تلك المصلحة موجبة لترغيبهم في الورود في ديوانهم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تشهد لما ذكرناه التعبيرات التي في بعض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محمّد بن إسماعيل بن بزيع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بأبواب الظالمين من نوّر اللّه له البرهان ومكّن له في البلاد ، ليدفع بهم عن أوليائنا ويصلح اللّه به اُمور المسلمين ، إليهم ملجأ المؤمنين من الضرّ ، وإليهم يفزع ذو الحاجة من شيعتنا ، وبهم يؤمن اللّه روعة المؤمنين في دار الظلمة ، اُولئك هم المؤمنون حقّاً ، اُولئك اُمناء اللّه في أرضه ، أولئك نور اللّه في رعيّته</w:t>
      </w:r>
    </w:p>
    <w:p>
      <w:pPr>
        <w:pStyle w:val="BookText"/>
        <w:rPr/>
      </w:pPr>
      <w:r>
        <w:rPr>
          <w:rFonts w:ascii="Amiri" w:hAnsi="Amiri" w:eastAsia="Amiri" w:cs="Amiri"/>
          <w:color w:val="111111"/>
          <w:sz w:val="28"/>
          <w:sz w:val="28"/>
          <w:szCs w:val="28"/>
          <w:rtl w:val="true"/>
          <w:lang w:bidi="ar-SA"/>
        </w:rPr>
        <w:t>يوم القيامة ، ويزهر نورهم لأهل السماوات ، كما تزهر الكواكب الدرّية لأهل الأرض ، أولئك نورهم يوم القيامة تضيء منه القيامة ، خلقوا واللّه للجنّة وخلقت الجنّة لهم ، فهنيئاً لهم ، ما على أحدكم أن لو شاء لنال 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 فكن منهم يا محمّد</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أحمد بن محمّد السيّاري</w:t>
      </w:r>
      <w:r>
        <w:rPr>
          <w:rStyle w:val="FootnoteAnchor"/>
          <w:rtl w:val="true"/>
        </w:rPr>
        <w:footnoteReference w:id="573"/>
      </w:r>
      <w:r>
        <w:rPr>
          <w:rFonts w:ascii="Amiri" w:hAnsi="Amiri" w:eastAsia="Amiri" w:cs="Amiri"/>
          <w:color w:val="111111"/>
          <w:sz w:val="28"/>
          <w:sz w:val="28"/>
          <w:szCs w:val="28"/>
          <w:rtl w:val="true"/>
          <w:lang w:bidi="ar-SA"/>
        </w:rPr>
        <w:t xml:space="preserve">، وغيرهما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الناظر فيها لا يستبعد بأن تكون تلك الفضائل والمرغّبات لأجل مصلحة </w:t>
      </w:r>
    </w:p>
    <w:p>
      <w:pPr>
        <w:pStyle w:val="BookText"/>
        <w:rPr/>
      </w:pPr>
      <w:r>
        <w:rPr>
          <w:rFonts w:ascii="IRNazanin" w:hAnsi="IRNazanin" w:eastAsia="IRNazanin"/>
          <w:color w:val="111111"/>
          <w:sz w:val="28"/>
          <w:sz w:val="28"/>
          <w:szCs w:val="28"/>
          <w:rtl w:val="true"/>
          <w:lang w:bidi="fa-IR"/>
        </w:rPr>
        <w:t xml:space="preserve">عظيمة فوق إكرام المؤمن ، بل في رواية محمّد بن إسماعيل إشارات إلى ما ذكرناه ، ولا يلزم أن يكون تلك المصلحة موجبة لإيجاب الدخول في ديوانهم سيّما بالنحو العموم ، ولعلّه مستلزم لمفاسد ، ولعلّهم علیهم السلام ألزموا بعض أصحابنا المؤثّرين في حفظ هذا المقصد على الدخول ، كما تشهد عليه ما دلّت على منع علي بن يقطين من الخروج عن ديوانهم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رواية علي بن يقطين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 واتّق اللّه</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بعد عدم إذنه بالخروج علّله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بأبواب الجبابرة من يدفع بهم عن أوليائه</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يظهر المراد من الرواية المتقدّمة ، ويضعّف</w:t>
      </w:r>
    </w:p>
    <w:p>
      <w:pPr>
        <w:pStyle w:val="BookText"/>
        <w:rPr/>
      </w:pPr>
      <w:r>
        <w:rPr>
          <w:rFonts w:ascii="IRNazanin" w:hAnsi="IRNazanin" w:eastAsia="IRNazanin"/>
          <w:color w:val="111111"/>
          <w:sz w:val="28"/>
          <w:sz w:val="28"/>
          <w:szCs w:val="28"/>
          <w:rtl w:val="true"/>
          <w:lang w:bidi="fa-IR"/>
        </w:rPr>
        <w:t xml:space="preserve">احتمال أن يكون عدم إذنه للخوف على نفسه ، بل لا يبعد أن يكون الظاهر منهما أنّ دخوله كان بأمر منه علیه السلام وإلزامه ، لا لمحض الجواز أو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من الأدلّة جواز الدخول لإصلاح حال الشيعة</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من مجموع الروايات أنّ جواز الدخول في ديوانهم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لإصلاح حال الشيعة ، ولعلّ سرّه ضعف الشيعة وقلّة عددهم والخوف من تشتّتهم ، ولا يجب التنبيه على غايات الأحكام والمصالح الكامنة فيها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الاحتمال يكون المقام من قبيل تزاحم المقتضيات ، وترجيح اقتضاء الدخول لحفظ الشيعة على اقتضاء حرمة الدخول من غير إشكال ، </w:t>
      </w:r>
      <w:bookmarkStart w:id="160" w:name="pg15162_155503"/>
    </w:p>
    <w:p>
      <w:pPr>
        <w:pStyle w:val="BookText"/>
        <w:rPr/>
      </w:pPr>
      <w:bookmarkEnd w:id="160"/>
      <w:r>
        <w:rPr>
          <w:rFonts w:ascii="Amiri" w:hAnsi="Amiri" w:eastAsia="Amiri" w:cs="Amiri"/>
          <w:color w:val="111111"/>
          <w:sz w:val="28"/>
          <w:sz w:val="28"/>
          <w:szCs w:val="28"/>
          <w:rtl w:val="true"/>
          <w:lang w:bidi="ar-SA"/>
        </w:rPr>
        <w:t xml:space="preserve">وتوجّه الروايات القائلة بأنّ قضاء حوائج الإخوان ونحوه كفّارة عمل السلطان ، سيّما على ما بنينا عليه من بقاء المزاحم المهمّ على حرمته مع مزاحمته للأهمّ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على هذا الاحتمال لا يصحّ إلغاء الخصوصية بالنسبة إلى مطلق مصلحة ، ولا دعوى الأولوية القطعية في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وإن كان مخالفاً لظاهر بعض الروايات غير المعتمدة ، لكنّ الاتّكال في المقام على استفادة الحكم من مجموع الروايات الضعاف التي حصل الوثوق بصدور بعضها ، ونتيجته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فإسراء الحكم إلى جواز التولّي في ديوانهم للأمر بالمعروف والنهي عن المنكر مشكل ، بل غير صحيح حتّى في صورة العلم بأ نّه مع تولّيه يدفع ارتكاب منكر معمول وترك معروف متروك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الأخبار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955452_2142443653"/>
      <w:bookmarkStart w:id="162" w:name="_Toc57"/>
      <w:bookmarkEnd w:id="161"/>
      <w:r>
        <w:rPr>
          <w:rtl w:val="true"/>
        </w:rPr>
        <w:t>ذكر كلمات الأصحاب في المقام</w:t>
      </w:r>
      <w:bookmarkEnd w:id="1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كلمات الأصحاب وإن توافقت ظاهراً من زمن شيخ الطائفة على اختلاف التعابير بجوازه ، لكن لا يظهر منها الإجماع أو الشهرة على جوازه لخصوص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الخلاف فيه ، وهو غير صحيح ؛ لأنّ دعواه ذلك في مسألة اُخرى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السلطان الجائر فلا يجوز الولاية منه مختاراً ، إلاّ مع علم التمكّن من الأمر بالمعروف والنهي عن المنكر ، وقسمة الأخماس والصدقات على مستحقّهما ، وصلة الإخوان ، ولا يكون في ذلك مرتكباً للمآثم أو غلبة الظنّ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p>
    <w:p>
      <w:pPr>
        <w:pStyle w:val="BookText"/>
        <w:rPr/>
      </w:pPr>
      <w:r>
        <w:rPr>
          <w:rFonts w:ascii="Amiri" w:hAnsi="Amiri" w:eastAsia="Amiri" w:cs="Amiri"/>
          <w:color w:val="111111"/>
          <w:sz w:val="28"/>
          <w:sz w:val="28"/>
          <w:szCs w:val="28"/>
          <w:rtl w:val="true"/>
          <w:lang w:bidi="ar-SA"/>
        </w:rPr>
        <w:t>انتفى العلم والظنّ معاً فلا يجوز الولاية من قبل الجائر بلا خلاف</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دعواه عدم الخلاف راجعة إلى مورد انتفاء العلم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الرجوع إلى جميع ما تقدّم مقطوع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عن ذلك كلّه</w:t>
      </w:r>
      <w:r>
        <w:rPr>
          <w:rStyle w:val="FootnoteAnchor"/>
          <w:rtl w:val="true"/>
        </w:rPr>
        <w:footnoteReference w:id="578"/>
      </w:r>
      <w:r>
        <w:rPr>
          <w:rFonts w:ascii="Amiri" w:hAnsi="Amiri" w:eastAsia="Amiri" w:cs="Amiri"/>
          <w:color w:val="111111"/>
          <w:sz w:val="28"/>
          <w:sz w:val="28"/>
          <w:szCs w:val="28"/>
          <w:rtl w:val="true"/>
          <w:lang w:bidi="ar-SA"/>
        </w:rPr>
        <w:t xml:space="preserve">، ليس موافقاً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الراوندي</w:t>
      </w:r>
      <w:r>
        <w:rPr>
          <w:rStyle w:val="FootnoteAnchor"/>
          <w:rtl w:val="true"/>
        </w:rPr>
        <w:footnoteReference w:id="579"/>
      </w:r>
      <w:r>
        <w:rPr>
          <w:rFonts w:ascii="Amiri" w:hAnsi="Amiri" w:eastAsia="Amiri" w:cs="Amiri"/>
          <w:color w:val="111111"/>
          <w:sz w:val="28"/>
          <w:sz w:val="28"/>
          <w:szCs w:val="28"/>
          <w:rtl w:val="true"/>
          <w:lang w:bidi="ar-SA"/>
        </w:rPr>
        <w:t xml:space="preserve">الإجماع إنّما هي فيما إذا تمكّن مع التولّي من إيصال الحقّ لمستحقّه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 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والمحقّق</w:t>
      </w:r>
      <w:r>
        <w:rPr>
          <w:rStyle w:val="FootnoteAnchor"/>
          <w:rtl w:val="true"/>
        </w:rPr>
        <w:footnoteReference w:id="582"/>
      </w:r>
      <w:r>
        <w:rPr>
          <w:rFonts w:ascii="Amiri" w:hAnsi="Amiri" w:eastAsia="Amiri" w:cs="Amiri"/>
          <w:color w:val="111111"/>
          <w:sz w:val="28"/>
          <w:sz w:val="28"/>
          <w:szCs w:val="28"/>
          <w:rtl w:val="true"/>
          <w:lang w:bidi="ar-SA"/>
        </w:rPr>
        <w:t>، والعلاّمة</w:t>
      </w:r>
      <w:r>
        <w:rPr>
          <w:rStyle w:val="FootnoteAnchor"/>
          <w:rtl w:val="true"/>
        </w:rPr>
        <w:footnoteReference w:id="583"/>
      </w:r>
      <w:r>
        <w:rPr>
          <w:rFonts w:ascii="IRNazanin" w:hAnsi="IRNazanin" w:eastAsia="IRNazanin"/>
          <w:color w:val="111111"/>
          <w:sz w:val="28"/>
          <w:sz w:val="28"/>
          <w:szCs w:val="28"/>
          <w:rtl w:val="true"/>
          <w:lang w:bidi="fa-IR"/>
        </w:rPr>
        <w:t>، ومن تأخّر منهم</w:t>
      </w:r>
      <w:r>
        <w:rPr>
          <w:rStyle w:val="FootnoteAnchor"/>
          <w:rtl w:val="true"/>
        </w:rPr>
        <w:footnoteReference w:id="584"/>
      </w:r>
      <w:r>
        <w:rPr>
          <w:rFonts w:ascii="Amiri" w:hAnsi="Amiri" w:eastAsia="Amiri" w:cs="Amiri"/>
          <w:color w:val="111111"/>
          <w:sz w:val="28"/>
          <w:sz w:val="28"/>
          <w:szCs w:val="28"/>
          <w:rtl w:val="true"/>
          <w:lang w:bidi="ar-SA"/>
        </w:rPr>
        <w:t xml:space="preserve">جوازه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بعدم ثبوت إجماع معتبر أو شهرة معتمدة من ذلك ، سيّما مع كون المسألة ممّا كثرت فيها الأدلّة والروايات ، ولا يظنّ أن يكون لهم مستند سواها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تطابق فتاوى من عرفت يسلب الجرأة على المخالفة ، فالمسألة محلّ تردّد </w:t>
      </w:r>
      <w:r>
        <w:rPr>
          <w:rFonts w:eastAsia="Amiri" w:cs="Amiri" w:ascii="Amiri" w:hAnsi="Amiri"/>
          <w:color w:val="111111"/>
          <w:sz w:val="28"/>
          <w:szCs w:val="28"/>
          <w:rtl w:val="true"/>
          <w:lang w:bidi="ar-SA"/>
        </w:rPr>
        <w:t xml:space="preserve">. </w:t>
      </w:r>
      <w:bookmarkStart w:id="163" w:name="pg15162_155505"/>
    </w:p>
    <w:p>
      <w:pPr>
        <w:pStyle w:val="Heading3"/>
        <w:numPr>
          <w:ilvl w:val="2"/>
          <w:numId w:val="1"/>
        </w:numPr>
        <w:rPr/>
      </w:pPr>
      <w:bookmarkStart w:id="164" w:name="__RefHeading___Toc1955454_2142443653"/>
      <w:bookmarkStart w:id="165" w:name="_Toc58"/>
      <w:bookmarkEnd w:id="163"/>
      <w:bookmarkEnd w:id="164"/>
      <w:r>
        <w:rPr>
          <w:rtl w:val="true"/>
        </w:rPr>
        <w:t xml:space="preserve">الأمر الثاني ممّا يسوّغ الولاية </w:t>
      </w:r>
      <w:r>
        <w:rPr>
          <w:rtl w:val="true"/>
        </w:rPr>
        <w:t xml:space="preserve">: </w:t>
      </w:r>
      <w:r>
        <w:rPr>
          <w:rtl w:val="true"/>
        </w:rPr>
        <w:t>العذر</w:t>
      </w:r>
      <w:bookmarkEnd w:id="165"/>
    </w:p>
    <w:p>
      <w:pPr>
        <w:pStyle w:val="Heading4"/>
        <w:numPr>
          <w:ilvl w:val="3"/>
          <w:numId w:val="1"/>
        </w:numPr>
        <w:rPr/>
      </w:pPr>
      <w:bookmarkStart w:id="166" w:name="__RefHeading___Toc1955456_2142443653"/>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الثاني ممّا يسوّغ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 ، كالاضطرار أو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أو الإكراه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أولى من جعل الثاني خصوص الإكراه ، فإنّه على ذلك يزيد المستثنى ممّا ذكر ؛ ضرورة جواز الدخول مع التقيّة ، وهي غير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الجواز معها عمومات التقيّة</w:t>
      </w:r>
      <w:r>
        <w:rPr>
          <w:rStyle w:val="FootnoteAnchor"/>
          <w:rtl w:val="true"/>
        </w:rPr>
        <w:footnoteReference w:id="585"/>
      </w:r>
      <w:r>
        <w:rPr>
          <w:rFonts w:ascii="Amiri" w:hAnsi="Amiri" w:eastAsia="Amiri" w:cs="Amiri"/>
          <w:color w:val="111111"/>
          <w:sz w:val="28"/>
          <w:sz w:val="28"/>
          <w:szCs w:val="28"/>
          <w:rtl w:val="true"/>
          <w:lang w:bidi="ar-SA"/>
        </w:rPr>
        <w:t>، وخصوص رواية مسعدة المتقدّمة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الاضطرار ، وهو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الجواز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حديث الرفع</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أبي عبداللّه علیه السلام ، سُئل عن أعمال السلطان يخرج فيه الرجل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إلاّ أن لا يقدر على شيء يأكل ولا يشرب ، ولا يقدر على حيلة ، فإن فعل فصار في يده شيء فليبعث بخمسه إلى أهل البيت</w:t>
      </w:r>
      <w:r>
        <w:rPr>
          <w:rFonts w:eastAsia="IRNazanin" w:cs="IRNazanin"/>
          <w:color w:val="111111"/>
          <w:sz w:val="28"/>
          <w:szCs w:val="28"/>
          <w:rtl w:val="true"/>
          <w:lang w:bidi="fa-IR"/>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يدلّ على الجواز مع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الأدلّة العامّة</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بعض الروايات المتقدّمة</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168" w:name="pg15162_155506"/>
    </w:p>
    <w:p>
      <w:pPr>
        <w:pStyle w:val="Heading4"/>
        <w:numPr>
          <w:ilvl w:val="3"/>
          <w:numId w:val="1"/>
        </w:numPr>
        <w:rPr/>
      </w:pPr>
      <w:bookmarkStart w:id="169" w:name="__RefHeading___Toc1955458_2142443653"/>
      <w:bookmarkStart w:id="170" w:name="_Toc60"/>
      <w:bookmarkEnd w:id="168"/>
      <w:bookmarkEnd w:id="169"/>
      <w:r>
        <w:rPr>
          <w:rtl w:val="true"/>
        </w:rPr>
        <w:t>التنبيه الأوّل شمول أدلّة الإكراه لمطلق المحرّمات</w:t>
      </w:r>
      <w:bookmarkEnd w:id="170"/>
    </w:p>
    <w:p>
      <w:pPr>
        <w:pStyle w:val="Heading5"/>
        <w:numPr>
          <w:ilvl w:val="4"/>
          <w:numId w:val="1"/>
        </w:numPr>
        <w:rPr/>
      </w:pPr>
      <w:bookmarkStart w:id="171" w:name="__RefHeading___Toc1955460_2142443653"/>
      <w:bookmarkStart w:id="172" w:name="_Toc61"/>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 xml:space="preserve">كما يباح بالإكراه نفس الولاية المحرّمة يباح به ما يلزمها من المحرّمات الاُخر ، سواء كانت لازمة لمنصبها ممّا لا تنفكّ عنه أو يقع الإكراه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الإجمال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أنّ الأدلّة الدالّة على الجواز كحديث الرفع وغيره ، هل لها إطلاق بالنسبة إلى جميع المحرّمات ؛ سواء كانت حقّ اللّه محضاً أم من حقوق الناس أيضاً ، دماً كان أو عرضاً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تختصّ بخصوص حقّ اللّه ولا تشمل حقّ الناس ولو كان قليلاً وكان الإيعاد على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بين العظائم والمهمّات وغيرها ، سواء كانت من حقّ اللّه تعالى أو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بين المهمّات وغيرها في حقّ اللّه مع الاختصاص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يفصّل بين ما إذا كان الضرر الذي أوعد به المكره أعظم ممّا أكرهه عليه فيرتفع وبين غيره ؟</w:t>
      </w:r>
    </w:p>
    <w:p>
      <w:pPr>
        <w:pStyle w:val="Heading5"/>
        <w:numPr>
          <w:ilvl w:val="4"/>
          <w:numId w:val="1"/>
        </w:numPr>
        <w:rPr/>
      </w:pPr>
      <w:bookmarkStart w:id="173" w:name="__RefHeading___Toc1955462_2142443653"/>
      <w:bookmarkStart w:id="174" w:name="_Toc62"/>
      <w:bookmarkEnd w:id="173"/>
      <w:r>
        <w:rPr>
          <w:rtl w:val="true"/>
        </w:rPr>
        <w:t>ما استدلّ به على اختصاص أدلّة الإكراه بحقّ اللّه وردّه</w:t>
      </w:r>
      <w:bookmarkEnd w:id="1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باختصاص الأدلّة بحقّ اللّه محضاً وعدم شمولها لحقّ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ويتشبّث له</w:t>
      </w:r>
      <w:r>
        <w:rPr>
          <w:rStyle w:val="FootnoteAnchor"/>
          <w:rtl w:val="true"/>
        </w:rPr>
        <w:footnoteReference w:id="591"/>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أدلّة الإكراه أنّ تشريعه لدفع الضرر </w:t>
      </w:r>
    </w:p>
    <w:p>
      <w:pPr>
        <w:pStyle w:val="BookText"/>
        <w:rPr/>
      </w:pPr>
      <w:r>
        <w:rPr>
          <w:rFonts w:ascii="Amiri" w:hAnsi="Amiri" w:eastAsia="Amiri" w:cs="Amiri"/>
          <w:color w:val="111111"/>
          <w:sz w:val="28"/>
          <w:sz w:val="28"/>
          <w:szCs w:val="28"/>
          <w:rtl w:val="true"/>
          <w:lang w:bidi="ar-SA"/>
        </w:rPr>
        <w:t xml:space="preserve">فلا يجوز دفعه بالإضرار بالغير ولو كان الإضرار أدون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الرفع</w:t>
      </w:r>
      <w:r>
        <w:rPr>
          <w:rStyle w:val="FootnoteAnchor"/>
          <w:rtl w:val="true"/>
        </w:rPr>
        <w:footnoteReference w:id="592"/>
      </w:r>
      <w:r>
        <w:rPr>
          <w:rFonts w:ascii="Amiri" w:hAnsi="Amiri" w:eastAsia="Amiri" w:cs="Amiri"/>
          <w:color w:val="111111"/>
          <w:sz w:val="28"/>
          <w:sz w:val="28"/>
          <w:szCs w:val="28"/>
          <w:rtl w:val="true"/>
          <w:lang w:bidi="ar-SA"/>
        </w:rPr>
        <w:t xml:space="preserve">مسوق للامتنان على جنس الاُمّة ، ولا حسن في الامتنان على بعضهم بترخيص الإضرار ببعض آخر ، فإذا توقّف دفع الضرر على نفسه بالإضرار بالغير لم يجز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الإكراه لو عمّ للإكراه على الإضرار بالغير ، لعمّ نفي الاضطرار له أيضاً ، فإنّ سياقهما واحد ، ولا وجه للافتراق بينهما ، والتالي باطل ؛</w:t>
      </w:r>
    </w:p>
    <w:p>
      <w:pPr>
        <w:pStyle w:val="BookText"/>
        <w:rPr/>
      </w:pPr>
      <w:r>
        <w:rPr>
          <w:rFonts w:ascii="Amiri" w:hAnsi="Amiri" w:eastAsia="Amiri" w:cs="Amiri"/>
          <w:color w:val="111111"/>
          <w:sz w:val="28"/>
          <w:sz w:val="28"/>
          <w:szCs w:val="28"/>
          <w:rtl w:val="true"/>
          <w:lang w:bidi="ar-SA"/>
        </w:rPr>
        <w:t xml:space="preserve">لقبح تشريع الإضرار بالغير لدفع ضرر نفسه ، ولهذا لم يجوّز أحد هتك أعراض الناس ونهب أموالهم إذا توقّف عليه صون عرضه وماله ، مع أ نّه يجوز ارتكاب المحرّمات وترك الواجبات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 فإذا بلغ الدم فليس تقيّة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بتقريب أنّ المستفاد منه أ نّه كلّ ما شرّعت التقيّة لحفظه إذا بلغته فلا تقيّة ، ومن المعلوم أنّ التقيّة كما شرّعت لحقن الدماء شرّعت لحفظ الأعراض والأموال أيضاً ، ومقتضاه أ نّه إذا بلغت هتك الأعراض ونهب الأموال فليس تقيّة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الأوّل والثاني بل على الجميع أنّ الاختصاص بغير ما تعلّق به حقّ الناس مخالف لمورد نزول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وَقَلْبُهُ مُطْمَئِنٌّ </w:t>
      </w:r>
    </w:p>
    <w:p>
      <w:pPr>
        <w:pStyle w:val="BookText"/>
        <w:rPr/>
      </w:pPr>
      <w:r>
        <w:rPr>
          <w:rFonts w:ascii="Amiri" w:hAnsi="Amiri" w:eastAsia="Amiri" w:cs="Amiri"/>
          <w:color w:val="111111"/>
          <w:sz w:val="28"/>
          <w:sz w:val="28"/>
          <w:szCs w:val="28"/>
          <w:rtl w:val="true"/>
          <w:lang w:bidi="ar-SA"/>
        </w:rPr>
        <w:t>بِالاْءِيمانِ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فإنّه بحسب قول المفسّرين وبعض الروايات المعتمدة نزل في قضيّة عمّار ، حيث اُكره على البراءة من النبي رحمهما اللّه وسبّه وشتمه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أعطاهم عمّار بلسانه ما أرادوا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عمّار إلى رسول اللّه رحمهما اللّه وهو يبكي فقال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 ما تركت حتّى قلت</w:t>
      </w:r>
      <w:r>
        <w:rPr>
          <w:rStyle w:val="FootnoteAnchor"/>
          <w:rtl w:val="true"/>
        </w:rPr>
        <w:footnoteReference w:id="595"/>
      </w:r>
      <w:r>
        <w:rPr>
          <w:rFonts w:ascii="Amiri" w:hAnsi="Amiri" w:eastAsia="Amiri" w:cs="Amiri"/>
          <w:color w:val="111111"/>
          <w:sz w:val="28"/>
          <w:sz w:val="28"/>
          <w:szCs w:val="28"/>
          <w:rtl w:val="true"/>
          <w:lang w:bidi="ar-SA"/>
        </w:rPr>
        <w:t xml:space="preserve">منك وذكرت آلهتهم بخير ، فجعل رسول اللّه رحمهما اللّه يمسح عينيه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الآية ، عن ابن عبّاس وقتادة</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عليه رواية مسعدة الآتية</w:t>
      </w:r>
      <w:r>
        <w:rPr>
          <w:rStyle w:val="FootnoteAnchor"/>
          <w:rtl w:val="true"/>
        </w:rPr>
        <w:footnoteReference w:id="597"/>
      </w:r>
      <w:r>
        <w:rPr>
          <w:rFonts w:ascii="Amiri" w:hAnsi="Amiri" w:eastAsia="Amiri" w:cs="Amiri"/>
          <w:color w:val="111111"/>
          <w:sz w:val="28"/>
          <w:sz w:val="28"/>
          <w:szCs w:val="28"/>
          <w:rtl w:val="true"/>
          <w:lang w:bidi="ar-SA"/>
        </w:rPr>
        <w:t xml:space="preserve">، وشأن نزول الآية لا يوجب تقييد إطلاقها أو تخصيص عمومها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شامل لمطلق الإكراه ، ولا وجه لاختصاصه بخصوص الإيعاد على القتل وإن كان شأن نزوله خاصّاً ، كما أنّ الحال كذلك في سائر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في إطلاقه ، سيّما مع كون العناية بهذه الفقرة ؛ أي الاستثناء ، كما دلّت عليه الرواية الآتية وكلمات المفسّرين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الاختصاص بحقّ اللّه مخالف لظاهر الآية ، سواء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مربوطاً بما سبق من الآيات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أَنَّهُمْ يَقُولُونَ إِنَّما يُعَلِّمُهُ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w:t>
      </w:r>
    </w:p>
    <w:p>
      <w:pPr>
        <w:pStyle w:val="BookText"/>
        <w:rPr/>
      </w:pPr>
      <w:r>
        <w:rPr>
          <w:rFonts w:ascii="Amiri" w:hAnsi="Amiri" w:eastAsia="Amiri" w:cs="Amiri"/>
          <w:color w:val="111111"/>
          <w:sz w:val="28"/>
          <w:sz w:val="28"/>
          <w:szCs w:val="28"/>
          <w:rtl w:val="true"/>
          <w:lang w:bidi="ar-SA"/>
        </w:rPr>
        <w:t xml:space="preserve">الْكَذِبَ الَّذِينَ لا يُؤمِنُونَ بِآياتِ اللّه‌ِ وَأُولئِكَ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w:t>
      </w:r>
      <w:r>
        <w:rPr>
          <w:rFonts w:eastAsia="Amiri" w:cs="Amiri" w:ascii="Amiri" w:hAnsi="Amiri"/>
          <w:color w:val="111111"/>
          <w:sz w:val="28"/>
          <w:szCs w:val="28"/>
          <w:rtl w:val="true"/>
          <w:lang w:bidi="ar-SA"/>
        </w:rPr>
        <w:t>. . .(</w:t>
      </w:r>
      <w:r>
        <w:rPr>
          <w:rStyle w:val="FootnoteAnchor"/>
          <w:rtl w:val="true"/>
        </w:rPr>
        <w:footnoteReference w:id="598"/>
      </w:r>
      <w:r>
        <w:rPr>
          <w:rFonts w:ascii="Amiri" w:hAnsi="Amiri" w:eastAsia="Amiri" w:cs="Amiri"/>
          <w:color w:val="111111"/>
          <w:sz w:val="28"/>
          <w:sz w:val="28"/>
          <w:szCs w:val="28"/>
          <w:rtl w:val="true"/>
          <w:lang w:bidi="ar-SA"/>
        </w:rPr>
        <w:t xml:space="preserve">، ويكون 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مفتر وكاذب ، هو مفتر وكاذب وكافر ، إلاّ من 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أنّ كلّ مكره ليس عليه بأس ولا يكون مورد ذمّ اللّه تعالى في الافتراء على رسول اللّه وتكذيبه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أوّل الكلام ، ويكون 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كفر باللّه بعد إيمانه بالارتداد وإيجاد أسبابه من القول والفعل ، فعليه غضب من اللّه وعذاب عظيم إلاّ من اُكره بإيجادها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الاحتمال لابدّ من أن يراد بالكفر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أسبابه ؛ أي من أوجد أسبابه ، أو الأعمّ منها حتّى يصحّ الاستثناء ، فإنّ الإكراه على الكفر الباطني والاعتقادي غير ممكن ، وعلى فرضه غير معفوّ ، كما أنّ في الآية تقييداً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 مُطْمَئِنٌّ بِالاْءِيمانِ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بالإكراه الإكراه على الأسباب ، ومقتضى إطلاقه جواز كلّ ما يوجب الكفر من تكذيب النبي رحمهما اللّه وسبّه وشتمه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مكرهاً كما تدلّ عليه الروايات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إطلاقها أيضاً رواية عمرو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تكون معتمدة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اُمّتي أربع خصال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خطأُها ، ونسيانها ، وما اُكرهوا عليه ، وما لم يطيقوا ،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w:t>
      </w:r>
      <w:r>
        <w:rPr>
          <w:rFonts w:eastAsia="Amiri" w:cs="Amiri" w:ascii="Amiri" w:hAnsi="Amiri"/>
          <w:color w:val="111111"/>
          <w:sz w:val="28"/>
          <w:szCs w:val="28"/>
          <w:rtl w:val="true"/>
          <w:lang w:bidi="ar-SA"/>
        </w:rPr>
        <w:t>. . .(</w:t>
      </w:r>
      <w:r>
        <w:rPr>
          <w:rStyle w:val="FootnoteAnchor"/>
          <w:rtl w:val="true"/>
        </w:rPr>
        <w:footnoteReference w:id="600"/>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العيّاشي عنه علیه السلام نحوها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تدلّ على أ نّه تعالى رفع عن الاُمّة ما اُكرهوا عليه مطلقاً بمقتضى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دلالة الآية أيضاً على رفع مطلق ما اُكرهوا عليه بأنّ الإكراه إذا صار موجباً لرفع الحرمة عن هتك عرض النبي رحمهما اللّه وتكذيبه في نبوّته</w:t>
      </w:r>
    </w:p>
    <w:p>
      <w:pPr>
        <w:pStyle w:val="BookText"/>
        <w:rPr/>
      </w:pPr>
      <w:r>
        <w:rPr>
          <w:rFonts w:ascii="Amiri" w:hAnsi="Amiri" w:eastAsia="Amiri" w:cs="Amiri"/>
          <w:color w:val="111111"/>
          <w:sz w:val="28"/>
          <w:sz w:val="28"/>
          <w:szCs w:val="28"/>
          <w:rtl w:val="true"/>
          <w:lang w:bidi="ar-SA"/>
        </w:rPr>
        <w:t xml:space="preserve">وكتابه ، وهو من أعظم المحرّمات ، وموجباً لرفع هدر دمه الذي من الوضعيات من جهة ، صار موجباً لرفع حرمة هتك سائر الأعراض ، فضلاً عن الأموال التي هي دون الأعراض ، ولرفع سائر الوضعيات أيضاً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عدم الاختصاص أيضاً رواية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المعتمدة بل لا يبعد أن تكون 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علیه السلام قال على منبر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 إلى سبّي ، فسبّوني ، ثمّ تدعون إلى البراءة منّي فلا تبرأوا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أكثر ما يكذب الناس على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إلى سبّي فسبّوني ثمّ تدعون إلى </w:t>
      </w:r>
    </w:p>
    <w:p>
      <w:pPr>
        <w:pStyle w:val="BookText"/>
        <w:rPr/>
      </w:pPr>
      <w:r>
        <w:rPr>
          <w:rFonts w:ascii="Amiri" w:hAnsi="Amiri" w:eastAsia="Amiri" w:cs="Amiri"/>
          <w:color w:val="111111"/>
          <w:sz w:val="28"/>
          <w:sz w:val="28"/>
          <w:szCs w:val="28"/>
          <w:rtl w:val="true"/>
          <w:lang w:bidi="ar-SA"/>
        </w:rPr>
        <w:t xml:space="preserve">البراءة منّي وإنّي لعلى دين محمّد رحمهما اللّه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تبرأوا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اختار القتل دون البراءة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ذلك عليه ، وماله إلاّ ما مضى عليه عمّار بن ياسر ، حيث أكرهه أهل مكّة وقلبه مطمئنّ بالإيمان ، فأنزل اللّه عزّ 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 إن عادوا فعد فقد أنزل اللّه عذرك وأمرك أن تعود إن عادوا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الظاهر منها أنّ الآية لا تختصّ بقضيّة عمّار أو قضيّة نحو قضيّته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ستدعون إلى سبّي فسبّوني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وكذا إطلاق الإجازة بالبراءة يقتضي جوازهما بمجرّد الدعوة ممّن يخاف سوطه أو سيفه من غير اختصاص بالإيعاد على القتل ، وكلامه هذا ليس ظاهراً في كونه على وجه الإخبار بالغيب ، بل الظاهر قيام القرائن عليه ؛ لأنّ له علیه السلام كان أعداء علم من عداوتهم ذلك عادةً ، فلا معنى للحمل على موضوع خاصّ علمه علیه السلام</w:t>
      </w:r>
    </w:p>
    <w:p>
      <w:pPr>
        <w:pStyle w:val="BookText"/>
        <w:rPr/>
      </w:pPr>
      <w:r>
        <w:rPr>
          <w:rFonts w:ascii="Amiri" w:hAnsi="Amiri" w:eastAsia="Amiri" w:cs="Amiri"/>
          <w:color w:val="111111"/>
          <w:sz w:val="28"/>
          <w:sz w:val="28"/>
          <w:szCs w:val="28"/>
          <w:rtl w:val="true"/>
          <w:lang w:bidi="ar-SA"/>
        </w:rPr>
        <w:t>من طريق الغيب</w:t>
      </w:r>
      <w:r>
        <w:rPr>
          <w:rStyle w:val="FootnoteAnchor"/>
          <w:rtl w:val="true"/>
        </w:rPr>
        <w:footnoteReference w:id="604"/>
      </w:r>
      <w:r>
        <w:rPr>
          <w:rFonts w:ascii="Amiri" w:hAnsi="Amiri" w:eastAsia="Amiri" w:cs="Amiri"/>
          <w:color w:val="111111"/>
          <w:sz w:val="28"/>
          <w:sz w:val="28"/>
          <w:szCs w:val="28"/>
          <w:rtl w:val="true"/>
          <w:lang w:bidi="ar-SA"/>
        </w:rPr>
        <w:t>ولا حجّة على رفع اليد عن إطلاق الدليل بمحض ذاك</w:t>
      </w:r>
    </w:p>
    <w:p>
      <w:pPr>
        <w:pStyle w:val="BookText"/>
        <w:rPr/>
      </w:pPr>
      <w:r>
        <w:rPr>
          <w:rFonts w:ascii="IRNazanin" w:hAnsi="IRNazanin" w:eastAsia="IRNazanin"/>
          <w:color w:val="111111"/>
          <w:sz w:val="28"/>
          <w:sz w:val="28"/>
          <w:szCs w:val="28"/>
          <w:rtl w:val="true"/>
          <w:lang w:bidi="fa-IR"/>
        </w:rPr>
        <w:t xml:space="preserve">الاحتمال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عليه أيضاً صحيحة بكر بن محمّد، عن أبي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التقيّة تُرس المؤمن ، ولا إيمان لمن لا تقيّة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قول اللّه تبارك </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التقيّة إلاّ هَذَا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يؤخذ يريدون عذابه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عذابه بما يرضيهم باللسان ويكرهه بالقلب ، قال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عبداللّه بن عجلان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الضحّاك قد ظهر بالكوفة ، ويوشك أن ندعى إلى البراءة من علي علیه السلام فكيف</w:t>
      </w:r>
    </w:p>
    <w:p>
      <w:pPr>
        <w:pStyle w:val="BookText"/>
        <w:rPr/>
      </w:pPr>
      <w:r>
        <w:rPr>
          <w:rFonts w:ascii="Amiri" w:hAnsi="Amiri" w:eastAsia="Amiri" w:cs="Amiri"/>
          <w:color w:val="111111"/>
          <w:sz w:val="28"/>
          <w:sz w:val="28"/>
          <w:szCs w:val="28"/>
          <w:rtl w:val="true"/>
          <w:lang w:bidi="ar-SA"/>
        </w:rPr>
        <w:t xml:space="preserve">نصنع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فابرأوا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تمضوا على ما مضى عليه عمّار بن ياسر ، اُخذ بمكّة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رسول اللّه رحمهما اللّه ، فبرئ منه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الأمر والنهي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عدم الاختصاص بحقّ اللّه تعالى محضاً ، وكذا بالإيعاد بالقتل ، وبقضيّة عمّار أو نحوها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حديث الرفع وإطلاقات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وعموماتها </w:t>
      </w:r>
    </w:p>
    <w:p>
      <w:pPr>
        <w:pStyle w:val="BookText"/>
        <w:rPr/>
      </w:pPr>
      <w:r>
        <w:rPr>
          <w:rFonts w:ascii="Amiri" w:hAnsi="Amiri" w:eastAsia="Amiri" w:cs="Amiri"/>
          <w:color w:val="111111"/>
          <w:sz w:val="28"/>
          <w:sz w:val="28"/>
          <w:szCs w:val="28"/>
          <w:rtl w:val="true"/>
          <w:lang w:bidi="ar-SA"/>
        </w:rPr>
        <w:t xml:space="preserve">عدم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نشأت دعوى الاختصاص من مجرّد استبعاد ، أو وجوه ظنّية ، ومع فرض شمولها بما تقدّم لبعض الأعراض المهمّة التي من حقوق الناس يرفع هذا الاستبعاد وتدفع تلك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دعوى كون حديث الرفع منّة أو شرّع ذلك لدفع الضرر ، فلا وجه لشموله ما هو خلاف المنّة أو موجب للضرر ، مدفوعة بأنّ ما ذكر من قبيل نكتة التشريع لا علّة الحكم ، نظير جعل العدّة لنكتة عدم تداخل المياه ، وفي مثله يتّبع إطلاق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 ممنوعة ، سيّما بعد كون الآية في مورد حقّ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التشبّث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بالتقريب المتقدّم</w:t>
      </w:r>
      <w:r>
        <w:rPr>
          <w:rStyle w:val="FootnoteAnchor"/>
          <w:rtl w:val="true"/>
        </w:rPr>
        <w:footnoteReference w:id="608"/>
      </w:r>
      <w:r>
        <w:rPr>
          <w:rFonts w:ascii="Amiri" w:hAnsi="Amiri" w:eastAsia="Amiri" w:cs="Amiri"/>
          <w:color w:val="111111"/>
          <w:sz w:val="28"/>
          <w:sz w:val="28"/>
          <w:szCs w:val="28"/>
          <w:rtl w:val="true"/>
          <w:lang w:bidi="ar-SA"/>
        </w:rPr>
        <w:t xml:space="preserve">، ففي غير مورده ، بل هو من الأدلّة على التعميم يظهر وجهه بعد نقل الروايات المشتملة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w:t>
      </w:r>
    </w:p>
    <w:p>
      <w:pPr>
        <w:pStyle w:val="BookText"/>
        <w:rPr/>
      </w:pPr>
      <w:r>
        <w:rPr>
          <w:rFonts w:ascii="Amiri" w:hAnsi="Amiri" w:eastAsia="Amiri" w:cs="Amiri"/>
          <w:color w:val="111111"/>
          <w:sz w:val="28"/>
          <w:sz w:val="28"/>
          <w:szCs w:val="28"/>
          <w:rtl w:val="true"/>
          <w:lang w:bidi="ar-SA"/>
        </w:rPr>
        <w:t>ليحقن بها الدم ، فإذا بلغ الدم فليس تقيّة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أبي حمزة الثمالي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ليحقن بها الدم ، فإذا بلغت التقيّة الدم فلا تقيّة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مرسلة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التقيّة كتارك الصلاة لكنت صادقاً ، والتقيّة في كلّ شيء حتّى يبلغ الدم ، فإذا بلغ الدم فلا تقيّة</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منها أنّ عدم التقيّة منحصر بالدم والحصر في محلّه ؛ لأنّ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التقيّة شرّعت في أوّل تشريعها لحقن الدم ؛ لأنّ أوّل تشريعها ونكتته ومورده قضيّة عمّار بن ياسر كما تقدّم</w:t>
      </w:r>
      <w:r>
        <w:rPr>
          <w:rStyle w:val="FootnoteAnchor"/>
          <w:rtl w:val="true"/>
        </w:rPr>
        <w:footnoteReference w:id="612"/>
      </w:r>
      <w:r>
        <w:rPr>
          <w:rFonts w:ascii="Amiri" w:hAnsi="Amiri" w:eastAsia="Amiri" w:cs="Amiri"/>
          <w:color w:val="111111"/>
          <w:sz w:val="28"/>
          <w:sz w:val="28"/>
          <w:szCs w:val="28"/>
          <w:rtl w:val="true"/>
          <w:lang w:bidi="ar-SA"/>
        </w:rPr>
        <w:t xml:space="preserve">وكان موردها حقن الدم ، فقوله ذلك إشارة ظاهراً إلى تلك القضيّة وإشارة إلى نكتة عدم التقيّة في الدم ، فتكون الروايات دالّة على عموم التقيّة فيما عدا بلوغ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لرفع اليد عن هذا الظاهر بتخيّل أنّ الحصر غير صحيح</w:t>
      </w:r>
      <w:r>
        <w:rPr>
          <w:rStyle w:val="FootnoteAnchor"/>
          <w:rtl w:val="true"/>
        </w:rPr>
        <w:footnoteReference w:id="613"/>
      </w:r>
      <w:r>
        <w:rPr>
          <w:rFonts w:ascii="Amiri" w:hAnsi="Amiri" w:eastAsia="Amiri" w:cs="Amiri"/>
          <w:color w:val="111111"/>
          <w:sz w:val="28"/>
          <w:sz w:val="28"/>
          <w:szCs w:val="28"/>
          <w:rtl w:val="true"/>
          <w:lang w:bidi="ar-SA"/>
        </w:rPr>
        <w:t xml:space="preserve">؛ لأنّ التقيّة مشروعة في الأعراض والأموال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من أنّ الحصر باعتبار مبدأ التشريع وصرف بيان نكتة عدم التقيّة مع بلوغ الدم ، وليس المراد منه حصر مورد التقيّة بالدم حتّى يأتي فيه ما ذكر ، فلا مجال للإشكال في العموم ، سيّما مع قوله في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حتّى يبلغ الدم </w:t>
      </w:r>
      <w:r>
        <w:rPr>
          <w:rFonts w:eastAsia="Amiri" w:cs="Amiri" w:ascii="Amiri" w:hAnsi="Amiri"/>
          <w:color w:val="111111"/>
          <w:sz w:val="28"/>
          <w:szCs w:val="28"/>
          <w:rtl w:val="true"/>
          <w:lang w:bidi="ar-SA"/>
        </w:rPr>
        <w:t>. .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يحفظ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الحصر وظهور الآية والروايات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احتمال ما ذكر لا يصحّ رفع اليد عن الإطلاقات والأخبار المتقدّمة ، بل </w:t>
      </w:r>
    </w:p>
    <w:p>
      <w:pPr>
        <w:pStyle w:val="BookText"/>
        <w:rPr/>
      </w:pPr>
      <w:r>
        <w:rPr>
          <w:rFonts w:ascii="Amiri" w:hAnsi="Amiri" w:eastAsia="Amiri" w:cs="Amiri"/>
          <w:color w:val="111111"/>
          <w:sz w:val="28"/>
          <w:sz w:val="28"/>
          <w:szCs w:val="28"/>
          <w:rtl w:val="true"/>
          <w:lang w:bidi="ar-SA"/>
        </w:rPr>
        <w:t xml:space="preserve">لازمه وقوع المعارضة بين هذه الروايات ، وظاهر الكتاب والروايات المتقدّمة بعد عدم التفكيك بين الأعراض والأموال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يأتي كلام في عموم هذه الروايات وإطلاقها من جهة اُخرى فانتظر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الروايات أجنبيّة عن الباب ؛ لأنّ المراد بها أنّ التقيّة</w:t>
      </w:r>
    </w:p>
    <w:p>
      <w:pPr>
        <w:pStyle w:val="BookText"/>
        <w:rPr/>
      </w:pPr>
      <w:r>
        <w:rPr>
          <w:rFonts w:ascii="Amiri" w:hAnsi="Amiri" w:eastAsia="Amiri" w:cs="Amiri"/>
          <w:color w:val="111111"/>
          <w:sz w:val="28"/>
          <w:sz w:val="28"/>
          <w:szCs w:val="28"/>
          <w:rtl w:val="true"/>
          <w:lang w:bidi="ar-SA"/>
        </w:rPr>
        <w:t>لحفظ الدم فإذا لم يحقن الدم على أيّ حال فلا مورد للتقيّة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ارتكاب خلاف الظاهر ؛ فإنّ من المعلوم أنّ الروايات الثلاث متوافقة المضمون ، فتكون الموثّقة المصرّحة بفاعل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فاعله في الروايتين ، وتذكير الضمير باعتبار الاتّقاء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التقيّة إذا صارت موجبة لإراقته وهي منتهية إليه ، لا أنّ الدم إذا يهرق وتكون التقيّة لغواً لا أثر لها ، فإنّ حقّ العبارة لإفادة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يحقن الدم فلا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الحمل على ما ذكر حمل على أمر واضح لعلّ ذكره لا يخلو من ركاكة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الثالث ، وهو أنّ دليل الإكراه لو عمّ لعمّ دليل الاضطرار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الملازمة بينهما ؛ إذ يمكن أن يدّعى عموم الأوّل لأجل مورد نزول الآية والروايات المتقدّمة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الاضطرار أيضاً عامّ يشمل الاضطرار بمال الغير ، فإذا اضطرّ إلى شرب ماء أو أكل خبز غيره يرفع دليل الاضطرار حرمة التصرّف في مال الغير بغير إذنه ، لكن لا يسقط </w:t>
      </w:r>
    </w:p>
    <w:p>
      <w:pPr>
        <w:pStyle w:val="BookText"/>
        <w:rPr/>
      </w:pPr>
      <w:r>
        <w:rPr>
          <w:rFonts w:ascii="Amiri" w:hAnsi="Amiri" w:eastAsia="Amiri" w:cs="Amiri"/>
          <w:color w:val="111111"/>
          <w:sz w:val="28"/>
          <w:sz w:val="28"/>
          <w:szCs w:val="28"/>
          <w:rtl w:val="true"/>
          <w:lang w:bidi="ar-SA"/>
        </w:rPr>
        <w:t xml:space="preserve">ضمانه ؛ لعدم الاضطرار إلى أكله أو شربه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ترفع حرمة الخمر بالاضطرار ترفع حرمة التصرّف في مال الغير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اُكره على إعطاء ماله ، فدفع مال الغير لدفع شرّه ، فليس ذلك مشمولاً لدليل الاضطرار ؛ لأ نّه مكره وملجأ في إعطاء ماله لدفع شرّ متوجّه إليه ، وإنّما أراد دفع شرّ متوجّه إليه بمال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ملجأً بإعطاء مال غيره ولا مضطرّاً إليه ، بل ملجأ ومضطرّ إلى إعطاء مال نفسه ؛ لأ نّه الذي أراد منه المكرِه ، وإنّما أراد دفع شرّه بمال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دليل الاضطرار نصّاً وفتوى لمورد تعلّق حقّ الغير ، كالاضطرار إلى أكل مال الغير ، دليل على عدم الاختصاص بحقّ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تجويزهم دفع إكراه المكره المتوجّه إليه بإعطاء مال غيره ، ليس لأجل عدم شمول دليل الاضطرار لحقّ الناس ، وإلاّ لزم عدم إفتائهم في المسألة المتقدّمة ، بل لأجل عدم صدق الاضطرار على التصرّف في مال الغير فيما إذا توجّه الإكراه إليه خاصّة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للفرق بين الاضطرار على التصرّف في مال الغير ، وبين دفع الإكراه والإلجاء المتوجّهين إليه بمال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فالمكره لأجل الإيعاد عليه إذا لم يدفع ماله مضطرّ إلى دفعه لا دفع بدله ، وإنّما أراد دفع الشرّ المتوجّه إليه ورفع إلجائه بإعطاء بدله مع عدم الاضطرار إليه ، بل لو أكرهه على دفع مال بلا انتساب إليه أو إلى غيره وكان عنده من مال نفسه ما يدفع به شرّه ، ليس له إعطاء مال </w:t>
      </w:r>
    </w:p>
    <w:p>
      <w:pPr>
        <w:pStyle w:val="BookText"/>
        <w:rPr/>
      </w:pPr>
      <w:r>
        <w:rPr>
          <w:rFonts w:ascii="Amiri" w:hAnsi="Amiri" w:eastAsia="Amiri" w:cs="Amiri"/>
          <w:color w:val="111111"/>
          <w:sz w:val="28"/>
          <w:sz w:val="28"/>
          <w:szCs w:val="28"/>
          <w:rtl w:val="true"/>
          <w:lang w:bidi="ar-SA"/>
        </w:rPr>
        <w:t xml:space="preserve">غيره ؛ لعدم الاضطرار إلى إعطاء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يكن في الفرض عنده غير مال غيره ، يجوز دفعه بدليل رفع الإكراه ، كما لو اضطرّ إلى صرف مال ولم يكن عنده غير مال الغير يجوز صرفه بدليل رفع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مخيّر بين إعطاء مالك ومال غيرك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مال غيرك وإلاّ أخذت مالك ، إلاّ بمجرّد العبارة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لأ نّه في الفرض الأوّل أكرهه على أحدهما في عرض واحد فلا بدّ له من اختيار أقلّهما محذوراً عقلاً ، وفي الثاني أكرهه على خصوص مال الغير لا على ماله ومال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في غاية الوضوح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أكرهه على مال غيره يكون الشرّ متوجّهاً إلى الغير ويكون المكرَه وسيلة لإجراء ما أراد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الشرّ عن الغير بإيقاعه على نفسه غير لازم ، بخلاف ما إذا أكرهه على مال نفسه ، فإنّه لا يجوز إعطاء مال الغير ؛ لأنّ الشرّ متوجّه إليه</w:t>
      </w:r>
    </w:p>
    <w:p>
      <w:pPr>
        <w:pStyle w:val="BookText"/>
        <w:rPr/>
      </w:pPr>
      <w:r>
        <w:rPr>
          <w:rFonts w:ascii="Amiri" w:hAnsi="Amiri" w:eastAsia="Amiri" w:cs="Amiri"/>
          <w:color w:val="111111"/>
          <w:sz w:val="28"/>
          <w:sz w:val="28"/>
          <w:szCs w:val="28"/>
          <w:rtl w:val="true"/>
          <w:lang w:bidi="ar-SA"/>
        </w:rPr>
        <w:t xml:space="preserve">لا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صدق الاضطرار فيه أيضاً محلّ إشكال ، ولو سلّم الصدق فدعوى انصراف الأدلّة عن مثله قريبة ، بخلاف دعوى الانصراف في دليل الإكراه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التلازم بين الفقرتين في التعميم وعدمه على فرضه ليس عقلياً ، بل عرفي بلحاظ وحدة السياق ، وهي من أدنى مراتب الظهور على تسليم أصله ، ومع قيام قرينة على التفرقة تقدّم عليه ، وفي المقام قامت الأدلّة على </w:t>
      </w:r>
    </w:p>
    <w:p>
      <w:pPr>
        <w:pStyle w:val="BookText"/>
        <w:rPr/>
      </w:pPr>
      <w:r>
        <w:rPr>
          <w:rFonts w:ascii="Amiri" w:hAnsi="Amiri" w:eastAsia="Amiri" w:cs="Amiri"/>
          <w:color w:val="111111"/>
          <w:sz w:val="28"/>
          <w:sz w:val="28"/>
          <w:szCs w:val="28"/>
          <w:rtl w:val="true"/>
          <w:lang w:bidi="ar-SA"/>
        </w:rPr>
        <w:t xml:space="preserve">شمول دليل الإكراه لحقّ الناس كما تقدّم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بعض الجهات لقلنا بأنّ مقتضى وحدة السياق التعميم في دليل رفع الاضطرار ، لكنّ العرف والعقلاء يفرّقون بين الإكراه على مال الغير وعرضه ، وبين الإكراه على ماله وعرضه وأراد دفعه بمال الغير أو عرضه ؛ فإنّ الإقدام على الأوّل ليس قبيحاً وليس من قبيل إيقاع الضرر المتوجّه إليه على غيره ، بخلاف الثاني ، ومقتضى الامتنان التجويز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جهات وخصوصيات موجبةٌ للتفرقة بين الفقرتين ، وكأ نّها صارت موجبة لفتوى الفقهاء أو معظمهم على جواز التقيّة في كلّ شيء إلاّ الدم ، وعدم جواز دفع الضرر المتوجّه إليه إلى غيره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مضافاً إلى دليل الحرج ؛ لأنّ إيجاب تحمّل الضرر لدفع الضرر المتوجّه إلى الغير حرجي ، بخلاف عدم تجويز دفع الضرر المتوجّه إليه بإيقاعه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غير الفاعل الشاعر ، وأمّا هو فمباشرته جزء أخير من العلّة التامّة الموقعة للغير في الضرر ، وتجويز هذه المباشرة تجويز للإضرار بالغير دفعاً للضرر المتوعّد به عن نفسه وهو قبيح مخالف للامتنان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مباشرة الفاعل جزءاً أخيراً لوقوع الضرر ، لا يوجب عدم كون الضرر متوجّهاً إلى الغير ابتداءً ولو باستعمال الفاعل الشاعر كُرهاً ، فإنّ </w:t>
      </w:r>
      <w:bookmarkStart w:id="175" w:name="pg15162_155519"/>
    </w:p>
    <w:p>
      <w:pPr>
        <w:pStyle w:val="BookText"/>
        <w:rPr/>
      </w:pPr>
      <w:bookmarkEnd w:id="175"/>
      <w:r>
        <w:rPr>
          <w:rFonts w:ascii="Amiri" w:hAnsi="Amiri" w:eastAsia="Amiri" w:cs="Amiri"/>
          <w:color w:val="111111"/>
          <w:sz w:val="28"/>
          <w:sz w:val="28"/>
          <w:szCs w:val="28"/>
          <w:rtl w:val="true"/>
          <w:lang w:bidi="ar-SA"/>
        </w:rPr>
        <w:t xml:space="preserve">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إلى الإضرار بالغير أوّلاً ، ثمّ أراد تحصيله</w:t>
      </w:r>
    </w:p>
    <w:p>
      <w:pPr>
        <w:pStyle w:val="BookText"/>
        <w:rPr/>
      </w:pPr>
      <w:r>
        <w:rPr>
          <w:rFonts w:ascii="Amiri" w:hAnsi="Amiri" w:eastAsia="Amiri" w:cs="Amiri"/>
          <w:color w:val="111111"/>
          <w:sz w:val="28"/>
          <w:sz w:val="28"/>
          <w:szCs w:val="28"/>
          <w:rtl w:val="true"/>
          <w:lang w:bidi="ar-SA"/>
        </w:rPr>
        <w:t xml:space="preserve">بوسيلة المكرَه إرادةً غيرية مقدّمية ، فالمكرَه لو تحمّل الضرر اللازم للتخلّف عن أمره فإنّما تحمّله لصرف الضرر عن غيره ، وهو حرجي نفاه الشارع منّةً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الفاعل شاعراً لا يدفع ما هو مناط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ما أفاده شيخنا الأنصاري في غاية السداد</w:t>
      </w:r>
      <w:r>
        <w:rPr>
          <w:rStyle w:val="FootnoteAnchor"/>
          <w:rtl w:val="true"/>
        </w:rPr>
        <w:footnoteReference w:id="619"/>
      </w:r>
      <w:r>
        <w:rPr>
          <w:rFonts w:ascii="Amiri" w:hAnsi="Amiri" w:eastAsia="Amiri" w:cs="Amiri"/>
          <w:color w:val="111111"/>
          <w:sz w:val="28"/>
          <w:sz w:val="28"/>
          <w:szCs w:val="28"/>
          <w:rtl w:val="true"/>
          <w:lang w:bidi="ar-SA"/>
        </w:rPr>
        <w:t xml:space="preserve">، وما قال بعضهم إشكالاً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عمدته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 فراجع تعليقة الفاضل الإيرواني على المكاسب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تحصّل من جميع ما ذكرناه شمول أدلّة الإكراه لمطلق المحرّمات سواء كانت متعلّقة لحقّ الناس أم لا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955464_2142443653"/>
      <w:bookmarkStart w:id="177" w:name="_Toc63"/>
      <w:bookmarkEnd w:id="176"/>
      <w:r>
        <w:rPr>
          <w:rtl w:val="true"/>
        </w:rPr>
        <w:t>مستثنيات إطلاق أدلّة الإكراه</w:t>
      </w:r>
      <w:bookmarkEnd w:id="177"/>
    </w:p>
    <w:p>
      <w:pPr>
        <w:pStyle w:val="Heading5"/>
        <w:numPr>
          <w:ilvl w:val="4"/>
          <w:numId w:val="1"/>
        </w:numPr>
        <w:rPr/>
      </w:pPr>
      <w:bookmarkStart w:id="178" w:name="__RefHeading___Toc1955466_2142443653"/>
      <w:bookmarkStart w:id="179" w:name="_Toc64"/>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ثمّ إنّ هاهنا موارد يمكن القول باستثنائها من تلك الكلّية قد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ونذكر بعضها هاهنا </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955468_2142443653"/>
      <w:bookmarkStart w:id="181" w:name="_Toc65"/>
      <w:bookmarkEnd w:id="180"/>
      <w:r>
        <w:rPr>
          <w:rtl w:val="true"/>
        </w:rPr>
        <w:t>استثناء ما يؤدّي إلى الفساد في الدين</w:t>
      </w:r>
      <w:bookmarkEnd w:id="18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المحرّمات التي في ارتكاز المتشرّعة من العظائم والمهمّات جدّاً ، كمحو كتاب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نسخه ، وتأويله بما يخالف الدين </w:t>
      </w:r>
    </w:p>
    <w:p>
      <w:pPr>
        <w:pStyle w:val="BookText"/>
        <w:rPr/>
      </w:pPr>
      <w:r>
        <w:rPr>
          <w:rFonts w:ascii="Amiri" w:hAnsi="Amiri" w:eastAsia="Amiri" w:cs="Amiri"/>
          <w:color w:val="111111"/>
          <w:sz w:val="28"/>
          <w:sz w:val="28"/>
          <w:szCs w:val="28"/>
          <w:rtl w:val="true"/>
          <w:lang w:bidi="ar-SA"/>
        </w:rPr>
        <w:t>أو المذهب بحيث يوجب ضلالة الناس ، والردّ على الدين أو المذهب بنحو يوجب الإضلال ، وهدم الكعبة المعظّمة ومحو آثارها ، وكذا قبر النبي رحمهما اللّه</w:t>
      </w:r>
    </w:p>
    <w:p>
      <w:pPr>
        <w:pStyle w:val="BookText"/>
        <w:rPr/>
      </w:pPr>
      <w:r>
        <w:rPr>
          <w:rFonts w:ascii="IRNazanin" w:hAnsi="IRNazanin" w:eastAsia="IRNazanin"/>
          <w:color w:val="111111"/>
          <w:sz w:val="28"/>
          <w:sz w:val="28"/>
          <w:szCs w:val="28"/>
          <w:rtl w:val="true"/>
          <w:lang w:bidi="fa-IR"/>
        </w:rPr>
        <w:t xml:space="preserve">والأئمّة علیهم السلام كذلك ، إلى غير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الظاهر أنّ الأدلّة منصرفة عن أمثال ذلك سيّما بعضها ، وإنّما شرّعت التقيّة لبقاء المذهب الحقّ ، ولولاها لصارت تلك الأقلّية المحقّة في معرض الزوال والاضمحلال والهضم في الأكثرية الباطلة ، وتجويزها لمحو المذهب والدين خلاف غرض الشارع الأقدس ، بل لعلّ بعض حقوق الناس كالأعراض الكثيرة المهمّة في ارتكاز المتشرّعة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تلك المقامات لابدّ من ملاحظة أقوى المقتضيين وأهمّ المناطين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لما ذكرناه موثّقة مسعدة بن صدقة عن أبي عبداللّه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وتفسير ما يتّقى مثل أن يكون قوم سوء ظاهر حكمهم وفعلهم على غير حكم الحقّ وفعله ، فكلّ شيء يعمل المؤمن بينهم لمكان التقيّة ممّا لا يؤدّي إلى الفساد في الدين فإنّه جائز</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يشكل تحكيم الأدلّة فيما إذا كان المكرَه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البارزة الدينية في نظر الخلق ، بحيث يكون ارتكابه لبعض القبائح موجباً لهتك حرمة المذهب ووهن عقائد أهله </w:t>
      </w:r>
      <w:r>
        <w:rPr>
          <w:rFonts w:eastAsia="Amiri" w:cs="Amiri" w:ascii="Amiri" w:hAnsi="Amiri"/>
          <w:color w:val="111111"/>
          <w:sz w:val="28"/>
          <w:szCs w:val="28"/>
          <w:rtl w:val="true"/>
          <w:lang w:bidi="ar-SA"/>
        </w:rPr>
        <w:t xml:space="preserve">. </w:t>
      </w:r>
      <w:bookmarkStart w:id="182" w:name="pg15162_155521"/>
    </w:p>
    <w:p>
      <w:pPr>
        <w:pStyle w:val="Heading4"/>
        <w:numPr>
          <w:ilvl w:val="3"/>
          <w:numId w:val="1"/>
        </w:numPr>
        <w:rPr/>
      </w:pPr>
      <w:bookmarkStart w:id="183" w:name="__RefHeading___Toc1955470_2142443653"/>
      <w:bookmarkStart w:id="184" w:name="_Toc66"/>
      <w:bookmarkEnd w:id="182"/>
      <w:bookmarkEnd w:id="183"/>
      <w:r>
        <w:rPr>
          <w:rtl w:val="true"/>
        </w:rPr>
        <w:t>استثناء ما يؤدّي إلى الدم</w:t>
      </w:r>
      <w:bookmarkEnd w:id="18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 فقد نفى ابن إدريس الخلاف بين الأصحاب في نفي التقيّة في قتل النفوس</w:t>
      </w:r>
      <w:r>
        <w:rPr>
          <w:rStyle w:val="FootnoteAnchor"/>
          <w:rtl w:val="true"/>
        </w:rPr>
        <w:footnoteReference w:id="623"/>
      </w:r>
      <w:r>
        <w:rPr>
          <w:rFonts w:ascii="Amiri" w:hAnsi="Amiri" w:eastAsia="Amiri" w:cs="Amiri"/>
          <w:color w:val="111111"/>
          <w:sz w:val="28"/>
          <w:sz w:val="28"/>
          <w:szCs w:val="28"/>
          <w:rtl w:val="true"/>
          <w:lang w:bidi="ar-SA"/>
        </w:rPr>
        <w:t xml:space="preserve">، وكذا العلاّمة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الأمر بالمعروف</w:t>
      </w:r>
      <w:r>
        <w:rPr>
          <w:rStyle w:val="FootnoteAnchor"/>
          <w:rtl w:val="true"/>
        </w:rPr>
        <w:footnoteReference w:id="6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استثناء إنفاذ أمر الجائر في قتل المسلم</w:t>
      </w:r>
      <w:r>
        <w:rPr>
          <w:rStyle w:val="FootnoteAnchor"/>
          <w:rtl w:val="true"/>
        </w:rPr>
        <w:footnoteReference w:id="625"/>
      </w:r>
      <w:r>
        <w:rPr>
          <w:rFonts w:ascii="Amiri" w:hAnsi="Amiri" w:eastAsia="Amiri" w:cs="Amiri"/>
          <w:color w:val="111111"/>
          <w:sz w:val="28"/>
          <w:sz w:val="28"/>
          <w:szCs w:val="28"/>
          <w:rtl w:val="true"/>
          <w:lang w:bidi="ar-SA"/>
        </w:rPr>
        <w:t>، وكذا ادّعاه الأردبيلي</w:t>
      </w:r>
      <w:r>
        <w:rPr>
          <w:rStyle w:val="FootnoteAnchor"/>
          <w:rtl w:val="true"/>
        </w:rPr>
        <w:footnoteReference w:id="626"/>
      </w:r>
      <w:r>
        <w:rPr>
          <w:rFonts w:ascii="Amiri" w:hAnsi="Amiri" w:eastAsia="Amiri" w:cs="Amiri"/>
          <w:color w:val="111111"/>
          <w:sz w:val="28"/>
          <w:sz w:val="28"/>
          <w:szCs w:val="28"/>
          <w:rtl w:val="true"/>
          <w:lang w:bidi="ar-SA"/>
        </w:rPr>
        <w:t xml:space="preserve">، وبقسميه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وهو ظاهر شيخنا الأنصاري</w:t>
      </w:r>
      <w:r>
        <w:rPr>
          <w:rStyle w:val="FootnoteAnchor"/>
          <w:rtl w:val="true"/>
        </w:rPr>
        <w:footnoteReference w:id="629"/>
      </w:r>
      <w:r>
        <w:rPr>
          <w:rFonts w:ascii="Amiri" w:hAnsi="Amiri" w:eastAsia="Amiri" w:cs="Amiri"/>
          <w:color w:val="111111"/>
          <w:sz w:val="28"/>
          <w:sz w:val="28"/>
          <w:szCs w:val="28"/>
          <w:rtl w:val="true"/>
          <w:lang w:bidi="ar-SA"/>
        </w:rPr>
        <w:t>، وهو منقول عن جماعة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فيه مضافاً إليه صحيحة محمّد بن مسلم ، وموثّقة أبي حمزة ، ومرسلة الصدوق المتقدّمات</w:t>
      </w:r>
      <w:r>
        <w:rPr>
          <w:rStyle w:val="FootnoteAnchor"/>
          <w:rtl w:val="true"/>
        </w:rPr>
        <w:footnoteReference w:id="631"/>
      </w:r>
      <w:r>
        <w:rPr>
          <w:rFonts w:ascii="Amiri" w:hAnsi="Amiri" w:eastAsia="Amiri" w:cs="Amiri"/>
          <w:color w:val="111111"/>
          <w:sz w:val="28"/>
          <w:sz w:val="28"/>
          <w:szCs w:val="28"/>
          <w:rtl w:val="true"/>
          <w:lang w:bidi="ar-SA"/>
        </w:rPr>
        <w:t xml:space="preserve">الدالّة على نفي التقيّة إذا بلغت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يناقش فيها بأنّ عنوان الإكراه غير عنوان التقيّة كما يظهر من الأخبار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التقيّة عبارة عن الاحتراز والتجنّب عن شرّ قوم مخالف للمذهب ، بإتيان أعمال توافق مذهبهم ، من غير أن أكرهوه على إتيانها وأوعدوه على تركها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ففي رواية مسعدة بن صدقة المعتمدة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أظهر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للتقيّة مواضع من أزالها عن مواضعها لم تستقم له وتفسير ما يتّقى مثل أن يكون قوم سوء ظاهر حكمهم وفعلهم على غير حكم الحقّ وفعله ، فكلّ شيء يعمل المؤمن بينهم لمكان التقيّة ممّا لا يؤدّي إلى الفساد في الدين فإنّه جائز</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التفسير سيّما في مثل المقام أ نّه بصدد بيان الحقيقة ، ولعلّه أعمّ من التقيّة الخوفية والمداراتية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جملة من الروايات أنّ التقيّة مقابل الإذاعة</w:t>
      </w:r>
      <w:r>
        <w:rPr>
          <w:rStyle w:val="FootnoteAnchor"/>
          <w:rtl w:val="true"/>
        </w:rPr>
        <w:footnoteReference w:id="633"/>
      </w:r>
      <w:r>
        <w:rPr>
          <w:rFonts w:ascii="Amiri" w:hAnsi="Amiri" w:eastAsia="Amiri" w:cs="Amiri"/>
          <w:color w:val="111111"/>
          <w:sz w:val="28"/>
          <w:sz w:val="28"/>
          <w:szCs w:val="28"/>
          <w:rtl w:val="true"/>
          <w:lang w:bidi="ar-SA"/>
        </w:rPr>
        <w:t xml:space="preserve">، وهي أيضاً بوجه داخلة في التفسير ، فإنّها عبارة عن كتمان المذهب خوفاً وتجنّباً من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الإكراه فعبارة عن تحميل الغير عملاً وإيعاده على تركه بما يلجؤه إلى العمل ، أو الإيعاد على فعل شيء بما يلجؤه على تركه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التقيّة واجبة حسب الأدلّة الكثيرة</w:t>
      </w:r>
      <w:r>
        <w:rPr>
          <w:rStyle w:val="FootnoteAnchor"/>
          <w:rtl w:val="true"/>
        </w:rPr>
        <w:footnoteReference w:id="634"/>
      </w:r>
      <w:r>
        <w:rPr>
          <w:rFonts w:ascii="Amiri" w:hAnsi="Amiri" w:eastAsia="Amiri" w:cs="Amiri"/>
          <w:color w:val="111111"/>
          <w:sz w:val="28"/>
          <w:sz w:val="28"/>
          <w:szCs w:val="28"/>
          <w:rtl w:val="true"/>
          <w:lang w:bidi="ar-SA"/>
        </w:rPr>
        <w:t>وراجحة في بعض الموارد</w:t>
      </w:r>
      <w:r>
        <w:rPr>
          <w:rStyle w:val="FootnoteAnchor"/>
          <w:rtl w:val="true"/>
        </w:rPr>
        <w:footnoteReference w:id="635"/>
      </w:r>
      <w:r>
        <w:rPr>
          <w:rFonts w:ascii="Amiri" w:hAnsi="Amiri" w:eastAsia="Amiri" w:cs="Amiri"/>
          <w:color w:val="111111"/>
          <w:sz w:val="28"/>
          <w:sz w:val="28"/>
          <w:szCs w:val="28"/>
          <w:rtl w:val="true"/>
          <w:lang w:bidi="ar-SA"/>
        </w:rPr>
        <w:t>، ودليل الإكراه</w:t>
      </w:r>
      <w:r>
        <w:rPr>
          <w:rStyle w:val="FootnoteAnchor"/>
          <w:rtl w:val="true"/>
        </w:rPr>
        <w:footnoteReference w:id="636"/>
      </w:r>
      <w:r>
        <w:rPr>
          <w:rFonts w:ascii="Amiri" w:hAnsi="Amiri" w:eastAsia="Amiri" w:cs="Amiri"/>
          <w:color w:val="111111"/>
          <w:sz w:val="28"/>
          <w:sz w:val="28"/>
          <w:szCs w:val="28"/>
          <w:rtl w:val="true"/>
          <w:lang w:bidi="ar-SA"/>
        </w:rPr>
        <w:t xml:space="preserve">رافع للحكم ، فمقتضى دليل الرفع رفع الحرمة أو الوجوب عمّا </w:t>
      </w:r>
    </w:p>
    <w:p>
      <w:pPr>
        <w:pStyle w:val="BookText"/>
        <w:rPr/>
      </w:pPr>
      <w:r>
        <w:rPr>
          <w:rFonts w:ascii="Amiri" w:hAnsi="Amiri" w:eastAsia="Amiri" w:cs="Amiri"/>
          <w:color w:val="111111"/>
          <w:sz w:val="28"/>
          <w:sz w:val="28"/>
          <w:szCs w:val="28"/>
          <w:rtl w:val="true"/>
          <w:lang w:bidi="ar-SA"/>
        </w:rPr>
        <w:t xml:space="preserve">اُكره عليه ، لا جعل الوجوب أو الاستحباب لفعله 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دليل التقيّة</w:t>
      </w:r>
    </w:p>
    <w:p>
      <w:pPr>
        <w:pStyle w:val="BookText"/>
        <w:rPr/>
      </w:pPr>
      <w:r>
        <w:rPr>
          <w:rFonts w:ascii="Amiri" w:hAnsi="Amiri" w:eastAsia="Amiri" w:cs="Amiri"/>
          <w:color w:val="111111"/>
          <w:sz w:val="28"/>
          <w:sz w:val="28"/>
          <w:szCs w:val="28"/>
          <w:rtl w:val="true"/>
          <w:lang w:bidi="ar-SA"/>
        </w:rPr>
        <w:t xml:space="preserve">جعل الحكم لا 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ظاهر أدلّة التقيّة أ نّها شرّعت لحفظ دماء الشيعة وأعراضهم وأموالهم من غير خصوصية للمتّقي ، ودليل الرفع منّة على المكرَه ولوحظ فيه حفظ نفسه وعرضه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كونهما عنوانين مختلفين موضوعاً وحكماً ومورداً وغايةً لا وجه لتسرية الحكم من التقيّة إلى الإكراه ، بل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التقيّة ليحقن به الدم </w:t>
      </w:r>
      <w:r>
        <w:rPr>
          <w:rFonts w:eastAsia="Amiri" w:cs="Amiri" w:ascii="Amiri" w:hAnsi="Amiri"/>
          <w:color w:val="111111"/>
          <w:sz w:val="28"/>
          <w:szCs w:val="28"/>
          <w:rtl w:val="true"/>
          <w:lang w:bidi="ar-SA"/>
        </w:rPr>
        <w:t>. . .»</w:t>
      </w:r>
      <w:r>
        <w:rPr>
          <w:rStyle w:val="FootnoteAnchor"/>
          <w:rtl w:val="true"/>
        </w:rPr>
        <w:footnoteReference w:id="637"/>
      </w:r>
      <w:r>
        <w:rPr>
          <w:rFonts w:ascii="Amiri" w:hAnsi="Amiri" w:eastAsia="Amiri" w:cs="Amiri"/>
          <w:color w:val="111111"/>
          <w:sz w:val="28"/>
          <w:sz w:val="28"/>
          <w:szCs w:val="28"/>
          <w:rtl w:val="true"/>
          <w:lang w:bidi="ar-SA"/>
        </w:rPr>
        <w:t xml:space="preserve">أنّ تشريعها لحفظ الدم ، سواء كان دم المتّقي أو غيره من أفراد الشيعة ، فإذا بلغت الدم ؛ أي صارت موجبة لإراقة ما شرّعت لأجله ، فلا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نفي الإكراه لمّا شرّع لحفظ مصلحة خصوص المكرَه ، فلا يكون بلوغه دم غيره مخالفاً لتشريعه ، فحينئذٍ يكون هذا الحكم مختصّاً بالتقيّة ، وبقي دليل نفي ما اُكرهوا 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إلغاء الخصوصية ممنوعة ، بل لا مورد لها ؛ لأنّ خصوصية ما اُكره تخالف خصوصية التقيّة ، فإنّ في مورد الإكراه توجّه الشرّ إلى الغير ويكون المكره وسيلة وآلة للمكرِه ، ومورد التقيّة ليس كذلك نوعاً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جعل التقيّة لحفظ مطلق دم الشيعة ، ورفع ما اُكره لحفظ خصوص المكره ، فكيف يمكن أن يقال بإلغاء الخصوصية عرفاً أو يدّعى وحدة المناط أو يدّعى أنّ سلب التقيّة في الدماء لأهمّيتها فلا فرق بين البابين ؟ </w:t>
      </w:r>
      <w:bookmarkStart w:id="185" w:name="pg15162_155524"/>
    </w:p>
    <w:p>
      <w:pPr>
        <w:pStyle w:val="Heading4"/>
        <w:numPr>
          <w:ilvl w:val="3"/>
          <w:numId w:val="1"/>
        </w:numPr>
        <w:rPr/>
      </w:pPr>
      <w:bookmarkStart w:id="186" w:name="__RefHeading___Toc1955472_2142443653"/>
      <w:bookmarkStart w:id="187" w:name="_Toc67"/>
      <w:bookmarkEnd w:id="185"/>
      <w:bookmarkEnd w:id="186"/>
      <w:r>
        <w:rPr>
          <w:rtl w:val="true"/>
        </w:rPr>
        <w:t xml:space="preserve">لكن يمكن دفع المناقشة </w:t>
      </w:r>
      <w:r>
        <w:rPr>
          <w:rtl w:val="true"/>
        </w:rPr>
        <w:t>:</w:t>
      </w:r>
      <w:bookmarkEnd w:id="187"/>
    </w:p>
    <w:p>
      <w:pPr>
        <w:pStyle w:val="BookText"/>
        <w:rPr/>
      </w:pPr>
      <w:r>
        <w:rPr>
          <w:rFonts w:ascii="Amiri" w:hAnsi="Amiri" w:eastAsia="Amiri" w:cs="Amiri"/>
          <w:color w:val="111111"/>
          <w:sz w:val="28"/>
          <w:sz w:val="28"/>
          <w:szCs w:val="28"/>
          <w:rtl w:val="true"/>
          <w:lang w:bidi="ar-SA"/>
        </w:rPr>
        <w:t>مضافاً إلى أنّ التقيّة أعمّ لغة ؛ فإنّها بمعنى التجنّب والتحذّر والمخافة</w:t>
      </w:r>
      <w:r>
        <w:rPr>
          <w:rStyle w:val="FootnoteAnchor"/>
          <w:rtl w:val="true"/>
        </w:rPr>
        <w:footnoteReference w:id="638"/>
      </w:r>
      <w:r>
        <w:rPr>
          <w:rFonts w:ascii="Amiri" w:hAnsi="Amiri" w:eastAsia="Amiri" w:cs="Amiri"/>
          <w:color w:val="111111"/>
          <w:sz w:val="28"/>
          <w:sz w:val="28"/>
          <w:szCs w:val="28"/>
          <w:rtl w:val="true"/>
          <w:lang w:bidi="ar-SA"/>
        </w:rPr>
        <w:t>، فصدقت على التحرّز من كلّ مكروه وشرّ ، فإذا أكرهه على أمر فأتى به تجنّباً من شرّه يصدق عرفاً ولغةً أ نّه فعله تقيّة واتّقاءً ، فلا وجه لتقييد عمومات التقيّة</w:t>
      </w:r>
    </w:p>
    <w:p>
      <w:pPr>
        <w:pStyle w:val="BookText"/>
        <w:rPr/>
      </w:pPr>
      <w:r>
        <w:rPr>
          <w:rFonts w:ascii="Amiri" w:hAnsi="Amiri" w:eastAsia="Amiri" w:cs="Amiri"/>
          <w:color w:val="111111"/>
          <w:sz w:val="28"/>
          <w:sz w:val="28"/>
          <w:szCs w:val="28"/>
          <w:rtl w:val="true"/>
          <w:lang w:bidi="ar-SA"/>
        </w:rPr>
        <w:t xml:space="preserve">بخصوص ما ذكر بمجرّد كون مورد بعض الأخبار ذلك ، مع إمكان حملها على التفسير بالمصداق كما هو شائع وإلاّ لصارت مضامينها متناقضة ، بل رواية مسعدة أيضاً لا يبعد أن تكون ظاهرة في التفسير بالمصداق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أن يكون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ما بعده أحد المصاديق المذكور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ومقابلتها للإذاعة والإفشاء في جملة من الروايات لا تدلّ على الحصر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التقيّة ، والسيّئة الإذاعة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لا يدلّ على أنّ ما لا يقابل الإذاعة ليس تقيّة بل للتقيّة موارد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أنّ الظاهر من جملة من الروايات أنّ الإكراه أيضاً تقيّة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محمّد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 ميثم رحمه الله علیه من التقيّة ؟ فواللّه لقد علم أنّ هذه الآية نزلت في عمّار وأصحابه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درست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بلغت تقيّة أحد ما بلغت تقيّة أصحاب الكهف </w:t>
      </w:r>
      <w:r>
        <w:rPr>
          <w:rFonts w:eastAsia="IRNazanin" w:cs="IRNazanin"/>
          <w:color w:val="111111"/>
          <w:sz w:val="28"/>
          <w:szCs w:val="28"/>
          <w:rtl w:val="true"/>
          <w:lang w:bidi="fa-IR"/>
        </w:rPr>
        <w:t>. .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ما في رواية عبداللّه بن يحيى أ نّه علیه السلام ذكر أصحاب الكهف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كلّفكم قومكم ما كلّفهم قومهم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كلّفهم قومهم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كلّفوهم الشرك باللّه العظيم ، فأظهروا لهم الشرك وأسرّوا الإيمان</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ضمّ الروايتين أنّ الإكراه أيضاً من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روايات فيها 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إليه ابن آدم</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المكرَه يكون ملجأً ومضطرّاً إلى إتيان ما اُكره عليه عرفاً ، وتكون الضرورة ألجأته إلى إتيانه ، وإلاّ لما يأتمر بأمر المكرِه فهو ضرورة</w:t>
      </w:r>
    </w:p>
    <w:p>
      <w:pPr>
        <w:pStyle w:val="BookText"/>
        <w:rPr/>
      </w:pPr>
      <w:r>
        <w:rPr>
          <w:rFonts w:ascii="Amiri" w:hAnsi="Amiri" w:eastAsia="Amiri" w:cs="Amiri"/>
          <w:color w:val="111111"/>
          <w:sz w:val="28"/>
          <w:sz w:val="28"/>
          <w:szCs w:val="28"/>
          <w:rtl w:val="true"/>
          <w:lang w:bidi="ar-SA"/>
        </w:rPr>
        <w:t xml:space="preserve">فيها التقيّة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نّه لو بنينا على مقابلة العنوانين بل مباينتهما ، لأمكن الإلحاق في الأحكام بصحيحة بكر بن محمّد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التقيّة تُرس </w:t>
      </w:r>
      <w:bookmarkStart w:id="188" w:name="pg15162_155526"/>
    </w:p>
    <w:p>
      <w:pPr>
        <w:pStyle w:val="BookText"/>
        <w:rPr/>
      </w:pPr>
      <w:bookmarkEnd w:id="188"/>
      <w:r>
        <w:rPr>
          <w:rFonts w:ascii="Amiri" w:hAnsi="Amiri" w:eastAsia="Amiri" w:cs="Amiri"/>
          <w:color w:val="111111"/>
          <w:sz w:val="28"/>
          <w:sz w:val="28"/>
          <w:szCs w:val="28"/>
          <w:rtl w:val="true"/>
          <w:lang w:bidi="ar-SA"/>
        </w:rPr>
        <w:t>المؤمن ، ولا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التقيّة إلاّ هذا ؟</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إن دلّت على أنّ الإكراه تقيّة حقيقة فهو ، وإلاّ بما أ نّها دلّت على أنّ التقيّة ليست إلاّ الإكراه على سبيل المبالغة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الأسد إلاّ زيد ، تدلّ على الإلحاق الحكمي بلسان الهوهوية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حاكمة على أخبار التقيّة التي منها صحيحة محمّد بن مسلم وغيرها </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بتنقيح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أ نّه كما أنّ التقيّة إذا بلغت الدم فهي منفيّة كذلك لا إكراه</w:t>
      </w:r>
    </w:p>
    <w:p>
      <w:pPr>
        <w:pStyle w:val="BookText"/>
        <w:rPr/>
      </w:pPr>
      <w:r>
        <w:rPr>
          <w:rFonts w:ascii="IRNazanin" w:hAnsi="IRNazanin" w:eastAsia="IRNazanin"/>
          <w:color w:val="111111"/>
          <w:sz w:val="28"/>
          <w:sz w:val="28"/>
          <w:szCs w:val="28"/>
          <w:rtl w:val="true"/>
          <w:lang w:bidi="fa-IR"/>
        </w:rPr>
        <w:t xml:space="preserve">بعد بلوغه </w:t>
      </w:r>
      <w:r>
        <w:rPr>
          <w:rFonts w:eastAsia="IRNazanin" w:cs="IRNazanin"/>
          <w:color w:val="111111"/>
          <w:sz w:val="28"/>
          <w:szCs w:val="28"/>
          <w:rtl w:val="true"/>
          <w:lang w:bidi="fa-IR"/>
        </w:rPr>
        <w:t>.</w:t>
      </w:r>
    </w:p>
    <w:p>
      <w:pPr>
        <w:pStyle w:val="Heading4"/>
        <w:numPr>
          <w:ilvl w:val="3"/>
          <w:numId w:val="1"/>
        </w:numPr>
        <w:rPr/>
      </w:pPr>
      <w:bookmarkStart w:id="189" w:name="__RefHeading___Toc1955474_2142443653"/>
      <w:bookmarkStart w:id="190" w:name="_Toc68"/>
      <w:bookmarkEnd w:id="189"/>
      <w:r>
        <w:rPr>
          <w:rtl w:val="true"/>
        </w:rPr>
        <w:t xml:space="preserve">مفاد قوله علیه السلام </w:t>
      </w:r>
      <w:r>
        <w:rPr>
          <w:rtl w:val="true"/>
        </w:rPr>
        <w:t>: «</w:t>
      </w:r>
      <w:r>
        <w:rPr>
          <w:rtl w:val="true"/>
        </w:rPr>
        <w:t>فإذا بلغت الدم فلا تقيّة</w:t>
      </w:r>
      <w:r>
        <w:rPr>
          <w:rtl w:val="true"/>
        </w:rPr>
        <w:t>»</w:t>
      </w:r>
      <w:bookmarkEnd w:id="190"/>
    </w:p>
    <w:p>
      <w:pPr>
        <w:pStyle w:val="BookText"/>
        <w:rPr/>
      </w:pPr>
      <w:r>
        <w:rPr>
          <w:rFonts w:ascii="Amiri" w:hAnsi="Amiri" w:eastAsia="Amiri" w:cs="Amiri"/>
          <w:color w:val="111111"/>
          <w:sz w:val="28"/>
          <w:sz w:val="28"/>
          <w:szCs w:val="28"/>
          <w:rtl w:val="true"/>
          <w:lang w:bidi="ar-SA"/>
        </w:rPr>
        <w:t xml:space="preserve">ثمّ إنّ مفاد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حرمتها ، أو عدم وجوبها ؟</w:t>
      </w:r>
    </w:p>
    <w:p>
      <w:pPr>
        <w:pStyle w:val="BookText"/>
        <w:rPr/>
      </w:pPr>
      <w:r>
        <w:rPr>
          <w:rFonts w:ascii="Amiri" w:hAnsi="Amiri" w:eastAsia="Amiri" w:cs="Amiri"/>
          <w:color w:val="111111"/>
          <w:sz w:val="28"/>
          <w:sz w:val="28"/>
          <w:szCs w:val="28"/>
          <w:rtl w:val="true"/>
          <w:lang w:bidi="ar-SA"/>
        </w:rPr>
        <w:t xml:space="preserve">ومنشأ الاحتمالين أ نّه بعد معلومية أنّ نفي عنوان التقيّة من الحقائق الادّعائية ، ولابدّ فيها من مصحّح للدعوى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أن يكون المصحّح لها حرمتها في الشريعة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رَفَثَ </w:t>
      </w:r>
    </w:p>
    <w:p>
      <w:pPr>
        <w:pStyle w:val="BookText"/>
        <w:rPr/>
      </w:pPr>
      <w:r>
        <w:rPr>
          <w:rFonts w:ascii="Amiri" w:hAnsi="Amiri" w:eastAsia="Amiri" w:cs="Amiri"/>
          <w:color w:val="111111"/>
          <w:sz w:val="28"/>
          <w:sz w:val="28"/>
          <w:szCs w:val="28"/>
          <w:rtl w:val="true"/>
          <w:lang w:bidi="ar-SA"/>
        </w:rPr>
        <w:t>وَلاَ فُسُوقَ وَلا جِدالَ فِى الحَجِّ</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تعرّب بعد الهجرة ، ولا وصال في صيام</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 ونظائرها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فيدّعى أنّ الحرمة الشرعية أوجبت سدّ طرق وجودها ، فليس لها تحقّق ووجود ، كسائر الجمل الإخبارية التي تستعمل في مقام الإنشاء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 ويغسل ثوبه</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فإنّها لم تستعمل في المعاني الإنشائية ، بل تستعمل في معانيها بادّعاء أ نّه لا يترك أو لا يوجد ، فيفهم منها الوجوب أو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المصحّح نفي الحكم المتعلّق بها ، فإنّها واجبة ولا دين لمن</w:t>
      </w:r>
    </w:p>
    <w:p>
      <w:pPr>
        <w:pStyle w:val="BookText"/>
        <w:rPr/>
      </w:pPr>
      <w:r>
        <w:rPr>
          <w:rFonts w:ascii="Amiri" w:hAnsi="Amiri" w:eastAsia="Amiri" w:cs="Amiri"/>
          <w:color w:val="111111"/>
          <w:sz w:val="28"/>
          <w:sz w:val="28"/>
          <w:szCs w:val="28"/>
          <w:rtl w:val="true"/>
          <w:lang w:bidi="ar-SA"/>
        </w:rPr>
        <w:t xml:space="preserve">لا تقيّة له ، ومع نفي حكمها في الشريعة يصحّ أن يدّعى عدمها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غضب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في جبر ، ولا في إكراه</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 xml:space="preserve">ونظائرها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ترجيح هذا الاحتمال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موضوع ذي حكم في الشريعة إذا تعلّق النفي به يكون ظاهراً في نفيه بلحاظ حكمه ، إلاّ أن قامت قرينة على خلافه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الحقائق الادّعائية بلحاظ </w:t>
      </w:r>
    </w:p>
    <w:p>
      <w:pPr>
        <w:pStyle w:val="BookText"/>
        <w:rPr/>
      </w:pPr>
      <w:r>
        <w:rPr>
          <w:rFonts w:ascii="Amiri" w:hAnsi="Amiri" w:eastAsia="Amiri" w:cs="Amiri"/>
          <w:color w:val="111111"/>
          <w:sz w:val="28"/>
          <w:sz w:val="28"/>
          <w:szCs w:val="28"/>
          <w:rtl w:val="true"/>
          <w:lang w:bidi="ar-SA"/>
        </w:rPr>
        <w:t xml:space="preserve">جعل الحكم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بينه وبين الفقرة الثانية تقتضي أن يكون النفي</w:t>
      </w:r>
    </w:p>
    <w:p>
      <w:pPr>
        <w:pStyle w:val="BookText"/>
        <w:rPr/>
      </w:pPr>
      <w:r>
        <w:rPr>
          <w:rFonts w:ascii="Amiri" w:hAnsi="Amiri" w:eastAsia="Amiri" w:cs="Amiri"/>
          <w:color w:val="111111"/>
          <w:sz w:val="28"/>
          <w:sz w:val="28"/>
          <w:szCs w:val="28"/>
          <w:rtl w:val="true"/>
          <w:lang w:bidi="ar-SA"/>
        </w:rPr>
        <w:t xml:space="preserve">بلحاظ نفي هذا المجعول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وجبت التقيّة لكذا ، فإذا بلغت الدم فلا 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يكون الاحتمال الأوّل أرجح لو لم نقل بتعيّنه ؛ لفهم العرف مع خلوّ ذهنه عن الشبهات ، ولمناسبة الحكم والموضوع ، ولأنّ الظاهر أنّ الجملة سيقت لبيان أهمّية الدماء وأ نّه تعالى أوجب التقيّة لحقنها ، فإذا كان حقنها موجبة</w:t>
      </w:r>
    </w:p>
    <w:p>
      <w:pPr>
        <w:pStyle w:val="BookText"/>
        <w:rPr/>
      </w:pPr>
      <w:r>
        <w:rPr>
          <w:rFonts w:ascii="Amiri" w:hAnsi="Amiri" w:eastAsia="Amiri" w:cs="Amiri"/>
          <w:color w:val="111111"/>
          <w:sz w:val="28"/>
          <w:sz w:val="28"/>
          <w:szCs w:val="28"/>
          <w:rtl w:val="true"/>
          <w:lang w:bidi="ar-SA"/>
        </w:rPr>
        <w:t xml:space="preserve">لوجوبها وكونها ديناً ولا دين لمن تركها ، لا محالة يكون البلوغ إلى إراقتها موجباً لحرمتها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قرائن على أنّ النفي ليس بلحاظ نفي الحكم لو سلّم الظهور المدّعى في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المناسبة بين الحكم والموضوع تقتضي أن يكون النفي بلحاظ التحريم ، والإثبات بلحاظ الإيجاب ، وهذا هو التناسب بين الفقرتين ، لا ما ذكرناه في الوجه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نفي الموضوع في المقام بلحاظ نفي حكمه غير صحيح ، ولا يكون هذا مصحّحاً لنفي الموضوع لخصوصية فيه ؛ لأنّ الأغراض الأكيدة في عامّة الناس قائمة بحفظ نفوسهم ونفوس من يتعلّق بهم ، بحيث لولا الخوف من عذاب اللّه تعالى والجزاء الشرعي والعرفي في الحكومات والسياسات لكان كلّ شخص يهمّ بحفظ نفسه ونفس عائلته ومتعلّقيه وإن توقّف على إراقة الدماء بالغة ما بلغت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المورد إذا نفى الشارع وجوب التقيّة إذا بلغت الدم ولم يحرّمها لا شبهة في استعمال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لحفظ دمائهم ، بل </w:t>
      </w:r>
    </w:p>
    <w:p>
      <w:pPr>
        <w:pStyle w:val="BookText"/>
        <w:rPr/>
      </w:pPr>
      <w:r>
        <w:rPr>
          <w:rFonts w:ascii="Amiri" w:hAnsi="Amiri" w:eastAsia="Amiri" w:cs="Amiri"/>
          <w:color w:val="111111"/>
          <w:sz w:val="28"/>
          <w:sz w:val="28"/>
          <w:szCs w:val="28"/>
          <w:rtl w:val="true"/>
          <w:lang w:bidi="ar-SA"/>
        </w:rPr>
        <w:t xml:space="preserve">لحفظ أعراضهم ، بل لا يبعد استعمالهم لحفظ أموالهم المهمّة ، ومع عدم منع استعمالها في الشريعة وكثرة تحقّقها لشدّة اهتمام الناس بها لا يصحّ سلب الموضوع ادّعاءً ، فالإخبار الادّعائي بعدم تحقّق شيء كثير الوجود خارجاً وغير ممنوع شرعاً ، لا مصحّح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الموضوع بلحاظ نفي الحكم ، ليس صحيحاً بنحو الإطلاق بل لا بدّ من ملاحظة خصوصيات الموارد ؛ فقد يصحّ الدعوى ، وقد لا تصحّ ، والمقام من قبيل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غضب</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 ، ولا للمرأة مع زوجها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إلى غير ذلك ممّا هو كثير التحقّق ، ويكون نفي الموضوع بلحاظ نفي الحكم وعدم الانعقاد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الموارد يكون المصحّح لغوية وجود الموضوع ، فكأنّ ما لا يترتّب عليه أثر في الشرع ولا في العرف لا يكون موجوداً فيصحّ تعلّق النفي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المقام فيترتّب على التقيّة آثار مهمّة عند العقلاء هي حفظ نفوسهم وسائر أغراضهم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نفي الموضوع التكويني الموجود خارجاً من ادّعاء ومصحّح له ، فقد يكون المصحّح ندرة الوجود ، وقد يكون عدم ترتّب آثار الوجود عليه ، وقد يكون عدم ترتّب الأثر المتوقّع منه عليه ، وقد يكون ممنوعية </w:t>
      </w:r>
      <w:bookmarkStart w:id="191" w:name="pg15162_155530"/>
    </w:p>
    <w:p>
      <w:pPr>
        <w:pStyle w:val="BookText"/>
        <w:rPr/>
      </w:pPr>
      <w:bookmarkEnd w:id="191"/>
      <w:r>
        <w:rPr>
          <w:rFonts w:ascii="Amiri" w:hAnsi="Amiri" w:eastAsia="Amiri" w:cs="Amiri"/>
          <w:color w:val="111111"/>
          <w:sz w:val="28"/>
          <w:sz w:val="28"/>
          <w:szCs w:val="28"/>
          <w:rtl w:val="true"/>
          <w:lang w:bidi="ar-SA"/>
        </w:rPr>
        <w:t xml:space="preserve">وجوده وسدّ طرق تحقّقه تشريعاً وليس في المقام مصحّح غير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فهم الأصحاب ذلك من الروايات أيضاً من المؤيّدات القويّة لو لم نقل من الحجج الكافية ودليل على الظهور العرفي ، فتردّد بعض المدقّقين</w:t>
      </w:r>
      <w:r>
        <w:rPr>
          <w:rStyle w:val="FootnoteAnchor"/>
          <w:rtl w:val="true"/>
        </w:rPr>
        <w:footnoteReference w:id="654"/>
      </w:r>
      <w:r>
        <w:rPr>
          <w:rFonts w:ascii="Amiri" w:hAnsi="Amiri" w:eastAsia="Amiri" w:cs="Amiri"/>
          <w:color w:val="111111"/>
          <w:sz w:val="28"/>
          <w:sz w:val="28"/>
          <w:szCs w:val="28"/>
          <w:rtl w:val="true"/>
          <w:lang w:bidi="ar-SA"/>
        </w:rPr>
        <w:t xml:space="preserve">فيه في غير محلّه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955476_2142443653"/>
      <w:bookmarkStart w:id="193" w:name="_Toc69"/>
      <w:bookmarkEnd w:id="192"/>
      <w:r>
        <w:rPr>
          <w:rtl w:val="true"/>
        </w:rPr>
        <w:t>في دوران الأمر بين مباشرة القتل وبين إيقاع النفس في الهلكة</w:t>
      </w:r>
      <w:bookmarkEnd w:id="193"/>
    </w:p>
    <w:p>
      <w:pPr>
        <w:pStyle w:val="BookText"/>
        <w:rPr/>
      </w:pPr>
      <w:r>
        <w:rPr>
          <w:rFonts w:ascii="Amiri" w:hAnsi="Amiri" w:eastAsia="Amiri" w:cs="Amiri"/>
          <w:color w:val="111111"/>
          <w:sz w:val="28"/>
          <w:sz w:val="28"/>
          <w:szCs w:val="28"/>
          <w:rtl w:val="true"/>
          <w:lang w:bidi="ar-SA"/>
        </w:rPr>
        <w:t>ثمّ إنّه لو قلنا بعدم استفادة أحد الوجهين منها أو استفادة الوجه الثاني من</w:t>
      </w:r>
    </w:p>
    <w:p>
      <w:pPr>
        <w:pStyle w:val="BookText"/>
        <w:rPr/>
      </w:pPr>
      <w:r>
        <w:rPr>
          <w:rFonts w:ascii="Amiri" w:hAnsi="Amiri" w:eastAsia="Amiri" w:cs="Amiri"/>
          <w:color w:val="111111"/>
          <w:sz w:val="28"/>
          <w:sz w:val="28"/>
          <w:szCs w:val="28"/>
          <w:rtl w:val="true"/>
          <w:lang w:bidi="ar-SA"/>
        </w:rPr>
        <w:t xml:space="preserve">الوجهين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بمعارضة دليل حرمة القتل لدليل حرمة إيقاع النفس في</w:t>
      </w:r>
    </w:p>
    <w:p>
      <w:pPr>
        <w:pStyle w:val="BookText"/>
        <w:rPr/>
      </w:pPr>
      <w:r>
        <w:rPr>
          <w:rFonts w:ascii="Amiri" w:hAnsi="Amiri" w:eastAsia="Amiri" w:cs="Amiri"/>
          <w:color w:val="111111"/>
          <w:sz w:val="28"/>
          <w:sz w:val="28"/>
          <w:szCs w:val="28"/>
          <w:rtl w:val="true"/>
          <w:lang w:bidi="ar-SA"/>
        </w:rPr>
        <w:t xml:space="preserve">الهلكة ، ومزاحمة الحكمين أو مزاحمة حرمة قتل النفس لحرمة التسبيب لقتل النفس المحترمة ؛ أي نفس من يتعلّق به إذا كان الإيعاد بقتله ، ولا دليل على الترجيح فيتخيّر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يتحقّق الترجيح والأهمّية في أحد الطرفين ، كما لو أوعده على قتل بعض متعلّقيه لو لم يقتل جماعة عديدة ، أو أوعده على قتله وقتل جميع متعلّقيه لو لم يقتل واحداً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مباشرة القتل وبين محرّم آخر دونه ، لا ينبغي الإشكال في أقلّية محذور ارتكاب الثاني وعدم مزاحمته لمقتضى القتل ، والإيقاع في الهلكة في المقام ليس قتل نفسه مباشرة ولا تسبيباً ، بل لمّا أمكنه </w:t>
      </w:r>
    </w:p>
    <w:p>
      <w:pPr>
        <w:pStyle w:val="BookText"/>
        <w:rPr/>
      </w:pPr>
      <w:r>
        <w:rPr>
          <w:rFonts w:ascii="Amiri" w:hAnsi="Amiri" w:eastAsia="Amiri" w:cs="Amiri"/>
          <w:color w:val="111111"/>
          <w:sz w:val="28"/>
          <w:sz w:val="28"/>
          <w:szCs w:val="28"/>
          <w:rtl w:val="true"/>
          <w:lang w:bidi="ar-SA"/>
        </w:rPr>
        <w:t xml:space="preserve">صرف شرّ الغير عن نفسه كان ذلك الصرف واجباً ولو عقلاً ، أو عدم صرفه نحو إيقاع لها في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 شرّ الغير عن نفسه واجب أو الإيقاع في الهلكة بهذا المعنى حرام ، لكنّه دون حرمة مباشرة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لو دار الأمر بين قتل جابر نفساً محترمة وبين قتلك نفساً محترمة اُخرى ، لا يمكن القول بالتخيير بين القتل مباشرة لحفظ النفس المحترمة وترك المباشرة وإيقاع الغير في الهلكة ، بدعوى مزاحمة المقتضيين وعدم الترجيح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دوران الأمر بين قتل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وقتل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يتعلّق به ، بأنّ ذلك من قبيل الدوران بين حرمة القتل وحرمة التسبيب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تسبيباً لقتل من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التخلّف عن أمر المكرِه ليس سبباً عرفاً وعقلاً للقتل ، مع أنّ المباشرة للقتل أشدّ محذوراً من هذا المعنى المفروض وإن سمّي تسبيباً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دار الأمر بين مباشرته لقتل شخص واحد ، وبين مباشرة المكرِه لقتل أشخاص عديدة ، لا يجوز مباشرة القتل ؛ لأنّ الواجب دفع قتلهم مع الإمكان ، لكن إذا توقّف على ارتكاب القتل مباشرة ، فلا دليل على جوازه وترجيح مقابله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نظير دوران الأمر بين ارتكابه شرب الخمر وارتكاب جمع كثير شربها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وجوب حفظ النفوس بارتكاب قتل 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كان المتوعّد على قتله من يجب حفظه على أيّ تقدير كالنبيّ رحمهما اللّه</w:t>
      </w:r>
    </w:p>
    <w:p>
      <w:pPr>
        <w:pStyle w:val="BookText"/>
        <w:rPr/>
      </w:pPr>
      <w:r>
        <w:rPr>
          <w:rFonts w:ascii="IRNazanin" w:hAnsi="IRNazanin" w:eastAsia="IRNazanin"/>
          <w:color w:val="111111"/>
          <w:sz w:val="28"/>
          <w:sz w:val="28"/>
          <w:szCs w:val="28"/>
          <w:rtl w:val="true"/>
          <w:lang w:bidi="fa-IR"/>
        </w:rPr>
        <w:t xml:space="preserve">والوصيّ علیه السلام يجب قتل غيره لحفظه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قطع النظر عن دليل الحرج ، وإلاّ فلا تصل النوبة إلى حكم العقل ، فإنّه على فرض كون المرفوع في الدم حكم التقيّة وسكوت الرواية عن حكم بلوغ الدم ، يكون مقتضى دليل نفي الحرج جواز ارتكاب الدم ؛ لما مرّ من أنّ الشرّ والضرر المتوجّه إلى الغير يكون وجوب دفعه بتحمّل الضرر على النفس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حفظ نفس الغير أو حرمة قتله بإيقاع الضرر على نفسه حرجي ، سيّما إذا كان الضرر المتوعّد عليه من النفوس أو الأعراض المتعلّقة به ، فمع قيام الدليل الشرعي لا مجال لحكم العقل وترجيحه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بأنّ المستفاد من دليل نفي التقيّة في الدماء الحرمة ، فإن قلنا بأ نّه شامل لجميع أنحاء التقيّة في عرض واحد وكان مفاده تحريمها مطلقاً في الدم ، تكون النسبة بينه وبين دليل نفي جعل الحرج العموم من وجه ؛ لأنّ عدم التقيّة في الدم أعمّ من أن يلزم الحرج في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دليل نفي الحرج حاكماً عليه كحكومته على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دليل التقيّة من الأحكام الثانوية لا ينافي الحكومة المتقوّمة بلسان الدليل مع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أوّلي متعلّق بعنوانها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 روايات نفي التقيّة بلحاظ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قضيّة عمّار ، كما أشرنا إليه</w:t>
      </w:r>
      <w:r>
        <w:rPr>
          <w:rStyle w:val="FootnoteAnchor"/>
          <w:rtl w:val="true"/>
        </w:rPr>
        <w:footnoteReference w:id="656"/>
      </w:r>
      <w:r>
        <w:rPr>
          <w:rFonts w:ascii="Amiri" w:hAnsi="Amiri" w:eastAsia="Amiri" w:cs="Amiri"/>
          <w:color w:val="111111"/>
          <w:sz w:val="28"/>
          <w:sz w:val="28"/>
          <w:szCs w:val="28"/>
          <w:rtl w:val="true"/>
          <w:lang w:bidi="ar-SA"/>
        </w:rPr>
        <w:t xml:space="preserve">، تكون واردة مورد الإكراه </w:t>
      </w:r>
    </w:p>
    <w:p>
      <w:pPr>
        <w:pStyle w:val="BookText"/>
        <w:rPr/>
      </w:pPr>
      <w:r>
        <w:rPr>
          <w:rFonts w:ascii="Amiri" w:hAnsi="Amiri" w:eastAsia="Amiri" w:cs="Amiri"/>
          <w:color w:val="111111"/>
          <w:sz w:val="28"/>
          <w:sz w:val="28"/>
          <w:szCs w:val="28"/>
          <w:rtl w:val="true"/>
          <w:lang w:bidi="ar-SA"/>
        </w:rPr>
        <w:t xml:space="preserve">الذي هو مورد قضيّة عمّار ، فلا محالة لا يجوز إخراجه بدليل الحرج ؛ للزوم إخراج المورد ، وهو 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بقاء مورد الإكراه كذلك ؛ أي عدم جواز إراقة الدم مع الإكراه والتوعيد على القتل، لا يجوز إخراج ما عداه بالضرورة ، فإنّ القتل إذا لم يجز مع التوعيد على القتل لا يجوز مع ما دونه وما هو أهون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التفكيك عقلاً وعرفاً في الدليل ، فلا بدّ من رفع اليد</w:t>
      </w:r>
    </w:p>
    <w:p>
      <w:pPr>
        <w:pStyle w:val="BookText"/>
        <w:rPr/>
      </w:pPr>
      <w:r>
        <w:rPr>
          <w:rFonts w:ascii="Amiri" w:hAnsi="Amiri" w:eastAsia="Amiri" w:cs="Amiri"/>
          <w:color w:val="111111"/>
          <w:sz w:val="28"/>
          <w:sz w:val="28"/>
          <w:szCs w:val="28"/>
          <w:rtl w:val="true"/>
          <w:lang w:bidi="ar-SA"/>
        </w:rPr>
        <w:t>عن تحكيم دليل الحرج في المقام ، وهو أهون من عمل التعارض ، مع أ نّه على فرضه لا بدّ من رفع اليد عن إطلاق الآية</w:t>
      </w:r>
      <w:r>
        <w:rPr>
          <w:rStyle w:val="FootnoteAnchor"/>
          <w:rtl w:val="true"/>
        </w:rPr>
        <w:footnoteReference w:id="657"/>
      </w:r>
      <w:r>
        <w:rPr>
          <w:rFonts w:ascii="Amiri" w:hAnsi="Amiri" w:eastAsia="Amiri" w:cs="Amiri"/>
          <w:color w:val="111111"/>
          <w:sz w:val="28"/>
          <w:sz w:val="28"/>
          <w:szCs w:val="28"/>
          <w:rtl w:val="true"/>
          <w:lang w:bidi="ar-SA"/>
        </w:rPr>
        <w:t>إمّا لكونه عملاً بالدليلين في الجملة أو للإجماع المدّعى</w:t>
      </w:r>
      <w:r>
        <w:rPr>
          <w:rStyle w:val="FootnoteAnchor"/>
          <w:rtl w:val="true"/>
        </w:rPr>
        <w:footnoteReference w:id="658"/>
      </w:r>
      <w:r>
        <w:rPr>
          <w:rFonts w:ascii="Amiri" w:hAnsi="Amiri" w:eastAsia="Amiri" w:cs="Amiri"/>
          <w:color w:val="111111"/>
          <w:sz w:val="28"/>
          <w:sz w:val="28"/>
          <w:szCs w:val="28"/>
          <w:rtl w:val="true"/>
          <w:lang w:bidi="ar-SA"/>
        </w:rPr>
        <w:t>والشهرة المحقّقة المرجّحين على إطلاق الكتاب بل</w:t>
      </w:r>
    </w:p>
    <w:p>
      <w:pPr>
        <w:pStyle w:val="BookText"/>
        <w:rPr/>
      </w:pPr>
      <w:r>
        <w:rPr>
          <w:rFonts w:ascii="Amiri" w:hAnsi="Amiri" w:eastAsia="Amiri" w:cs="Amiri"/>
          <w:color w:val="111111"/>
          <w:sz w:val="28"/>
          <w:sz w:val="28"/>
          <w:szCs w:val="28"/>
          <w:rtl w:val="true"/>
          <w:lang w:bidi="ar-SA"/>
        </w:rPr>
        <w:t xml:space="preserve">المقيّدين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أفراد المؤمنين من حيث الصغر والكبر ، والعلم والجهل ، والذكورة والاُنوثة حتّى الحمل بعد ولوج الروح ، ولا بين المريض وغيره ، ولا بين من في حال النزع وغيره على تأمّل في الأخير ، بل والمستحقّ للقتل قصاصاً وغيره ، فإنّه محقون الدم وإن جعل اللّه لوليّه سلطاناً على قتله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المؤمن المستحقّ للقتل حدّاً كالزاني محصناً واللاطي ، فالظاهر أ نّه غير محقون ، كما تسالم عليه الفقهاء في كتاب القصاص وادّعي عليه الإجماع</w:t>
      </w:r>
      <w:r>
        <w:rPr>
          <w:rStyle w:val="FootnoteAnchor"/>
          <w:rtl w:val="true"/>
        </w:rPr>
        <w:footnoteReference w:id="659"/>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تظافر النصوص عليه</w:t>
      </w:r>
      <w:r>
        <w:rPr>
          <w:rStyle w:val="FootnoteAnchor"/>
          <w:rtl w:val="true"/>
        </w:rPr>
        <w:footnoteReference w:id="660"/>
      </w:r>
      <w:r>
        <w:rPr>
          <w:rFonts w:ascii="Amiri" w:hAnsi="Amiri" w:eastAsia="Amiri" w:cs="Amiri"/>
          <w:color w:val="111111"/>
          <w:sz w:val="28"/>
          <w:sz w:val="28"/>
          <w:szCs w:val="28"/>
          <w:rtl w:val="true"/>
          <w:lang w:bidi="ar-SA"/>
        </w:rPr>
        <w:t xml:space="preserve">، ولعلّه أراد بها ما دلّت على أ نّه يقتل ونحو ذلك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شيخنا الأنصاري أنّ ظاهر المشهور عدم التقيّة فيه</w:t>
      </w:r>
      <w:r>
        <w:rPr>
          <w:rStyle w:val="FootnoteAnchor"/>
          <w:rtl w:val="true"/>
        </w:rPr>
        <w:footnoteReference w:id="661"/>
      </w:r>
      <w:r>
        <w:rPr>
          <w:rFonts w:ascii="Amiri" w:hAnsi="Amiri" w:eastAsia="Amiri" w:cs="Amiri"/>
          <w:color w:val="111111"/>
          <w:sz w:val="28"/>
          <w:sz w:val="28"/>
          <w:szCs w:val="28"/>
          <w:rtl w:val="true"/>
          <w:lang w:bidi="ar-SA"/>
        </w:rPr>
        <w:t xml:space="preserve">ناشئة من إطلاقهم في المقام ، ولكن مقتضى تصريحهم بعدم محقونيته مطلقاً جواز التقيّة فيه ، وهو لا يخلو من وجه ، فإنّ الظاهر أنّ الحدّ ليس حقّاً للحاكم كالقصاص بالنسبة إلى وليّ الدم ، بل الحاكم لكونه مسيّس العباد وله السلطان والولاية يكون مختصّاً بإجراء الحدود وليس لغيره إجراؤها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قتل شخص من يجب قتله حدّاً اختياراً لا قصاص عليه ولا دية كما قالوا وليس عليه إلاّ الإثم ويرتفع مع الإكراه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انصراف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التقيّة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مثله ؛ ضرورة أنّ التقيّة لم تجعل لحقن دم مثله ، فإطلاق أدلّة الإكراه والتقيّة محكّم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غير المؤمن من سائر الفرق خارج عن مصبّ الروايات وأنّ التقيّة جعلت لحقن دم المؤمن خاصّة ، ومقتضى العمومات جواز قتل غيرهم بالإكراه وحال الضرورة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الدم كناية عن القتل بأيّ سبب كان ، بإراقة الدم أو غيرها ، وما دون القتل جرحاً كان أو غيره خارج ، وداخل في جواز التقيّة أو وجوبها </w:t>
      </w:r>
      <w:r>
        <w:rPr>
          <w:rFonts w:eastAsia="Amiri" w:cs="Amiri" w:ascii="Amiri" w:hAnsi="Amiri"/>
          <w:color w:val="111111"/>
          <w:sz w:val="28"/>
          <w:szCs w:val="28"/>
          <w:rtl w:val="true"/>
          <w:lang w:bidi="ar-SA"/>
        </w:rPr>
        <w:t xml:space="preserve">. </w:t>
      </w:r>
      <w:bookmarkStart w:id="194" w:name="pg15162_155535"/>
    </w:p>
    <w:p>
      <w:pPr>
        <w:pStyle w:val="Heading3"/>
        <w:numPr>
          <w:ilvl w:val="2"/>
          <w:numId w:val="1"/>
        </w:numPr>
        <w:rPr/>
      </w:pPr>
      <w:bookmarkStart w:id="195" w:name="__RefHeading___Toc1955478_2142443653"/>
      <w:bookmarkStart w:id="196" w:name="_Toc70"/>
      <w:bookmarkEnd w:id="194"/>
      <w:bookmarkEnd w:id="195"/>
      <w:r>
        <w:rPr>
          <w:rtl w:val="true"/>
        </w:rPr>
        <w:t>التنبيه الثاني حكم سائر أقسام التقيّة</w:t>
      </w:r>
      <w:bookmarkEnd w:id="196"/>
    </w:p>
    <w:p>
      <w:pPr>
        <w:pStyle w:val="Heading4"/>
        <w:numPr>
          <w:ilvl w:val="3"/>
          <w:numId w:val="1"/>
        </w:numPr>
        <w:rPr/>
      </w:pPr>
      <w:bookmarkStart w:id="197" w:name="__RefHeading___Toc1955480_2142443653"/>
      <w:bookmarkStart w:id="198" w:name="_Toc71"/>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إنّ ما ذكرناه إنّما هو في الإكراه والتقيّة الإكراهية ، ولا بأس بالإشارة إلى حكم سائر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التقيّة المداراتية المشروعة لمراعاة حسن العشرة معهم ، والتقيّة الخوفية المشروعة لحفظ شأن من شؤون الشيعة ، سواء كان من المتّقي أو غيره من إخوانه المؤمنين ، والتقيّة الكتمانية ، في مقابل الإذاعة والإفشاء ، الواجبة لكتمان سرّهم ، كما وردت في كلّ منها أخبار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جميع أقسام التقيّة لما دون الدم ، فيجوز الإضرار بالغير مالاً وعرضاً لقسم من الأقسام المتقدّمة أم لا ؟</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صحيحة محمّد بن مسلم ، وموثّقة أبي حمزة</w:t>
      </w:r>
      <w:r>
        <w:rPr>
          <w:rStyle w:val="FootnoteAnchor"/>
          <w:rtl w:val="true"/>
        </w:rPr>
        <w:footnoteReference w:id="662"/>
      </w:r>
      <w:r>
        <w:rPr>
          <w:rFonts w:ascii="Amiri" w:hAnsi="Amiri" w:eastAsia="Amiri" w:cs="Amiri"/>
          <w:color w:val="111111"/>
          <w:sz w:val="28"/>
          <w:sz w:val="28"/>
          <w:szCs w:val="28"/>
          <w:rtl w:val="true"/>
          <w:lang w:bidi="ar-SA"/>
        </w:rPr>
        <w:t xml:space="preserve">العموم ؛ لأنّ الظاهر منهما أنّ التقيّة فيما عدا الدم مشروعة كائناً ما كان ، وكانت التقيّة ما كانت ، وهو مقتضى عموم مرسلة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والتقيّة في كلّ شيء حتّى يبلغ الدم ، فإذا بلغ الدم فلا تقيّة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الروايتين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إنّما سيقتا لإفادة عدم التقيّة في الدم ، وأ نّه إذا بلغت الدم فلا تقيّة ، ولا شبهة في إطلاقهما من هذه الجهة وفي هذا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 أي حرمة التقيّة في الدم ، فيستفاد منهما السلب الكلّي في الدم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غيره فلا يستفاد منهما الإيجاب الكلّي بمعنى جواز جميع أنحاء التقيّة في غيره ، فيظهر منهما أ نّه مع عدم بلوغها الدم ، ففيه تقيّة بنحو الإجمال ، لا بنحو الإطلاق والكلّية بحيث يظهر منهما مشروعيتها بجميع أنحائها وأقسامها المتقدّمة ، وذلك من غير فرق بين القول بالمفهوم في الشرطية وعدمه ، فإنّ مفهومها على القول به أ نّه إذا لم تبلغ الدم ففيه تقيّة ، لا فيه جميع أنحائها ؛ لما</w:t>
      </w:r>
    </w:p>
    <w:p>
      <w:pPr>
        <w:pStyle w:val="BookText"/>
        <w:rPr/>
      </w:pPr>
      <w:r>
        <w:rPr>
          <w:rFonts w:ascii="Amiri" w:hAnsi="Amiri" w:eastAsia="Amiri" w:cs="Amiri"/>
          <w:color w:val="111111"/>
          <w:sz w:val="28"/>
          <w:sz w:val="28"/>
          <w:szCs w:val="28"/>
          <w:rtl w:val="true"/>
          <w:lang w:bidi="ar-SA"/>
        </w:rPr>
        <w:t>حقّق في محلّه أنّ مفهوم نحو تلك القضيّة الإيجاب الجزئي</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الدالّ بمفهومه أ نّه مع عدم البلوغ يتنجّس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المرسلة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حتّى يبلغ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بالنسبة إلى أفراد ما عدا الدم من المال والعرض والجرح بما دون القتل ، لا بالنسبة إلى أنحاء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في كلّ شيء تقيّة في الجملة ولو عند</w:t>
      </w:r>
    </w:p>
    <w:p>
      <w:pPr>
        <w:pStyle w:val="BookText"/>
        <w:rPr/>
      </w:pPr>
      <w:r>
        <w:rPr>
          <w:rFonts w:ascii="Amiri" w:hAnsi="Amiri" w:eastAsia="Amiri" w:cs="Amiri"/>
          <w:color w:val="111111"/>
          <w:sz w:val="28"/>
          <w:sz w:val="28"/>
          <w:szCs w:val="28"/>
          <w:rtl w:val="true"/>
          <w:lang w:bidi="ar-SA"/>
        </w:rPr>
        <w:t xml:space="preserve">الإكراه والتوعّد بالقتل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ما عدا القتل ، ففي القتل</w:t>
      </w:r>
    </w:p>
    <w:p>
      <w:pPr>
        <w:pStyle w:val="BookText"/>
        <w:rPr/>
      </w:pPr>
      <w:r>
        <w:rPr>
          <w:rFonts w:ascii="Amiri" w:hAnsi="Amiri" w:eastAsia="Amiri" w:cs="Amiri"/>
          <w:color w:val="111111"/>
          <w:sz w:val="28"/>
          <w:sz w:val="28"/>
          <w:szCs w:val="28"/>
          <w:rtl w:val="true"/>
          <w:lang w:bidi="ar-SA"/>
        </w:rPr>
        <w:t xml:space="preserve">سلب كلّي وفي مقابله إيجاب جزئي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الحال في عدم عمومها وإطلاقها بالنسبة إلى موارد الإكراه ، سواء قلنا بأ نّه تقيّة عرفاً ولغةً وبحسب الأخبار ، أو يلحق بها حكماً بما تقدّم</w:t>
      </w:r>
      <w:r>
        <w:rPr>
          <w:rStyle w:val="FootnoteAnchor"/>
          <w:rtl w:val="true"/>
        </w:rPr>
        <w:footnoteReference w:id="666"/>
      </w:r>
      <w:r>
        <w:rPr>
          <w:rFonts w:ascii="Amiri" w:hAnsi="Amiri" w:eastAsia="Amiri" w:cs="Amiri"/>
          <w:color w:val="111111"/>
          <w:sz w:val="28"/>
          <w:sz w:val="28"/>
          <w:szCs w:val="28"/>
          <w:rtl w:val="true"/>
          <w:lang w:bidi="ar-SA"/>
        </w:rPr>
        <w:t xml:space="preserve">، أمّا على الأوّل فبالبيان المتقدّم ، وأمّا على الثاني فلأ نّه </w:t>
      </w:r>
    </w:p>
    <w:p>
      <w:pPr>
        <w:pStyle w:val="BookText"/>
        <w:rPr/>
      </w:pPr>
      <w:r>
        <w:rPr>
          <w:rFonts w:ascii="Amiri" w:hAnsi="Amiri" w:eastAsia="Amiri" w:cs="Amiri"/>
          <w:color w:val="111111"/>
          <w:sz w:val="28"/>
          <w:sz w:val="28"/>
          <w:szCs w:val="28"/>
          <w:rtl w:val="true"/>
          <w:lang w:bidi="ar-SA"/>
        </w:rPr>
        <w:t xml:space="preserve">لا يزيد على الملحق به والمتفرّع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نحتاج في إثبات الحكم مطلقاً في موارد الإكراه بهذه الرواية ، بل يكفي فيه مثل دليل الرفع وسائر ما تقدّمت الإشارة إليها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تقدّم يظهر عدم جواز الاستدلال على جوازها مطلقاً برواية أبي عمر الأعجمي عن أبي عبداللّه علیه السلام في حديث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تقيّة له ، والتقيّة في كلّ شيء إلاّ في النبيذ والمسح على الخفّين</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بصدد بيان أنّ فيما عدا النبيذ والمسح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التقيّة مطلقاً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لكلّ ما عداهما في الجملة ؛ لعدم كونها</w:t>
      </w:r>
    </w:p>
    <w:p>
      <w:pPr>
        <w:pStyle w:val="BookText"/>
        <w:rPr/>
      </w:pPr>
      <w:r>
        <w:rPr>
          <w:rFonts w:ascii="Amiri" w:hAnsi="Amiri" w:eastAsia="Amiri" w:cs="Amiri"/>
          <w:color w:val="111111"/>
          <w:sz w:val="28"/>
          <w:sz w:val="28"/>
          <w:szCs w:val="28"/>
          <w:rtl w:val="true"/>
          <w:lang w:bidi="ar-SA"/>
        </w:rPr>
        <w:t xml:space="preserve">بصدد بيان جواز أنحاء التقيّة ، فلا إطلاق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احتمال أن يكون المراد بالمستثنى منه المحرّمات والواجبات الإلهية ممّا لا يتعلّق بها حقّ الناس ، بقرينة استثناء المذكورين وعدم استثناء الدم ، تأمّل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مقتضى عموم صحيحة زرارة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ضرورة ، وصاحبها أعلم بها حين تنزل به</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 وصحيحة اُخرى عنه وعن غيره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التقيّة في كلّ شيء يضطرّ إليه ابن آدم </w:t>
      </w:r>
    </w:p>
    <w:p>
      <w:pPr>
        <w:pStyle w:val="BookText"/>
        <w:rPr/>
      </w:pPr>
      <w:r>
        <w:rPr>
          <w:rFonts w:ascii="Amiri" w:hAnsi="Amiri" w:eastAsia="Amiri" w:cs="Amiri"/>
          <w:color w:val="111111"/>
          <w:sz w:val="28"/>
          <w:sz w:val="28"/>
          <w:szCs w:val="28"/>
          <w:rtl w:val="true"/>
          <w:lang w:bidi="ar-SA"/>
        </w:rPr>
        <w:t>فقد أحلّه اللّه له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جوازها في كلّ شيء يضطرّ إليه ، كما إذا خاف على نفسه أو عرضه ، أو نفس من يكون بمنزلته من أهله وخاصّته وعشيرته الأقربين أو عرضهم ، أو على ماله الذي إذا سلب عنه يقع في الحرج والمشقّة الشديدة ، من غير فرق بين حقّ اللّه وحقّ الناس ما عدا الدم ؛ وأمّا غيره ممّا استثني في بعض الروايات ، كرواية الأعجمي ، فلا بدّ من تأويلها ، وقد تعرّضنا لها في رسالة التقيّة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من شمولها لحقّ الناس وإن كان بعيداً سيّما بعض مراتبه لكن لا محيص عنه بعد تطابق النصّ والفتوى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الأمر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إقامة الحدود فليس يجوز لأحد إقامتها ، إلاّ لسلطان الزمان المنصوب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أن يحكم بمذهب أهل الخلاف ، فإن كان قد تولّى الحكم من قبل الظالمين فليجتهد أيضاً في تنفيذ الأحكام على ما يقتضيه شريعة الإسلام والإيمان ، فإن اضطرّ على تنفيذ حكم على مذهب أهل الخلاف بالخوف على النفس أو الأهل أو المؤمنين أو على أموالهم ، جاز له تنفيذ الحكم ما لم يبلغ ذلك قتل النفس ، فإنّه لا تقيّة في قتل النفوس</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المكاسب في جملة من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يتمكّن من إقامة حقّ على </w:t>
      </w:r>
    </w:p>
    <w:p>
      <w:pPr>
        <w:pStyle w:val="BookText"/>
        <w:rPr/>
      </w:pPr>
      <w:r>
        <w:rPr>
          <w:rFonts w:ascii="Amiri" w:hAnsi="Amiri" w:eastAsia="Amiri" w:cs="Amiri"/>
          <w:color w:val="111111"/>
          <w:sz w:val="28"/>
          <w:sz w:val="28"/>
          <w:szCs w:val="28"/>
          <w:rtl w:val="true"/>
          <w:lang w:bidi="ar-SA"/>
        </w:rPr>
        <w:t>وجه ، والحال ما وصفناه في التقيّة ، جاز له أن يتّقي في جميع الأحكام والاُمور ، ما لم يبلغ ذلك إلى سفك الدماء المحرّمة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الذي وصفه في التقيّة هو الخوف على النفس أو على الأهل أو على بعض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فوّضوا علیهم السلام إلى الفقهاء إقامة الحدود والأحكام بين الناس بعد أن لا يتعدّوا واجباً ولا يتجاوزوا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اضطرّتهم تقيّة به أجابوا داعيها ، إلاّ في الدماء خاصّة ، فلا تقيّة فيها</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دعوى الإجماع على عدم جواز إقامة الحدود إلاّ للإمام علیه السلام والحكّام من قبله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خاف على نفسه من ترك إقامتها فإنّه يجوز له أن يفعل في حال التقيّة ، ما لم يبلغ قتل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اضطرّ إلى تنفيذ حكم على مذهب أهل الخلاف بالخوف على النفس ، أو الأهل ، أو المؤمنين ، أو على أموالهم ، جاز تنفيذ الحكم ، ما لم يبلغ ذلك قتل النفوس ، فإنّه لا تقيّة له في قتل النفوس</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اضطرّ إلى العمل بمذهب أهل الخلاف جاز ، إذا لم يمكن التخلّص عن ذلك ، ما لم يكن قتلاً لغير مستحقّ</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اضطرّ إلى استعمال ما لا يجوز من ظلم مؤمن </w:t>
      </w:r>
    </w:p>
    <w:p>
      <w:pPr>
        <w:pStyle w:val="BookText"/>
        <w:rPr/>
      </w:pPr>
      <w:r>
        <w:rPr>
          <w:rFonts w:ascii="Amiri" w:hAnsi="Amiri" w:eastAsia="Amiri" w:cs="Amiri"/>
          <w:color w:val="111111"/>
          <w:sz w:val="28"/>
          <w:sz w:val="28"/>
          <w:szCs w:val="28"/>
          <w:rtl w:val="true"/>
          <w:lang w:bidi="ar-SA"/>
        </w:rPr>
        <w:t>أو قهره جاز ذلك للضرورة ، ما لم يبلغ الدماء ، فلا يجوز التقيّة فيها على حال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المناقشة في إطلاق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غاية بُعده في بعض المراتب وإمكان أن يقال بأنّ تلك الأدلّة الصادرة على وجه الامتنان منصرفة عن الموارد التي يلزم منها وقوع الضرر أو الحرج على الغير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تلك الأدلّة عموماً وإطلاقاً وإن كان جواز التقيّة في كلّ مورد يضطرّ إليه ابن آدم من غيرفرق بين حقّ الناس وغيره ، لكن مقتضى حكومة دليل نفي الحرج ، كحكومته على سائر الأدلّة ، تخصيص الحكم بموارد لا يلزم منها الحرج على الغير بفعله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ولازمه التفصيل في حقوق الناس بين ما إذا توجّه الشرّ والضرّ على الغير ، ويكون دفعه عنه مستلزماً لوقوع الدافع في شرّ وضرّ وحرج ، كما في الموارد المتقدّمة في كلام الشيخ وابن إدريس وغيرهما ، فإنّه لو فرض أنّ السارق أقرّ بالسرقة عند من كان منصوباً من قبل والي الجور للقضاء ، وكان مقتضى مذهبهم القطع بالإقرار مرّة واحدة كما قال به أبوحنيفة ومالك والشافعي</w:t>
      </w:r>
      <w:r>
        <w:rPr>
          <w:rStyle w:val="FootnoteAnchor"/>
          <w:rtl w:val="true"/>
        </w:rPr>
        <w:footnoteReference w:id="678"/>
      </w:r>
      <w:r>
        <w:rPr>
          <w:rFonts w:ascii="Amiri" w:hAnsi="Amiri" w:eastAsia="Amiri" w:cs="Amiri"/>
          <w:color w:val="111111"/>
          <w:sz w:val="28"/>
          <w:sz w:val="28"/>
          <w:szCs w:val="28"/>
          <w:rtl w:val="true"/>
          <w:lang w:bidi="ar-SA"/>
        </w:rPr>
        <w:t xml:space="preserve">وخاف القاضي واضطرّ إلى الحكم على مذهبهم وإنفاذه ، ففي مثله يجوز له ؛ لأنّ الشرّ حسب إقراره ومذهبهم متوجّه إليه فإيجاب دفعه عنه بما يلزم منه وقوع الشرّ عليه حرجي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تجويزه لدفع اضطراره ليس حرجياً على غيره أو ينصرف الدليل عنه ؛ لأ نّه شرّ توجّه إليه لا من قبله بل من قبل إقراره ومذهب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كونه حرجياً ومنع الانصراف يتعارض دليل الحرج في مصداقين وتسلم أدلّة أنّ التقيّة في كلّ شيء يضطرّ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توجّه الشرّ إلى المتّقي وأراد دفعه بالتوجّه إلى غيره ، كما لو ظنّ أ نّه إمامي وخاف منه على عرضه فأراد هتك عرض شيعي لدفع التوهّم والشرّ عن نفسه ، ففي مثله يكون تجويزه حرجاً على غيره وهو منفيّ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تحريم دفع ضرره بإيقاع شرّ على الغير فليس من الأحكام الحرجية ، فإنّ الضرر متوجّه إليه لا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تجويزه إيقاع الشرّ على الغير يندفع اضطراره لكن مقتضى الأدلّة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غير مستبعد عقلاً وموافق للقواعد ، ولعلّ الفتاوى المتقدّمة مختصّة بالموارد التي من قبيل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يظهر الحال في مسألة اُخرى ، وهي أ نّه لو اضطرّ إلى أكل مال الغير دون خوف الموت فإنّه يجوز بدليل رفع الاضطرار فيما إذا لم يلزم منه حرج على غيره ، فإنّ دليل رفع الاضطرار يرفع الحرمة الشرعية ، ولكن المال مضمون عليه ؛ لعدم اضطراره على الأكل المجّاني ؛ لعدم معنىً له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فرض أنّ المضطرّ لا مال له رأساً ، ولا يتوقّع منه الجبران ، وكان صرف المال الذي اضطرّ إليه موجباً لوقوع الحرج على صاحبه ، فالظاهر عدم جوازه ؛ لحكومة دليل نفي الحرج على الأدلّة الثانوية أيضاً ، حتّى مثل حديث الرفع ، فإنّ الرفع القانوني نحو جعل وحكم من الشارع </w:t>
      </w:r>
      <w:r>
        <w:rPr>
          <w:rFonts w:eastAsia="Amiri" w:cs="Amiri" w:ascii="Amiri" w:hAnsi="Amiri"/>
          <w:color w:val="111111"/>
          <w:sz w:val="28"/>
          <w:szCs w:val="28"/>
          <w:rtl w:val="true"/>
          <w:lang w:bidi="ar-SA"/>
        </w:rPr>
        <w:t xml:space="preserve">. </w:t>
      </w:r>
      <w:bookmarkStart w:id="199" w:name="pg15162_155542"/>
    </w:p>
    <w:p>
      <w:pPr>
        <w:pStyle w:val="BookText"/>
        <w:rPr/>
      </w:pPr>
      <w:bookmarkEnd w:id="199"/>
      <w:r>
        <w:rPr>
          <w:rFonts w:ascii="Amiri" w:hAnsi="Amiri" w:eastAsia="Amiri" w:cs="Amiri"/>
          <w:color w:val="111111"/>
          <w:sz w:val="28"/>
          <w:sz w:val="28"/>
          <w:szCs w:val="28"/>
          <w:rtl w:val="true"/>
          <w:lang w:bidi="ar-SA"/>
        </w:rPr>
        <w:t xml:space="preserve">ولو نوقش فيه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عَلَيْكُم </w:t>
      </w:r>
      <w:r>
        <w:rPr>
          <w:rFonts w:eastAsia="Amiri" w:cs="Amiri" w:ascii="Amiri" w:hAnsi="Amiri"/>
          <w:color w:val="111111"/>
          <w:sz w:val="28"/>
          <w:szCs w:val="28"/>
          <w:rtl w:val="true"/>
          <w:lang w:bidi="ar-SA"/>
        </w:rPr>
        <w:t>. . .(</w:t>
      </w:r>
      <w:r>
        <w:rPr>
          <w:rStyle w:val="FootnoteAnchor"/>
          <w:rtl w:val="true"/>
        </w:rPr>
        <w:footnoteReference w:id="679"/>
      </w: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بمناسبة كونه في مقام الامتنان وأنّ هذه الملّة سهلة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مطلق أحكامه وضعاً ورفعاً ليست حرجية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التقيّة الإكراهية والاضطرارية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955482_2142443653"/>
      <w:bookmarkStart w:id="201" w:name="_Toc72"/>
      <w:bookmarkEnd w:id="200"/>
      <w:r>
        <w:rPr>
          <w:rtl w:val="true"/>
        </w:rPr>
        <w:t>حكم التقيّة إذا خاف على عرض مؤمن أو ماله</w:t>
      </w:r>
      <w:bookmarkEnd w:id="201"/>
    </w:p>
    <w:p>
      <w:pPr>
        <w:pStyle w:val="BookText"/>
        <w:rPr/>
      </w:pPr>
      <w:r>
        <w:rPr>
          <w:rFonts w:ascii="Amiri" w:hAnsi="Amiri" w:eastAsia="Amiri" w:cs="Amiri"/>
          <w:color w:val="111111"/>
          <w:sz w:val="28"/>
          <w:sz w:val="28"/>
          <w:szCs w:val="28"/>
          <w:rtl w:val="true"/>
          <w:lang w:bidi="ar-SA"/>
        </w:rPr>
        <w:t>وأمّا إذا لم يخف على نفسه أو ما يتعلّق به ولم يكن مكرهاً ، فهل تجوز أو تجب التقيّة بارتكاب المحرّمات لو خاف على عرض بعض المؤمنين ، أو ماله ، دون نفسه التي لا يوازنها شيء ؟</w:t>
      </w:r>
    </w:p>
    <w:p>
      <w:pPr>
        <w:pStyle w:val="BookText"/>
        <w:rPr/>
      </w:pPr>
      <w:r>
        <w:rPr>
          <w:rFonts w:ascii="Amiri" w:hAnsi="Amiri" w:eastAsia="Amiri" w:cs="Amiri"/>
          <w:color w:val="111111"/>
          <w:sz w:val="28"/>
          <w:sz w:val="28"/>
          <w:szCs w:val="28"/>
          <w:rtl w:val="true"/>
          <w:lang w:bidi="ar-SA"/>
        </w:rPr>
        <w:t>الظاهر عدم جواز التمسّك له بمطلقات أدلّة التقيّة ؛ لأنّ عنوانها غير صادق</w:t>
      </w:r>
    </w:p>
    <w:p>
      <w:pPr>
        <w:pStyle w:val="BookText"/>
        <w:rPr/>
      </w:pPr>
      <w:r>
        <w:rPr>
          <w:rFonts w:ascii="Amiri" w:hAnsi="Amiri" w:eastAsia="Amiri" w:cs="Amiri"/>
          <w:color w:val="111111"/>
          <w:sz w:val="28"/>
          <w:sz w:val="28"/>
          <w:szCs w:val="28"/>
          <w:rtl w:val="true"/>
          <w:lang w:bidi="ar-SA"/>
        </w:rPr>
        <w:t xml:space="preserve">ظاهراً إلاّ على الخوف على ما يتعلّق بالمتّقي من النفس والعرض والمال ، سواء كان منه أو ممّن يتعلّق به الذي بمنزلته ، وأمّا الخوف على سائر الناس فليس مورد التقيّة ، ولا هي صادقة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وحرزه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ظاهر في أ نّها حافظها عن توجّه الضرر إليه ، فلا بدّ في المقام من التماس دليل آخر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يتمسّك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على جواز ارتكاب المحرّمات ولو أعظمها ، كالتبرّي عنه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تبرَأْ منّا ساعة بلسانك وأنت موالٍ لنا بجنانك ، لتبقي على نفسك روحها التي بها قوامها ، ومالها الذي </w:t>
      </w:r>
    </w:p>
    <w:p>
      <w:pPr>
        <w:pStyle w:val="BookText"/>
        <w:rPr/>
      </w:pPr>
      <w:r>
        <w:rPr>
          <w:rFonts w:ascii="Amiri" w:hAnsi="Amiri" w:eastAsia="Amiri" w:cs="Amiri"/>
          <w:color w:val="111111"/>
          <w:sz w:val="28"/>
          <w:sz w:val="28"/>
          <w:szCs w:val="28"/>
          <w:rtl w:val="true"/>
          <w:lang w:bidi="ar-SA"/>
        </w:rPr>
        <w:t xml:space="preserve">به قيامها ، وجاهها الذي به تمسّكها ، وتصون من عرف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أولياءنا وإخواننا ، فإنّ ذلك أفضل من أن تتعرّض للهلاك ، وتنقطع به عن عمل في الدين ، وصلاح إخوانك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ثمّ إيّاك أن تترك التقيّة التي أمرتك بها ، فإنّك شائط بدمك ودماء إخوانك ، معرِّض لنعمتك ونعمتهم للزوال ، مذلّ لهم في أيدي أعداء دين اللّه ، وقد أمرك اللّه بإعزازهم ، فإنّك إن</w:t>
      </w:r>
    </w:p>
    <w:p>
      <w:pPr>
        <w:pStyle w:val="BookText"/>
        <w:rPr/>
      </w:pPr>
      <w:r>
        <w:rPr>
          <w:rFonts w:ascii="Amiri" w:hAnsi="Amiri" w:eastAsia="Amiri" w:cs="Amiri"/>
          <w:color w:val="111111"/>
          <w:sz w:val="28"/>
          <w:sz w:val="28"/>
          <w:szCs w:val="28"/>
          <w:rtl w:val="true"/>
          <w:lang w:bidi="ar-SA"/>
        </w:rPr>
        <w:t>خالفت وصيّتي كان ضررك على إخوانك ونفسك أشدّ من ضرر الناصب لنا الكافر بنا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أخصّ من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الاُولى منها فلا دلالة فيها على جواز البراءة فيما إذا خاف على مال مؤمن أو عرضه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وتصون من عرف بذلك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في صيانة نفوسهم ، سيّما مع ذكر النفس والمال والجاه بالنسبة إلى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الخوف على غيره في المال والجاه كالخوف على نفسه فيهما لكان أولى بالذكر ، ولا أقلّ من قصور دلالتها على جميع مراتب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وصلاح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تنقطع عنه وعن صلاح إخوانك ، فلا ربط له بالمقام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الفقرة الثانية؛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ثمّ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فظاهرها من أوّلها إلى آخرها أ نّها مربوطة بزمان كان الشيعة في الأقلّية التامّة وفي معرض الزوال والهضم لو ترك التقيّة وفشا أمرهم ، ولا شبهة في أنّ ضرر تركها والحال هذه أكثر من ضرر </w:t>
      </w:r>
    </w:p>
    <w:p>
      <w:pPr>
        <w:pStyle w:val="BookText"/>
        <w:rPr/>
      </w:pPr>
      <w:r>
        <w:rPr>
          <w:rFonts w:ascii="IRNazanin" w:hAnsi="IRNazanin" w:eastAsia="IRNazanin"/>
          <w:color w:val="111111"/>
          <w:sz w:val="28"/>
          <w:sz w:val="28"/>
          <w:szCs w:val="28"/>
          <w:rtl w:val="true"/>
          <w:lang w:bidi="fa-IR"/>
        </w:rPr>
        <w:t xml:space="preserve">النصب والكفر على المذهب الحقّ ، فإنّ في تركها مظنّة ذهاب أهل الحقّ ومذهبهم في مثل ذلك العصر الذي كانت عدّتهم محصورة جدّاً ، وكذا في مثل عصر الصادقين علیهما السلام والكاظمين علیهما السلام ، حيث كان تركها موجباً لاطّلاع ولاة الجور وأعداء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حزب الحقّ وتحزّبهم في الخفاء لإبقاء</w:t>
      </w:r>
    </w:p>
    <w:p>
      <w:pPr>
        <w:pStyle w:val="BookText"/>
        <w:rPr/>
      </w:pPr>
      <w:r>
        <w:rPr>
          <w:rFonts w:ascii="Amiri" w:hAnsi="Amiri" w:eastAsia="Amiri" w:cs="Amiri"/>
          <w:color w:val="111111"/>
          <w:sz w:val="28"/>
          <w:sz w:val="28"/>
          <w:szCs w:val="28"/>
          <w:rtl w:val="true"/>
          <w:lang w:bidi="ar-SA"/>
        </w:rPr>
        <w:t>الحقّ وإحياء سنّة اللّه تعالى، وذلك كان موجباً لإراقة دمائهم وزوال نعمتهم وذلّهم</w:t>
      </w:r>
    </w:p>
    <w:p>
      <w:pPr>
        <w:pStyle w:val="BookText"/>
        <w:rPr/>
      </w:pPr>
      <w:r>
        <w:rPr>
          <w:rFonts w:ascii="IRNazanin" w:hAnsi="IRNazanin" w:eastAsia="IRNazanin"/>
          <w:color w:val="111111"/>
          <w:sz w:val="28"/>
          <w:sz w:val="28"/>
          <w:szCs w:val="28"/>
          <w:rtl w:val="true"/>
          <w:lang w:bidi="fa-IR"/>
        </w:rPr>
        <w:t xml:space="preserve">تحت أيدي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ذلك ممّا نحن بصدده من جواز ارتكاب المحرّمات حتّى مثل سبّ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الخوف على هتك مؤمن أو جمع منهم أو الخوف على أموالهم من غير ترتّب تلك المفاسد على تركها ؟</w:t>
      </w:r>
    </w:p>
    <w:p>
      <w:pPr>
        <w:pStyle w:val="BookText"/>
        <w:rPr/>
      </w:pPr>
      <w:r>
        <w:rPr>
          <w:rFonts w:ascii="Amiri" w:hAnsi="Amiri" w:eastAsia="Amiri" w:cs="Amiri"/>
          <w:color w:val="111111"/>
          <w:sz w:val="28"/>
          <w:sz w:val="28"/>
          <w:szCs w:val="28"/>
          <w:rtl w:val="true"/>
          <w:lang w:bidi="ar-SA"/>
        </w:rPr>
        <w:t xml:space="preserve">وما ذكرناه فيها جارٍ في سائر الروايات الواردة في التقيّة أو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كالمحكيّ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الخمس كفّر اللّه عنه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تبقي عليه من الذنوب شيئاً إلاّ الموبقات التي هي جحد النبوّة ، أو الإمامة ، أو ظلم إخوانه ، أو ترك التقيّة حتّى يضرّ بنفسه وإخوانه المؤمنين</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قال الحسن بن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إنّما فضّلهم اللّه على خلقه أجمعين بشدّة مداراتهم لأعداء دين اللّه ، وحسن تقيّتهم لأجل إخوانهم في اللّه</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من أفضل أعمال المؤمن يصون بها نفسه وإخوانه عن الفاجرين</w:t>
      </w:r>
      <w:r>
        <w:rPr>
          <w:rFonts w:eastAsia="IRNazanin" w:cs="IRNazanin"/>
          <w:color w:val="111111"/>
          <w:sz w:val="28"/>
          <w:szCs w:val="28"/>
          <w:rtl w:val="true"/>
          <w:lang w:bidi="fa-IR"/>
        </w:rPr>
        <w:t>»</w:t>
      </w:r>
      <w:r>
        <w:rPr>
          <w:rStyle w:val="FootnoteAnchor"/>
          <w:rtl w:val="true"/>
        </w:rPr>
        <w:footnoteReference w:id="684"/>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جعل ترك التقيّة من الموبقات وقريناً لجحد النبوّة والإمامة ليس لمحض حفظ مال مؤمن أو عرضه مثلاً ، بل لمّا كان تركها في تلك الأزمنة موجباً لفساد في الدين أو المذهب صار بتلك المنزلة ، وإلاّ فمن الواضح أنّ الموجِب بتركها لنهب مال مؤمن لا يكون مرتكباً لموبقة قرينة لجحدهما ، وكذا الحال ظاهراً في مداراة الأنبياء لأعداء دين اللّه وتقيّتهم لأجل إخوانهم ،</w:t>
      </w:r>
    </w:p>
    <w:p>
      <w:pPr>
        <w:pStyle w:val="BookText"/>
        <w:rPr/>
      </w:pPr>
      <w:r>
        <w:rPr>
          <w:rFonts w:ascii="Amiri" w:hAnsi="Amiri" w:eastAsia="Amiri" w:cs="Amiri"/>
          <w:color w:val="111111"/>
          <w:sz w:val="28"/>
          <w:sz w:val="28"/>
          <w:szCs w:val="28"/>
          <w:rtl w:val="true"/>
          <w:lang w:bidi="ar-SA"/>
        </w:rPr>
        <w:t xml:space="preserve">فإنّ الموجب لفضيلتهم ليس نفس المداراة والتقيّة ، بل لمّا كانت دعوتهم وإشاعة دينهم بين الناس موقوفة بمداراة أعداء اللّه وحفظ المؤمنين ، صارا بتلك المنزلة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الغضّ عن ضعف السند وعدم الإطلاق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ذكرناه يظهر عدم صحّة التشبّث لإثبات المدّعى ؛ أي جواز ارتكاب المحرّمات ، بالروايات الكثيرة المتقدّمة الدالّة على جواز التولّي من قبل الجائر لصلاح حال الشيعة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w:t>
      </w:r>
      <w:r>
        <w:rPr>
          <w:rStyle w:val="FootnoteAnchor"/>
          <w:rtl w:val="true"/>
        </w:rPr>
        <w:footnoteReference w:id="686"/>
      </w:r>
      <w:r>
        <w:rPr>
          <w:rFonts w:ascii="Amiri" w:hAnsi="Amiri" w:eastAsia="Amiri" w:cs="Amiri"/>
          <w:color w:val="111111"/>
          <w:sz w:val="28"/>
          <w:sz w:val="28"/>
          <w:szCs w:val="28"/>
          <w:rtl w:val="true"/>
          <w:lang w:bidi="ar-SA"/>
        </w:rPr>
        <w:t xml:space="preserve">من أنّ الظاهر من مجموعها أو المتيقّن منها بعد ضعف أسنادها جواز التولّي فيما إذا كان صلاح المذهب ، ولولا التولّي لخيف تشتّت الشيعة </w:t>
      </w:r>
    </w:p>
    <w:p>
      <w:pPr>
        <w:pStyle w:val="BookText"/>
        <w:rPr/>
      </w:pPr>
      <w:r>
        <w:rPr>
          <w:rFonts w:ascii="Amiri" w:hAnsi="Amiri" w:eastAsia="Amiri" w:cs="Amiri"/>
          <w:color w:val="111111"/>
          <w:sz w:val="28"/>
          <w:sz w:val="28"/>
          <w:szCs w:val="28"/>
          <w:rtl w:val="true"/>
          <w:lang w:bidi="ar-SA"/>
        </w:rPr>
        <w:t xml:space="preserve">وذهاب حزبهم مع قلّة عددهم وضعفهم وقوّة أعدائهم وشدّة اهتمامهم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بهضمهم وهلاكهم ، كما هو 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فلولا أمثال علي بن يقطين ، والنجاشي ، ومحمّد بن إسماعيل ومن يحذو حذوهم لخيف على الشيعة الانقراض ، وإلاّ فما أظنّ ارتضاء منصف بأنّ تلك الترغيبات الواردة منهم علیهم السلام ، سيّما في رواية ابن بزيع</w:t>
      </w:r>
      <w:r>
        <w:rPr>
          <w:rStyle w:val="FootnoteAnchor"/>
          <w:rtl w:val="true"/>
        </w:rPr>
        <w:footnoteReference w:id="687"/>
      </w:r>
      <w:r>
        <w:rPr>
          <w:rFonts w:ascii="Amiri" w:hAnsi="Amiri" w:eastAsia="Amiri" w:cs="Amiri"/>
          <w:color w:val="111111"/>
          <w:sz w:val="28"/>
          <w:sz w:val="28"/>
          <w:szCs w:val="28"/>
          <w:rtl w:val="true"/>
          <w:lang w:bidi="ar-SA"/>
        </w:rPr>
        <w:t xml:space="preserve">، للورود في ديوانهم لمحض حفظ مال من شيعي أو عرضه ، مع حرمة الورود فيه ذاتاً وملازمة ورود أمثالهم للابتلاء بمعاصي اُخر 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فتجويز ذلك والترغيب الأكيد فيه ليس إلاّ لحفظ المصالح السياسية الكائنة في تلك الظروف ، المقدّم على ارتكاب أيّ معصية يبتلى بها في ديوانهم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يمكن تجويز ارتكاب محرّم كشرب الخمر أو سبّ أمير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زماننا لحفظ مال شيعي وعرضه ؟</w:t>
      </w:r>
    </w:p>
    <w:p>
      <w:pPr>
        <w:pStyle w:val="BookText"/>
        <w:rPr/>
      </w:pPr>
      <w:r>
        <w:rPr>
          <w:rFonts w:ascii="Amiri" w:hAnsi="Amiri" w:eastAsia="Amiri" w:cs="Amiri"/>
          <w:color w:val="111111"/>
          <w:sz w:val="28"/>
          <w:sz w:val="28"/>
          <w:szCs w:val="28"/>
          <w:rtl w:val="true"/>
          <w:lang w:bidi="ar-SA"/>
        </w:rPr>
        <w:t xml:space="preserve">وكذا لا يصحّ التشبّث بما ورد في روايات عديدة من جواز الحلف كذباً لإنجاء مال مؤمن من العشّار أو اللصّ وغيره ، كما في بعضها </w:t>
      </w:r>
      <w:r>
        <w:rPr>
          <w:rStyle w:val="FootnoteAnchor"/>
          <w:rtl w:val="true"/>
        </w:rPr>
        <w:footnoteReference w:id="688"/>
      </w:r>
      <w:r>
        <w:rPr>
          <w:rFonts w:ascii="Amiri" w:hAnsi="Amiri" w:eastAsia="Amiri" w:cs="Amiri"/>
          <w:color w:val="111111"/>
          <w:sz w:val="28"/>
          <w:sz w:val="28"/>
          <w:szCs w:val="28"/>
          <w:rtl w:val="true"/>
          <w:lang w:bidi="ar-SA"/>
        </w:rPr>
        <w:t xml:space="preserve">؛ ضرورة عدم جواز التعدّي منه إلى سائر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الكذب في الصلاح جائز نصّاً وفتوى ، لكن لا يمكن التعدّي منه ، ولعلّه كما قالوا إنّ قبح الكذب بالوجوه والاعتبار ، ومع ترتّب الصلاح عليه لا يكون قبيحاً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توقّف إنجاء مال مؤمن من العشّار أو غيره وكذا الإصلاح بين المؤمنين </w:t>
      </w:r>
    </w:p>
    <w:p>
      <w:pPr>
        <w:pStyle w:val="BookText"/>
        <w:rPr/>
      </w:pPr>
      <w:r>
        <w:rPr>
          <w:rFonts w:ascii="Amiri" w:hAnsi="Amiri" w:eastAsia="Amiri" w:cs="Amiri"/>
          <w:color w:val="111111"/>
          <w:sz w:val="28"/>
          <w:sz w:val="28"/>
          <w:szCs w:val="28"/>
          <w:rtl w:val="true"/>
          <w:lang w:bidi="ar-SA"/>
        </w:rPr>
        <w:t xml:space="preserve">على معصية اُخرى ، كسبّ النبي رحمهما اللّه وشرب الخمر لا يمكن الالتزام بالجواز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عدم دليل على جواز ارتكاب المحرّم لحفظ مال أو عرض ، فلو دلّ دليل على وجوب حفظ شيء مطلقاً لا بدّ من ملاحظة الأهمّ ومعاملة باب التزاحم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بجواز التقيّة في هذا المورد فلا شبهة في عدم جواز الإضرار بالغير لدفع الإضرار عن مؤمن آخر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التقيّة الاضطرارية ظاهر </w:t>
      </w:r>
      <w:r>
        <w:rPr>
          <w:rFonts w:eastAsia="Amiri" w:cs="Amiri" w:ascii="Amiri" w:hAnsi="Amiri"/>
          <w:color w:val="111111"/>
          <w:sz w:val="28"/>
          <w:szCs w:val="28"/>
          <w:rtl w:val="true"/>
          <w:lang w:bidi="ar-SA"/>
        </w:rPr>
        <w:t xml:space="preserve">. </w:t>
      </w:r>
      <w:bookmarkStart w:id="202" w:name="pg15162_155548"/>
    </w:p>
    <w:p>
      <w:pPr>
        <w:pStyle w:val="Heading3"/>
        <w:numPr>
          <w:ilvl w:val="2"/>
          <w:numId w:val="1"/>
        </w:numPr>
        <w:rPr/>
      </w:pPr>
      <w:bookmarkStart w:id="203" w:name="__RefHeading___Toc1955484_2142443653"/>
      <w:bookmarkStart w:id="204" w:name="_Toc73"/>
      <w:bookmarkEnd w:id="202"/>
      <w:bookmarkEnd w:id="203"/>
      <w:r>
        <w:rPr>
          <w:rtl w:val="true"/>
        </w:rPr>
        <w:t>التنبيه الثالث الإشكال على ما ذكره الشيخ في معنى الإكراه</w:t>
      </w:r>
      <w:bookmarkEnd w:id="204"/>
    </w:p>
    <w:p>
      <w:pPr>
        <w:pStyle w:val="BookText"/>
        <w:rPr/>
      </w:pPr>
      <w:r>
        <w:rPr>
          <w:rFonts w:ascii="Amiri" w:hAnsi="Amiri" w:eastAsia="Amiri" w:cs="Amiri"/>
          <w:color w:val="111111"/>
          <w:sz w:val="28"/>
          <w:sz w:val="28"/>
          <w:szCs w:val="28"/>
          <w:rtl w:val="true"/>
          <w:lang w:bidi="ar-SA"/>
        </w:rPr>
        <w:t xml:space="preserve">قال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حقيقة الإكراه لغةً وعرفاً حمل الغير على ما يكرهه ، ويعتبر في وقوع الفعل من ذلك الحمل اقترانه بوعيد منه مظنون الترتّب على ترك ذلك الفعل مضرّ بحال الفاعل أو متعلّقه نفساً أو عرضاً أو مالاً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الإكراه يتحقّق بالتوعّد بالضرر على ترك المكره عليه</w:t>
      </w:r>
    </w:p>
    <w:p>
      <w:pPr>
        <w:pStyle w:val="BookText"/>
        <w:rPr/>
      </w:pPr>
      <w:r>
        <w:rPr>
          <w:rFonts w:ascii="Amiri" w:hAnsi="Amiri" w:eastAsia="Amiri" w:cs="Amiri"/>
          <w:color w:val="111111"/>
          <w:sz w:val="28"/>
          <w:sz w:val="28"/>
          <w:szCs w:val="28"/>
          <w:rtl w:val="true"/>
          <w:lang w:bidi="ar-SA"/>
        </w:rPr>
        <w:t>ضرراً متعلّقاً بنفسه أو ماله أو عرضه أو بأهله ، ممّن يكون ضرره راجعاً إلى تضرّره وتأ لّمه</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الأخبار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اُكرهوا عليه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رجوعهما إلى معنىً واحد ، كما أنّ الاستكراه أو الإكراه الوارد في بعض الأخبار راجعان إلى ذلك أيضاً ، فلا بدّ من النظر في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اُكرهوا عليه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نّهما متطابقان على أنّ معنى أكرهه عليه حمله على ذلك قهراً وكُرهاً ؛ بمعنى أنّ متعلّق القهر والكره الحمل ، فيكون معنى أكرهه على ذلك كقوله أجبره عليه وألزمه عليه ؛ </w:t>
      </w:r>
    </w:p>
    <w:p>
      <w:pPr>
        <w:pStyle w:val="BookText"/>
        <w:rPr/>
      </w:pPr>
      <w:r>
        <w:rPr>
          <w:rFonts w:ascii="Amiri" w:hAnsi="Amiri" w:eastAsia="Amiri" w:cs="Amiri"/>
          <w:color w:val="111111"/>
          <w:sz w:val="28"/>
          <w:sz w:val="28"/>
          <w:szCs w:val="28"/>
          <w:rtl w:val="true"/>
          <w:lang w:bidi="ar-SA"/>
        </w:rPr>
        <w:t xml:space="preserve">أي حمله عليه قهراً وجبراً وإلزاماً وكرهاً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ذكره الشيخ لا يكون الكره والقهر في الحمل على الفعل ، بل إذا كان الفعل مكروهاً له وهو يكرهه صدق الإكراه عليه ولو كان الحمل عليه بلا قهر وجبر بل يكون حمله عليه بالاستدعاء أو إعطاء المال عليه ؛ ضرورة صدق حمله على ما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أمره من لا ينبغي مخالفته بأمر كرهه فأتاه صدق عليه أ نّه حمله على ما يكرهه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الحمل بمعنى الإلزام والقهر باطل ؛ ضرورة أ نّه أعمّ منه ؛ إذ يصدق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حملني صديقي أو أخي على ذلك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شائبة 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مادّة واحدة هي الكُره ، فهي إمّا متعلّقة بالهيئة وما يستفاد منها ، فيكون المعنى حمله عليه كرهاً ؛ أي قهراً ،</w:t>
      </w:r>
    </w:p>
    <w:p>
      <w:pPr>
        <w:pStyle w:val="BookText"/>
        <w:rPr/>
      </w:pPr>
      <w:r>
        <w:rPr>
          <w:rFonts w:ascii="Amiri" w:hAnsi="Amiri" w:eastAsia="Amiri" w:cs="Amiri"/>
          <w:color w:val="111111"/>
          <w:sz w:val="28"/>
          <w:sz w:val="28"/>
          <w:szCs w:val="28"/>
          <w:rtl w:val="true"/>
          <w:lang w:bidi="ar-SA"/>
        </w:rPr>
        <w:t xml:space="preserve">فيكون نظير أجبره وألزمه ، أو راجعة إلى المتعلّق ، فيكون المعنى حمله على ما يكرهه ، فيكون الحمل مطلقاً غير مقيّد بالإلزام والقهر والكره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اعتبار الكره في كليهما كما ترى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الدوران بينهما لا شبهة في أنّ الأوّل موافق للعرف ، فلا يقال لمطلق الحمل والتحميل على ما يكرهه أ نّه أكرهه عليه ، وموافق لقاعدة الاشتقاق، كما يظهر بالنظر في الأمثال والنظائر ، ولكلمات اللغويين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الاستكراه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ناخواست و ستم بر كارى داشتن،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الخطاء وما استكرهوا عليه</w:t>
      </w:r>
      <w:r>
        <w:rPr>
          <w:rFonts w:eastAsia="Amiri" w:cs="Amiri" w:ascii="Amiri" w:hAnsi="Amiri"/>
          <w:color w:val="111111"/>
          <w:sz w:val="28"/>
          <w:szCs w:val="28"/>
          <w:rtl w:val="true"/>
          <w:lang w:bidi="ar-SA"/>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وأكرهته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عليه كرهاً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أكرهته على الأمر إكراهاً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عليه قهراً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أكره فلاناً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عليه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p>
    <w:p>
      <w:pPr>
        <w:pStyle w:val="BookText"/>
        <w:rPr/>
      </w:pPr>
      <w:r>
        <w:rPr>
          <w:rFonts w:ascii="Amiri" w:hAnsi="Amiri" w:eastAsia="Amiri" w:cs="Amiri"/>
          <w:color w:val="111111"/>
          <w:sz w:val="28"/>
          <w:sz w:val="28"/>
          <w:szCs w:val="28"/>
          <w:rtl w:val="true"/>
          <w:lang w:bidi="ar-SA"/>
        </w:rPr>
        <w:t>على أمر يكرهه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كيف يفرّق بين الجملتين ، فلا ينبغي الإشكال في أنّ معنى أكرهه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 قهراً وكرهاً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يتحقّق الإكراه على الأمر بالتوعّد بالضرر مطلقاً ؛ إذ قد يكون التوعّد به لا يوجب القهر على الفعل والإلزام عليه ، كما لو أوعد ابنك بأ نّك لو لم تفعل كذا لقتلت نفسي ، أو قالت أهلك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تفعل كذا لهتكت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صديقك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تفعل لهجرتك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هجرته شاقّاً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تلك الموارد ونظائرها لا يصدق أكرهه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صدق حمله على مكروه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ولا يتوقّف صدق أكره عليه على التوعّد بالمكروه ، فلو خاف المأمور شرّ الآمر كفى في الصدق ، أوعده على الشرّ أم لا ، فاعتبار الإيعاد لا يصحّ طرداً وعكساً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اعتبار الظنّ على ترتّب الضرر غير ظاهر ، بل يكفي الخوف على ترتّبه وإن لم يحصل الظنّ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أ نّه لا يعتبر كون المأمور به ممّا يكرهه المأمور ، بل ما يعتبر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لازماً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المكره مقهوراً في اختياره ؛ بمعنى أ نّه ما اختاره إلاّ للخوف عن مخالفة أمر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اختياره وإرادته له تارةً لأجل كراهته له ومنفوريته لديه ، واُخرى لكونه مخالفاً لصلاحه وإن كان مشتاقاً إليه كمال الاشتياق ، كالمشتهيات التي يتركها المؤمن خوفاً من عذاب اللّه ، فإنّه مع كمال اشتياقه بها يحمله العقل والدين على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تفسير الإرادة بالشوق المتأكّد</w:t>
      </w:r>
    </w:p>
    <w:p>
      <w:pPr>
        <w:pStyle w:val="BookText"/>
        <w:rPr/>
      </w:pPr>
      <w:r>
        <w:rPr>
          <w:rFonts w:ascii="Amiri" w:hAnsi="Amiri" w:eastAsia="Amiri" w:cs="Amiri"/>
          <w:color w:val="111111"/>
          <w:sz w:val="28"/>
          <w:sz w:val="28"/>
          <w:szCs w:val="28"/>
          <w:rtl w:val="true"/>
          <w:lang w:bidi="ar-SA"/>
        </w:rPr>
        <w:t xml:space="preserve">والظاهر أنّ توهّم اعتبار ذلك نشأ من توهّم أنّ الإرادة عبارة عن الشوق التامّ في طرف الفعل والكراهة التامّة في جانب الترك ، أو أ نّهما من مباديها دائماً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أنّ بعض أهل التحقيق لمّا رأى أنّ في الأفعال الصادرة من الفاعل ما لا يتعلّق به الشوق بل يتنفّر منه كمال التنفّر ومع ذلك يريده ويوجده كقطع يده ورجله للعلاج ، والانتحار لأجل بعض الدواعي الفاسدة ، قال بعد جعل الإرادة عبارة عن الشوق المتأكّد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فعل إرادي إلاّ ويصدر إمّا عن شوق طبيعي أو شوق عقلي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الشوق العقلي وغلب على الكراهة الذوقية فلا محالة يشرب الدواء</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من التكلّف وعدم الموافقة للموازين العقلية لمحض توهّم أنّ الإرادة هي الشوق المتأكّد ، مع أنّ أصل المبنى فاسد ، فإنّ الإرادة من القوى الفعّالة الحاملة على الفعل والمحرّكة للعضلات نحوه ، والشوق والحبّ والبغض والكراهة من الاُمور التي لا فعّالية لها ، فالشوق لا يكون محرّكاً للعضلات بلغ ما بلغ من الشدّة ، والإرادة كثيراً ما تتعلّق بأشياء مع كمال الكراهة ومع فقدان الشوق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وإدراك العقل المصلحة وترجيح الفعل على الترك بالقضاء العقلي أو القوّة الحاكمة والقاضية ، غير الشوق الذي ينفعل النفس به لا بمعنى فعّاليته بل بمعنى عروضه لها ، وليس الاشتياق من شؤون العاقلة ، بل العقل مدرك للمصالح والمفاسد ، ولا يليق به الحبّ والبغض وأضرابهما من الانفعاليات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مسفورات أهل النظر</w:t>
      </w:r>
      <w:r>
        <w:rPr>
          <w:rStyle w:val="FootnoteAnchor"/>
          <w:rtl w:val="true"/>
        </w:rPr>
        <w:footnoteReference w:id="698"/>
      </w:r>
      <w:r>
        <w:rPr>
          <w:rFonts w:ascii="Amiri" w:hAnsi="Amiri" w:eastAsia="Amiri" w:cs="Amiri"/>
          <w:color w:val="111111"/>
          <w:sz w:val="28"/>
          <w:sz w:val="28"/>
          <w:szCs w:val="28"/>
          <w:rtl w:val="true"/>
          <w:lang w:bidi="ar-SA"/>
        </w:rPr>
        <w:t xml:space="preserve">من نسبة الشوق ونحوه إلى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تأويله ، كما ورد في الكتاب والسنّة من أشباه ذلك ممّا لا يليق بظاهرها بساحة قدسه جلّ وعلا</w:t>
      </w:r>
      <w:r>
        <w:rPr>
          <w:rStyle w:val="FootnoteAnchor"/>
          <w:rtl w:val="true"/>
        </w:rPr>
        <w:footnoteReference w:id="699"/>
      </w:r>
      <w:r>
        <w:rPr>
          <w:rFonts w:ascii="Amiri" w:hAnsi="Amiri" w:eastAsia="Amiri" w:cs="Amiri"/>
          <w:color w:val="111111"/>
          <w:sz w:val="28"/>
          <w:sz w:val="28"/>
          <w:szCs w:val="28"/>
          <w:rtl w:val="true"/>
          <w:lang w:bidi="ar-SA"/>
        </w:rPr>
        <w:t>، ولعمري لا داعي للالتزام بما يخالف الوجدان والبرهان لتصحيح ما قال بعض أهل النظر</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الشوق المؤكّد ، مع عدم برهان عليه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أنّ الإكراه على الشيء لا يعتبر في مفهومه كون ذلك الشيء </w:t>
      </w:r>
    </w:p>
    <w:p>
      <w:pPr>
        <w:pStyle w:val="BookText"/>
        <w:rPr/>
      </w:pPr>
      <w:r>
        <w:rPr>
          <w:rFonts w:ascii="Amiri" w:hAnsi="Amiri" w:eastAsia="Amiri" w:cs="Amiri"/>
          <w:color w:val="111111"/>
          <w:sz w:val="28"/>
          <w:sz w:val="28"/>
          <w:szCs w:val="28"/>
          <w:rtl w:val="true"/>
          <w:lang w:bidi="ar-SA"/>
        </w:rPr>
        <w:t xml:space="preserve">ممّا أكرهه الفاعل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يكون تحقّقه متقوّماً لذلك أو ملازماً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تحديد مفاد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كلمات اللغويين الموافقة للعرف والاعتبار ، أو إيكال الأمر إلى العرف ، كما صنعه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اعتبار عدم إمكان التفصّي عرفاً بما لا يحصل منه ضرر آخر معتدّ به ممّا لا ينبغي الريب فيه </w:t>
      </w:r>
      <w:r>
        <w:rPr>
          <w:rFonts w:eastAsia="Amiri" w:cs="Amiri" w:ascii="Amiri" w:hAnsi="Amiri"/>
          <w:color w:val="111111"/>
          <w:sz w:val="28"/>
          <w:szCs w:val="28"/>
          <w:rtl w:val="true"/>
          <w:lang w:bidi="ar-SA"/>
        </w:rPr>
        <w:t xml:space="preserve">. </w:t>
      </w:r>
      <w:bookmarkStart w:id="205" w:name="pg15162_155554"/>
    </w:p>
    <w:p>
      <w:pPr>
        <w:pStyle w:val="Heading3"/>
        <w:numPr>
          <w:ilvl w:val="2"/>
          <w:numId w:val="1"/>
        </w:numPr>
        <w:rPr/>
      </w:pPr>
      <w:bookmarkStart w:id="206" w:name="__RefHeading___Toc1955486_2142443653"/>
      <w:bookmarkStart w:id="207" w:name="_Toc74"/>
      <w:bookmarkEnd w:id="205"/>
      <w:bookmarkEnd w:id="206"/>
      <w:r>
        <w:rPr>
          <w:rtl w:val="true"/>
        </w:rPr>
        <w:t>التنبيه الرابع في التفصيل فيما ذكره الشيخ من أنّ قبول الولاية مع الضرر المالي اليسير رخصة</w:t>
      </w:r>
      <w:bookmarkEnd w:id="207"/>
    </w:p>
    <w:p>
      <w:pPr>
        <w:pStyle w:val="BookText"/>
        <w:rPr/>
      </w:pPr>
      <w:r>
        <w:rPr>
          <w:rFonts w:ascii="Amiri" w:hAnsi="Amiri" w:eastAsia="Amiri" w:cs="Amiri"/>
          <w:color w:val="111111"/>
          <w:sz w:val="28"/>
          <w:sz w:val="28"/>
          <w:szCs w:val="28"/>
          <w:rtl w:val="true"/>
          <w:lang w:bidi="ar-SA"/>
        </w:rPr>
        <w:t xml:space="preserve">قال الشيخ الأنصاري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الولاية مع الضرر المالي الذي لا يضرّ</w:t>
      </w:r>
    </w:p>
    <w:p>
      <w:pPr>
        <w:pStyle w:val="BookText"/>
        <w:rPr/>
      </w:pPr>
      <w:r>
        <w:rPr>
          <w:rFonts w:ascii="Amiri" w:hAnsi="Amiri" w:eastAsia="Amiri" w:cs="Amiri"/>
          <w:color w:val="111111"/>
          <w:sz w:val="28"/>
          <w:sz w:val="28"/>
          <w:szCs w:val="28"/>
          <w:rtl w:val="true"/>
          <w:lang w:bidi="ar-SA"/>
        </w:rPr>
        <w:t>بالحال رخصة لا عزيمة ، فيجوز تحمّل الضرر المذكور ؛ لأنّ الناس مسلّطون على أموالهم ، بل ربّما يستحبّ تحمّل ذلك الضرر للفرار عن تقوية شوكتهم</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إطلاقه فيما لا يضرّ بالحال كونه رخصة حتّى مع اقتضاء التقيّة ذلك ومع كونه في دار التقيّة ، وهو مبنيّ على عدم وجوب التقيّة ، وهو غير تامّ ، فلا</w:t>
      </w:r>
    </w:p>
    <w:p>
      <w:pPr>
        <w:pStyle w:val="BookText"/>
        <w:rPr/>
      </w:pPr>
      <w:r>
        <w:rPr>
          <w:rFonts w:ascii="Amiri" w:hAnsi="Amiri" w:eastAsia="Amiri" w:cs="Amiri"/>
          <w:color w:val="111111"/>
          <w:sz w:val="28"/>
          <w:sz w:val="28"/>
          <w:szCs w:val="28"/>
          <w:rtl w:val="true"/>
          <w:lang w:bidi="ar-SA"/>
        </w:rPr>
        <w:t xml:space="preserve">بدّ في هذه الصورة من التفصيل بين ما إذا كان المورد من موارد التقيّة الواجبة ، فيكون القبول عزيمة ، وبين غيره 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الرخصة كما اشتهر بينهم مطلقاً ولا يبعد في الجملة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تخصيصه الحكم بالضرر المالي غير المضرّ ، أنّ القبول عزيمة مع المالي المضرّ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ما كان دفعه موجباً للحرج ، وهو مبنيّ على أنّ رفع الحرج على سبيل العزيمة ، وهو خلاف المعهود منهم وإن رجّحناها في بعض الموارد أو مطلقاً في رسالة التيمّم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مقتضاه أ نّه عزيمة مع الضرر العرضي والنفسي مطلقاً ، وهو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مبنيّة على حرمة جعل المؤمن نفسه في معرض الهتك والضرر أيّ ضرر كان ولو لم يبلغ حدّ التهلكة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بشقوقها محلّ إشكال وتأمّل وتحتاج إلى مزيد فحص وتحقيق </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5162_155557"/>
      <w:bookmarkStart w:id="209" w:name="pg15162_155557"/>
      <w:bookmarkEnd w:id="209"/>
    </w:p>
    <w:p>
      <w:pPr>
        <w:pStyle w:val="Heading2"/>
        <w:numPr>
          <w:ilvl w:val="1"/>
          <w:numId w:val="1"/>
        </w:numPr>
        <w:rPr/>
      </w:pPr>
      <w:bookmarkStart w:id="210" w:name="pg15162_155557"/>
      <w:bookmarkStart w:id="211" w:name="__RefHeading___Toc1955488_2142443653"/>
      <w:bookmarkStart w:id="212" w:name="_Toc75"/>
      <w:bookmarkEnd w:id="210"/>
      <w:bookmarkEnd w:id="211"/>
      <w:r>
        <w:rPr>
          <w:rtl w:val="true"/>
        </w:rPr>
        <w:t>القسم الخامس في الاكتساب بما يجب على الإنسان فعله</w:t>
      </w:r>
      <w:bookmarkEnd w:id="21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1955490_2142443653"/>
      <w:bookmarkStart w:id="214" w:name="_Toc76"/>
      <w:bookmarkEnd w:id="213"/>
      <w:r>
        <w:rPr>
          <w:rtl w:val="true"/>
        </w:rPr>
        <w:t>اشارة</w:t>
      </w:r>
      <w:bookmarkEnd w:id="21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5162_155559"/>
      <w:bookmarkStart w:id="216" w:name="pg15162_155559"/>
      <w:bookmarkEnd w:id="216"/>
    </w:p>
    <w:p>
      <w:pPr>
        <w:pStyle w:val="Heading3"/>
        <w:numPr>
          <w:ilvl w:val="2"/>
          <w:numId w:val="1"/>
        </w:numPr>
        <w:rPr/>
      </w:pPr>
      <w:bookmarkStart w:id="217" w:name="pg15162_155559"/>
      <w:bookmarkStart w:id="218" w:name="__RefHeading___Toc1955492_2142443653"/>
      <w:bookmarkStart w:id="219" w:name="_Toc77"/>
      <w:bookmarkEnd w:id="217"/>
      <w:bookmarkEnd w:id="218"/>
      <w:r>
        <w:rPr>
          <w:rtl w:val="true"/>
        </w:rPr>
        <w:t>حرمة التكسّب بالواجبات</w:t>
      </w:r>
      <w:bookmarkEnd w:id="219"/>
    </w:p>
    <w:p>
      <w:pPr>
        <w:pStyle w:val="BookText"/>
        <w:rPr/>
      </w:pPr>
      <w:r>
        <w:rPr>
          <w:rFonts w:ascii="Amiri" w:hAnsi="Amiri" w:eastAsia="Amiri" w:cs="Amiri"/>
          <w:color w:val="111111"/>
          <w:sz w:val="28"/>
          <w:sz w:val="28"/>
          <w:szCs w:val="28"/>
          <w:rtl w:val="true"/>
          <w:lang w:bidi="ar-SA"/>
        </w:rPr>
        <w:t>في محطّ البحث</w:t>
      </w:r>
    </w:p>
    <w:p>
      <w:pPr>
        <w:pStyle w:val="BookText"/>
        <w:rPr/>
      </w:pPr>
      <w:r>
        <w:rPr>
          <w:rFonts w:ascii="Amiri" w:hAnsi="Amiri" w:eastAsia="Amiri" w:cs="Amiri"/>
          <w:color w:val="111111"/>
          <w:sz w:val="28"/>
          <w:sz w:val="28"/>
          <w:szCs w:val="28"/>
          <w:rtl w:val="true"/>
          <w:lang w:bidi="ar-SA"/>
        </w:rPr>
        <w:t xml:space="preserve">ممّا يحرم التكسّب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الإنسان فعله عيناً أو كفايةً ، تعبّداً أو توصّلاً على المشهور ، وعليه الفتوى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الوجوب بالذاتي لإخراج التوصّلي ، كأكثر الصناعات الواجبة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 بل عليه الإجماع في كلام جماعة ، وهو الحجّة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يعرف الخلاف إلاّ من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علم الهدى جواز الاُجرة على مثل التكفين والدفن ؛ لأ نّه واجب على الوليّ ولا يجوز لغيره إلاّ بإذنه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يكون هو مخالفاً في المسألة </w:t>
      </w:r>
      <w:r>
        <w:rPr>
          <w:rFonts w:eastAsia="Amiri" w:cs="Amiri" w:ascii="Amiri" w:hAnsi="Amiri"/>
          <w:color w:val="111111"/>
          <w:sz w:val="28"/>
          <w:szCs w:val="28"/>
          <w:rtl w:val="true"/>
          <w:lang w:bidi="ar-SA"/>
        </w:rPr>
        <w:t xml:space="preserve">. </w:t>
      </w:r>
      <w:bookmarkStart w:id="220" w:name="pg15162_155560"/>
    </w:p>
    <w:p>
      <w:pPr>
        <w:pStyle w:val="BookText"/>
        <w:rPr/>
      </w:pPr>
      <w:bookmarkEnd w:id="220"/>
      <w:r>
        <w:rPr>
          <w:rFonts w:ascii="Amiri" w:hAnsi="Amiri" w:eastAsia="Amiri" w:cs="Amiri"/>
          <w:color w:val="111111"/>
          <w:sz w:val="28"/>
          <w:sz w:val="28"/>
          <w:szCs w:val="28"/>
          <w:rtl w:val="true"/>
          <w:lang w:bidi="ar-SA"/>
        </w:rPr>
        <w:t>وكيف كان الظاهر من عنوان الفقهاء الأعمّ من التوصّلي والتعبّدي ، ومن ذهابهم نصّاً أو ظاهراً إلى الجواز في المستحبّات ، أنّ موضوع البحث هو الواجبات ؛ إمّا لأنّ وصف الوجوب ينافي الاكتساب كما صرّح به بعضهم ويأتي الكلام فيه ، أو أنّ الأمر تعبّدي ثابت بالإجماع والشهرة ، وأمّا التعبّدية فلا تنافي</w:t>
      </w:r>
    </w:p>
    <w:p>
      <w:pPr>
        <w:pStyle w:val="BookText"/>
        <w:rPr/>
      </w:pPr>
      <w:r>
        <w:rPr>
          <w:rFonts w:ascii="Amiri" w:hAnsi="Amiri" w:eastAsia="Amiri" w:cs="Amiri"/>
          <w:color w:val="111111"/>
          <w:sz w:val="28"/>
          <w:sz w:val="28"/>
          <w:szCs w:val="28"/>
          <w:rtl w:val="true"/>
          <w:lang w:bidi="ar-SA"/>
        </w:rPr>
        <w:t xml:space="preserve">الاكتساب عندهم ، ولهذا قالوا بجوازه في 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المتأخّرين عمّموا البحث في التعبّديات مطلقاً مستحبّةً كانت أو واجبةً ، وفي الواجبات توصّلية أو 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البحث تارةً في أنّ وصف التعبّدية منافٍ للاكتساب أم لا ، واُخرى في أنّ وصف الوجوب منافٍ له أم لا ؟</w:t>
      </w:r>
    </w:p>
    <w:p>
      <w:pPr>
        <w:pStyle w:val="Heading3"/>
        <w:numPr>
          <w:ilvl w:val="2"/>
          <w:numId w:val="1"/>
        </w:numPr>
        <w:rPr/>
      </w:pPr>
      <w:bookmarkStart w:id="221" w:name="__RefHeading___Toc1955494_2142443653"/>
      <w:bookmarkStart w:id="222" w:name="_Toc78"/>
      <w:bookmarkEnd w:id="221"/>
      <w:r>
        <w:rPr>
          <w:rtl w:val="true"/>
        </w:rPr>
        <w:t>حول إشكال منافاة وصف التعبّدية لأخذ الاُجرة</w:t>
      </w:r>
      <w:bookmarkEnd w:id="222"/>
    </w:p>
    <w:p>
      <w:pPr>
        <w:pStyle w:val="BookText"/>
        <w:rPr/>
      </w:pPr>
      <w:r>
        <w:rPr>
          <w:rFonts w:ascii="Amiri" w:hAnsi="Amiri" w:eastAsia="Amiri" w:cs="Amiri"/>
          <w:color w:val="111111"/>
          <w:sz w:val="28"/>
          <w:sz w:val="28"/>
          <w:szCs w:val="28"/>
          <w:rtl w:val="true"/>
          <w:lang w:bidi="ar-SA"/>
        </w:rPr>
        <w:t xml:space="preserve">أمّا الأوّل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المنافاة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تضاعف الوجوب يؤكّد</w:t>
      </w:r>
    </w:p>
    <w:p>
      <w:p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مقام عدم المنافاة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المنافاة واضح المنع ؛ ضرورة كون الإجارة مؤكّدة له باعتبار تسبيبها الوجوب أيضاً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وسبقهما إلى ذلك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المستحبّات ، قال في مقام بيان عدم المنافاة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غايتها هنا عدم ترتّب الثواب لا حرمته مع إمكان ترتّبه حينئذٍ </w:t>
      </w:r>
    </w:p>
    <w:p>
      <w:pPr>
        <w:pStyle w:val="BookText"/>
        <w:rPr/>
      </w:pPr>
      <w:r>
        <w:rPr>
          <w:rFonts w:ascii="Amiri" w:hAnsi="Amiri" w:eastAsia="Amiri" w:cs="Amiri"/>
          <w:color w:val="111111"/>
          <w:sz w:val="28"/>
          <w:sz w:val="28"/>
          <w:szCs w:val="28"/>
          <w:rtl w:val="true"/>
          <w:lang w:bidi="ar-SA"/>
        </w:rPr>
        <w:t>أيضاً بعد إيقاع عقد الإجارة ، فإنّها بعده تصير واجبة وتصير من قبيل ما وجبت</w:t>
      </w:r>
    </w:p>
    <w:p>
      <w:pPr>
        <w:pStyle w:val="BookText"/>
        <w:rPr/>
      </w:pPr>
      <w:r>
        <w:rPr>
          <w:rFonts w:ascii="Amiri" w:hAnsi="Amiri" w:eastAsia="Amiri" w:cs="Amiri"/>
          <w:color w:val="111111"/>
          <w:sz w:val="28"/>
          <w:sz w:val="28"/>
          <w:szCs w:val="28"/>
          <w:rtl w:val="true"/>
          <w:lang w:bidi="ar-SA"/>
        </w:rPr>
        <w:t xml:space="preserve">بنذر وشبهه ، ولا ريب في استحقاق الثواب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أخذ الاُجرة حينئذٍ صار سبباً لوجوبها عليه ومعه يتحقّق الإخلاص في العمل ؛ لكونه حينئذٍ لمجرّد الإطاعة والامتثال للّه تعالى وإن صارت الاُجرة منشأً لتوجّه الأمر الإيجابي إليه</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منه رحمه الله علیه حيث صرّح قبل ذلك بأسطر بأنّ أخذ الأجر في الواجبات منافٍ للإخلاص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بين كلامه وكلامهما فرق يتّضح عن قريب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الأوّلين من تأكّد الإخلاص ، وتضاعف الوجوب في كلام الثاني يحتمل أحد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الأمر في العبادي متعلّق بذات العبادة والأمر الإجاري أيضاً كذلك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وصم ، واعمل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الإجاري يؤكّد الأمر العبادي ، بل الأمر إذا تعلّق بموضوع عبادي يصير عبادياً ؛ إذ ليست العبادية من كيفيات الأمر بل هي من قيود المأمور به ، فإذا تعلّق بموضوع كذلك يصير عبادياً قهراً ، ولمّا كان الموضوع واحداً يؤكّد أحد الأمرين الآخر ، ولمّا كانا عباديين يؤكَّد الإخلاص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المراد بتضاعف الوجوب وتأكّد الإخلاص ، أنّ تعلّق الأمر الإجاري يوجب إمكان قصد الإخلاص به ، فإنّه وإن كان توصّلياً لكن مع قصد التقرّب يصير عبادياً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فالمكلّف قبل تعلّق الأمر الإجاري لا طريق له </w:t>
      </w:r>
    </w:p>
    <w:p>
      <w:pPr>
        <w:pStyle w:val="BookText"/>
        <w:rPr/>
      </w:pPr>
      <w:r>
        <w:rPr>
          <w:rFonts w:ascii="Amiri" w:hAnsi="Amiri" w:eastAsia="Amiri" w:cs="Amiri"/>
          <w:color w:val="111111"/>
          <w:sz w:val="28"/>
          <w:sz w:val="28"/>
          <w:szCs w:val="28"/>
          <w:rtl w:val="true"/>
          <w:lang w:bidi="ar-SA"/>
        </w:rPr>
        <w:t xml:space="preserve">للإخلاص إلاّ قصد الأمر العبادي ، وبتعلّقه زاد طريق آخر يمكن معه قصد الإخلاص ، فلو نذر إتيانه زاد طريق آخر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 إذ لم يعبّر بالتأكّد والتضاعف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أنّ مراده تبديل الأمر الاستحبابي بعد الإجارة بالوجوبي ؛ بمعنى سقوط ذلك وثبوت ذا بتوهّم وحدة متعلّقهما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المراد به أنّ متعلّق الأمر الإجاري والعبادي لمّا كانا متّحدين في الخارج ، فللعامل أن يقصدهما للّه تعالى ، فيكون الأمر بهذا المعنى مؤكّداً للإخلاص وموجباً لزيادته بتعدّد سببه ، ولعلّه أقرب إلى ظاهر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التأكيد في الأوامر ونحوها إنّما هو فيما إذا تعلّق أمر بموضوع لغاية وغرض ، فإذا كان الموضوع مهتمّاً به مثلاً يؤكّده الأمر إمّا بألفاظ التأكيد أو بتكرار الأمر ، وأمّا إذا كانت الأوامر بجهات عديدة فلا تكون من التأكيد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يكون الأمر العبادي كالأمر بصلاة الفريضة إنّما تعلّق بها بجهة وغرض غير جهة الأمر الإجاري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تعلّق الثاني أيضاً بذات العبادة لا يمكن أن يكون مؤكّداً للأوّل ، إلاّ أن لا يراد بالتأكيد معناه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الأمر الإجاري إنّما تعلّق بموضوع آخر هو الوفاء بالعقد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العقود ومتعلّقه الوفاء ، والأمر الصلاتي تعلّق بالصلاة ، ولا يعقل تجافي أحدهما عن متعلّقه إلى متعلّق الآخر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أوجد الصلاة وفاءً بإجارته وقلنا بصحّة الاستئجار يكون مصداق الصلاة معنوناً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هو الصلاة وعرضي هو الوفاء بالإجارة ، وكذا في النذر وإطاعة الوالد ونظائرهما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كان هذا شأنه لا يمكن أن يكون مؤكِّداً ؛ لأنّ موطن تعلّق الأوامر موطن اختلاف الموضوعات والمتعلّقات ، وموطن اتّحادها وهو الخارج لا يكون موطن تعلّقها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الإجاري بمنزلة صلّ وصم وغير ذلك</w:t>
      </w:r>
      <w:r>
        <w:rPr>
          <w:rStyle w:val="FootnoteAnchor"/>
          <w:rtl w:val="true"/>
        </w:rPr>
        <w:footnoteReference w:id="711"/>
      </w:r>
      <w:r>
        <w:rPr>
          <w:rFonts w:ascii="Amiri" w:hAnsi="Amiri" w:eastAsia="Amiri" w:cs="Amiri"/>
          <w:color w:val="111111"/>
          <w:sz w:val="28"/>
          <w:sz w:val="28"/>
          <w:szCs w:val="28"/>
          <w:rtl w:val="true"/>
          <w:lang w:bidi="ar-SA"/>
        </w:rPr>
        <w:t xml:space="preserve">، غير تامّ وخلط بين موضوعات الأحكام ومتعلّقاتها ، وبين مصاديقها غير المأمور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الجواب عن الاحتمال الثاني ؛ فإنّ مبناه أيضاً زعم تعلّق الأمر الإجاري بنفس الموضوعات العبادية ، ومع اختلاف المتعلّقات والموضوعات كما عرفت لا معنى لقصد التقرّب بأمر متعلّق بموضوع أجنبيّ عن الآخر لتصحيح ذلك الأجنبيّ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النظر بما تقدّم في الوجه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تعدّد الأوامر على موضوعات مختلفة لا يوجب تأكّد الإخلاص في أحد الموضوعات ، بل على الفرض يوجب تعدّده حسب تعدّدها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ورود إشكال أساسي على جميع الوجوه ، وهو أنّ الإشكال في المقام إنّما هو دعوى المنافاة بين قصد التقرّب وأخذ الأجر للعمل ، فلا يمكن للمؤجر الإتيان بالعمل المستأجر فيه ، ومع عدمه لا تصحّ الإجارة ، فلا أمر إجاري حينئذٍ حتّى يصحّح العبادية أو يؤكّد الإخلاص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تأكيد الأمر الإجاري الإخلاص موقوف على وجوده ، وهو موقوف على صحّة الإجارة ، فلا يمكن تصحيحها بما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صحّتها موقوفة على قدرة المؤجر إيجاد العمل المورد للإجارة ، وهو غير ممكن ؛ للتلازم بين أخذ الأجر وبطلان العمل العبادي ، فلا بدّ من دفع هذه الغائلة ، ومع عدم دفعها لا يمكن تعلّق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يؤكّده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المحقّقون لدفعها بالداعي على الداعي تارةً ويأتي الكلام فيه ، وبالأمر الإجاري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فصّله السيّد الطباطبائي في تعليقته بما ملخّصه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مع الغمض عن الوجه السابق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يكن قصد الامتثال بالنسبة إلى الأمر الأوّلي المتعلّق بالعبادة ؛ لأنّ المفروض أنّ غرضه أخذ الاُجرة ، فبعد إيقاع عقد الإجارة يمكن أن يكون داعيه امتثال الأمر الإجاري ، ولا يضرّ توصّليته ؛ لأنّ الأمر التوصّلي والتعبّدي لا يفترقان إلاّ في المتعلّق ، فمع عبادية المتعلّق يكون الأمر تعبّدياً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المعتبر قصد الأمر الصلاتي مدفوعة أوّلاً بالمنع ، غاية الأمر يعتبر</w:t>
      </w:r>
    </w:p>
    <w:p>
      <w:pPr>
        <w:pStyle w:val="BookText"/>
        <w:rPr/>
      </w:pPr>
      <w:r>
        <w:rPr>
          <w:rFonts w:ascii="Amiri" w:hAnsi="Amiri" w:eastAsia="Amiri" w:cs="Amiri"/>
          <w:color w:val="111111"/>
          <w:sz w:val="28"/>
          <w:sz w:val="28"/>
          <w:szCs w:val="28"/>
          <w:rtl w:val="true"/>
          <w:lang w:bidi="ar-SA"/>
        </w:rPr>
        <w:t xml:space="preserve">فيه كون الداعي هو اللّه من أيّ وجه كان ، وثانياً 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وصوموا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فالأمر الإجاري عين الأمر الصلاتي</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ذيل تصحيح العبادات الاستئجارية عن الغير بعد تكرار الوجهين المتقدّمين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مستلزم للدور ، فإنّ الوجوب من حيث الإجارة موقوف </w:t>
      </w:r>
    </w:p>
    <w:p>
      <w:pPr>
        <w:pStyle w:val="BookText"/>
        <w:rPr/>
      </w:pPr>
      <w:r>
        <w:rPr>
          <w:rFonts w:ascii="Amiri" w:hAnsi="Amiri" w:eastAsia="Amiri" w:cs="Amiri"/>
          <w:color w:val="111111"/>
          <w:sz w:val="28"/>
          <w:sz w:val="28"/>
          <w:szCs w:val="28"/>
          <w:rtl w:val="true"/>
          <w:lang w:bidi="ar-SA"/>
        </w:rPr>
        <w:t xml:space="preserve">على صحّتها ، وهي موقوفة على صحّة العمل الموقوفة على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وجهاً عن الشيخ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وهو التحقيق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متعلّق الإجارة ليس أزيد من إمكان إيجاده في الخارج في زمان الفعل ، وفي المقام إنّ تعلّق الإجارة والأمر الإيجاري سبب في هذا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أجبنا عن إشكال الدور في التعبّدي ، بناءً على كون قصد القربة من قيود المكلّف به ، بدعوى أنّ الأمر موقوف على تحقّق الموضوع ، والمفروض عدمه إلاّ بالأمر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توجّه الأمر إلاّ إمكان إيجاد الموضوع ولو كان الأمر هو السبب</w:t>
      </w:r>
      <w:r>
        <w:rPr>
          <w:rFonts w:eastAsia="Amiri" w:cs="Amiri" w:ascii="Amiri" w:hAnsi="Amiri"/>
          <w:color w:val="111111"/>
          <w:sz w:val="28"/>
          <w:szCs w:val="28"/>
          <w:rtl w:val="true"/>
          <w:lang w:bidi="ar-SA"/>
        </w:rPr>
        <w:t>»</w:t>
      </w:r>
      <w:r>
        <w:rPr>
          <w:rStyle w:val="FootnoteAnchor"/>
          <w:rtl w:val="true"/>
        </w:rPr>
        <w:footnoteReference w:id="71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أشرنا إليه من أنّ الأمر الإجاري متعلّق بعنوان الوفاء بالعقد ، وهو أمر توصّلي ؛ لعدم اعتبار العبادية في متعلّقه ، ولو قصد الامتثال به يتقرّب بعنوان امتثال أمر الوفاء بالعقد ، ولا يعقل أن يكون مجرّد ذلك موجباً لامتثال الأمر الصلاتي أو مقرّباً لأجل أمرها ، بل لو تعبّد بالأمر الإجاري من غير التعبّد بالأمر الصلاتي لا يصير مقرّباً مطلقاً ؛ إذ لم يأت بمتعلّق الإجارة ولم يمتثل الأمر الإجاري أيضاً ، ومجرّد اتّحاد العنوانين في المصداق لا يوجب أن يصير إيجاد أحد العنوانين بداعوية أمره موجباً للتقرّب بعنوان آخر متّحد معه ولو لم يكن مأتيّاً به بداعوية أمره أو بداعٍ قربي آخر مربوط به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 نّه لو أمر بإكرام العالم وأمر بإكرام الهاشمي ، وكان الأمران تعبّديين غير ساقطين إلاّ بقصد التعبّد ، فأكرم المكلّف من ينطبق عليه العنوانان بداعوية </w:t>
      </w:r>
    </w:p>
    <w:p>
      <w:pPr>
        <w:pStyle w:val="BookText"/>
        <w:rPr/>
      </w:pPr>
      <w:r>
        <w:rPr>
          <w:rFonts w:ascii="Amiri" w:hAnsi="Amiri" w:eastAsia="Amiri" w:cs="Amiri"/>
          <w:color w:val="111111"/>
          <w:sz w:val="28"/>
          <w:sz w:val="28"/>
          <w:szCs w:val="28"/>
          <w:rtl w:val="true"/>
          <w:lang w:bidi="ar-SA"/>
        </w:rPr>
        <w:t xml:space="preserve">أمر العالم مع عدم داعوية أمر الهاشمي أصلاً ، لا يعقل سقوط الأمرين وتقرّبه بعنوانين ؛ لأنّ التقرّب بعبادةٍ فرع إتيانها بداعوية أمرها أو بجهة مقرّبة اُخرى قائمة بها أو راجعة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اتّحاد العالم مع الهاشمي في الخارج لا يوجب حصول التقرّب قهراً على زعم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ما أشرنا إليه من عدم تعقّل تجاوز الأمر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عنوان الصلاة والصوم ونحوهما ، وكذا الحال في النذر واليمين والعهد ، فإنّ أوامرها لا تتعلّق إلاّ بعنوان الوفاء بها ، فلا يمكن أن ينحلّ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صلّ وصم وهكذا ، ولا يكون في قوّة ذلك إلاّ على تأوّل ومسامحة وهو لا يصحّح العبادية ، فلا وجه محصّل لتصحيحها بالأمر الإجاري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الإشكال في المقام ليس في منافاة عقد الإجارة أو الأمر الإجاري للإخلاص ، بل الإشكال في منافاة العمل المأتيّ به بإزاء الاُجرة للإخلاص ، ومع ذلك كيف يمكن له تسليم مورد الإجارة وإيجاده ؟ فلا يمكن معه تصحيح الإجارة ، فلا تصل النوبة إلى الأمر الإجاري حتّى يبحث في إمكان 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عن رفع تلك الغائلة بالداعي على الداعي أو نحوه لا يمكن تصحيحها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الإشكال في المقام نظير الإشكال في التعبّدي والتوصّلي ؛ أي ليس الإشكال في أنّ المكلّف عاجز عن العمل من قبل فقد الأمر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معتبرة وقت العمل والأمر محقِّقها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الإشكال في أنّ التنافي الواقعي الحاصل بين الإخلاص وأخذ الأجر في مقابل العمل يوجب بطلان الإجارة ، وهذا العجز الآتي من قبل التنافي الواقعي </w:t>
      </w:r>
      <w:bookmarkStart w:id="223" w:name="pg15162_155567"/>
    </w:p>
    <w:p>
      <w:pPr>
        <w:pStyle w:val="BookText"/>
        <w:rPr/>
      </w:pPr>
      <w:bookmarkEnd w:id="223"/>
      <w:r>
        <w:rPr>
          <w:rFonts w:ascii="Amiri" w:hAnsi="Amiri" w:eastAsia="Amiri" w:cs="Amiri"/>
          <w:color w:val="111111"/>
          <w:sz w:val="28"/>
          <w:sz w:val="28"/>
          <w:szCs w:val="28"/>
          <w:rtl w:val="true"/>
          <w:lang w:bidi="ar-SA"/>
        </w:rPr>
        <w:t xml:space="preserve">لا يعقل رفعه بالأمر الإجاري ، فالمقايسة بين البابين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إشكال الدور وجوابه وإن كان راجعاً إلى باب النيابة لكن مناطه موجود في المقام وسيأتي الكلام في النيابة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يرد على القائل بتصحيح العبادة بالأمر الإجاري أيضاً بأنّ مورد الإجارة على المفروض هو الواجب العبادي ، فالعبادية مأخوذة في موضوع الإجارة وموردها ، ومعنى العبادية ، مع قطع النظر عن الوقوع مورد الإجارة ، أن يكون المأتيّ به بداعوية الأمر المتعلّق به ، أو كونه للّه تعالى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غير جهة تعلّق الإجارة وأمرها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بهذا العقد لا يمكن أن يكون بإتيان الذات بقصد الأمر الإجاري ؛ لأنّ المأتيّ به بقصده لم يكن متعلّق الإجارة حتّى يكون إيجاده كذلك وفاءً بالعقد ومتعلّقاً للأمر بالوفاء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محفوظية عباديتها قبل تعلّق الإجارة ومع الغضّ عن أمرها ؛ لكون العبادية بما هي مأخوذة في موضوعها ، وفي مثله لا يمكن الوفاء بعقدها إلاّ مع الإتيان بالعبادة بما هي عبادة بغير الأمر الإجاري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إيقاع الإجارة بما يقع عبادة من قبل الأمر الإجاري أو الأعمّ منه ، لكنّه خروج عن موضوع البحث في المقام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955496_2142443653"/>
      <w:bookmarkStart w:id="225" w:name="_Toc79"/>
      <w:bookmarkEnd w:id="224"/>
      <w:r>
        <w:rPr>
          <w:rtl w:val="true"/>
        </w:rPr>
        <w:t>في الجواب عن إشكال المنافاة بطولية داعي الامتثال</w:t>
      </w:r>
      <w:bookmarkEnd w:id="2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المعروف في جواب الإشكال عن المنافاة للإخلاص ، طولية داعي الامتثال عن داعي أخذ الأجر فلا منافاة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ردّ ذلك تارةً بمنع الطولية ، واُخرى بمنع إجدائها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أفاده بعض أهل التحقيق في منع الطولية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مورد الإجارة هو ذات العمل العبادي فينحلّ إلى الذات وحيثية الامتثال والعبادية ، والمؤجر يأتي بالذات بداعي تحقّق المستأجر عليه وداعي الامتثال ، فيكون من التشريك في أصل الفعل ، لا من قبيل غاية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تحقّق عنوان المستأجر عليه يتوقّف على حصول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العبادة وعنوان الامتثال ، والآتي بالذات إنّما يأتي بها بقصد تحقّق عنوان المستأجر عليه وقصد امتثال أمر اللّه ، ليتحقّق كلا الجزءين من المستأجر عليه ، فيكون من قبيل التشريك في القصد لا داعي الداعي</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الإجارة هو العمل بداعي الامتثال ، ومعناه أنّ جعل الأجر في مقابل العمل المأتيّ به بداعوية الامتثال ؛ أي يكون الامتثال تمام الداعي والمحرّك له ، فلو أتى به بداعيين ؛ داعي الامتثال وداعي تحقّق عنوان المستأجر عليه ، لم يكن آتياً بمورد الإجارة والموضوع المستأجر عليه ولم يكن فعله وفاءً بعقد الإجارة ، ومعه كيف يمكن التشريك في مقام الوفاء مع كونه رافعاً له ومعدماً لموضوعه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الإجارة في مثل المقام لا ينحلّ إلى عقدين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الإجارة إلى إجارتين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لذات العمل وفاء ، أتى بها بداعي الامتثال أم لا ، وللامتثال وفاء ، بل وقعت الإجارة على عمل خاصّ لا يمكن </w:t>
      </w:r>
    </w:p>
    <w:p>
      <w:pPr>
        <w:pStyle w:val="BookText"/>
        <w:rPr/>
      </w:pPr>
      <w:r>
        <w:rPr>
          <w:rFonts w:ascii="Amiri" w:hAnsi="Amiri" w:eastAsia="Amiri" w:cs="Amiri"/>
          <w:color w:val="111111"/>
          <w:sz w:val="28"/>
          <w:sz w:val="28"/>
          <w:szCs w:val="28"/>
          <w:rtl w:val="true"/>
          <w:lang w:bidi="ar-SA"/>
        </w:rPr>
        <w:t>إيجاد موردها بلا تلك الخصوصية ، وهي العمل الذي يتحقّق بمحرّكية أمره فقط ،</w:t>
      </w:r>
    </w:p>
    <w:p>
      <w:pPr>
        <w:pStyle w:val="BookText"/>
        <w:rPr/>
      </w:pPr>
      <w:r>
        <w:rPr>
          <w:rFonts w:ascii="Amiri" w:hAnsi="Amiri" w:eastAsia="Amiri" w:cs="Amiri"/>
          <w:color w:val="111111"/>
          <w:sz w:val="28"/>
          <w:sz w:val="28"/>
          <w:szCs w:val="28"/>
          <w:rtl w:val="true"/>
          <w:lang w:bidi="ar-SA"/>
        </w:rPr>
        <w:t>أو كونه للّه خالصاً ، وفي مثله لا يمكن إيجاده بلا داعٍ إلهي أو بِداعٍ مشترك ،</w:t>
      </w:r>
    </w:p>
    <w:p>
      <w:pPr>
        <w:pStyle w:val="BookText"/>
        <w:rPr/>
      </w:pPr>
      <w:r>
        <w:rPr>
          <w:rFonts w:ascii="Amiri" w:hAnsi="Amiri" w:eastAsia="Amiri" w:cs="Amiri"/>
          <w:color w:val="111111"/>
          <w:sz w:val="28"/>
          <w:sz w:val="28"/>
          <w:szCs w:val="28"/>
          <w:rtl w:val="true"/>
          <w:lang w:bidi="ar-SA"/>
        </w:rPr>
        <w:t xml:space="preserve">فلا محيص في مقام الوفاء إلاّ بإتيانه بداعي اللّه وإن كان هذا بداعٍ آخر في طوله ، فالطولية مقتضى ذات تعلّق الإجارة بالعمل بداعي اللّه لا يمكن سلبها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التحقيق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المقيّد والقيد ملحوظان بالمعنى الحرفي في مورد الإجارة لا بالمعنى الاسمي ، فلا يكون شيء منهما مورداً للغاية وللإجارة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عدم وجاهته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مورد الإجارة الصلاة المتقيّدة وهي ملحوظة استقلالاً وباللحاظ الاسمي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الأخذ حرفاً أو اسماً أجنبيّ عن دفع الإشكال فلا الاسمية في اللحاظ مضرّ بالمقصود ، ولا الحرفية دافع للإشكال على فرض وروده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المستشكل أورد إشكالاً آخر ويظهر من بعض تعبيراته وتنظيراته أنّ إشكاله كبروي وفي عدم إجداء الداعي على الداعي ، ومن بعض تعبيراته أنّ إشكاله صغروي وفي عدم كون المقام من قبيل داعي الداعي ، ويحتمل أن يكون مراده أنّ داعي الداعي مرجعه إلى التشريك ونقص العلّية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لا بدّ من تعرّض الاحتمالين أو الاحتمالات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الكبرى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ما أفاده في منع الصغرى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ليس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إتيان الفعل بداعي الامتثال ، الأعمّ من كون الامتثال بنفسه داعياً أو باعتبار ما اكتنف به من العوارض ، مثل كونه مستعقباً أو موجباً لأمر كذا ، فإنّها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 من أن يكون القرب والامتثال علّة تامّة أو ناقصة للفعل ، بل لابدّ وأن يكون علّة تامّة ، والمقام ليس كذلك ، فإنّ الامتثال يصير علّة ناقصة إذا كان الغرض منه حصول مايترتّب عليه ، فإنّ علّيته من حيث ترتّب الأثر عليه ، بحيث تنتفي بفرض انتفائه ، وهو معنى نقص العلّية ، فإنّ معنى تمامها ترتّب المعلول عليه ولو فرض انتفاء كلّ موجود ووجود كلّ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اعتبار خصوصية في الغاية تنتفي غائيتها بانتفائها ينافي علّيتها التامّة وتصير ناقصة</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 انتهى مورد الحاجة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أنّ العلّة لأثر في التكوين لا تمكن أن تكون ذات العلّة بقيد ترتّب الأثر عليها ، أو كونها مستعقبة أو موجبة للأثر ، بحيث أن تكون العلّة مركّبة من الذات وأحد العناوين والقيود المذكورة ؛ للزوم تقدّم الشيء على نفسه وكون الشيء من قيود علّة نفسه إن كان المراد الاستعقاب والإيجاب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وبالحمل الشائع ، وإن كان المراد بها العناوين فمضافاً إلى عدم إمكان تأثيرها وجزئيتها للأثر الوجودي يلزم منه أن يكون المتأخّر متقدّماً ؛ لأنّ تلك العناوين بما أ نّها من المضايفات لا يمكن انتزاعها إلاّ بعد فعلية العلّة ووجود المعلول ، فيكون انتزاعها من العلّة والمعلول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دخالتها </w:t>
      </w:r>
    </w:p>
    <w:p>
      <w:pPr>
        <w:pStyle w:val="BookText"/>
        <w:rPr/>
      </w:pPr>
      <w:r>
        <w:rPr>
          <w:rFonts w:ascii="Amiri" w:hAnsi="Amiri" w:eastAsia="Amiri" w:cs="Amiri"/>
          <w:color w:val="111111"/>
          <w:sz w:val="28"/>
          <w:sz w:val="28"/>
          <w:szCs w:val="28"/>
          <w:rtl w:val="true"/>
          <w:lang w:bidi="ar-SA"/>
        </w:rPr>
        <w:t xml:space="preserve">في العلّية تقدّمها على المعلول مضافاً إلى لزوم كون المتضايفات غير متكافئات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ما ثبت أنّ العلّة للمعلول نفس ذاتها بلا دخالة تلك القيود إذا فرض كون أثر غاية لإيجاد الفاعل علّته ، فلا محالة يكون تصوّر الأثر والتصديق بفائدته ولزوم تحقّقه منشأً لتحريك الفاعل نحو علّته ليس إلاّ ؛ لعدم إمكان داعوية العلّة الغائية إلى غير ما يترتّب عليه إلاّ خطأً وغلطاً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إذا رأى</w:t>
      </w:r>
    </w:p>
    <w:p>
      <w:pPr>
        <w:pStyle w:val="BookText"/>
        <w:rPr/>
      </w:pPr>
      <w:r>
        <w:rPr>
          <w:rFonts w:ascii="Amiri" w:hAnsi="Amiri" w:eastAsia="Amiri" w:cs="Amiri"/>
          <w:color w:val="111111"/>
          <w:sz w:val="28"/>
          <w:sz w:val="28"/>
          <w:szCs w:val="28"/>
          <w:rtl w:val="true"/>
          <w:lang w:bidi="ar-SA"/>
        </w:rPr>
        <w:t xml:space="preserve">الفاعل أنّ الأثر مترتّب على الذات بلا قيد يصير منبعثاً إليها فقط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 ، دنيوياً أو اُخروياً ، إلهياً أو خلقياً ، إذا فرض ترتّبه</w:t>
      </w:r>
    </w:p>
    <w:p>
      <w:pPr>
        <w:pStyle w:val="BookText"/>
        <w:rPr/>
      </w:pPr>
      <w:r>
        <w:rPr>
          <w:rFonts w:ascii="Amiri" w:hAnsi="Amiri" w:eastAsia="Amiri" w:cs="Amiri"/>
          <w:color w:val="111111"/>
          <w:sz w:val="28"/>
          <w:sz w:val="28"/>
          <w:szCs w:val="28"/>
          <w:rtl w:val="true"/>
          <w:lang w:bidi="ar-SA"/>
        </w:rPr>
        <w:t xml:space="preserve">على عبادة بما هي عبادة ، فلا محالة تكون العبادة بما هي عبادة ، علّةً لترتّبه عليها لا بما أ نّها مستعقبة للأثر أو موجبة لها لما تقدّم من محذور القيدية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لا يمكن أن يصير الأثر علّة غائية لغير العبادة بما هي التي هي تمام العلّة للأثر الذي هو فائدة وجوداً وعلّة فاعلية الفاعل ماهية وتصوّراً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بكون الامتثال علّةً ناقصةً ، إمّا لأجل أنّ تلك العناوين شريكة معه في العلّية فقد تقدّم استحالته ، أو لأجل أنّ العلّة وإن كانت ذاته بذاته لكنّ الغاية تدعو إلى العلّة وغير العلّة فقد اتّضح امتناعه ، فلا مناص عن أن تكون الغاية علّة للفعل بغاية الامتثال ؛ أي بمحرّكيته وداعويّته بلا دخالة شيء آخر ، وهو المطلوب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الاُجرة بإزاء العمل بداعي الامتثال وكان الأجير بصدد تسليم مورد الإجارة لأخذ الاُجرة بإزاء المستأجر عليه فلا محالة ينقدح في نفسه الداعي إلى إيجاد العمل للّه وبباعثية الأمر العبادي بلا تشريك فيه ؛ لما عرفت من امتناعه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ذكرناه يظهر النظر في الاحتمال الثالث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في معنى العلّية التامّة صحيح ، لكن لا يراد بذلك إلاّ أ نّها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 ضميمة اُخرى وشريك في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ومؤثّر ، لا أ نّها علّة حتّى مع عدم علّة نفسها ؛ إذ مع عدمها تعدم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محالاً وجودها بلا علّة تكون مؤثّرة وموجدة للمعلول ، وفي المقام انتفاء الداعي الأعلى يوجب انتفاء ذات الداعي المعلولة له لا انتفاء شريكها مع بقاء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في محلّه أنّ الجهات التعليلية ترجع إلى الجهات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يدية وأنّ الغايات عناوين الموضوعات ، ولذا كان التحقيق بناءً على وجوب المقدّمة وجوب الموصلة منها </w:t>
      </w:r>
      <w:r>
        <w:rPr>
          <w:rStyle w:val="FootnoteAnchor"/>
          <w:rtl w:val="true"/>
        </w:rPr>
        <w:footnoteReference w:id="718"/>
      </w:r>
      <w:r>
        <w:rPr>
          <w:rFonts w:ascii="IRNazanin" w:hAnsi="IRNazanin" w:eastAsia="IRNazanin"/>
          <w:color w:val="111111"/>
          <w:sz w:val="28"/>
          <w:sz w:val="28"/>
          <w:szCs w:val="28"/>
          <w:rtl w:val="true"/>
          <w:lang w:bidi="fa-IR"/>
        </w:rPr>
        <w:t>؛ بمعنى أنّ الواجب هو الموصل بما هو موصل ؛ لأنّ</w:t>
      </w:r>
    </w:p>
    <w:p>
      <w:pPr>
        <w:pStyle w:val="BookText"/>
        <w:rPr/>
      </w:pPr>
      <w:r>
        <w:rPr>
          <w:rFonts w:ascii="Amiri" w:hAnsi="Amiri" w:eastAsia="Amiri" w:cs="Amiri"/>
          <w:color w:val="111111"/>
          <w:sz w:val="28"/>
          <w:sz w:val="28"/>
          <w:szCs w:val="28"/>
          <w:rtl w:val="true"/>
          <w:lang w:bidi="ar-SA"/>
        </w:rPr>
        <w:t xml:space="preserve">الإيصال إلى ذي المقدّمة غاية وجهة تعليلية ، فترجع إلى الجهة التقييدية ، فتتعلّق الإرادة بالموصلة بعنوانها من دون دخالة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لمّا كان أخذ الأجر غاية ، لابدّ وأن يكون عنواناً للموضوع وحيثية تقييدية له ، فلا محالة يكون تمام الداعي لإيجاد الفعل أخذ الأجر ، فيمحّض الفعل في غير اللّه ، ولا شركة لأمر اللّه وداعي اللّه فيه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مغالطة نشأت من مقايسة إرادة الفاعل ومقدّماتها على إرادة الآمر والمشرِّع ، أو قياس إرادة الفاعل ومقدّماتها على حكم العقل على الموضوعات العقلية ، وهو قياس باطل ومع الفارق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حكم العقل وكذا إرادة المشرّع المنكشفة بها موضوعها العناوين ، فإذا </w:t>
      </w:r>
    </w:p>
    <w:p>
      <w:pPr>
        <w:pStyle w:val="BookText"/>
        <w:rPr/>
      </w:pPr>
      <w:r>
        <w:rPr>
          <w:rFonts w:ascii="Amiri" w:hAnsi="Amiri" w:eastAsia="Amiri" w:cs="Amiri"/>
          <w:color w:val="111111"/>
          <w:sz w:val="28"/>
          <w:sz w:val="28"/>
          <w:szCs w:val="28"/>
          <w:rtl w:val="true"/>
          <w:lang w:bidi="ar-SA"/>
        </w:rPr>
        <w:t xml:space="preserve">أدرك العقل الملازمة بين وجوب ذي المقدّمة والمقدّمة الموصلة يكشف حكم الآمر على هذا العنوان ؛ أي الموصل ؛ لأنّ الغايات في الأحكام العقلية موضوع بحسب الواقع ، والجهات التعليلية ترجع إلى التقييدية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العقل بإدراك الملازمة وجوباً شرعياً على عنوان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وجوب شرعي مستكشف بالعقل بناءً على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الفاعل فلم يتعلّق إرادته على العناوين والطبائع الكلّية في إيجاد الأمر الخارجي ، ولو تعلّقت أحياناً بها لا يكفي تعلّقها بها للإيجاد المساوق للتشخّص ، فلا محالة تنشأ من إرادته المتعلّقة بالطبائع إرادة متعلّقة بما يريد بمبادئها بتوسّط</w:t>
      </w:r>
    </w:p>
    <w:p>
      <w:pPr>
        <w:pStyle w:val="BookText"/>
        <w:rPr/>
      </w:pPr>
      <w:r>
        <w:rPr>
          <w:rFonts w:ascii="Amiri" w:hAnsi="Amiri" w:eastAsia="Amiri" w:cs="Amiri"/>
          <w:color w:val="111111"/>
          <w:sz w:val="28"/>
          <w:sz w:val="28"/>
          <w:szCs w:val="28"/>
          <w:rtl w:val="true"/>
          <w:lang w:bidi="ar-SA"/>
        </w:rPr>
        <w:t xml:space="preserve">بعض الصور الموجودة في الذهن ، فإذا اعتقد أنّ الأثر الكذائي المطلوب مترتّب على وجود كذا فلا محالة يصير تصوّر تلك الغاية مع سائر المبادئ باعثاً له نحو العلّة ؛ أي الذات التي يترتّب عليها الأثر بنفسها لا بقيد وعنوان ، فإنّ المفروض أنّ العلّة هي الذات لا شيء آخر ، فلا محالة ينبعث نحوها ، فتصوّر العطشان أنّ رفع العطش مترتّب على شرب الماء بلا ضمّ ضميمة ، وتصديقه به ، يبعثه مع سائر المبادئ إلى ذات شربه بلا ضمّ ضميمة أجنبيّة عن التأثير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المؤثّر في المعلول ذات العلّة ، ولا يعقل أن تكون العلّة ذاتها</w:t>
      </w:r>
    </w:p>
    <w:p>
      <w:pPr>
        <w:pStyle w:val="BookText"/>
        <w:rPr/>
      </w:pPr>
      <w:r>
        <w:rPr>
          <w:rFonts w:ascii="Amiri" w:hAnsi="Amiri" w:eastAsia="Amiri" w:cs="Amiri"/>
          <w:color w:val="111111"/>
          <w:sz w:val="28"/>
          <w:sz w:val="28"/>
          <w:szCs w:val="28"/>
          <w:rtl w:val="true"/>
          <w:lang w:bidi="ar-SA"/>
        </w:rPr>
        <w:t>المتقيّدة بترتّب الأثر عليه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يكون ما قابل الأجر الصلاة بداعي أمر اللّه تعالى ، فلا محالة يكون الأجر داعياً ومحرّكاً إلى ذات الصلاة بداعي اللّه تعالى من غير إمكان </w:t>
      </w:r>
      <w:bookmarkStart w:id="226" w:name="pg15162_155574"/>
    </w:p>
    <w:p>
      <w:pPr>
        <w:pStyle w:val="BookText"/>
        <w:rPr/>
      </w:pPr>
      <w:bookmarkEnd w:id="226"/>
      <w:r>
        <w:rPr>
          <w:rFonts w:ascii="Amiri" w:hAnsi="Amiri" w:eastAsia="Amiri" w:cs="Amiri"/>
          <w:color w:val="111111"/>
          <w:sz w:val="28"/>
          <w:sz w:val="28"/>
          <w:szCs w:val="28"/>
          <w:rtl w:val="true"/>
          <w:lang w:bidi="ar-SA"/>
        </w:rPr>
        <w:t xml:space="preserve">دخالة الأجر واشتراكه مع داعي اللّه في إتيانها ؛ للزوم تأخّر المتقدّم وتقدّم المتأخّر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أخذ الأجر علّة فاعلية الفاعل بسائر المبادئ لإيجاد الصلاة بداعوية أمرها ، والصلاة بداعوية أمرها يترتّب عليها الأجر ، فلا يعقل تجافي علّة فاعلية الفاعل عن مقام علّيتها وتقدّمها ووقوعها في رتبة داعوية أمر الصلاة لإيجادها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بالتشريك أو التمحّض في غير اللّه تعالى بالبيان المتقدّم غير وجيه ، بل دعوى أمر غير معقول كما مرّ </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955498_2142443653"/>
      <w:bookmarkStart w:id="228" w:name="_Toc80"/>
      <w:bookmarkEnd w:id="227"/>
      <w:r>
        <w:rPr>
          <w:rtl w:val="true"/>
        </w:rPr>
        <w:t>في اعتبار إلهية جميع الدواعي الطولية والعرضية في العبادة</w:t>
      </w:r>
      <w:bookmarkEnd w:id="228"/>
    </w:p>
    <w:p>
      <w:pPr>
        <w:pStyle w:val="BookText"/>
        <w:rPr/>
      </w:pPr>
      <w:r>
        <w:rPr>
          <w:rFonts w:ascii="Amiri" w:hAnsi="Amiri" w:eastAsia="Amiri" w:cs="Amiri"/>
          <w:color w:val="111111"/>
          <w:sz w:val="28"/>
          <w:sz w:val="28"/>
          <w:szCs w:val="28"/>
          <w:rtl w:val="true"/>
          <w:lang w:bidi="ar-SA"/>
        </w:rPr>
        <w:t xml:space="preserve">ثمّ إنّه على تسليم الداعي على الداعي أوردوا عليه بعدم إجدائه في وقوع الفعل امتثالاً وقربياً ، حتّى قال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هذا إشكالاً لكان أولى</w:t>
      </w:r>
    </w:p>
    <w:p>
      <w:pPr>
        <w:pStyle w:val="BookText"/>
        <w:rPr/>
      </w:pPr>
      <w:r>
        <w:rPr>
          <w:rFonts w:ascii="Amiri" w:hAnsi="Amiri" w:eastAsia="Amiri" w:cs="Amiri"/>
          <w:color w:val="111111"/>
          <w:sz w:val="28"/>
          <w:sz w:val="28"/>
          <w:szCs w:val="28"/>
          <w:rtl w:val="true"/>
          <w:lang w:bidi="ar-SA"/>
        </w:rPr>
        <w:t xml:space="preserve">وأحقّ من أن يكون جواباً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الامتثال والتقرّب متوقّفان على وقوع جميع الدواعي الطولية والعرضية إلهية ، ومع كون بعض ما في السلسلة غير إلهي لا يقع الفعل عبادة ، وفرّقوا بين الغايات المترتّبة على الأفعال بجعل إلهي وغيرها بأنّ ما كان بجعله تعالى يرجع إليه ولم يضرّ بقربيته دون ما كان لغاية غير اللّه تعالى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تسالمهم على صحّة العمل إذا كان الامتثال للطمع في أجر اللّه </w:t>
      </w:r>
    </w:p>
    <w:p>
      <w:pPr>
        <w:pStyle w:val="BookText"/>
        <w:rPr/>
      </w:pPr>
      <w:r>
        <w:rPr>
          <w:rFonts w:ascii="Amiri" w:hAnsi="Amiri" w:eastAsia="Amiri" w:cs="Amiri"/>
          <w:color w:val="111111"/>
          <w:sz w:val="28"/>
          <w:sz w:val="28"/>
          <w:szCs w:val="28"/>
          <w:rtl w:val="true"/>
          <w:lang w:bidi="ar-SA"/>
        </w:rPr>
        <w:t>والخوف من عقابه استشكلوا في الغايات المتوقّعة من غيره تعالى</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الورود في الجواب لا بدّ من التنبيه على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في المقام قد يكون الداعي إلى امتثال أمر اللّه تامّاً مستقلاًّ في نفسه ، بحيث ينبعث المكلّف منه ، سواء كان في مقابله أجر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الداعي إليه مفقوداً ، بحيث لولا الأجر لما كان آتياً بالفريضة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الداعي إليه ناقصاً وضعيفاً لا يصلح للبعث ويتمّ بالأجر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الداعي إلى أخذ الأجر قد يكون مستقلاًّ تامّاً ، وقد يكون ضعيفاً ناقصاً أو مفقوداً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فتصوير الداعي على الداعي يأتي في بعض الصور لا جميعها ، ومع رفع الإشكال عمّا هي أسوأ حالاً من الجميع يتمّ المطلوب، وهي الصورة التي لا داعي للفاعل أصلاً لإتيان الفريضة ، وإنّما يتحقّق داعيه بواسطة الاُجرة ؛ بمعنى أنّ الفاعل لا يهتمّ بأمر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يهتمّ بعقوده وعهوده لمروءته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بقاء الإشكال في هذه الصورة لا يلزم منه الحكم ببطلان جميع الصور المتقدّمة ؛ ضرورة أنّ من لا ينبعث بالأمر الإجاري ولا يكون الأجر أيضاً داعياً له ولو بنحو ضعيف ، لا يقاس في البطلان بمورد الداعي على الداعي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 أنّ الفاعل لا يؤثّر في نفسه الاُجرة رأساً ويأتي بمورد الإجارة لداعوية الصلاة فقط ، لا وجه للحكم ببطلانها ، سواء قلنا بصحّة الداعي على الداعي أم لا </w:t>
      </w:r>
      <w:r>
        <w:rPr>
          <w:rFonts w:eastAsia="Amiri" w:cs="Amiri" w:ascii="Amiri" w:hAnsi="Amiri"/>
          <w:color w:val="111111"/>
          <w:sz w:val="28"/>
          <w:szCs w:val="28"/>
          <w:rtl w:val="true"/>
          <w:lang w:bidi="ar-SA"/>
        </w:rPr>
        <w:t xml:space="preserve">. </w:t>
      </w:r>
      <w:bookmarkStart w:id="229" w:name="pg15162_155576"/>
    </w:p>
    <w:p>
      <w:pPr>
        <w:pStyle w:val="BookText"/>
        <w:rPr/>
      </w:pPr>
      <w:bookmarkEnd w:id="229"/>
      <w:r>
        <w:rPr>
          <w:rFonts w:ascii="Amiri" w:hAnsi="Amiri" w:eastAsia="Amiri" w:cs="Amiri"/>
          <w:color w:val="111111"/>
          <w:sz w:val="28"/>
          <w:sz w:val="28"/>
          <w:szCs w:val="28"/>
          <w:rtl w:val="true"/>
          <w:lang w:bidi="ar-SA"/>
        </w:rPr>
        <w:t>بل لو كان الداعيان مستقلّين ، أو داعي الصلاة مستقلاًّ وداعي الأجر ضعيفاً ، يمكن القول بالصحّة ولو قلنا ببطلان ما يأتي بالداعي على الداعي ؛ لأ نّه من قبيل الضميمة المباحة ، كما نسب القول بالصحّة في مثلها إلى كاشف الغطاء</w:t>
      </w:r>
      <w:r>
        <w:rPr>
          <w:rStyle w:val="FootnoteAnchor"/>
          <w:rtl w:val="true"/>
        </w:rPr>
        <w:footnoteReference w:id="722"/>
      </w:r>
      <w:r>
        <w:rPr>
          <w:rFonts w:ascii="Amiri" w:hAnsi="Amiri" w:eastAsia="Amiri" w:cs="Amiri"/>
          <w:color w:val="111111"/>
          <w:sz w:val="28"/>
          <w:sz w:val="28"/>
          <w:szCs w:val="28"/>
          <w:rtl w:val="true"/>
          <w:lang w:bidi="ar-SA"/>
        </w:rPr>
        <w:t xml:space="preserve">إذا كان الداعيان مستقلّين ، ومال إليه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بالصحّة فرض ضعف الداعي غير الإلهي ، وإن كان الفرضان لا يخلوان من إشكال سيّما الأوّل منهما </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955500_2142443653"/>
      <w:bookmarkStart w:id="231" w:name="_Toc81"/>
      <w:bookmarkEnd w:id="230"/>
      <w:r>
        <w:rPr>
          <w:rtl w:val="true"/>
        </w:rPr>
        <w:t xml:space="preserve">التحقيق </w:t>
      </w:r>
      <w:r>
        <w:rPr>
          <w:rtl w:val="true"/>
        </w:rPr>
        <w:t xml:space="preserve">: </w:t>
      </w:r>
      <w:r>
        <w:rPr>
          <w:rtl w:val="true"/>
        </w:rPr>
        <w:t>عدم اعتبار الإخلاص التامّ في العبادة</w:t>
      </w:r>
      <w:bookmarkEnd w:id="231"/>
    </w:p>
    <w:p>
      <w:pPr>
        <w:pStyle w:val="BookText"/>
        <w:rPr/>
      </w:pPr>
      <w:r>
        <w:rPr>
          <w:rFonts w:ascii="Amiri" w:hAnsi="Amiri" w:eastAsia="Amiri" w:cs="Amiri"/>
          <w:color w:val="111111"/>
          <w:sz w:val="28"/>
          <w:sz w:val="28"/>
          <w:szCs w:val="28"/>
          <w:rtl w:val="true"/>
          <w:lang w:bidi="ar-SA"/>
        </w:rPr>
        <w:t>وكيف كان لو فرض في المقام عدم الداعي الإلهي رأساً في نفسه ، ودعاه إلى العمل بداعي اللّه الاُجرة ، فهل الداعي على الداعي يوجب صحّته ، أم يعتبر فيها أن يكون جميع الدواعي الطولية والعرضية إلهية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الأمر بنفسه في شيء من الموارد لا يكون محرّكاً وباعثاً تكوينياً نحو العمل ، بل هو إنشاء البعث الاعتباري ، فإنّ هيئة الأمر</w:t>
      </w:r>
    </w:p>
    <w:p>
      <w:pPr>
        <w:pStyle w:val="BookText"/>
        <w:rPr/>
      </w:pPr>
      <w:r>
        <w:rPr>
          <w:rFonts w:ascii="Amiri" w:hAnsi="Amiri" w:eastAsia="Amiri" w:cs="Amiri"/>
          <w:color w:val="111111"/>
          <w:sz w:val="28"/>
          <w:sz w:val="28"/>
          <w:szCs w:val="28"/>
          <w:rtl w:val="true"/>
          <w:lang w:bidi="ar-SA"/>
        </w:rPr>
        <w:t xml:space="preserve">وضعت لإيقاع البعث نحو المادّة ، وأمّا علّيتها تكويناً للانبعاث فغير معقول وإلاّ لزم عدم تفكيك العمل عن الأمر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تصوّر الأمر أيضاً ليس محرّكاً ما لم يكن في نفسه مبادئ اُخر كالخوف والطمع والحبّ والمعرفة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يقع الكلام في أنّ المعتبر في العبادة أن تكون المبادئ الموجودة في </w:t>
      </w:r>
    </w:p>
    <w:p>
      <w:pPr>
        <w:pStyle w:val="BookText"/>
        <w:rPr/>
      </w:pPr>
      <w:r>
        <w:rPr>
          <w:rFonts w:ascii="Amiri" w:hAnsi="Amiri" w:eastAsia="Amiri" w:cs="Amiri"/>
          <w:color w:val="111111"/>
          <w:sz w:val="28"/>
          <w:sz w:val="28"/>
          <w:szCs w:val="28"/>
          <w:rtl w:val="true"/>
          <w:lang w:bidi="ar-SA"/>
        </w:rPr>
        <w:t>النفس الباعثة لإيجاد متعلّق الأمر امتثالاً له تعالى كلّها مربوطة به تعالى ، فيكون خوفه من اللّه ورجاؤه إليه وطمعه في إعطائه تعالى باعثاً لإطاعته ومحرّكاً له ، أم</w:t>
      </w:r>
    </w:p>
    <w:p>
      <w:pPr>
        <w:pStyle w:val="BookText"/>
        <w:rPr/>
      </w:pPr>
      <w:r>
        <w:rPr>
          <w:rFonts w:ascii="Amiri" w:hAnsi="Amiri" w:eastAsia="Amiri" w:cs="Amiri"/>
          <w:color w:val="111111"/>
          <w:sz w:val="28"/>
          <w:sz w:val="28"/>
          <w:szCs w:val="28"/>
          <w:rtl w:val="true"/>
          <w:lang w:bidi="ar-SA"/>
        </w:rPr>
        <w:t>لا يعتبر فيها إلاّ كون العمل للّه تعالى خالصاً بلا شركة شيء معه ، فإذا صار شيء دنيوي سبباً لإيجاد عمل للّه تعالى ، ولا يكون في إتيان الفعل بداعي اللّه شريكاً</w:t>
      </w:r>
    </w:p>
    <w:p>
      <w:pPr>
        <w:pStyle w:val="BookText"/>
        <w:rPr/>
      </w:pPr>
      <w:r>
        <w:rPr>
          <w:rFonts w:ascii="Amiri" w:hAnsi="Amiri" w:eastAsia="Amiri" w:cs="Amiri"/>
          <w:color w:val="111111"/>
          <w:sz w:val="28"/>
          <w:sz w:val="28"/>
          <w:szCs w:val="28"/>
          <w:rtl w:val="true"/>
          <w:lang w:bidi="ar-SA"/>
        </w:rPr>
        <w:t>وإن كان الإتيان بداعي اللّه معلولاً لداعي غير اللّه ، يقع الفعل عبادة ؟</w:t>
      </w:r>
    </w:p>
    <w:p>
      <w:pPr>
        <w:pStyle w:val="BookText"/>
        <w:rPr/>
      </w:pPr>
      <w:r>
        <w:rPr>
          <w:rFonts w:ascii="Amiri" w:hAnsi="Amiri" w:eastAsia="Amiri" w:cs="Amiri"/>
          <w:color w:val="111111"/>
          <w:sz w:val="28"/>
          <w:sz w:val="28"/>
          <w:szCs w:val="28"/>
          <w:rtl w:val="true"/>
          <w:lang w:bidi="ar-SA"/>
        </w:rPr>
        <w:t xml:space="preserve">التحقيق هو الثاني ؛ لأنّ الامتثال والإطاعة عقلاً ليس غير إتيان المأمور به حسب دعوة الآمر ولأجل موافقته ، كان الباعث الأقصى عليه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نفس الأمر محرّكاً بلا غاية اُخرى ومبادئ اُخر محال ؛ لأنّ كلّ فعل اختياري لابدّ له من مبادئ ، كالتصوّر والتصديق بالفائدة وإدراك لزوم إيجاده واصطفائه وإرادته ، والأمر بما هو ، ليس محرّكاً تكويناً ولا مترتّباً عليه بما هو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فرض في مورد ترتّبها عليه يكون مبدأ المحرّك والغاية الباعثة هي تلك الفائدة ، لا نفس أمر الآمر بما هو ، فلا بدّ في تحرّك المكلّف حسب دعوة الآمر من غاية ، وتلك الغاية لا يعقل أن تحرّك العبد إلاّ نحو امتثال الأمر وإطاعة المولى ، فتحقّق الامتثال والطاعة ممّا لابدّ منه ، وإلاّ لتخلّفت المتحرّكية عن المحرّكية ، والمعلول</w:t>
      </w:r>
    </w:p>
    <w:p>
      <w:pPr>
        <w:pStyle w:val="BookText"/>
        <w:rPr/>
      </w:pPr>
      <w:r>
        <w:rPr>
          <w:rFonts w:ascii="Amiri" w:hAnsi="Amiri" w:eastAsia="Amiri" w:cs="Amiri"/>
          <w:color w:val="111111"/>
          <w:sz w:val="28"/>
          <w:sz w:val="28"/>
          <w:szCs w:val="28"/>
          <w:rtl w:val="true"/>
          <w:lang w:bidi="ar-SA"/>
        </w:rPr>
        <w:t xml:space="preserve">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العبادة عقلاً إلاّ وقوع الفعل امتثالاً وإطاعة للّه تعالى ، وكان تحرّك العبد حسب دعوة أمره بلا شركة شيء آخر في هذه الرتبة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الإتيان للامتثال والإطاعة محضاً وبلا دخالة شيء فيه يصير العمل عبادة ؛ لأنّ العبادة إطاعة المولى وحركة العبد على طبق أمره ، كانت الغاية لها ما كانت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بما لا مزيد عليه امتناع اشتراك الغايات في ترتّب الآثار على ذي </w:t>
      </w:r>
    </w:p>
    <w:p>
      <w:pPr>
        <w:pStyle w:val="BookText"/>
        <w:rPr/>
      </w:pPr>
      <w:r>
        <w:rPr>
          <w:rFonts w:ascii="Amiri" w:hAnsi="Amiri" w:eastAsia="Amiri" w:cs="Amiri"/>
          <w:color w:val="111111"/>
          <w:sz w:val="28"/>
          <w:sz w:val="28"/>
          <w:szCs w:val="28"/>
          <w:rtl w:val="true"/>
          <w:lang w:bidi="ar-SA"/>
        </w:rPr>
        <w:t xml:space="preserve">الغايات ، بل هي علّة العلّة لا شريكتها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عدم اعتبار شيء آخر في صيرورة الفعل قربياً وعبادياً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المرغّبة في العبادات بالوعد على ترتّب آثار اُخروية أو دنيوية عليها ، وتسالمهم على صحّة العبادة إذا كان الإتيان والإطاعة بطمع الجنّة أو لخوف النار بل بطمع سعة الرزق ونحوها ، مع أنّ كلّ ذلك خارجة عن الإلهية ، والغايات المذكورة غير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طمع الأجر إن كان من اللّه ، والخوف إن كان من عذاب اللّه فهو غير مضرّ بالإخلاص ، دون ما كان الإتيان لطمع في غير اللّه تعالى كحطام الدنيا ومنها الاُجرة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 لأنّ الداعي ليس عبارة عمّا يخطر في الذهن ، بل عبارة عن الغاية المحرّكة حقيقة ، ولا ينبغي الريب في أنّ المحرّك في تلك العبادات المأتيّ بها طمعاً وخوفاً هو نفس متعلّقات الإضافات وحاصل المصادر والنتائج من غير أدنى دخالة للإضافات وحيث الصدور من فاعل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صارت محرّكات مع فرض سقوط الإضافة إلى اللّه بل مع الإضافة إلى عدوّ اللّه تعالى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اللّه تعالى الحور العين بإزاء عبادة ينحلّ إلى حصول الحور ، والإعطاء ، وإضافته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والمحرّك للفاعل الذي طمعه ترتّب تلك الفائدة على عمله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نفس حصول الحور العين له استقلالاً من غير دخالة إضافة اللّه تعالى والإعطاء ؛ أي المعنى المصدري ، أو </w:t>
      </w:r>
    </w:p>
    <w:p>
      <w:pPr>
        <w:pStyle w:val="BookText"/>
        <w:rPr/>
      </w:pPr>
      <w:r>
        <w:rPr>
          <w:rFonts w:ascii="Amiri" w:hAnsi="Amiri" w:eastAsia="Amiri" w:cs="Amiri"/>
          <w:color w:val="111111"/>
          <w:sz w:val="28"/>
          <w:sz w:val="28"/>
          <w:szCs w:val="28"/>
          <w:rtl w:val="true"/>
          <w:lang w:bidi="ar-SA"/>
        </w:rPr>
        <w:t xml:space="preserve">نفس الإضافة إليه تعالى فقط من غير دخالة للمضاف إليه والمعنى المصدري ، أو نفس المعنى المصدري بلا دخالة غيره ، أو يكون محرّكه مركّباً من الحور والإضافة إليه تعالى ؛ بمعنى أنّ المضاف بما هو مضاف أو الإضافة الخاصّة علّة ، إلى غير ذلك من أنحاء التركيب الثنائي أو الثلاثي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غير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تمام العلّة الإضافة إلى اللّه تعالى بحيث لا يكون نظر الفاعل إلى المتعلّق إلاّ كونه كرامة اللّه تعالى ويكون تمام المحرّك</w:t>
      </w:r>
    </w:p>
    <w:p>
      <w:pPr>
        <w:pStyle w:val="BookText"/>
        <w:rPr/>
      </w:pPr>
      <w:r>
        <w:rPr>
          <w:rFonts w:ascii="Amiri" w:hAnsi="Amiri" w:eastAsia="Amiri" w:cs="Amiri"/>
          <w:color w:val="111111"/>
          <w:sz w:val="28"/>
          <w:sz w:val="28"/>
          <w:szCs w:val="28"/>
          <w:rtl w:val="true"/>
          <w:lang w:bidi="ar-SA"/>
        </w:rPr>
        <w:t xml:space="preserve">حيث الانتساب إليه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لغير اللّه دخالة في التحريك والإيجاد ، إمّا بنحو تمام العلّة ، أو بنحو الاشتراك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الواقع فلا يمكن حصول تلك المرتبة الرفيعة إلاّ لخلّص أولياء اللّه تعالى والمحبّين المجذوبين له تعالى ، بحيث كان تمام نظرهم إليه لا إلى غيره ، وكان ما وراءه تعالى من الجنّة وغيرها مغفولاً عنها ، وهم غافلون عن غير اللّه ويشتغلون به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غيرهم من متعارف الناس فلا يكون محرّكهم إلاّ النتائج ومتعلّقات الإضافات ، ولهذا لو فرض اعتقادهم بترتّب تلك الآثار المطلوبة على أفعالهم من غير توسيط فاعل ومن غير ربط أو إضافة إلى أحد لأوجدوها طمعاً للآثار وحرصاً على الشهوات والمستلذّات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مفاتيح الجنّة والنار بيد عدوّ اللّه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معطي الجنّة ومُدخل النار ، وكانت طاعة اللّه تعالى وعصيانه بلا جزاء أصلاً ، لكنّه تعالى أمر أن يعبدوه بلا جزاء وأن لا يعصوه بلا عقاب على عصيانه ، وأمر بمخالفة الشيطان ونهى عن طاعته ، وكان الشيطان أمر بمخالفة اللّه تعالى </w:t>
      </w:r>
    </w:p>
    <w:p>
      <w:pPr>
        <w:pStyle w:val="BookText"/>
        <w:rPr/>
      </w:pPr>
      <w:r>
        <w:rPr>
          <w:rFonts w:ascii="Amiri" w:hAnsi="Amiri" w:eastAsia="Amiri" w:cs="Amiri"/>
          <w:color w:val="111111"/>
          <w:sz w:val="28"/>
          <w:sz w:val="28"/>
          <w:szCs w:val="28"/>
          <w:rtl w:val="true"/>
          <w:lang w:bidi="ar-SA"/>
        </w:rPr>
        <w:t xml:space="preserve">ونهى عن طاعته ، وأعطى للمخالفين له تعالى الجنّة وأدخل المطيعين له تعالى النار ، لعلم اُولو الألباب أنّ المطيع للّه تعالى على الفرض كالكبريت الأحمر أو أندر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أنّ هذا واضح لمن تأمّل في غايات أفعاله وتدبّر في حالات نفسه ومكائدها ، وليس هذا معنىً دقيقاً عرفانياً خارجاً عن فهم الناس ، بل شيء يعرفونه مع التنبيه على المحرّك الأصلي في الأعمال وتميّزه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فالإضافة إليه تعالى إمّا ساقطة رأساً وكان المحرّك التامّ هو رجاء الوصول إلى المشتهيات النفسانية والنيل إلى الشهوات والأهواء ، أو الخوف من التبعات والعذاب ، كما أنّ الأمر كذلك بحسب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لها نحو دخالة ضعيفة أو قويّة على حسب مدارج العاملين ، وهو مقام المتوسّطين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الخلوص التامّ فلا يناله إلاّ كمّل الأولياء ، بل لا يصدّقه إلاّ الأوحدي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منهم ، وعصمنا اللّه من إنكار مقامات أوليائه عليهم صلواته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وإلى ما أشرنا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المعصومين علیهم السلام من تقسيم العبادة تارة إلى عبادة الأجير ، وعبادة العبيد ، وعبادة الأحرار ، واُخرى إلى عبادة الحُرصاء وهو الطمع ، والعبيد ، والأحرار</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المعلوم أنّ الأجير لا يكون مطمح نظره في العمل إلاّ النيل بالأجر ويكون عمله خالصاً لأجل الاُجرة من غير دخالة الإضافات ، والحريص يرغب </w:t>
      </w:r>
    </w:p>
    <w:p>
      <w:pPr>
        <w:pStyle w:val="BookText"/>
        <w:rPr/>
      </w:pPr>
      <w:r>
        <w:rPr>
          <w:rFonts w:ascii="Amiri" w:hAnsi="Amiri" w:eastAsia="Amiri" w:cs="Amiri"/>
          <w:color w:val="111111"/>
          <w:sz w:val="28"/>
          <w:sz w:val="28"/>
          <w:szCs w:val="28"/>
          <w:rtl w:val="true"/>
          <w:lang w:bidi="ar-SA"/>
        </w:rPr>
        <w:t xml:space="preserve">إلى المال من أيّ طريق حصل ولا دخالة في إخماد نار حرصه للإضافات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ناظراً إلى إضافة اللّه وإلى كرامة المولى لا إلى متعلّقاتها فهو ليس من الاُجراء ولا الحرصاء ، بل هو من العرفاء باللّه والمخلصين من أوليائه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صحّة صلاة الخائف والطامع ، وهي دليل على أنّ العبرة في الصحّة ليست إلاّ إطاعة أمر اللّه تعالى بلا تشريك غيره فيها ، ولا ينظر</w:t>
      </w:r>
    </w:p>
    <w:p>
      <w:pPr>
        <w:pStyle w:val="BookText"/>
        <w:rPr/>
      </w:pPr>
      <w:r>
        <w:rPr>
          <w:rFonts w:ascii="Amiri" w:hAnsi="Amiri" w:eastAsia="Amiri" w:cs="Amiri"/>
          <w:color w:val="111111"/>
          <w:sz w:val="28"/>
          <w:sz w:val="28"/>
          <w:szCs w:val="28"/>
          <w:rtl w:val="true"/>
          <w:lang w:bidi="ar-SA"/>
        </w:rPr>
        <w:t xml:space="preserve">إلى غايات محرّكة للطاعة والعبادة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كان الداعي ليس عبارة عن الخطور ، بل هو المحرّك ، وبعد ما كان المحرّك التامّ وعلّة فاعلية الفاعل بحسب متن الواقع هو الخوف من العذاب أو الطمع إلى المشتهيات بلا دخالة شيء آخر فيه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كذا لأن يدخلني اللّه الجنّة أو لخوف الدخول في نار اللّه ، لمجرّد كون المورد كذلك ، وأنّ الجنّة والنار بيد اللّه وتحت قدرته ، لا لأنّ العلّة للإيجاد</w:t>
      </w:r>
    </w:p>
    <w:p>
      <w:pPr>
        <w:pStyle w:val="BookText"/>
        <w:rPr/>
      </w:pPr>
      <w:r>
        <w:rPr>
          <w:rFonts w:ascii="Amiri" w:hAnsi="Amiri" w:eastAsia="Amiri" w:cs="Amiri"/>
          <w:color w:val="111111"/>
          <w:sz w:val="28"/>
          <w:sz w:val="28"/>
          <w:szCs w:val="28"/>
          <w:rtl w:val="true"/>
          <w:lang w:bidi="ar-SA"/>
        </w:rPr>
        <w:t xml:space="preserve">الجنّة مع تلك الإضافة أو نفس الإضافة ، وهو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في الفلك الرابع مشرقة والنار في جهنّم محرقة ، حيث لا يراد نفي علّية الشمس والنار بذاتهما ، بل بيان للمورد والواقعة ، فإذا كان الأمر بحسب الواقع في متعارف الناس والمكلّفين كذلك لا يعقل أمرهم بما هو خارج عن تحت قدرتهم ؛ ضرورة أنّ حصول الخلوص التامّ طولاً وعرضاً لا يمكن لمتعارف الناس ؛ بل ولا لخواصّهم إلاّ من عصمه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الإخلاص التامّ معتبراً لسقط التكليف عن عامّة الناس ؛ لعجزهم عنه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لو كان الامتثال والعبادية لا يحصل إلاّ بالخلوص الكذائي كان على </w:t>
      </w:r>
    </w:p>
    <w:p>
      <w:pPr>
        <w:pStyle w:val="BookText"/>
        <w:rPr/>
      </w:pPr>
      <w:r>
        <w:rPr>
          <w:rFonts w:ascii="IRNazanin" w:hAnsi="IRNazanin" w:eastAsia="IRNazanin"/>
          <w:color w:val="111111"/>
          <w:sz w:val="28"/>
          <w:sz w:val="28"/>
          <w:szCs w:val="28"/>
          <w:rtl w:val="true"/>
          <w:lang w:bidi="fa-IR"/>
        </w:rPr>
        <w:t xml:space="preserve">اللّه تعالى وأوليائه علیهم السلام بيانه وإرشاد الناس إليه وتكليفهم به ، لا الترغيب فيما يضادّه وينافيه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في الآيات والروايات ما تدلّ على أنّ للأعمال الحسنة آثاراً</w:t>
      </w:r>
    </w:p>
    <w:p>
      <w:pPr>
        <w:pStyle w:val="BookText"/>
        <w:rPr/>
      </w:pPr>
      <w:r>
        <w:rPr>
          <w:rFonts w:ascii="Amiri" w:hAnsi="Amiri" w:eastAsia="Amiri" w:cs="Amiri"/>
          <w:color w:val="111111"/>
          <w:sz w:val="28"/>
          <w:sz w:val="28"/>
          <w:szCs w:val="28"/>
          <w:rtl w:val="true"/>
          <w:lang w:bidi="ar-SA"/>
        </w:rPr>
        <w:t xml:space="preserve">ولوازم في النشأة الآخرة ، كظاهر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حديث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أحكم آية في كتاب اللّه‌</w:t>
      </w:r>
      <w:r>
        <w:rPr>
          <w:rStyle w:val="FootnoteAnchor"/>
          <w:rtl w:val="true"/>
        </w:rPr>
        <w:footnoteReference w:id="727"/>
      </w:r>
      <w:r>
        <w:rPr>
          <w:rFonts w:ascii="Amiri" w:hAnsi="Amiri" w:eastAsia="Amiri" w:cs="Amiri"/>
          <w:color w:val="111111"/>
          <w:sz w:val="28"/>
          <w:sz w:val="28"/>
          <w:szCs w:val="28"/>
          <w:rtl w:val="true"/>
          <w:lang w:bidi="ar-SA"/>
        </w:rPr>
        <w:t xml:space="preserve">فعليه يكون ظاهرها مراداً بلا 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منها أنّ عمل الخير بنفسه مورد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منها أنّ الأعمال نفسها متجسّدة مرئيّة فيها والناس ملتذّ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الآتي بالصلاة للّه تعالى والمجيب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يأتي بها ويطيعه تعالى طمعاً للوصول إلى الصورة البهيّة اللازمة لعمله ، فهل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باطل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خصوصية ؟</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ذلك خارج بدليل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إلى عدم اعتبار الخلوص فيها ، وأنّ تلك الأفعال ليست بعبادة ، وهو خلاف الضرورة ، فإنّ الإجماع بل الضرورة على اعتبار الخلوص في العبادات ، وقصد غير اللّه مضرّ بها ، فيكشف منهما وممّا ذكرناه عقلاً ونقلاً أ نّه </w:t>
      </w:r>
    </w:p>
    <w:p>
      <w:pPr>
        <w:pStyle w:val="BookText"/>
        <w:rPr/>
      </w:pPr>
      <w:r>
        <w:rPr>
          <w:rFonts w:ascii="Amiri" w:hAnsi="Amiri" w:eastAsia="Amiri" w:cs="Amiri"/>
          <w:color w:val="111111"/>
          <w:sz w:val="28"/>
          <w:sz w:val="28"/>
          <w:szCs w:val="28"/>
          <w:rtl w:val="true"/>
          <w:lang w:bidi="ar-SA"/>
        </w:rPr>
        <w:t xml:space="preserve">لا يعتبر في العبادية إلاّ الخلوص في نفس العمل ؛ أي كونه امتثالاً له تعالى من غير تشريك في هذه الرتبة، ولا ينظر إلى مبادئ 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بل يدلّ عليه إطلاق أدلّة الأمر بالمعروف ، فإنّ المعروف إن كان من العبادات ، والمكلّف التارك كان غير منبعث عن أمر اللّه تعالى فأمره والده أو من يحتشم منه أو من يحبّه ولا يرضى بمخالفته واقعاً ، فأتى بالتكليف الإلهي وامتثل أمر اللّه إطاعة لوالده أو غيره ، لابدّ وأن تقع صحيحة ، وإلاّ لزم أن يكون</w:t>
      </w:r>
    </w:p>
    <w:p>
      <w:pPr>
        <w:pStyle w:val="BookText"/>
        <w:rPr/>
      </w:pPr>
      <w:r>
        <w:rPr>
          <w:rFonts w:ascii="Amiri" w:hAnsi="Amiri" w:eastAsia="Amiri" w:cs="Amiri"/>
          <w:color w:val="111111"/>
          <w:sz w:val="28"/>
          <w:sz w:val="28"/>
          <w:szCs w:val="28"/>
          <w:rtl w:val="true"/>
          <w:lang w:bidi="ar-SA"/>
        </w:rPr>
        <w:t xml:space="preserve">الأمر بالمعروف مُعدماً لموضوعه ، بل موجباً لانقلابه بالمنكر ، فإنّ إتيان العمل العبادي لغير اللّه من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بالأمر بالمعروف الموعظة الحسنة ، بل المراد به وما هو الواجب الأمر المولوي لغرض البعث به ، ولهذا لا يجب إذا لم يحتمل التأثير ، فإنّ معه لا يمكن الأمر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وجوب الأمر بالمعروف ، فلا بدّ وأن يكون الانبعاث ببعث الآمر في طول الإتيان بالعمل عبادة وإطاعة للّه تعالى غير مضرّ بالعبادية ، وهو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عدم مضرّية وقوع الشيء طاعة وامتثالاً مع عدم رجوع جميع السلسلة إلى المطاع ، أمر اللّه تعالى بإطاعة رسول اللّه رحمهما اللّه واُولي الأمر علیهم السلام ، فلو خرج المأتيّ به بواسطة كون الغاية إطاعة أمر اللّه تعالى عن طاعة الرسول رحمهما اللّه واُولي الأمر علیهم السلام لزم امتناع تعلّق الأمر بها ؛ لكونه معدماً لموضوعه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بإطاعتهم أخذ الأحكام منهم أو العمل بالأحكام الشرعية الإلهية التي كانوا مبيّنين لها ؛ لأنّ كلّ ذلك ليس إطاعة لهم ، بل المراد إطاعة </w:t>
      </w:r>
      <w:bookmarkStart w:id="232" w:name="pg15162_155584"/>
    </w:p>
    <w:p>
      <w:pPr>
        <w:pStyle w:val="BookText"/>
        <w:rPr/>
      </w:pPr>
      <w:bookmarkEnd w:id="232"/>
      <w:r>
        <w:rPr>
          <w:rFonts w:ascii="Amiri" w:hAnsi="Amiri" w:eastAsia="Amiri" w:cs="Amiri"/>
          <w:color w:val="111111"/>
          <w:sz w:val="28"/>
          <w:sz w:val="28"/>
          <w:szCs w:val="28"/>
          <w:rtl w:val="true"/>
          <w:lang w:bidi="ar-SA"/>
        </w:rPr>
        <w:t>أوامرهم السلطانية الصادرة منهم بما هم حكّام وسلاطين ، كالأمر بالغزو والجهاد</w:t>
      </w:r>
    </w:p>
    <w:p>
      <w:pPr>
        <w:pStyle w:val="BookText"/>
        <w:rPr/>
      </w:pPr>
      <w:r>
        <w:rPr>
          <w:rFonts w:ascii="Amiri" w:hAnsi="Amiri" w:eastAsia="Amiri" w:cs="Amiri"/>
          <w:color w:val="111111"/>
          <w:sz w:val="28"/>
          <w:sz w:val="28"/>
          <w:szCs w:val="28"/>
          <w:rtl w:val="true"/>
          <w:lang w:bidi="ar-SA"/>
        </w:rPr>
        <w:t xml:space="preserve">وغيرهما من شؤون السلطنة ، كما فصّلناه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ببطلان العبادة في الموارد المذكورة ومنها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يقول بعدم صدق الطاعة في تلك الموارد فيردّه 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يدّعي مع صدقها عدم صدق العبادة ، فيردّه أيضاً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إطاعة أمر اللّه تعالى وامتثاله خالصاً بمعنى عدم التشريك في إتيان العمل وعدم كونه لغير اللّه ولو بنحو جزء العلّة عبادة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يقول باعتبار شيء زائد في حصول التقرّب وسقوط الأمر العبادي ، فهو مع بطلانه خلاف الفرض والمبحوث عنه في المورد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955502_2142443653"/>
      <w:bookmarkStart w:id="234" w:name="_Toc82"/>
      <w:bookmarkEnd w:id="233"/>
      <w:r>
        <w:rPr>
          <w:rtl w:val="true"/>
        </w:rPr>
        <w:t>إشكال العلاّمة الشيرازي في المقام والجواب عنه</w:t>
      </w:r>
      <w:bookmarkEnd w:id="234"/>
    </w:p>
    <w:p>
      <w:pPr>
        <w:pStyle w:val="BookText"/>
        <w:rPr/>
      </w:pPr>
      <w:r>
        <w:rPr>
          <w:rFonts w:ascii="Amiri" w:hAnsi="Amiri" w:eastAsia="Amiri" w:cs="Amiri"/>
          <w:color w:val="111111"/>
          <w:sz w:val="28"/>
          <w:sz w:val="28"/>
          <w:szCs w:val="28"/>
          <w:rtl w:val="true"/>
          <w:lang w:bidi="ar-SA"/>
        </w:rPr>
        <w:t xml:space="preserve">وممّا ذكرناه يظهر النظر في كلام المحقّق التقيّ في تعليقته ، من التشبّث بحكم العرف والعقلاء بأ نّهم لا يشكّون في أ نّه إذا جعل زيد اُجرة لعمرو في إطاعة شخص فأطاعه طلباً للجعل لا يستحقّ من هذا الثالث مدحاً ولا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 المولى عبده بخدمة ثالث فأطاع العبد أوامره امتثالاً لأمر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المولى أ نّه لا يعدّ مطيعاً له ولا يستحقّ منه أجراً ومدحاً ، مع أنّ إطاعة هذا الثالث لحصول إطاعة المولى ، فإطاعته غاية لفعله وإطاعة المولى غاية لهذه الغاية</w:t>
      </w:r>
      <w:r>
        <w:rPr>
          <w:rStyle w:val="FootnoteAnchor"/>
          <w:rtl w:val="true"/>
        </w:rPr>
        <w:footnoteReference w:id="73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الغضّ عن مسامحته في التعبير وجعل إطاعة المولى غاية لغاية ، وقد مرّ معنى الداعي على الداعي والمقصود منه</w:t>
      </w:r>
      <w:r>
        <w:rPr>
          <w:rStyle w:val="FootnoteAnchor"/>
          <w:rtl w:val="true"/>
        </w:rPr>
        <w:footnoteReference w:id="731"/>
      </w:r>
      <w:r>
        <w:rPr>
          <w:rFonts w:ascii="Amiri" w:hAnsi="Amiri" w:eastAsia="Amiri" w:cs="Amiri"/>
          <w:color w:val="111111"/>
          <w:sz w:val="28"/>
          <w:sz w:val="28"/>
          <w:szCs w:val="28"/>
          <w:rtl w:val="true"/>
          <w:lang w:bidi="ar-SA"/>
        </w:rPr>
        <w:t xml:space="preserve">ويأتي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الاعتراف بمأجورية العبد عند مولاه في إطاعة الثالث وباستحقاقه للجعل على الجاعل في المثال الأوّل ملازم للاعتراف بحصول الامتثال والإطاعة للثالث ؛ ضرورة أنّ الجعل في مقابل طاعته وامتثال المولى لا يحصل إلاّ بإطاعة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توقّف صدق الطاعة على كون جميع المبادئ طولاً وعرضاً راجعاً إلى المطاع لما يمكن صدق الطاعة في المثالين ، فلا يمكن استحقاق الأجر والثواب من الجاعل والمولى ، فمع صدقها يسقط أمر الثالث بلا ريب ولو كان الامتثال والإطاعة معتبرة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الإطاعة في الأوامر العقلائية مخالفة لها في الأوامر الإلهية ، فكما تحصل في مورد المثالين تحصل في أمره تعالى بلا افتراق من هذه الجهة بينهما ، وكما يسقط أمر الثالث في موردهما تسقط أوامر اللّه في نظائر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واستحقاق الأجر والثواب وحصول القرب ليس شيء منها معتبراً في وقوع العمل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أنكر طائفة من المتكلّمين والفقهاء استحقاقهما في إطاعة أوامر اللّه تعالى ولا يحصل العلم بالقرب الفعلي في العبادات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وببالي أنّ المحقّق القمّي رحمه الله علیه قال في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عباداتنا </w:t>
      </w:r>
      <w:bookmarkStart w:id="235" w:name="pg15162_155586"/>
    </w:p>
    <w:p>
      <w:pPr>
        <w:pStyle w:val="BookText"/>
        <w:rPr/>
      </w:pPr>
      <w:bookmarkEnd w:id="235"/>
      <w:r>
        <w:rPr>
          <w:rFonts w:ascii="Amiri" w:hAnsi="Amiri" w:eastAsia="Amiri" w:cs="Amiri"/>
          <w:color w:val="111111"/>
          <w:sz w:val="28"/>
          <w:sz w:val="28"/>
          <w:szCs w:val="28"/>
          <w:rtl w:val="true"/>
          <w:lang w:bidi="ar-SA"/>
        </w:rPr>
        <w:t>لم يحصل بها القرب بل لعلّها موجبة للبعد</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ومع ذلك لا ينكرون صحّتها وسقوط الأمر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عدم الملازمة بين الصحّة وحصول القرب واستحقاق الثواب روايات مستفيضة دالّة على أنّ المقبول من الصلاة ما يؤتى بها بإقبال القلب وإنّما يصعد منها ما كان كذلك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يعتبر في صحّة العبادة غير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الكلام في المقام في الرياء ، ولعلّ فيه بحسب الأخبار تضييقاً ليس في غيره من الاُمور المباحة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955504_2142443653"/>
      <w:bookmarkStart w:id="237" w:name="_Toc83"/>
      <w:bookmarkEnd w:id="236"/>
      <w:r>
        <w:rPr>
          <w:rtl w:val="true"/>
        </w:rPr>
        <w:t>إبطال المحقّق الإيرواني الداعي على الداعي وردّه</w:t>
      </w:r>
      <w:bookmarkEnd w:id="2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مرّ من المراد من الداعي على الداعي يظهر سقوط قول بعض الأفاضل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بطلان الداعي على الداعي وإن بنى معظم أساتيدنا تصحيح أخذ الأجر في العبادات على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لو تأمّلت علمت أنّ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المحرّك الباعث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في غير الأفعال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الأمر ليست فعلاً من أفعال المكلّف فضلاً عن أن يكون اختيارياً ، ومع ذلك كيف يعقل أن يدعو أمر إلى أن يكون أمر آخر داعياً ؟ وهل الداعي يكون عن داعٍ مع أ نّه يلزم التسلسل في الدواعي ؟</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حكمه ببطلان ما ذهب إليه معظم الأساتيد ناشٍ من قلّة التدبّر في مرادهم وعدم تحصيل مغزى مرامهم ، فتوهّم تارةً أنّ مرادهم أنّ أمراً من الأوامر صار موجباً لدعوة أمر آخر مع أنّ دعوته ليست فعلاً من المكلّف ، واُخرى أنّ لازم كلامهم أنّ الداعي بالداعي وهو موجب للتسلسل ، مع أنّ مرادهم بمعزل عمّا فهم ، بل المراد ما أشرنا إليه من أنّ الأمر يدعو إلى المتعلّق إنشاءً وإيقاعاً ، وليس علّة لتحرّك العبد بذاته ، بل بعد تحقّق بعض المبادئ كالخوف والرجاء وغيرهما في النفس صارت تلك المبادئ ومبادئ اُخر موجبة لتحرّك العبد حسب دعوة الأمر وتحريكه الإيقاعي وإطاعته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المبادئ في طول إتيان العمل بداعوية الأمر ، فأين ذلك من كلامه من لزومه للتسلسل أو كون شيء موجباً لدعوة الأمر ؟ بل قلّما يتّفق إتيان فعل لا بداعي الداعي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شككنا في اعتبار الإخلاص في العمل زائداً عن الإخلاص العرضي فمقتضى الإطلاق فيما تمّت مقدّماته والإطلاق المقامي في بعض الأحيان عدم اعتباره ، ومع فقده فأصالة البراءة العقلية ومثل دليل الرفع تكون مرجعاً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قيل أو يقال في منافاة التعبّدية وأخذ الأجر </w:t>
      </w:r>
      <w:r>
        <w:rPr>
          <w:rFonts w:eastAsia="Amiri" w:cs="Amiri" w:ascii="Amiri" w:hAnsi="Amiri"/>
          <w:color w:val="111111"/>
          <w:sz w:val="28"/>
          <w:szCs w:val="28"/>
          <w:rtl w:val="true"/>
          <w:lang w:bidi="ar-SA"/>
        </w:rPr>
        <w:t xml:space="preserve">. </w:t>
      </w:r>
      <w:bookmarkStart w:id="238" w:name="pg15162_155588"/>
    </w:p>
    <w:p>
      <w:pPr>
        <w:pStyle w:val="Heading3"/>
        <w:numPr>
          <w:ilvl w:val="2"/>
          <w:numId w:val="1"/>
        </w:numPr>
        <w:rPr/>
      </w:pPr>
      <w:bookmarkStart w:id="239" w:name="__RefHeading___Toc1955506_2142443653"/>
      <w:bookmarkStart w:id="240" w:name="_Toc84"/>
      <w:bookmarkEnd w:id="238"/>
      <w:bookmarkEnd w:id="239"/>
      <w:r>
        <w:rPr>
          <w:rtl w:val="true"/>
        </w:rPr>
        <w:t>حول إشكال منافاة وصف الوجوب لأخذ الاُجرة</w:t>
      </w:r>
      <w:bookmarkEnd w:id="240"/>
    </w:p>
    <w:p>
      <w:pPr>
        <w:pStyle w:val="BookText"/>
        <w:rPr/>
      </w:pPr>
      <w:r>
        <w:rPr>
          <w:rFonts w:ascii="Amiri" w:hAnsi="Amiri" w:eastAsia="Amiri" w:cs="Amiri"/>
          <w:color w:val="111111"/>
          <w:sz w:val="28"/>
          <w:sz w:val="28"/>
          <w:szCs w:val="28"/>
          <w:rtl w:val="true"/>
          <w:lang w:bidi="ar-SA"/>
        </w:rPr>
        <w:t xml:space="preserve">وأمّا منافاة وصف الوجوب له ، وهو الذي كان مورد نظر الفقهاء ، فقد استدلّوا عليه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نفرض المقام فيما إذا كان الواجب عينياً تعيينياً ثمّ نشير إلى</w:t>
      </w:r>
    </w:p>
    <w:p>
      <w:pPr>
        <w:pStyle w:val="BookText"/>
        <w:rPr/>
      </w:pPr>
      <w:r>
        <w:rPr>
          <w:rFonts w:ascii="IRNazanin" w:hAnsi="IRNazanin" w:eastAsia="IRNazanin"/>
          <w:color w:val="111111"/>
          <w:sz w:val="28"/>
          <w:sz w:val="28"/>
          <w:szCs w:val="28"/>
          <w:rtl w:val="true"/>
          <w:lang w:bidi="fa-IR"/>
        </w:rPr>
        <w:t xml:space="preserve">سائر الأقسام </w:t>
      </w:r>
      <w:r>
        <w:rPr>
          <w:rFonts w:eastAsia="IRNazanin" w:cs="IRNazanin"/>
          <w:color w:val="111111"/>
          <w:sz w:val="28"/>
          <w:szCs w:val="28"/>
          <w:rtl w:val="true"/>
          <w:lang w:bidi="fa-IR"/>
        </w:rPr>
        <w:t>.</w:t>
      </w:r>
    </w:p>
    <w:p>
      <w:pPr>
        <w:pStyle w:val="Heading3"/>
        <w:numPr>
          <w:ilvl w:val="2"/>
          <w:numId w:val="1"/>
        </w:numPr>
        <w:rPr/>
      </w:pPr>
      <w:bookmarkStart w:id="241" w:name="__RefHeading___Toc1955508_2142443653"/>
      <w:bookmarkStart w:id="242" w:name="_Toc85"/>
      <w:bookmarkEnd w:id="241"/>
      <w:r>
        <w:rPr>
          <w:rtl w:val="true"/>
        </w:rPr>
        <w:t>الكلام في الواجب العيني التعييني</w:t>
      </w:r>
      <w:bookmarkEnd w:id="242"/>
    </w:p>
    <w:p>
      <w:pPr>
        <w:pStyle w:val="Heading4"/>
        <w:numPr>
          <w:ilvl w:val="3"/>
          <w:numId w:val="1"/>
        </w:numPr>
        <w:rPr/>
      </w:pPr>
      <w:bookmarkStart w:id="243" w:name="__RefHeading___Toc1955510_2142443653"/>
      <w:bookmarkStart w:id="244" w:name="_Toc86"/>
      <w:bookmarkEnd w:id="243"/>
      <w:r>
        <w:rPr>
          <w:rtl w:val="true"/>
        </w:rPr>
        <w:t>استدلال الشيخ الأعظم على المنافاة وردّه</w:t>
      </w:r>
      <w:bookmarkEnd w:id="244"/>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العلاّمة الأنصاري قدّس سرّه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العمل واجباً عينياً تعيينياً لم يجز أخذ الاُجرة ؛ لأنّ أخذ الاُجرة عليه مع كونه واجباً مقهوراً من قبل الشارع على فعله أكل للمال بالباطل ؛ لأنّ عمله هذا لا يكون محترماً ؛ لأنّ استيفاءه منه لا يتوقّف على طيب نفسه ؛ لأ نّه يقهر عليه مع عدم طيب النفس والامتناع</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دليله الذي انتهى إليه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ولأنّ ، أخصّ من المدّعى ، فإنّ مدّعاه عدم جواز أخذها في مطلق الواجبات الكذائية ، ودليله على عدم احترام عمله جواز استيفائه منه بلا توقّف على طيب نفسه وقهراً عليه بدليل الأمر بالمعروف ، مع أنّ دليل الأمر بالمعروف لا تكفي في مطلق الموارد ، كما لو كان الواجب موسّعاً سيّما مثل قضاء الفوائت وبعض صلوات الآيات ، </w:t>
      </w:r>
    </w:p>
    <w:p>
      <w:pPr>
        <w:pStyle w:val="BookText"/>
        <w:rPr/>
      </w:pPr>
      <w:r>
        <w:rPr>
          <w:rFonts w:ascii="Amiri" w:hAnsi="Amiri" w:eastAsia="Amiri" w:cs="Amiri"/>
          <w:color w:val="111111"/>
          <w:sz w:val="28"/>
          <w:sz w:val="28"/>
          <w:szCs w:val="28"/>
          <w:rtl w:val="true"/>
          <w:lang w:bidi="ar-SA"/>
        </w:rPr>
        <w:t>فلا يمكن الاستيفاء بلا طيب نفسه ولا يجوز إلزامه بإتيانه ، فلا بدّ في استيفاء</w:t>
      </w:r>
    </w:p>
    <w:p>
      <w:pPr>
        <w:pStyle w:val="BookText"/>
        <w:rPr/>
      </w:pPr>
      <w:r>
        <w:rPr>
          <w:rFonts w:ascii="Amiri" w:hAnsi="Amiri" w:eastAsia="Amiri" w:cs="Amiri"/>
          <w:color w:val="111111"/>
          <w:sz w:val="28"/>
          <w:sz w:val="28"/>
          <w:szCs w:val="28"/>
          <w:rtl w:val="true"/>
          <w:lang w:bidi="ar-SA"/>
        </w:rPr>
        <w:t xml:space="preserve">المنفعة المطلوبة من عقد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استئجاره في إتيان العمل في زمان خاصّ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الاستئجار له ليس استئجاراً للواجب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باستئجاره لإتيان الواجب لكن بعد الاستئجار يجوز له مطالبة حقّه بلا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للموضوع ، مع أ نّه قد لا يمكن إلزامه على العمل وقهره عليه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كان مالاً عند العقلاء وتكون المعاملة عليه عقلائية منسلكة في التجارة عن تراضٍ ، فلا بدّ في دعوى كون أخذ الأجر عليه من أكل المال بالباطل من دليل تعبّدي مسقط لماليته أو لإضافته إلى مالكه حتّى يصير بتحكيم ذلك الدليل خارجاً عن موضوع الأوّل وداخلاً في الثاني ، أو دلّ دليل على عدم صحّة المعاملة كالإجارة الغررية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إيجاب الشارع وإمكان استيفاء المنفعة بغير عقد الإجارة لا يوجب سقوط الشيء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وقد فرض إمكان استيفاء المنفعة العقلائية المقوّمة للمالية لدى العقلاء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فإمكانه بذلك لا يعقل أن يكون مُعدماً لماليته ، وكثيراً ما يمكن استيفاء منفعة بلا عقد إجارة مثلاً واستنقاذ عين بلا عقد 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القهر عليه وإلزامه على الإيجاد بدليل الأمر بالمعروف فهو أجنبيّ عن جواز إلزامه لاستيفاء المنفعة وإن يترتّب عليه الاستيفاء قهراً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جواز الإلزام على إعطاء عمله لاستيفاء المنفعة وبين جواز إلزامه على إيجاد الواجب الإلهي وإن ترتّب نفع للملزم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منافاة جواز الإلزام على الوجه الأوّل لبقاء الاحترام للمال فلا يسلّم منافاته له على الوجه الثاني المورد لأدلّة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مجرّد إمكان الاستيفاء بوجه غير الإجارة لا يوجب إسقاط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في المقام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استيفاءه منه لا يتوقّف على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الموهم لإعطاء حقّ من قبل الشارع لاستيفاء منفعة عمله كأ نّه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ملازمة عقلاً ولا عرفاً بين جواز الاستيفاء قهراً وبين سقوط المالية والاحترام كما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خاف على نفسه التلف يجوز بل يجب الانتفاع بمال الغير قهراً عليه ، كالدخول في حمّامه ولبس ثوبه وركوب دابّته مع امتناعه ، ومع ذلك يجوز الاستئجار منه بلا إشكال ويكون ضامناً مع الانتفاع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جواز الاستيفاء مجّاناً لا يوجب بطلان المعاملة عليه أيضاً ولا تصير به خارجة عن التجارة عن تراضٍ ، كما جاز للمارّة الأكل مجّاناً ، ولا شبهة في جواز الاشتراء أيضاً ، إلاّ أن يقال في المقام بلزوم الاستيفاء مجّاناً، وهو</w:t>
      </w:r>
    </w:p>
    <w:p>
      <w:pPr>
        <w:pStyle w:val="BookText"/>
        <w:rPr/>
      </w:pPr>
      <w:r>
        <w:rPr>
          <w:rFonts w:ascii="Amiri" w:hAnsi="Amiri" w:eastAsia="Amiri" w:cs="Amiri"/>
          <w:color w:val="111111"/>
          <w:sz w:val="28"/>
          <w:sz w:val="28"/>
          <w:szCs w:val="28"/>
          <w:rtl w:val="true"/>
          <w:lang w:bidi="ar-SA"/>
        </w:rPr>
        <w:t xml:space="preserve">أوّل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أنّ شيئاً من المذكورات لا يصلح لإسقاط مالية العمل ولا لإسقاط الإضافة إلى الفاعل ولا يدلّ شيء منها على بطلان المعاملة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في ذيل كلامه من حكم العقلاء بأنّ أخذ الأجر على ما وجب من قبل المولى أكل للمال مجّاناً وبلا عوض</w:t>
      </w:r>
      <w:r>
        <w:rPr>
          <w:rStyle w:val="FootnoteAnchor"/>
          <w:rtl w:val="true"/>
        </w:rPr>
        <w:footnoteReference w:id="736"/>
      </w:r>
      <w:r>
        <w:rPr>
          <w:rFonts w:ascii="Amiri" w:hAnsi="Amiri" w:eastAsia="Amiri" w:cs="Amiri"/>
          <w:color w:val="111111"/>
          <w:sz w:val="28"/>
          <w:sz w:val="28"/>
          <w:szCs w:val="28"/>
          <w:rtl w:val="true"/>
          <w:lang w:bidi="ar-SA"/>
        </w:rPr>
        <w:t xml:space="preserve">، ففيه منع ، إلاّ إذا فهم من أمره المجّانية ، وهو ليس محلّ الكلام </w:t>
      </w:r>
      <w:r>
        <w:rPr>
          <w:rFonts w:eastAsia="Amiri" w:cs="Amiri" w:ascii="Amiri" w:hAnsi="Amiri"/>
          <w:color w:val="111111"/>
          <w:sz w:val="28"/>
          <w:szCs w:val="28"/>
          <w:rtl w:val="true"/>
          <w:lang w:bidi="ar-SA"/>
        </w:rPr>
        <w:t xml:space="preserve">. </w:t>
      </w:r>
      <w:bookmarkStart w:id="245" w:name="pg15162_155591"/>
    </w:p>
    <w:p>
      <w:pPr>
        <w:pStyle w:val="BookText"/>
        <w:rPr/>
      </w:pPr>
      <w:bookmarkEnd w:id="245"/>
      <w:r>
        <w:rPr>
          <w:rFonts w:ascii="Amiri" w:hAnsi="Amiri" w:eastAsia="Amiri" w:cs="Amiri"/>
          <w:color w:val="111111"/>
          <w:sz w:val="28"/>
          <w:sz w:val="28"/>
          <w:szCs w:val="28"/>
          <w:rtl w:val="true"/>
          <w:lang w:bidi="ar-SA"/>
        </w:rPr>
        <w:t>والشاهد على ما ذكرناه أ نّه لو صرّح المولى بأ نّه لا بأس بأخذ الأجر فيما</w:t>
      </w:r>
    </w:p>
    <w:p>
      <w:pPr>
        <w:pStyle w:val="BookText"/>
        <w:rPr/>
      </w:pPr>
      <w:r>
        <w:rPr>
          <w:rFonts w:ascii="Amiri" w:hAnsi="Amiri" w:eastAsia="Amiri" w:cs="Amiri"/>
          <w:color w:val="111111"/>
          <w:sz w:val="28"/>
          <w:sz w:val="28"/>
          <w:szCs w:val="28"/>
          <w:rtl w:val="true"/>
          <w:lang w:bidi="ar-SA"/>
        </w:rPr>
        <w:t xml:space="preserve">أوجبت عليك ، لم يحكم العقلاء بالتنافي بين إيجابه ونفي بأس أخذه ، مع أ نّه يقع التنافي على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منه قدّس سرّه أ نّه لو ورد دليل معتبر على جواز أخذ الأجر في الواجب عمل معه معاملة المعارض للكتاب والسنّة ، بل الظاهر أنّ أخذ الأجر في مقابل فعل الحرام أيضاً لا يكون من قبيل أكل المال بالباطل عند العقلاء إذا لم يكن الفعل باطلاً عرفاً ، ولهذا إنّ العقلاء يعاملون على المحرّمات ولا يرون أخذ الأجر أو العوض فيها من قبيل الأكل بالباطل كالسرقة والظلم ، وليس الباطل هو الشرعي ، فالدليل على بطلانها غير 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قدّمناه</w:t>
      </w:r>
      <w:r>
        <w:rPr>
          <w:rStyle w:val="FootnoteAnchor"/>
          <w:rtl w:val="true"/>
        </w:rPr>
        <w:footnoteReference w:id="737"/>
      </w:r>
      <w:r>
        <w:rPr>
          <w:rFonts w:ascii="Amiri" w:hAnsi="Amiri" w:eastAsia="Amiri" w:cs="Amiri"/>
          <w:color w:val="111111"/>
          <w:sz w:val="28"/>
          <w:sz w:val="28"/>
          <w:szCs w:val="28"/>
          <w:rtl w:val="true"/>
          <w:lang w:bidi="ar-SA"/>
        </w:rPr>
        <w:t xml:space="preserve">أو عدم إمكان تنفيذ المعاملة على المحرّمات وإيجاب الوفاء بها </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955512_2142443653"/>
      <w:bookmarkStart w:id="247" w:name="_Toc87"/>
      <w:bookmarkEnd w:id="246"/>
      <w:r>
        <w:rPr>
          <w:rtl w:val="true"/>
        </w:rPr>
        <w:t>ما أجاب به المحقّق الأصفهاني عن مقالة الشيخ وما فيه</w:t>
      </w:r>
      <w:bookmarkEnd w:id="247"/>
    </w:p>
    <w:p>
      <w:pPr>
        <w:pStyle w:val="BookText"/>
        <w:rPr/>
      </w:pPr>
      <w:r>
        <w:rPr>
          <w:rFonts w:ascii="Amiri" w:hAnsi="Amiri" w:eastAsia="Amiri" w:cs="Amiri"/>
          <w:color w:val="111111"/>
          <w:sz w:val="28"/>
          <w:sz w:val="28"/>
          <w:szCs w:val="28"/>
          <w:rtl w:val="true"/>
          <w:lang w:bidi="ar-SA"/>
        </w:rPr>
        <w:t xml:space="preserve">وربما يقال في جواب 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لمال المسلم حيثيتين من الاحترام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إضافته إلى المسلم ، ومقتضى احترامه بهذه الحيثية أن لا يتصرّف أحد فيه بغير إذنه وله السلطنة على ماله وليس لأحدٍ مزاحمته في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ماليته ، ومقتضى حرمتها أن لا يذهب هدراً وبلا تدارك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الإيجاب والمقهورية وسقوط إذنه موجبة لسقوط احترامه </w:t>
      </w:r>
    </w:p>
    <w:p>
      <w:pPr>
        <w:pStyle w:val="BookText"/>
        <w:rPr/>
      </w:pPr>
      <w:r>
        <w:rPr>
          <w:rFonts w:ascii="Amiri" w:hAnsi="Amiri" w:eastAsia="Amiri" w:cs="Amiri"/>
          <w:color w:val="111111"/>
          <w:sz w:val="28"/>
          <w:sz w:val="28"/>
          <w:szCs w:val="28"/>
          <w:rtl w:val="true"/>
          <w:lang w:bidi="ar-SA"/>
        </w:rPr>
        <w:t xml:space="preserve">من الحيثية الاُولى دون الثانية ، ولذا جاز أكل مال الغير في المخمصة بلا إذنه مع بقائه على احترامه ، ولهذا يضمن قيمته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هدر المال غير هدر المالية ، والمضرّ الثاني لا الأوّل ، ولهذا</w:t>
      </w:r>
    </w:p>
    <w:p>
      <w:pPr>
        <w:pStyle w:val="BookText"/>
        <w:rPr/>
      </w:pPr>
      <w:r>
        <w:rPr>
          <w:rFonts w:ascii="Amiri" w:hAnsi="Amiri" w:eastAsia="Amiri" w:cs="Amiri"/>
          <w:color w:val="111111"/>
          <w:sz w:val="28"/>
          <w:sz w:val="28"/>
          <w:szCs w:val="28"/>
          <w:rtl w:val="true"/>
          <w:lang w:bidi="ar-SA"/>
        </w:rPr>
        <w:t>يصحّ المعاملة مع الكافر الحربي مع سقوط احترام ماله من الحيثيتين وذلك لعدم هدر مالية ماله</w:t>
      </w:r>
      <w:r>
        <w:rPr>
          <w:rStyle w:val="FootnoteAnchor"/>
          <w:rtl w:val="true"/>
        </w:rPr>
        <w:footnoteReference w:id="738"/>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 للمملوك إلاّ إضافة واحدة إلى مالكه هي إضافة المملوكية ، ولها أحكام عقلائية وشرعية واحترامات كذلك ، ومع الغضّ عن تلك الإضافة لا حرمة له مطلقاً ؛ ضماناً كانت أو غيره ، فالحيثية الثانية في كلامه ؛ أي</w:t>
      </w:r>
    </w:p>
    <w:p>
      <w:pPr>
        <w:pStyle w:val="BookText"/>
        <w:rPr/>
      </w:pPr>
      <w:r>
        <w:rPr>
          <w:rFonts w:ascii="Amiri" w:hAnsi="Amiri" w:eastAsia="Amiri" w:cs="Amiri"/>
          <w:color w:val="111111"/>
          <w:sz w:val="28"/>
          <w:sz w:val="28"/>
          <w:szCs w:val="28"/>
          <w:rtl w:val="true"/>
          <w:lang w:bidi="ar-SA"/>
        </w:rPr>
        <w:t xml:space="preserve">ذات المالية ، مقطوع الإضافة لا حرمة لها ، وعدم الذهاب هدراً من آثار إضافة المال إليه ومن الأحكام العقلائية المترتّبة على إضافة المال إليه ؛ أي على إضافة المالكية ، لا حيثية مقابلة لها ، فإضافة المال إلى المسلم أو المال المضاف إليه موضوع تلك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وجواز الأكل في المخمصة بلا إذن صاحبه وقهراً عليه ليس من جهة سقوط احترام الإضافة إلى المسلم ؛ لأنّ لازم سقوط احترامها عدم الضمان بلا ريب ؛ لأنّ موضوع دليل الضمان الإتلافي وغيره هو مال الغير المتقوّم بالإضافة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الضمان من جهة احترام ذات المال ساقط الإضافة أو مع سلب احترام إضافته ، بل لأجل أنّ حكومة دليل رفع الاضطرار إنّما هي على بعض الأحكام المترتّبة على إضافة المالكية ، وهو حرمة التصرّف فيه بلا إذنه ورضاه ، دون </w:t>
      </w:r>
    </w:p>
    <w:p>
      <w:pPr>
        <w:pStyle w:val="BookText"/>
        <w:rPr/>
      </w:pPr>
      <w:r>
        <w:rPr>
          <w:rFonts w:ascii="Amiri" w:hAnsi="Amiri" w:eastAsia="Amiri" w:cs="Amiri"/>
          <w:color w:val="111111"/>
          <w:sz w:val="28"/>
          <w:sz w:val="28"/>
          <w:szCs w:val="28"/>
          <w:rtl w:val="true"/>
          <w:lang w:bidi="ar-SA"/>
        </w:rPr>
        <w:t xml:space="preserve">الحكم الوضعي وهو الضمان ؛ لأنّ المضطرّ إنّما يضطرّ إلى الأكل وهو يسدّ رمقه ، لا الأكل المجّاني ، فليس مضطرّاً إلى الأكل المجّاني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الأكل في المخمصة سقوط الإضافة إلى المسلم وتحقّق الضمان بإتلاف ذات المال بلا إضافة إلى مالكه،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مال الكافر الحربي ، فإنّه لم تسقط الإضافة المالكية عن الحربي ، ولماله احترام في الجملة ، وفي إتلافه ضمان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أنّ للمسلم جواز تملّكه وأ نّه ملك أن يملك لا يوجب سقوط إضافته إليه وسقوط أحكام الإضافة واحترامها واحترامه مطلقاً ، ولهذا يورث ماله ويضمن التالف غير المسلم ، بل لا يبعد القول بضمان المسلم لو أتلفه بلا تملّك وإن جاز تملّك عوضه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ملك أن يملك لا يوجب جواز التصرّف بلا إذنه ما دام في ملكه ولا سلب ضمانه إذا أتلفه ، إلاّ أن يقال بانصراف أدلّة الضمان عن مثل المورد ، والمسألة محتاجة إلى المراجعة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الكلام في المقام هو أخذ الاُجرة على إتيان الواجب وصيرورة المكلّف أجيراً على إيجاد ما وجب عليه ، وهو المعنى المصدري ؛ أي نفس الإضافة الصدورية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عمل المكلّف وإيجاده ، لا حاصل عمله والمعنى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لو سقطت حرمة عمله من حيث الإضافة إليه ؛ أي من حيث الإضافة الصدورية فلا تقع الإجارة عليه صحيحة ؛ لأ نّها وقعت على ما سقطت حرمته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للعمل اعتبارين مع وحدته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الإضافة إلى </w:t>
      </w:r>
      <w:bookmarkStart w:id="248" w:name="pg15162_155594"/>
    </w:p>
    <w:p>
      <w:pPr>
        <w:pStyle w:val="BookText"/>
        <w:rPr/>
      </w:pPr>
      <w:bookmarkEnd w:id="248"/>
      <w:r>
        <w:rPr>
          <w:rFonts w:ascii="Amiri" w:hAnsi="Amiri" w:eastAsia="Amiri" w:cs="Amiri"/>
          <w:color w:val="111111"/>
          <w:sz w:val="28"/>
          <w:sz w:val="28"/>
          <w:szCs w:val="28"/>
          <w:rtl w:val="true"/>
          <w:lang w:bidi="ar-SA"/>
        </w:rPr>
        <w:t xml:space="preserve">العامل وهو إضافة صدورية وهي مقوّمة لاعتبار ملكية العامل له ، واعتباره في نفسه وكونه شيئاً بحياله وحاصلاً من إيجاد الفاعل وهو حاصل عمله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 التكليف وإن كان الطبيعة لكن الأمر باعث إلى إيجادها بنحو قرّر في محلّه فيجب عليه إيجادها ، وكذا ما هو محلّ البحث صيرورته أجيراً في الواجب ؛ أي في الإيجاد الكذائي ، فلو سقطت حرمة عمله من حيث إضافته إلى الفاعل لا محيص عن القول بالبطلان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ما تقدّم من أنّ الإيجاب والإلزام لا ينافي بقاء احترامه وإضافته وصحّة الاستئجار عليه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955514_2142443653"/>
      <w:bookmarkStart w:id="250" w:name="_Toc88"/>
      <w:bookmarkEnd w:id="249"/>
      <w:r>
        <w:rPr>
          <w:rtl w:val="true"/>
        </w:rPr>
        <w:t>استدلال المحقّق النائيني على المنافاة وردّه</w:t>
      </w:r>
      <w:bookmarkEnd w:id="25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أعاظم العصر ، قال في بيان منشأ بطلان الإجارة على المحرّمات والواجبات ما 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يعتبر في الإجارة وما يلحق بها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ملكاً للعامل ؛ بأن لا يكون مسلوب الاختيار بإيجاب أو تحريم شرعي ؛ لأ نّه إذا كان واجباً عليه فلا يقدر على تركه ، وإذا كان محرّماً عليه لا يقدر على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صحّة المعاملة كون الفعل والترك تحت اختياره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ممكن الحصول للمستأجر ، فلو لم يكن كذلك كما إذا تعلّق تكليف عليه مباشرة فلا تصحّ الإجارة عليه وإن انتفع به ، فإنّ مجرّد الانتفاع لا يصحّحها ؛ فإنّه معتبر في جميع المعاملات لإخراجها عن السفهية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فرّع على ذلك بطلان الإجارة على الواجبات لفقد الأمرين وعلى المحرّمات لفقد الأوّل منهما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به أنّ التكليف يسلب الاختيار تكويناً فهو كما ترى وهو لا يريده جزماً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يكون المراد بسلب الاختيار أ نّه بعد الإيجاب والتحريم ليس مختاراً من قبل الشارع في إيجاد الفعل وتركه ؛ أي لا يكون الفعل مباحاً عليه ومرخّصاً فيه ، ويراد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واجباً لا يقدر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يجوز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مصادرة واضحة ، فإنّ المدّعى أ نّه إذا أوجب اللّه تعالى عملاً لايجوز أخذ الأجر عليه ، والدليل المذكور أ نّه إذا كان واجباً لا يجوز تركه ويجب إتيانه وليس مرخّصاً في فعله وتركه فلا يجوز أخذ الأجر عليه ، وهو عين المدّعى ويطالب بالدليل على أ نّه إذا كان كذلك لِمَ لا يجوز أخذ الأجر عليه ؟</w:t>
      </w:r>
    </w:p>
    <w:p>
      <w:pPr>
        <w:pStyle w:val="BookText"/>
        <w:rPr/>
      </w:pPr>
      <w:r>
        <w:rPr>
          <w:rFonts w:ascii="Amiri" w:hAnsi="Amiri" w:eastAsia="Amiri" w:cs="Amiri"/>
          <w:color w:val="111111"/>
          <w:sz w:val="28"/>
          <w:sz w:val="28"/>
          <w:szCs w:val="28"/>
          <w:rtl w:val="true"/>
          <w:lang w:bidi="ar-SA"/>
        </w:rPr>
        <w:t xml:space="preserve">وإن اُريد أ نّه إذا وجب تكليفاً سلبت القدرة الوضعية عنه فهو أيضاً مصادرة واضحة ، والإنصاف أنّ هذا لا يرجع إلى محصّل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بإمكان الحصول للمستأجر إن كان إمكان المملوكية له ؛ بمعنى أن يصير العمل أو نتيجته ملكاً له كملكية الهيئة الحاصلة بالخياطة ونحوها ، فلا شبهة في عدم اعتبار ذلك في صحّة الإجارة ؛ ضرورة صحّتها على تعمير المساجد والطرق والقناطير ، وكذا صحّتها على عمل للأجنبيّ </w:t>
      </w:r>
      <w:r>
        <w:rPr>
          <w:rFonts w:eastAsia="Amiri" w:cs="Amiri" w:ascii="Amiri" w:hAnsi="Amiri"/>
          <w:color w:val="111111"/>
          <w:sz w:val="28"/>
          <w:szCs w:val="28"/>
          <w:rtl w:val="true"/>
          <w:lang w:bidi="ar-SA"/>
        </w:rPr>
        <w:t xml:space="preserve">. </w:t>
      </w:r>
      <w:bookmarkStart w:id="251" w:name="pg15162_155596"/>
    </w:p>
    <w:p>
      <w:pPr>
        <w:pStyle w:val="BookText"/>
        <w:rPr/>
      </w:pPr>
      <w:bookmarkEnd w:id="251"/>
      <w:r>
        <w:rPr>
          <w:rFonts w:ascii="Amiri" w:hAnsi="Amiri" w:eastAsia="Amiri" w:cs="Amiri"/>
          <w:color w:val="111111"/>
          <w:sz w:val="28"/>
          <w:sz w:val="28"/>
          <w:szCs w:val="28"/>
          <w:rtl w:val="true"/>
          <w:lang w:bidi="ar-SA"/>
        </w:rPr>
        <w:t xml:space="preserve">وإن كان المراد بإمكان الحصول له صيرورة العمل ملكاً له ؛ بمعنى كونه مالكاً للإبراء والإلزام فلا ريب في أنّ هذا المعنى حاصل له ، فله إبراؤه وإبرامها وفسخها مع الخيار ولهما الإقالة إلى غير ذلك من أحكام مالكية العمل أو المنفعة ، وبإبرائه أو فسخها يسقط حقّه المعاملي وإن وجب من قبل الشارع ويجب عليه الأمر بالمعروف بشرائطه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الحصول إمكان تحقّقه على نحو المعاقدة والمعاملة عليه فلا ريب في إمكان حصوله له بهذا المعنى ، فإنّ من له غرض عقلائي من نفع أو غيره في وجود عمل صادر من الغير واستأجره على إيجاده فأوجده على طبق غرضه فقد حصل العمل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في خلال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الانتفاع لا يصحّح الإجارة ، غير وجيه ؛ لأنّ الانتفاع العقلائي الموقوف على وجود عمل في الخارج يصحّحها كالاستئجار لتعمير المساجد ونحوه ، بل لا يعتبر في صحّتها الانتفاع أيضاً ، فإن كان لفعل أثر مورد لغرض عقلائي يصحّ الإجارة عليه وإن لم ينتفع المستأجر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فالميزان في صحّتها كون العمل مرغوباً فيه لغرض عقلائي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955516_2142443653"/>
      <w:bookmarkStart w:id="253" w:name="_Toc89"/>
      <w:bookmarkEnd w:id="252"/>
      <w:r>
        <w:rPr>
          <w:rtl w:val="true"/>
        </w:rPr>
        <w:t>استدلال كاشف الغطاء على المنافاة وردّه</w:t>
      </w:r>
      <w:bookmarkEnd w:id="25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شرح الاُستاذ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المنافاة بين صفة الوجوب والتملّك ذاتية ؛ لأنّ المملوك والمستحقّ لا يملك ولا يستحقّ ثانياً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التنافي بين دعوى ذاتية التنافي بين صفة الوجوب </w:t>
      </w:r>
    </w:p>
    <w:p>
      <w:pPr>
        <w:pStyle w:val="BookText"/>
        <w:rPr/>
      </w:pPr>
      <w:r>
        <w:rPr>
          <w:rFonts w:ascii="Amiri" w:hAnsi="Amiri" w:eastAsia="Amiri" w:cs="Amiri"/>
          <w:color w:val="111111"/>
          <w:sz w:val="28"/>
          <w:sz w:val="28"/>
          <w:szCs w:val="28"/>
          <w:rtl w:val="true"/>
          <w:lang w:bidi="ar-SA"/>
        </w:rPr>
        <w:t xml:space="preserve">والتملّك الظاهرة في أنّ التنافي لذاتهما لا لأمر آخر ، وبين تعليله الظاهر في أنّ التنافي بين المملوكين والمستحقّين بالذات لا بين صفة الوجوب والتملّك ، وتوجيه كلامه بأنّ مدّعاه اتّحاد ماهية الوجوب والتملّك أفحش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بما ذكر أنّ الإيجاب من الأسباب المملّكة ، فإذا تعلّق بعمل يوجب صيرورته للموجب ومع كونه له لا يمكن جعله لشخص آخر ؛ لعدم إمكان كون المملوك مملوكاً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مملّكاً لا عند العقلاء وهو واضح ؛ ضرورة أنّ الأب أو المولى إذا أمرا بعمل لا يصيران مالكين له لدى العقلاء بحيث يعدّان ذا مال بعهدة الولد والمملوك فصارا مستطيعين لأجل ذلك وصار المال موروثاً ، إلى غير ذلك من الآثار ، كإجارته بالغير نحو الدابّة ، ولا عند الشارع ؛ لعدم الدليل على جعل السببية له ، بل الدليل على خلافه ، فإنّ فعل الابن المأمور به لا يصير ملكاً لأبيه</w:t>
      </w:r>
    </w:p>
    <w:p>
      <w:pPr>
        <w:pStyle w:val="BookText"/>
        <w:rPr/>
      </w:pPr>
      <w:r>
        <w:rPr>
          <w:rFonts w:ascii="Amiri" w:hAnsi="Amiri" w:eastAsia="Amiri" w:cs="Amiri"/>
          <w:color w:val="111111"/>
          <w:sz w:val="28"/>
          <w:sz w:val="28"/>
          <w:szCs w:val="28"/>
          <w:rtl w:val="true"/>
          <w:lang w:bidi="ar-SA"/>
        </w:rPr>
        <w:t xml:space="preserve">بضرورة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الفرق بين أوامر اللّه تعالى وأمر غيره ففيه ما لا يخفى ؛ لأنّ الإيجاب في جميع الموارد بمعنىً واحد ولو كان المنشئ له مختلفاً ، مضافاً إلى عدم الدليل على سببية إيجاب اللّه تعالى لتملّكه الاعتباري ولو قلنا بصحّة اعتبار الملكية له تعالى عند العقلاء بهذا المعنى الاعتباري ، وسنشير إليه وإلى فساده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بذلك أنّ الإيجاب مستلزم لقطع سلطنة المكلّف وحدوث سلطنة للمولى ولا معنى للملكية مع سقوط أنحاء السلطنة عن المالك فإنّ اعتبار </w:t>
      </w:r>
      <w:bookmarkStart w:id="254" w:name="pg15162_155598"/>
    </w:p>
    <w:p>
      <w:pPr>
        <w:pStyle w:val="BookText"/>
        <w:rPr/>
      </w:pPr>
      <w:bookmarkEnd w:id="254"/>
      <w:r>
        <w:rPr>
          <w:rFonts w:ascii="Amiri" w:hAnsi="Amiri" w:eastAsia="Amiri" w:cs="Amiri"/>
          <w:color w:val="111111"/>
          <w:sz w:val="28"/>
          <w:sz w:val="28"/>
          <w:szCs w:val="28"/>
          <w:rtl w:val="true"/>
          <w:lang w:bidi="ar-SA"/>
        </w:rPr>
        <w:t xml:space="preserve">الملكية عند العقلاء بلحاظ آثارها ومع عدم الأثر مطلقاً لا معنى لاعتبارها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إن كان قطع جميع أنحاء السلطنة ومنها السلطنة على المعاملة والإجارة فهو مصادرة ؛ لأنّ الكلام في أ نّه هل يصحّ أخذ الأجر على الواجبات وأنّ الإيجاب يوجب بطلان الإجارة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مطالب بالدليل على هذا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قطع بعض أنحائها ، وهو عبارة اُخرى عن سلب اختياره وسلطنته تشريعاً عن الفعل والترك ، وهو عبارة اُخرى عن الوجوب الرافع للترخيص فهو بهذا المعنى مسلّم لكن لا يوجب سلب الملكية ، فإنّ اعتبارها متقوّم بترتّب الأثر في الجملة ، فكثيراً ما سلب بعض أنحاء السلطنة عن المالك مع بقاء ملكيته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عدم المنافاة بين صفة الوجوب والتملّك وعدم منشئية الوجوب لملكية اللّه تعالى حتّى لا تجتمع ملكيته مع ملكية غيره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955518_2142443653"/>
      <w:bookmarkStart w:id="256" w:name="_Toc90"/>
      <w:bookmarkEnd w:id="255"/>
      <w:r>
        <w:rPr>
          <w:rtl w:val="true"/>
        </w:rPr>
        <w:t>بيان السيّد الطباطبائي في عدم المنافاة وما فيه</w:t>
      </w:r>
      <w:bookmarkEnd w:id="256"/>
    </w:p>
    <w:p>
      <w:pPr>
        <w:pStyle w:val="BookText"/>
        <w:rPr/>
      </w:pPr>
      <w:r>
        <w:rPr>
          <w:rFonts w:ascii="IRNazanin" w:hAnsi="IRNazanin" w:eastAsia="IRNazanin"/>
          <w:color w:val="111111"/>
          <w:sz w:val="28"/>
          <w:sz w:val="28"/>
          <w:szCs w:val="28"/>
          <w:rtl w:val="true"/>
          <w:lang w:bidi="fa-IR"/>
        </w:rPr>
        <w:t>وأمّا ما في تعليقة الطباطبائي رحمه الله علیه من أنّ السرّ في عدم المنافاة أنّ ملكية المستأجر في طول طلب الشارع واستحقاقه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نطقت بإمكان الملكية الطولية الألسن وصار كالأصل المسلّم ، وقد مثّلوا تارة بملكيته تعالى للأشياء وملكية رسول اللّه رحمهما اللّه والأئمّة علیهم السلام لها مع ملكية كلّ مالك لملكه ، واُخرى بملكية العبد والمولى لمال العبد طولاً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الطولية المدّعاة في المقام عكس الطولية في المثالين ، فإنّ فيهما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مملوكون للّه تعالى مع أملاكهم ، والعبد وملكه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تعالى أوجب ملكيته تعالى للعمل ، والمستأجر ملك ما ملك اللّه ، فاللّه تعالى ملك ذات العمل والمستأجر ملك المملوك له تعالى ، وهو بوصف مملوكيته في طول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النحو من الطولية لا يصحّح اعتبار الملكية بل ينافيه ويناقضه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القول بأنّ الثوب ملك لزيد ، وبما أ نّه ملك لزيد ملك لعمرو ، وهل هذا إلاّ التناقض في الاعتبار لدى العقلاء والعرف ؟ والمسألة عرفية لا عقلية لابدّ في حلّها من المراجعة إلى الاعتبارات العقلائية ، لا الدقائق العقلية ، مع أنّ مثل هذه الطولية لا يدفع به التنافي في العقليات أيضاً ، فهل يمكن</w:t>
      </w:r>
    </w:p>
    <w:p>
      <w:pPr>
        <w:pStyle w:val="BookText"/>
        <w:rPr/>
      </w:pPr>
      <w:r>
        <w:rPr>
          <w:rFonts w:ascii="Amiri" w:hAnsi="Amiri" w:eastAsia="Amiri" w:cs="Amiri"/>
          <w:color w:val="111111"/>
          <w:sz w:val="28"/>
          <w:sz w:val="28"/>
          <w:szCs w:val="28"/>
          <w:rtl w:val="true"/>
          <w:lang w:bidi="ar-SA"/>
        </w:rPr>
        <w:t>تحريم شيء وإيجابه بوصف كونه محرّماً عقلاً ؟</w:t>
      </w:r>
    </w:p>
    <w:p>
      <w:pPr>
        <w:pStyle w:val="BookText"/>
        <w:rPr/>
      </w:pPr>
      <w:r>
        <w:rPr>
          <w:rFonts w:ascii="Amiri" w:hAnsi="Amiri" w:eastAsia="Amiri" w:cs="Amiri"/>
          <w:color w:val="111111"/>
          <w:sz w:val="28"/>
          <w:sz w:val="28"/>
          <w:szCs w:val="28"/>
          <w:rtl w:val="true"/>
          <w:lang w:bidi="ar-SA"/>
        </w:rPr>
        <w:t xml:space="preserve">مضافاً إلى أنّ الطولية في المثالين أيضاً ممّا لا أصل لها ، فإنّ ملكيته تعالى للأشياء بهذا المعنى الاعتباري المبحوث عنه في مثل المقام غير ثابتة ، بل لا معنى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من نفسك أ نّه تعالى ملك الأشياء بهذا المعنى المعروف ؟ مع أنّ لازمه أ نّه لو وهب بتوسّط نبي من أنبيائه شيئاً من عبده سقطت ملكيته وانتقلت إلى العبد ، فلو كان سبيل ملكيته للأشياء ما لدى العقلاء لابدّ من الالتزام</w:t>
      </w:r>
    </w:p>
    <w:p>
      <w:pPr>
        <w:pStyle w:val="BookText"/>
        <w:rPr/>
      </w:pPr>
      <w:r>
        <w:rPr>
          <w:rFonts w:ascii="Amiri" w:hAnsi="Amiri" w:eastAsia="Amiri" w:cs="Amiri"/>
          <w:color w:val="111111"/>
          <w:sz w:val="28"/>
          <w:sz w:val="28"/>
          <w:szCs w:val="28"/>
          <w:rtl w:val="true"/>
          <w:lang w:bidi="ar-SA"/>
        </w:rPr>
        <w:t xml:space="preserve">بآثارها ، وهو كما ترى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أولوية التصرّف والسلطان على التصرّفات الثابتة للّه تعالى عقلاً ، وللنبي رحمهما اللّه والأئمّة علیهم السلام بجعله تعالى ، أوجبت توهّم كونهم مالكين للأشياء تلك المالكية الاعتبارية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والسلطنة على سلب الملكية وإقرارها غير الملكية ، كما نشاهد في السلاطين العرفية والقوانين العقلائية ، فإنّ السلطان مثلاً ليس مالكاً للأشياء بحيث لو مات صار جميع ما في مملكته إرثاً لوارثه ويكون السلطان مستطيعاً باعتبار ملك رعيته ، بل يكون الملك للرعية ، والسلطان أولى بالتصرّف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فللّه تعالى ولرسوله رحمهما اللّه وللأئمّة علیهم السلام سلاطين البشر سلطنة على النفوس والأموال ، من غير أن تكون الأموال ملكاً اعتبارياً لهم ؛ بحيث لو باعوا سلبت منهم الملكية والسلطنة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العبد وملكه فمسألة مشكلة يقع الكلام فيها تارةً في صحّة مالكيته ، واُخرى في كيفية مالكية المولى لماله على فرض مالكيته ؛ هل هو نظير مالكية اُولي الأمر أو نحو آخر ، فلا يصحّ جعل ما هو مشكل ومحلّ كلام شاهداً على غيره ، ولا حلّ مشكلة بمشكلة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مالكيته تعالى بالإضافة الإشراقية التي قد يرى إدخالها في تلك المسائل فأمر غير مربوط بالمالكية المبحوث عنها في مثل المقام ، وعلى المحصّل أن يجتنب من إدخال مسائل غير مربوطة بالفقه فيه ؛ إذ في اختلاط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مثل تلك المسائل غير المنحلّة عند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بالعرفيات مظنّة اعوجاج أذهان المشتغلين واغتشاش أفكارهم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ترى مقايسة بعضهم</w:t>
      </w:r>
      <w:r>
        <w:rPr>
          <w:rStyle w:val="FootnoteAnchor"/>
          <w:rtl w:val="true"/>
        </w:rPr>
        <w:footnoteReference w:id="743"/>
      </w:r>
      <w:r>
        <w:rPr>
          <w:rFonts w:ascii="Amiri" w:hAnsi="Amiri" w:eastAsia="Amiri" w:cs="Amiri"/>
          <w:color w:val="111111"/>
          <w:sz w:val="28"/>
          <w:sz w:val="28"/>
          <w:szCs w:val="28"/>
          <w:rtl w:val="true"/>
          <w:lang w:bidi="ar-SA"/>
        </w:rPr>
        <w:t xml:space="preserve">الملكية الاعتبارية العقلائية بالإضافة الإشراقية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مالكيته تعالى بتلك الإضافة متى تجتمع مع مالكية المخلوقين </w:t>
      </w:r>
      <w:bookmarkStart w:id="257" w:name="pg15162_155601"/>
    </w:p>
    <w:p>
      <w:pPr>
        <w:pStyle w:val="BookText"/>
        <w:rPr/>
      </w:pPr>
      <w:bookmarkEnd w:id="257"/>
      <w:r>
        <w:rPr>
          <w:rFonts w:ascii="Amiri" w:hAnsi="Amiri" w:eastAsia="Amiri" w:cs="Amiri"/>
          <w:color w:val="111111"/>
          <w:sz w:val="28"/>
          <w:sz w:val="28"/>
          <w:szCs w:val="28"/>
          <w:rtl w:val="true"/>
          <w:lang w:bidi="ar-SA"/>
        </w:rPr>
        <w:t xml:space="preserve">فلا محالة تجتمع مالكيتان اعتباريتان طولاً ، غفلة عن أنّ القياس مع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فالمخلوق للّه تعالى يمكن أن يكون مملوكاً اعتبارياً لغيره ، والمملوك الاعتباري لشخص لا يعتبر مملوكاً لآخر لدى العرف والعقلاء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قياس الملكيتين المستقلّتين على مملوك واحد باجتماع أوصياء ووكلاء متعدّدين على شيء واحد مستقلاًّ فيهما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الفارق لدى العرف والعقلاء أوضح من أن يخفى ؛ فإنّ الملكية نحو إضافة لازمها اختصاص المال بالمالك أو نحو اختصاص له به ، وكون شيء بكلّيته ملكاً مختصّاً بأكثر من واحد تناقض في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استقلال التصرّف اللازم للوصيّة ليس إلاّ نفوذ تصرّفه بلا احتياج إلى ضمّ نظر آخر وإجازته ، فلو باع أحد الوصيّين أو الوكيلين جميع دار من رجل ، وباع الآخر جميعها من آخر ، فهل يمكن القول بصحّتهما وعدم تعارضهما ؟ فلولا التنافي بين الملكيتين المستقلّتين على شيء واحد لم يقع التعارض بينهما ، فلا بدّ من القول بوقوعهما صحيحين وكلّ منهما صار مالكاً لجميعه ، وهو كما ترى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لوضوح التنافي المذكور لدى العرف والعقلاء ، فقياس ملك التصرّف مع ملك العين مع الفارق ، والسند حكم العرف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955520_2142443653"/>
      <w:bookmarkStart w:id="259" w:name="_Toc91"/>
      <w:bookmarkEnd w:id="258"/>
      <w:r>
        <w:rPr>
          <w:rtl w:val="true"/>
        </w:rPr>
        <w:t>استدلال المحقّق النراقي في المقام وما فيه</w:t>
      </w:r>
      <w:bookmarkEnd w:id="25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النراقي ، قال ما محصّله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واجباً مطلقاً ؛ أي غير متقيّد بأخذ الأجر عليه لا يجوز أخذ الأجر عليه وإن كان فيه منفعة للمستأجر </w:t>
      </w:r>
    </w:p>
    <w:p>
      <w:pPr>
        <w:pStyle w:val="BookText"/>
        <w:rPr/>
      </w:pPr>
      <w:r>
        <w:rPr>
          <w:rFonts w:ascii="Amiri" w:hAnsi="Amiri" w:eastAsia="Amiri" w:cs="Amiri"/>
          <w:color w:val="111111"/>
          <w:sz w:val="28"/>
          <w:sz w:val="28"/>
          <w:szCs w:val="28"/>
          <w:rtl w:val="true"/>
          <w:lang w:bidi="ar-SA"/>
        </w:rPr>
        <w:t>كإنقاذ ولده ؛ لأنّ إيجاب اللّه على الأجير تمليك للمستأجر ، ولأنّ منافع العبد</w:t>
      </w:r>
    </w:p>
    <w:p>
      <w:pPr>
        <w:pStyle w:val="BookText"/>
        <w:rPr/>
      </w:pPr>
      <w:r>
        <w:rPr>
          <w:rFonts w:ascii="Amiri" w:hAnsi="Amiri" w:eastAsia="Amiri" w:cs="Amiri"/>
          <w:color w:val="111111"/>
          <w:sz w:val="28"/>
          <w:sz w:val="28"/>
          <w:szCs w:val="28"/>
          <w:rtl w:val="true"/>
          <w:lang w:bidi="ar-SA"/>
        </w:rPr>
        <w:t>ملك اللّه تعالى ، وهو وإن أذن له أنحاء التصرّفات إلاّ أنّ إيجابه لفعل يوجب عدم إذنه في التصرّف وأخذ العوض ، بل الإيجاب تفويت تلك المنفعة وطلبها لنفسه وإخراجها من يده ومن كونها مملوكة له</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التنافي بين صدر كلامه وذيله كما يظهر بالتأمّل ، وبعد الغضّ عن أنّ دليله الأوّل أخصّ من المدّعى ، لعدم كون جميع الواجبات التي فيها نفع للمستأجر مثل إنقاذ ولده الذي ربّما يتوهّم تمليك المنفعة له ، ضرورة أنّ مثل الحجّ واجب إلهي لا يتوهّم أن يكون إيجابه على المكلّف تمليكاً لمن له نفع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إيجاب اللّه ليس تمليكاً بوجه حتّى في مثل إنقاذ الغريق ، ولا جعل حقّ</w:t>
      </w:r>
    </w:p>
    <w:p>
      <w:pPr>
        <w:pStyle w:val="BookText"/>
        <w:rPr/>
      </w:pPr>
      <w:r>
        <w:rPr>
          <w:rFonts w:ascii="Amiri" w:hAnsi="Amiri" w:eastAsia="Amiri" w:cs="Amiri"/>
          <w:color w:val="111111"/>
          <w:sz w:val="28"/>
          <w:sz w:val="28"/>
          <w:szCs w:val="28"/>
          <w:rtl w:val="true"/>
          <w:lang w:bidi="ar-SA"/>
        </w:rPr>
        <w:t xml:space="preserve">حتّى في مثل تجهيز الميّت ، بل وجوبهما حكم شرعي محض ، ولهذا لا يترتّب عليهما شيء من أحكام الملك والحقّ ، فلا يجوز الإعراض والإسقاط ، ولا النقل ، ولا سائر التصرّفات المربوطة بالملك والحقّ ، ويجوز بل يجب الإنقاذ بلا إذن الغريق ووالده ومع نهيهما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منافع العبد مملوكة للّه لا للعبد وإن أجاز التصرّف فيها ، الملازمة لدعوى أنّ جميع الأعيان الخارجية أيضاً كذلك ، غريبة منه ، ومخالفة لضرورة الفقه من مملوكية الأعيان والمنافع للناس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وقع الكلام في أنّ عمل الحرّ قبل الإجارة ملك له أو لا ؟ وهو أمر آخر غير ما يدّعيه </w:t>
      </w:r>
      <w:r>
        <w:rPr>
          <w:rFonts w:eastAsia="Amiri" w:cs="Amiri" w:ascii="Amiri" w:hAnsi="Amiri"/>
          <w:color w:val="111111"/>
          <w:sz w:val="28"/>
          <w:szCs w:val="28"/>
          <w:rtl w:val="true"/>
          <w:lang w:bidi="ar-SA"/>
        </w:rPr>
        <w:t xml:space="preserve">. </w:t>
      </w:r>
      <w:bookmarkStart w:id="260" w:name="pg15162_155603"/>
    </w:p>
    <w:p>
      <w:pPr>
        <w:pStyle w:val="BookText"/>
        <w:rPr/>
      </w:pPr>
      <w:bookmarkEnd w:id="260"/>
      <w:r>
        <w:rPr>
          <w:rFonts w:ascii="Amiri" w:hAnsi="Amiri" w:eastAsia="Amiri" w:cs="Amiri"/>
          <w:color w:val="111111"/>
          <w:sz w:val="28"/>
          <w:sz w:val="28"/>
          <w:szCs w:val="28"/>
          <w:rtl w:val="true"/>
          <w:lang w:bidi="ar-SA"/>
        </w:rPr>
        <w:t xml:space="preserve">وأمّا سائر دعاويه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إيجابه يوجب عدم إذنه في التصرّف ، وأ نّه تفويت المنفعة ، وأ نّه طلب لنفسه وسلب المملوكية عن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فكلّها مصادرات إن كان المراد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سلب الإذن وغيره الأعمّ من الوضعيات ، وغير مفيدة لو لم يرد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استدلالات ضعيفة لا يحتاج في دفعها إلى زيادة مؤونة ، من عدم ترتّب آثار الملك على العمل من الإبراء والإقالة ، ومن لغوية بذل العوض بما يتعيّن على الأجير ، ومن أنّ الواجب تعود منفعته إلى الأجير ، فأخذ الأجر عليها أكل للمال بالباطل ، ومن أنّ أدلّة إنفاذ العقود قاصرة عن الشمول للمورد أو شكّ في شمولها ، ومن أنّ المتبادر من إيجاب شيء طلبه مجّاناً </w:t>
      </w:r>
      <w:r>
        <w:rPr>
          <w:rStyle w:val="FootnoteAnchor"/>
          <w:rtl w:val="true"/>
        </w:rPr>
        <w:footnoteReference w:id="746"/>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955522_2142443653"/>
      <w:bookmarkStart w:id="262" w:name="_Toc92"/>
      <w:bookmarkEnd w:id="261"/>
      <w:r>
        <w:rPr>
          <w:rtl w:val="true"/>
        </w:rPr>
        <w:t>تقرير آخر للاستدلال على المنافاة</w:t>
      </w:r>
      <w:bookmarkEnd w:id="262"/>
    </w:p>
    <w:p>
      <w:pPr>
        <w:pStyle w:val="BookText"/>
        <w:rPr/>
      </w:pPr>
      <w:r>
        <w:rPr>
          <w:rFonts w:ascii="Amiri" w:hAnsi="Amiri" w:eastAsia="Amiri" w:cs="Amiri"/>
          <w:color w:val="111111"/>
          <w:sz w:val="28"/>
          <w:sz w:val="28"/>
          <w:szCs w:val="28"/>
          <w:rtl w:val="true"/>
          <w:lang w:bidi="ar-SA"/>
        </w:rPr>
        <w:t>ويمكن الاستدلال على المطلوب بأنّ جلّ الواجبات العينية التعي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ينية كالصلاة والصوم والحجّ ونحوها اعتبر فيها مضافاً إلى أصل الوجوب كونها على ذمّة العبد نحو الديون الخلقية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الحجّ فلظاهر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 .(</w:t>
      </w:r>
      <w:r>
        <w:rPr>
          <w:rStyle w:val="FootnoteAnchor"/>
          <w:rtl w:val="true"/>
        </w:rPr>
        <w:footnoteReference w:id="747"/>
      </w:r>
      <w:r>
        <w:rPr>
          <w:rFonts w:ascii="Amiri" w:hAnsi="Amiri" w:eastAsia="Amiri" w:cs="Amiri"/>
          <w:color w:val="111111"/>
          <w:sz w:val="28"/>
          <w:sz w:val="28"/>
          <w:szCs w:val="28"/>
          <w:rtl w:val="true"/>
          <w:lang w:bidi="ar-SA"/>
        </w:rPr>
        <w:t xml:space="preserve">فإنّ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اعتبار الإيجاب ، وقد ورد في روايات إطلاق الدين عليه ، </w:t>
      </w:r>
    </w:p>
    <w:p>
      <w:pPr>
        <w:pStyle w:val="BookText"/>
        <w:rPr/>
      </w:pPr>
      <w:r>
        <w:rPr>
          <w:rFonts w:ascii="Amiri" w:hAnsi="Amiri" w:eastAsia="Amiri" w:cs="Amiri"/>
          <w:color w:val="111111"/>
          <w:sz w:val="28"/>
          <w:sz w:val="28"/>
          <w:szCs w:val="28"/>
          <w:rtl w:val="true"/>
          <w:lang w:bidi="ar-SA"/>
        </w:rPr>
        <w:t>كرواية الخثعمية</w:t>
      </w:r>
      <w:r>
        <w:rPr>
          <w:rStyle w:val="FootnoteAnchor"/>
          <w:rtl w:val="true"/>
        </w:rPr>
        <w:footnoteReference w:id="748"/>
      </w:r>
      <w:r>
        <w:rPr>
          <w:rFonts w:ascii="Amiri" w:hAnsi="Amiri" w:eastAsia="Amiri" w:cs="Amiri"/>
          <w:color w:val="111111"/>
          <w:sz w:val="28"/>
          <w:sz w:val="28"/>
          <w:szCs w:val="28"/>
          <w:rtl w:val="true"/>
          <w:lang w:bidi="ar-SA"/>
        </w:rPr>
        <w:t xml:space="preserve">وغيرها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الممكن استفادة هذا الاعتبار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وجوب قضاء الواجبات أقوى شاهد على ذلك الاعتبار ، فإنّه لو كان الحجّ مثلاً واجباً عليه تكليفاً محضاً بلا اعتبار كونه عليه لما كان معنىً لقضائه عنه بعد موته ؛ لأنّ التكليف ساقط عنه بل غير متوجّه به ، فلا بدّ وأن يكون في عهدته شيء لم يسقط عنه بسقوط التكليف وسقط بإتيان الغير كالولد الأكبر وغيره ، وليس إلاّ اعتبار أمر وضعي وكون تلك الواجبات ديناً عليه ، ولا محالة يكون الدائن الطالب هو اللّه تعالى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بمقالة عَلَم الهدى ، من أنّ القضاء ليس نيابة عن الميّت ، وإنّما هو واجب أصلي خوطب به القاضي ، وسببه فوات الفعل من الميّت ، والميّت لا يثاب عليه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كما ترى ، بل لابدّ من تأويل كلام السيّد كما أوّله بعضهم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يظهر ممّا مرّ أنّ الأعمال الواجبة ملك للّه تعالى ودين على العبد ، فلا يجوز إجارة نفسه لما لا يملكه ، ويكون ملكاً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الاعتبار المذكور إنّما يكون في النذر بجعل العبد للّه على نفسه وتنفيذه تعالى ، وباب الكفّارات المعيّنة كلّها من قبيل الدين ، وفي المخيّرة إشكال عقلي قابل الدفع بتصوير جامع اعتباري أو انتزاعي ، وليس الكلام هاهنا في الواجب التخييري ، ويأتي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ممّا ذكر وجه عدم جواز أخذ الأجر على الواجبات التي بتلك المثابة ؛ ففي الزكاة والخمس لابدّ وأن تؤدّيان بعد الموت بعنوانهما مع ما يعتبر فيهما ، فيستكشف منه أنّ نفس العمل الواجب اعتبرت فيه العهدة والدينية ، ويلحق بها ما ليس كذلك ؛ لعدم القول بالفصل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منافاة أخذ الاُجرة على الواجب العيني التعي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يني في ارتكاز المتشرّعة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الوجوه التي تشبّث بها الأعاظم والمحقّقون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كما مرّ</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تشبّثات بعد الفراغ عن عدم الجواز في ارتكازهم ، مع أ نّه لم ينقل الجواز في الواجب المذكور من أحد وإنّما نقل الخلاف في الأجر على القضاء ونحوه من الكفائيات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والتعيّن فيها في بعض الأحيان عقلي لا شرعي </w:t>
      </w:r>
      <w:r>
        <w:rPr>
          <w:rFonts w:eastAsia="Amiri" w:cs="Amiri" w:ascii="Amiri" w:hAnsi="Amiri"/>
          <w:color w:val="111111"/>
          <w:sz w:val="28"/>
          <w:szCs w:val="28"/>
          <w:rtl w:val="true"/>
          <w:lang w:bidi="ar-SA"/>
        </w:rPr>
        <w:t xml:space="preserve">. </w:t>
      </w:r>
      <w:bookmarkStart w:id="263" w:name="pg15162_155606"/>
    </w:p>
    <w:p>
      <w:pPr>
        <w:pStyle w:val="BookText"/>
        <w:rPr/>
      </w:pPr>
      <w:bookmarkEnd w:id="263"/>
      <w:r>
        <w:rPr>
          <w:rFonts w:ascii="Amiri" w:hAnsi="Amiri" w:eastAsia="Amiri" w:cs="Amiri"/>
          <w:color w:val="111111"/>
          <w:sz w:val="28"/>
          <w:sz w:val="28"/>
          <w:szCs w:val="28"/>
          <w:rtl w:val="true"/>
          <w:lang w:bidi="ar-SA"/>
        </w:rPr>
        <w:t xml:space="preserve">فالمسألة مظنّة الإجماع ، فالأقوى فيما يعتبر فيه العهدة والذمّة عدم الجواز ، وفي غيرها هو الأحوط بل لا يخلو من قوّة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955524_2142443653"/>
      <w:bookmarkStart w:id="265" w:name="_Toc93"/>
      <w:bookmarkEnd w:id="264"/>
      <w:r>
        <w:rPr>
          <w:rtl w:val="true"/>
        </w:rPr>
        <w:t>أخذ الاُجرة في الواجب التخييري</w:t>
      </w:r>
      <w:bookmarkEnd w:id="265"/>
    </w:p>
    <w:p>
      <w:pPr>
        <w:pStyle w:val="BookText"/>
        <w:rPr/>
      </w:pPr>
      <w:r>
        <w:rPr>
          <w:rFonts w:ascii="Amiri" w:hAnsi="Amiri" w:eastAsia="Amiri" w:cs="Amiri"/>
          <w:color w:val="111111"/>
          <w:sz w:val="28"/>
          <w:sz w:val="28"/>
          <w:szCs w:val="28"/>
          <w:rtl w:val="true"/>
          <w:lang w:bidi="ar-SA"/>
        </w:rPr>
        <w:t>ثمّ إنّ بما ذكرناه يظهر الكلام في الواجب التخييري ، ولابدّ من تمحيض الكلام فيه من وقوع الإجارة على الواجب ، فالقول بالصحّة فيما إذا وقع العقد على خصوصية متّحدة مع الواجب لا عليه</w:t>
      </w:r>
      <w:r>
        <w:rPr>
          <w:rStyle w:val="FootnoteAnchor"/>
          <w:rtl w:val="true"/>
        </w:rPr>
        <w:footnoteReference w:id="755"/>
      </w:r>
      <w:r>
        <w:rPr>
          <w:rFonts w:ascii="Amiri" w:hAnsi="Amiri" w:eastAsia="Amiri" w:cs="Amiri"/>
          <w:color w:val="111111"/>
          <w:sz w:val="28"/>
          <w:sz w:val="28"/>
          <w:szCs w:val="28"/>
          <w:rtl w:val="true"/>
          <w:lang w:bidi="ar-SA"/>
        </w:rPr>
        <w:t xml:space="preserve">أجنبيّ عن محطّ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كلام الشيخ في الواجب التخييري بأنّ مراده الوقوع على الخصوصية</w:t>
      </w:r>
      <w:r>
        <w:rPr>
          <w:rStyle w:val="FootnoteAnchor"/>
          <w:rtl w:val="true"/>
        </w:rPr>
        <w:footnoteReference w:id="756"/>
      </w:r>
      <w:r>
        <w:rPr>
          <w:rFonts w:ascii="Amiri" w:hAnsi="Amiri" w:eastAsia="Amiri" w:cs="Amiri"/>
          <w:color w:val="111111"/>
          <w:sz w:val="28"/>
          <w:sz w:val="28"/>
          <w:szCs w:val="28"/>
          <w:rtl w:val="true"/>
          <w:lang w:bidi="ar-SA"/>
        </w:rPr>
        <w:t>غير مرضيّ ، فإنّه خروج عن البحث لا تفصيل بين التخي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التفصيل بين التعييني والتخييري ، سواء كان التخيير شرعياً أو عقلياً ، مقتضى الدليل الذي تمسّك به في إثبات عدم الجواز من سلب احترام عمله لأجل أنّ استيفاءه منه لا يتوقّف على طيب نفسه ؛ لأ نّه يقهر عليه مع امتناعه ، وأحد أطراف التخييري ليس كذلك ، فبقي على احترامه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ضاق الوقت أو عجز إلاّ عن أحد الأطراف بحيث يتعيّن عليه الإتيان به كان مقتضى دليله عدم الجواز لسلب احترامه ، وأنّ استيفاءه لا يتوقّف على طيب نفسه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التفصيل المذكور لازم الاستدلال على المطلوب بأنّ الوجوب </w:t>
      </w:r>
      <w:bookmarkStart w:id="266" w:name="pg15162_155607"/>
    </w:p>
    <w:p>
      <w:pPr>
        <w:pStyle w:val="BookText"/>
        <w:rPr/>
      </w:pPr>
      <w:bookmarkEnd w:id="266"/>
      <w:r>
        <w:rPr>
          <w:rFonts w:ascii="Amiri" w:hAnsi="Amiri" w:eastAsia="Amiri" w:cs="Amiri"/>
          <w:color w:val="111111"/>
          <w:sz w:val="28"/>
          <w:sz w:val="28"/>
          <w:szCs w:val="28"/>
          <w:rtl w:val="true"/>
          <w:lang w:bidi="ar-SA"/>
        </w:rPr>
        <w:t xml:space="preserve">الشرعي موجب لسلب قدرة العبد واختياره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ذكرناه من أنّ الواجبات التي اعتبر فيها الدينية والملكية للواجب تعالى لا يجوز الأجر عليها ، فلا يفترق بين التخييري والتعييني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الإجارة على أحد الأطراف في التخييري الشرعي ، بحيث يكون مورد الإجارة هو الواجب ، إجارة على عمل ملكه اللّه تعالى؛ لأنّ كلّ طرف من طرفي التخيير إذا وجد يكون ملكاً له ، وكذا لو آجره على إتيان واجب في مكان كذا أو زمان كذا أو غيرهما من الخصوصيات في التخيير العقلي ؛ لأنّ العمل الخاصّ ملك له تعالى وإن اكتنف على أمر زائد ، والإجارة على ملك الغير المتخصّص بخصوصية زائدة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إمّا وقعت على الخاصّ ، أو على الخصوصية ، فعلى الأوّل باطلة ؛ لوقوعها على ملك الغير ، وعلى الثاني خروج عن محطّ البحث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955526_2142443653"/>
      <w:bookmarkStart w:id="268" w:name="_Toc94"/>
      <w:bookmarkEnd w:id="267"/>
      <w:r>
        <w:rPr>
          <w:rtl w:val="true"/>
        </w:rPr>
        <w:t>تصوير تعلّق الملكية بالواجب التخييري</w:t>
      </w:r>
      <w:bookmarkEnd w:id="268"/>
    </w:p>
    <w:p>
      <w:pPr>
        <w:pStyle w:val="BookText"/>
        <w:rPr/>
      </w:pPr>
      <w:r>
        <w:rPr>
          <w:rFonts w:ascii="Amiri" w:hAnsi="Amiri" w:eastAsia="Amiri" w:cs="Amiri"/>
          <w:color w:val="111111"/>
          <w:sz w:val="28"/>
          <w:sz w:val="28"/>
          <w:szCs w:val="28"/>
          <w:rtl w:val="true"/>
          <w:lang w:bidi="ar-SA"/>
        </w:rPr>
        <w:t>نعم ، هنا كلام آخر ، وهو تصوير الملكية في الواجب التخييري ، وأ نّه هل يمكن ملكية الأمر المردّد أو لا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الملكية بما أ نّها من الاُمور الاعتبارية لا تحتاج إلى محلّ معيّن موجود كالأعراض الخارجية المحتاجة إلى المحلّ ، كما ذهب إليه شيخنا الأنصاري واستشهد عليه بتصريح الفقهاء بصحّة الوصيّة بأحد الشيئين بل لأحد الشخصين</w:t>
      </w:r>
      <w:r>
        <w:rPr>
          <w:rStyle w:val="FootnoteAnchor"/>
          <w:rtl w:val="true"/>
        </w:rPr>
        <w:footnoteReference w:id="757"/>
      </w:r>
      <w:r>
        <w:rPr>
          <w:rFonts w:ascii="Amiri" w:hAnsi="Amiri" w:eastAsia="Amiri" w:cs="Amiri"/>
          <w:color w:val="111111"/>
          <w:sz w:val="28"/>
          <w:sz w:val="28"/>
          <w:szCs w:val="28"/>
          <w:rtl w:val="true"/>
          <w:lang w:bidi="ar-SA"/>
        </w:rPr>
        <w:t xml:space="preserve">، فلا 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بعدم إمكانه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الدينية أو الملكية في الواجبات ليس من قبيل الانتزاع من الوجوب حتّى يتبعه في اللوازم ، بل لو كان منتزعاً من التكليف لكان اللازم سقوطه بسقوطه مع ثبوت الدين حتّى مع سقوط الوجوب بموت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كون الوجوب واسطة في الثبوت لا العروض باطل ؛ لأنّ المورد ليس من قبيله ، بل الانتزاعيات تابعة لمنشأ انتزاعها ثبوتاً وسقوطاً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الدينية والملكية لو كانتا منتزعتين من التكليف لكان اللازم انتزاعهما من كلّ تكليف ، وهو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كان الوجوب واسطة للثبوت أو العروض ، فالوساطة ومنشئية الانتزاع فاسدتان ، مع أ نّه يكفي في المقام عدم الدليل على الانتزاعية فإذا لم يثبت ذلك يمكن أن تكون الملكية معتبرة لعنوان واحد هو جامع حقيقي بينها أو انتزاعي مع فقد الحقيقي كصاع من صبرة بنحو الكلّي في المعيّن لا بنحو الفرد المردّد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الدليل على اعتبار العهدة والدينية في واجب تخييري كالتخييريات في باب الكفّارات بل وكالصلاة في الأماكن الأربعة بما ذكرناه من الوجه في ملكية المذكورات للّه تعالى ودينيتها ، لا يجوز رفع اليد عنه إلاّ مع قيام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الامتناع ، ومع احتمال الإمكان فالدليل متّبع ، مع أنّ الإمكان فيها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الكفّارة المرتّبة والمخيّرة معاً ، ككفّارة حنث اليمين حيث يجب فيه عتق رقبة أو إطعام عشرة مساكين أو كسوتهم مخيّراً بينها فإن عجز عن الجميع فصيام ثلاثة أيّام ، يمكن جعل عنوان واحد منها القابل للصدق على كلّ منها كالصاع من الصبرة على القادر وعلى العاجز عنها صيام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غيره ممّا هو أخفّ مؤونة في الاعتبار </w:t>
      </w:r>
      <w:r>
        <w:rPr>
          <w:rFonts w:eastAsia="Amiri" w:cs="Amiri" w:ascii="Amiri" w:hAnsi="Amiri"/>
          <w:color w:val="111111"/>
          <w:sz w:val="28"/>
          <w:szCs w:val="28"/>
          <w:rtl w:val="true"/>
          <w:lang w:bidi="ar-SA"/>
        </w:rPr>
        <w:t xml:space="preserve">. </w:t>
      </w:r>
      <w:bookmarkStart w:id="269" w:name="pg15162_155609"/>
    </w:p>
    <w:p>
      <w:pPr>
        <w:pStyle w:val="Heading3"/>
        <w:numPr>
          <w:ilvl w:val="2"/>
          <w:numId w:val="1"/>
        </w:numPr>
        <w:rPr/>
      </w:pPr>
      <w:bookmarkStart w:id="270" w:name="__RefHeading___Toc1955528_2142443653"/>
      <w:bookmarkStart w:id="271" w:name="_Toc95"/>
      <w:bookmarkEnd w:id="269"/>
      <w:bookmarkEnd w:id="270"/>
      <w:r>
        <w:rPr>
          <w:rtl w:val="true"/>
        </w:rPr>
        <w:t>أخذ الاُجرة في الواجب الكفائي</w:t>
      </w:r>
      <w:bookmarkEnd w:id="271"/>
    </w:p>
    <w:p>
      <w:pPr>
        <w:pStyle w:val="BookText"/>
        <w:rPr/>
      </w:pPr>
      <w:r>
        <w:rPr>
          <w:rFonts w:ascii="Amiri" w:hAnsi="Amiri" w:eastAsia="Amiri" w:cs="Amiri"/>
          <w:color w:val="111111"/>
          <w:sz w:val="28"/>
          <w:sz w:val="28"/>
          <w:szCs w:val="28"/>
          <w:rtl w:val="true"/>
          <w:lang w:bidi="ar-SA"/>
        </w:rPr>
        <w:t xml:space="preserve">وممّا ذكرناه يظهر الكلام في الواجب الكفائي من حيث إمكان اعتبار العهدة والدينية ، فإنّه لو قلنا فيه بأ نّه واجب على كلّ مكلّف وإن سقط عنهم بإيجاد واحد منهم فلا إشكال في صحّة اعتبار العهدة عليهم والسقوط بأداء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 المكلّف ، فيه واحد من المكلّفين قابل للانطباق على كلّ مكلّف في الخارج وإن لم يكن الانطباق إلاّ بنحو التبادل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 نّه لا يجب عليهم عرضاً كالصاع من الصبرة المبتاع ، فإنّه منطبق على كلّ صاع من صيعان الصبرة لكنّ المملوك ليس إلاّ صاعاً واحداً ، فهو منطبق على كلٍّ تبادلاً ، نعم قد يكون المكلّف في الكفائي واحداً بشرط لا ، وقد يكون لا بشرط ، والفرق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العهدة والدينية أيضاً ممّا لا إشكال فيه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الواحد العنواني كلّي وهو غير قابل لتوجّه التكليف عليه فاسد ؛ لأنّ صحّة التكليف تابعة لقابليته للبعث والانبعاث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بالعنوان القابل للانطباق على الخارج قابل له ، بل التكاليف كثيراً ما تتعلّق بالعناوين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بل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يكون التكليف متعلّقاً بعنوان قابل للانطباق على الأفراد في عمود الزمان ، وكثير من تكاليف أهل العرف كذلك ، فيقول المولى لعبيده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واحد منكم كذا ، ومعلوم لدى العقل والعقلاء أ نّه لو ترك الجميع الأمر المتعلّق بواحد </w:t>
      </w:r>
      <w:bookmarkStart w:id="272" w:name="pg15162_155610"/>
    </w:p>
    <w:p>
      <w:pPr>
        <w:pStyle w:val="BookText"/>
        <w:rPr/>
      </w:pPr>
      <w:bookmarkEnd w:id="272"/>
      <w:r>
        <w:rPr>
          <w:rFonts w:ascii="Amiri" w:hAnsi="Amiri" w:eastAsia="Amiri" w:cs="Amiri"/>
          <w:color w:val="111111"/>
          <w:sz w:val="28"/>
          <w:sz w:val="28"/>
          <w:szCs w:val="28"/>
          <w:rtl w:val="true"/>
          <w:lang w:bidi="ar-SA"/>
        </w:rPr>
        <w:t xml:space="preserve">عنواني يكون الجميع مستحقّاً للعقوبة ؛ لانطباقه على كلّ منهم تبادلاً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الواجب الكفائي نظير الواجب التخييري أو نظير الفرد المنتشر ففي صحّة العهدة تأمّل وإشكال وإن كان مقتضى كلام الشيخ الأعظم في نظيره صحّة الاعتبار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لو اعتبرت في الكفائي العهدة والدينية يكون الكلام فيه كالعيني ، فإنّ المفروض وقوع الإجارة على الواجب ، ومع كون العمل ملكاً للّه تعالى لا يصحّ تمليكه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في الواجبات الكفائية ظاهراً ما يعتبر فيها العهدة والدينية للّه تعالى ، ولا جعل استحقاق وعهدة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761"/>
      </w:r>
      <w:r>
        <w:rPr>
          <w:rFonts w:ascii="Amiri" w:hAnsi="Amiri" w:eastAsia="Amiri" w:cs="Amiri"/>
          <w:color w:val="111111"/>
          <w:sz w:val="28"/>
          <w:sz w:val="28"/>
          <w:szCs w:val="28"/>
          <w:rtl w:val="true"/>
          <w:lang w:bidi="ar-SA"/>
        </w:rPr>
        <w:t xml:space="preserve">أنّ تجهيز الميّت وكذا إنقاذ الغريق بل وطبابة الطبيب ليست من هذا القبيل ، وليس فيها من آثار الحقّ والملك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صحّة الاستئجار في الكفائيات إلاّ أن ثبت في كفائي اعتبار الملكية له تعالى أو لغيره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955530_2142443653"/>
      <w:bookmarkStart w:id="274" w:name="_Toc96"/>
      <w:bookmarkEnd w:id="273"/>
      <w:r>
        <w:rPr>
          <w:rtl w:val="true"/>
        </w:rPr>
        <w:t xml:space="preserve">تنبيه </w:t>
      </w:r>
      <w:r>
        <w:rPr>
          <w:rtl w:val="true"/>
        </w:rPr>
        <w:t xml:space="preserve">: </w:t>
      </w:r>
      <w:r>
        <w:rPr>
          <w:rtl w:val="true"/>
        </w:rPr>
        <w:t>أخذ الاُجرة في الواجبات النظامية</w:t>
      </w:r>
      <w:bookmarkEnd w:id="274"/>
    </w:p>
    <w:p>
      <w:pPr>
        <w:pStyle w:val="BookText"/>
        <w:rPr/>
      </w:pPr>
      <w:r>
        <w:rPr>
          <w:rFonts w:ascii="Amiri" w:hAnsi="Amiri" w:eastAsia="Amiri" w:cs="Amiri"/>
          <w:color w:val="111111"/>
          <w:sz w:val="28"/>
          <w:sz w:val="28"/>
          <w:szCs w:val="28"/>
          <w:rtl w:val="true"/>
          <w:lang w:bidi="ar-SA"/>
        </w:rPr>
        <w:t>وبما ذكرناه ظهر الكلام في الواجبات النظاميات على فرض تسليم كونها واجبات ، فإنّ وجوبها لا يقتضي الدينية والعهدة لأحد ، لا للّه تعالى ولا لغيره كما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 ولا دليل على اعتبارها زائدةً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جواز أخذ الأجر عليها من غير ورود إشكال ولا شبهة نقض لما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الشأن في أنّ حفظ النظام واجب ، أو الإخلال به حرام ؟ وعلى الثاني يكون ما هو الجزء الأخير من العلّة التامّة للإخلال محرّماً ، بناءً على حرمة 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ترك ما يتوقّف عليه النظام يكون ذلك الترك محرّماً ، ومع اقتضاء حرمة الشيء وجوب ضدّه العامّ يكون الفعل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يجب ما يتوقّف عليه النظام ، بناءً على وجوب المقدّمة ، لكن التحقيق عدم وجوب المقدّمة مطلقاً </w:t>
      </w:r>
      <w:r>
        <w:rPr>
          <w:rStyle w:val="FootnoteAnchor"/>
          <w:rtl w:val="true"/>
        </w:rPr>
        <w:footnoteReference w:id="762"/>
      </w:r>
      <w:r>
        <w:rPr>
          <w:rFonts w:ascii="Amiri" w:hAnsi="Amiri" w:eastAsia="Amiri" w:cs="Amiri"/>
          <w:color w:val="111111"/>
          <w:sz w:val="28"/>
          <w:sz w:val="28"/>
          <w:szCs w:val="28"/>
          <w:rtl w:val="true"/>
          <w:lang w:bidi="ar-SA"/>
        </w:rPr>
        <w:t>، وعدم اقتضاء الأمر بالشيء النهي عن ضدّه العامّ ولا عن ضدّه الخاصّ</w:t>
      </w:r>
      <w:r>
        <w:rPr>
          <w:rStyle w:val="FootnoteAnchor"/>
          <w:rtl w:val="true"/>
        </w:rPr>
        <w:footnoteReference w:id="763"/>
      </w:r>
      <w:r>
        <w:rPr>
          <w:rFonts w:ascii="Amiri" w:hAnsi="Amiri" w:eastAsia="Amiri" w:cs="Amiri"/>
          <w:color w:val="111111"/>
          <w:sz w:val="28"/>
          <w:sz w:val="28"/>
          <w:szCs w:val="28"/>
          <w:rtl w:val="true"/>
          <w:lang w:bidi="ar-SA"/>
        </w:rPr>
        <w:t xml:space="preserve">، وعلى فرض وجوبها واقتضائه لا يكون في التكليف التوصّلي اعتبار الدينية ولو فرض الاعتبار أو الانتزاع في غيره ، والاعتبار الخارج المستقلّ 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المستحقّ لتلك الواجبات النظامية من وجب النظام له ، غير وجيه ؛ ضرورة عدم ترتّب أثر من آثار الحقّ فيها كالنقل والإسقاط والاحتياج إلى الإذن ونفوذ النهي عن التصرّف وغيرها ، فهي على فرض وجوبها واجبات شرعية لغرض متعلّق بحفظ النظام أو لمبغوضية اختلاله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فسحة من الإشكال المعروف ، وكذا من كان اعتماده في حرمة أخذ الاُجرة على الواجبات على أمر تعبّدي كالإجماع</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لابدّ للمتمسّك بالوجوه الاُخر كالوجوه العقلية من الدفاع عن الإشكال وبيان وجه التفرقة بينها وبين غيرها ، ومع عدم صحّة الدفاع </w:t>
      </w:r>
      <w:bookmarkStart w:id="275" w:name="pg15162_155612"/>
    </w:p>
    <w:p>
      <w:pPr>
        <w:pStyle w:val="BookText"/>
        <w:rPr/>
      </w:pPr>
      <w:bookmarkEnd w:id="275"/>
      <w:r>
        <w:rPr>
          <w:rFonts w:ascii="Amiri" w:hAnsi="Amiri" w:eastAsia="Amiri" w:cs="Amiri"/>
          <w:color w:val="111111"/>
          <w:sz w:val="28"/>
          <w:sz w:val="28"/>
          <w:szCs w:val="28"/>
          <w:rtl w:val="true"/>
          <w:lang w:bidi="ar-SA"/>
        </w:rPr>
        <w:t xml:space="preserve">يعلم بطلان الوجه المتشبّث به ؛ إذ لا يمكن القول بالإخراج تخصيصاً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للتخلّص وجوهاً </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955532_2142443653"/>
      <w:bookmarkStart w:id="277" w:name="_Toc97"/>
      <w:bookmarkEnd w:id="276"/>
      <w:r>
        <w:rPr>
          <w:rtl w:val="true"/>
        </w:rPr>
        <w:t>جواب المحقّق النائيني عن الإشكال في الواجبات النظامية</w:t>
      </w:r>
      <w:bookmarkEnd w:id="27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 قال عقيب ما ذكره من اعتبار أمرين في الإجارة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الأجير مسلوب الاختيار بإيجاب أو تحريم شرعي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ممكن الحصول للمستأجر ، كما تقدّم الكلام فيهما ما 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الواجبات النظامية ما عدا القضاء يجوز أخذ الأجر عليها لحصول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فلأنّ الواجب في النظام المعنى المصدري كالطبابة ، وما تقع بإزائه الاُجرة هو حاصل المصدر ؛ لأ نّه مال لا المصدر الذي معنىً آلي ، وهما وإن كانا متّحدين خارجاً إلاّ أ نّهما</w:t>
      </w:r>
    </w:p>
    <w:p>
      <w:pPr>
        <w:pStyle w:val="BookText"/>
        <w:rPr/>
      </w:pPr>
      <w:r>
        <w:rPr>
          <w:rFonts w:ascii="Amiri" w:hAnsi="Amiri" w:eastAsia="Amiri" w:cs="Amiri"/>
          <w:color w:val="111111"/>
          <w:sz w:val="28"/>
          <w:sz w:val="28"/>
          <w:szCs w:val="28"/>
          <w:rtl w:val="true"/>
          <w:lang w:bidi="ar-SA"/>
        </w:rPr>
        <w:t xml:space="preserve">مختلفان اعتباراً ، فللشارع تفكيكهما وإيجاب المصدر واعتبار ملكية اسمه ، والواجبات النظامية كذلك إلاّ القضاء ، فإنّ التكليف تعلّق بنتيجة عمل القاضي وهو فصله الخصومة فلا يجوز أخذ الأجر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المصدر فليس بمال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بذل العمل وحرمة احتكاره يجوز أخذ الأجر عليه ، ولو وجب نتيجة العمل عليه فلا يجوز ؛ لأنّ المصدر آلي غير مالي واسمه خارج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الأعمال في الشقّين الأموال ، فإنّه قد يتعلّق تكليف أو وضع بنفس الملك كباب الخمس والزكاة فلا يجوز أخذ العوض عليه ، وقد يتعلّق تكليف بالتمليك والإعطاء فيجوز ، كوجوب بيع الطعام في المخمصة ، فإنّ </w:t>
      </w:r>
    </w:p>
    <w:p>
      <w:pPr>
        <w:pStyle w:val="BookText"/>
        <w:rPr/>
      </w:pPr>
      <w:r>
        <w:rPr>
          <w:rFonts w:ascii="Amiri" w:hAnsi="Amiri" w:eastAsia="Amiri" w:cs="Amiri"/>
          <w:color w:val="111111"/>
          <w:sz w:val="28"/>
          <w:sz w:val="28"/>
          <w:szCs w:val="28"/>
          <w:rtl w:val="true"/>
          <w:lang w:bidi="ar-SA"/>
        </w:rPr>
        <w:t>التكليف حرمة حبسه واحتكاره الطعام ولم يتعلّق بنفس المال</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إمكان الحصول الذي ادّعى الظهور فيه غير ظاهر بالمعنى الذي تقدّم منه ، فإنّه اعتبر فيه زائداً على الانتفاع بالعمل حصول العمل له ، وبهذا المعنى لا يكون إمكانه ظاهراً في الواجبات النظامية ، فإنّ المعنى المصدري وكذا حاصله أمر غير باقٍ وغير حاصل للمستأجر ، والانتفاع بهما وإن كان ممكناً له لكنّه أنكر كفاية الانتفاع في الصحّة ، والبقاء الاعتباري في حاصل المصدر مشترك بين الواجبات النظامية وغيرها ، فلا بدّ له من القول بالصحّة مطلقاً ، وأثر العمل كالهيئة في المخيط وإن كان حاصلاً له لكنّه ليس مورد الإجارة ؛ لأ نّه ليس مصدراً ولا حاصله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الأثر حاصل له في بعض الواجبات غير النظامية ، كقرض الكفن وحفر القبر فيما إذا كان واجباً على شخص تعييناً ولو عقلاً ، وكذا لو كان للصلاة وغيرها أثر باقٍ حاصل للمستأجر ، كتعلّم أجزائها وكيفيتها ، فلا بدّ له من القول بالصحّة فيها أو عدم المانع من هذه الجهة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التكليف في جميع الموارد متعلّق بالمصادر لا بأسمائها ، ونحن وإن قلنا في محلّه بأنّ الأوامر متعلّقة بالطبائع</w:t>
      </w:r>
      <w:r>
        <w:rPr>
          <w:rStyle w:val="FootnoteAnchor"/>
          <w:rtl w:val="true"/>
        </w:rPr>
        <w:footnoteReference w:id="766"/>
      </w:r>
      <w:r>
        <w:rPr>
          <w:rFonts w:ascii="Amiri" w:hAnsi="Amiri" w:eastAsia="Amiri" w:cs="Amiri"/>
          <w:color w:val="111111"/>
          <w:sz w:val="28"/>
          <w:sz w:val="28"/>
          <w:szCs w:val="28"/>
          <w:rtl w:val="true"/>
          <w:lang w:bidi="ar-SA"/>
        </w:rPr>
        <w:t xml:space="preserve">مقابل من قال بتعلّقها بالإيجاد لكنّه كلام آخر وفي مقام آخر ؛ إذ لا شبهة في أنّ مفاد الهيئة إيقاع البعث إلى المادّة وهي </w:t>
      </w:r>
    </w:p>
    <w:p>
      <w:pPr>
        <w:pStyle w:val="BookText"/>
        <w:rPr/>
      </w:pPr>
      <w:r>
        <w:rPr>
          <w:rFonts w:ascii="Amiri" w:hAnsi="Amiri" w:eastAsia="Amiri" w:cs="Amiri"/>
          <w:color w:val="111111"/>
          <w:sz w:val="28"/>
          <w:sz w:val="28"/>
          <w:szCs w:val="28"/>
          <w:rtl w:val="true"/>
          <w:lang w:bidi="ar-SA"/>
        </w:rPr>
        <w:t xml:space="preserve">نفس الطبيعة ، والبعث إليها تحريك إلى تحصيلها وهو ملازم لإيجادها عرفاً وعقلاً ؛ لأنّ الطبيعة ليست طبيعة بالحمل الشائع إلاّ بالوجود ، وبالأخرة يتعلّق التكاليف بأفعال المكلّفين ، سمّى إيجاد الطبيعة أو تحصيلها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قال في جملة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لو تعلّق بحاصل المصدر فكذا ، ليس على ما ينبغي ؛ لأنّ حاصل المصدر ليس مورد تعلّق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الإجارة في الأعمال تتعلّق بأعمال المؤجر لا بحاصل المصدر واسمه ، فإنّه مع قطع الإضافة عن الفاعل ليس قابلاً للاستئجار ؛ لكونه مستقلاًّ غير مربوط بالفاعل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الإشكال في المقام هو قيام الضرورة والسيرة على الاستئجار بالنحو المتعارف في الواجبات النظامية ، ولا معنى لتصحيح أمر متخيّل غير منطبق على ما في يد المسلمين والجامعة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الإجارة وقعت حيثما وقعت وتقع على الأعمال بالمعاني المصدرية ، فيستأجر الخيّاط ليخيط له ، والصبّاغ ليصبغ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المصادر ونتائج الأعمال وآثارها كلّها خارجة عن محطّ الإجارة ، وهو واضح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مالية الأعمال كمالية حاصل المصادر ونتائج الأعمال فليست ذاتية ، بل يعتبرها العقلاء باعتبار تعلّق الأغراض العقلائية بها ، فالأعمال بالمعنى المصدري أموال لتعلّق الرغبات والأغراض بها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الأعمال كالخياطة والنجارة وغيرهما اُموراً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متّحدان وجوداً ومختلفان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المرتّب عليه المعلول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موجودان متصرّمان متقضّيان لا بقاء لهما إلاّ بالاعتبار في بعض الأحيان ، والثالث ربّما يكون من الموجودات القارّة الباقية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وقع لدى العقلاء مورد الإجارة هو الشخص باعتبار عمله بالمعنى المصدري ، ومفاد الإجارة أو لازمها انتقال عمل المؤجر إلى المستأجر ؛ أي عمله بالمعنى المصدري ، وهذا بعينه متعلّق التكليف ، سواء كان الشيء من النظاميات أو غيرها ، أو من قبيل القضاء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القاضي الحكم والقضاء بالمعنى المصدري ، وهو الفاصل للخصومة ، أو الواجب فصلها ، وكلاهما فعلان اختياريان ، لكن الأوّل بلا وسط والثاني مع 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حاصل المصدر ونتائج الأعمال ؛ أي آثارها فلم يقعا مورد الإجارة ، بل لا معنى له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المالية فلا يعقل أن تكون في اسم المصدر لا في المصدر ؛ فإنّها قائمة اعتباراً بالأشياء في الوجود الخارجي أو بلحاظه ، والفرض أنّ المصدر واسمه شيء واحد خارجاً وحقيقةً ، فكيف يعقل أن يكون الشيء الواحد مالاً وغير مال في ظرف وحدته ، فكأ نّه وقع الخلط بين المصدر واسمه وبين العمل وأثره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سلّمنا ما ذكره كان لازمه تصحيح إجارة مطلق الواجبات ، نظامية كانت أو غيرها ؛ ضرورة أنّ التكاليف الشرعية متعلّقة بأعمال المكلّفين بالمعنى المصدري ، ولو قيل بصحّة تعلّقها بحاصل المصدر لكنّه يحتاج إلى دليل وإلاّ فظاهر الأدلّة ما ذكر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مورد تعلّق التكليف غير مورد تعلّق الإجارة ؛ لأنّ موردها بزعمه هو حاصل المصدر أو نتيجة العمل ، وهما غير متعلّقين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يكون شيء منها متعلّقاً لغرض العقلاء لابدّ من القول بصحّة </w:t>
      </w:r>
    </w:p>
    <w:p>
      <w:pPr>
        <w:pStyle w:val="BookText"/>
        <w:rPr/>
      </w:pPr>
      <w:r>
        <w:rPr>
          <w:rFonts w:ascii="Amiri" w:hAnsi="Amiri" w:eastAsia="Amiri" w:cs="Amiri"/>
          <w:color w:val="111111"/>
          <w:sz w:val="28"/>
          <w:sz w:val="28"/>
          <w:szCs w:val="28"/>
          <w:rtl w:val="true"/>
          <w:lang w:bidi="ar-SA"/>
        </w:rPr>
        <w:t xml:space="preserve">الإجارة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عدم الحصول للمستأجر قد مرّ ما فيه ، بل لازم كلامه أن يكون الاستئجار للمحرّمات صحيحة لولا دليل آخر غير ما تشبّث به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مرّ من البيان تظهر الخدشة في وجه افتراقه بين التكليف في باب الخمس والزكاة وبين التكليف في باب المخمصة ؛ بأنّ في الأوّل تعلّق بالملك وفي الثاني بالإعطاء ؛ لما مرّ من عدم معنىً لتعلّقه بغير أعمال المكلّفين ، ففي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الزَّكَوةَ</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تعلّق التكليف بالإيتاء والإقامة بالمعنى المصدري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فمتعلّق التكليف في باب الزكاة والخمس وباب الإعطاء في المخمصة شيء واحد ، والاختلاف بينهما في أمر آخر ، وهو أنّ ما وراء التكليف في باب الزكاة والخمس يكون اعتباران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عشر الأموال الزكوية وخمس الغنائم لأربابهما بنحو الإشاعة ، كما هو الأقوى ، أو بغيره ، أو بنحو جعل الحقّ كما قيل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العهدة والدينية في نفس التكليف على الظاهر ، ولهذا لا يصحّ بيعهما ولا يصحّ أخذ الاُجرة على إعطائهما ، ولم يعتبر شيء منهما في باب المخمصة فيصحّ بيع المال من المضطرّ والإعطاء بضمان ، بل لا يبعد صحّة أخذ الأجر على الإعطاء على إشكال </w:t>
      </w:r>
      <w:r>
        <w:rPr>
          <w:rFonts w:eastAsia="Amiri" w:cs="Amiri" w:ascii="Amiri" w:hAnsi="Amiri"/>
          <w:color w:val="111111"/>
          <w:sz w:val="28"/>
          <w:szCs w:val="28"/>
          <w:rtl w:val="true"/>
          <w:lang w:bidi="ar-SA"/>
        </w:rPr>
        <w:t xml:space="preserve">. </w:t>
      </w:r>
      <w:bookmarkStart w:id="278" w:name="pg15162_155617"/>
    </w:p>
    <w:p>
      <w:pPr>
        <w:pStyle w:val="Heading3"/>
        <w:numPr>
          <w:ilvl w:val="2"/>
          <w:numId w:val="1"/>
        </w:numPr>
        <w:rPr/>
      </w:pPr>
      <w:bookmarkStart w:id="279" w:name="__RefHeading___Toc1955534_2142443653"/>
      <w:bookmarkStart w:id="280" w:name="_Toc98"/>
      <w:bookmarkEnd w:id="278"/>
      <w:bookmarkEnd w:id="279"/>
      <w:r>
        <w:rPr>
          <w:rtl w:val="true"/>
        </w:rPr>
        <w:t>جواب الشيخ الأعظم عن الإشكال في الواجبات النظامية</w:t>
      </w:r>
      <w:bookmarkEnd w:id="28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الأنصاري قدّس سرّه من التفصيل بين الواجب العيني وبين الواجب الكفائي</w:t>
      </w:r>
      <w:r>
        <w:rPr>
          <w:rStyle w:val="FootnoteAnchor"/>
          <w:rtl w:val="true"/>
        </w:rPr>
        <w:footnoteReference w:id="770"/>
      </w:r>
      <w:r>
        <w:rPr>
          <w:rFonts w:ascii="Amiri" w:hAnsi="Amiri" w:eastAsia="Amiri" w:cs="Amiri"/>
          <w:color w:val="111111"/>
          <w:sz w:val="28"/>
          <w:sz w:val="28"/>
          <w:szCs w:val="28"/>
          <w:rtl w:val="true"/>
          <w:lang w:bidi="ar-SA"/>
        </w:rPr>
        <w:t xml:space="preserve">، فمنع أخذ الاُجرة على الأوّل دون الثاني ، وجعل من الثاني أخذ الطبيب الاُجرة على حضوره عند المريض إذا تعيّن عليه علاجه ، فإنّ العلاج وإن كان معيّناً عليه إلاّ أنّ الجمع بينه وبين المريض مقدّمة للعلاج واجب كفائي عليه وعلى أوليائه ، ومن الأوّل أخذها على بيان الدواء إذا تعيّن عليه فلا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ليس حلاًّ للإشكال الذي وقعنا فيه من أنّ الشهرة والسيرة على جوازه في الواجبات النظامية مطلقاً من غير تفصيل بين التعيّن بالعرض وغيره ؛ ضرورة أنّ بناء العرف من المتشرّعة وغيرهم على أخذ الاُجرة وإعطائها بإزاء الطبابة والعلاج لا على محض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مع حضوره عند المريض يتزايد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مستقرّة في الواجبات الكفائية ؛ ضرورة أنّ النظام قائم فعلاً ، والقائم بأمره لا ينحصر حتّى يتعيّن عليه ، والطبيب غير منحصر فلا يتعيّن عليه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في هذا العصر الذي كثر فيه الأطبّاء كثرة مدهشة لا يكون في غالب القرى وكثير من صغار البلاد إلاّ طبيب واحد أو كحّال كذلك ، وكذا سائر من قام به النظام ، وكثيراً ما يتعيّن على الطبيب العلاج ، ولا يمكن للمريض </w:t>
      </w:r>
    </w:p>
    <w:p>
      <w:pPr>
        <w:pStyle w:val="BookText"/>
        <w:rPr/>
      </w:pPr>
      <w:r>
        <w:rPr>
          <w:rFonts w:ascii="Amiri" w:hAnsi="Amiri" w:eastAsia="Amiri" w:cs="Amiri"/>
          <w:color w:val="111111"/>
          <w:sz w:val="28"/>
          <w:sz w:val="28"/>
          <w:szCs w:val="28"/>
          <w:rtl w:val="true"/>
          <w:lang w:bidi="ar-SA"/>
        </w:rPr>
        <w:t xml:space="preserve">وأوليائه الإرجاع إلى الخارج ولا إحضار الطبيب منه ، ومع ذلك لا يختلج في ذهن أحد من المسلمين إلاّ من شذّ ممّن له حظّ من العلم عدم جواز أخذ الأجر على طبابته ، بل لو تفوّه أحد بذلك يعدّ من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عصرنا ، فكيف بسائر الأعصار الغابرة التي قلّ فيها الطبيب فضلاً عن المتخصّص ، وكذا الحال في سائر ما يحتاج قيام النظام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ما ذكره قدّس سرّه مجرّد تصوّر غير مطابق للواقع ولا دافع للإشكال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الغضّ عنه لا يرد عليه ما أورد عليه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المتعيّن على الطبيب إن كان الطبابة فلا يعقل أن تكون مقدّماتها واجباً كفائياً ؛ ضرورة أنّ المقدّمة تابعة لذيها فلا يعقل وجوب ذي المقدّمة تعيّناً على أحد ووجوب مقدّماتها كفائياً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الواجب العلاج فيجب على الطبيب بإعلام الدواء وعلى الأولياء بالاستعلام ، فهنا واجبان تعيّنيان ، ولكلٍّ مقدّمات تجب تعيّناً عليه ، فلا وجوب كفائياً </w:t>
      </w:r>
      <w:r>
        <w:rPr>
          <w:rStyle w:val="FootnoteAnchor"/>
          <w:rtl w:val="true"/>
        </w:rPr>
        <w:footnoteReference w:id="771"/>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النفسي في المثال حفظ النفس ، وهو واجب كفائي وله مقدّمات ، منها العلاج ؛ أي بيان الدواء ، وهو متعيّن على الطبيب كما صرّح هو به في أسطر قبل ذلك ، وعليه لو قلنا بأنّ الوجوب المقدّمي مترشّح من ذي المقدّمة على جميع المقدّمات الطولية والعرضية ؛ أي المقدّمات ومقدّمات المقدّمات في عرض واحد ؛ لأنّ الملاك متحقّق في كلّها ، فلا يلزم من تعيّن بعض المقدّمات </w:t>
      </w:r>
    </w:p>
    <w:p>
      <w:pPr>
        <w:pStyle w:val="BookText"/>
        <w:rPr/>
      </w:pPr>
      <w:r>
        <w:rPr>
          <w:rFonts w:ascii="Amiri" w:hAnsi="Amiri" w:eastAsia="Amiri" w:cs="Amiri"/>
          <w:color w:val="111111"/>
          <w:sz w:val="28"/>
          <w:sz w:val="28"/>
          <w:szCs w:val="28"/>
          <w:rtl w:val="true"/>
          <w:lang w:bidi="ar-SA"/>
        </w:rPr>
        <w:t xml:space="preserve">على بعض المكلّفين تعيّن مقدّمات مقدّماتها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وجب حفظ النفس وجوباً مطلقاً على جميع المكلّفين كفاية ، اجتماعاً أو انفراداً ، ترشّح منه على مبنى القوم وجوب مقدّمي على جميع المقدّمات كالعلاج ومقدّماته وهكذا ، ومع تعيّن بعض المقدّمات على بعض عقلاً لعجز غيره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تعيّن مقدّمات اُخرى عليه ، سواء كانت مقدّمات بلا وسط أو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بأنّ ترشّح الوجوب من ذي المقدّمة إلى المقدّمات طولاً بمعنى أنّ الوجوب مترشّح منه إلى المقدّمة بلا وسط ، ومن المقدّمة إلى مقدّمتها وهكذا ، ويكون الوجوب المقدّمي في مقدّمة المقدّمة تابعاً للمقدّمة في الكفائية والتعيّنية ،</w:t>
      </w:r>
    </w:p>
    <w:p>
      <w:pPr>
        <w:pStyle w:val="BookText"/>
        <w:rPr/>
      </w:pPr>
      <w:r>
        <w:rPr>
          <w:rFonts w:ascii="Amiri" w:hAnsi="Amiri" w:eastAsia="Amiri" w:cs="Amiri"/>
          <w:color w:val="111111"/>
          <w:sz w:val="28"/>
          <w:sz w:val="28"/>
          <w:szCs w:val="28"/>
          <w:rtl w:val="true"/>
          <w:lang w:bidi="ar-SA"/>
        </w:rPr>
        <w:t xml:space="preserve">لكان للإشكال وجه ، لكن المبنى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مسلك القوم من ترشّحية وجوب المقدّمة عن ذيها قهراً ، وعلّية وجوبه لوجوبها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مذهبنا من أنّ الوجوب المقدّمي على فرضه مجعول اختياري متوقّف على مقدّمات ومبادئ كوجوب ذي المقدّمة</w:t>
      </w:r>
      <w:r>
        <w:rPr>
          <w:rStyle w:val="FootnoteAnchor"/>
          <w:rtl w:val="true"/>
        </w:rPr>
        <w:footnoteReference w:id="772"/>
      </w:r>
      <w:r>
        <w:rPr>
          <w:rFonts w:ascii="Amiri" w:hAnsi="Amiri" w:eastAsia="Amiri" w:cs="Amiri"/>
          <w:color w:val="111111"/>
          <w:sz w:val="28"/>
          <w:sz w:val="28"/>
          <w:szCs w:val="28"/>
          <w:rtl w:val="true"/>
          <w:lang w:bidi="ar-SA"/>
        </w:rPr>
        <w:t>يقع الكلام على طور آخر ، ولعلّ لازمه عدم لزوم تبعيّة وجوب المقدّمة لذيها في بعض الأطوار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الأنصاري تعرّض لنقوض اُخر غير الطبابة ، بعضها مربوط بالمقام وبعضها بالتعبّديات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الوصيّ الاُجرة على تولّي أموال الطفل الموصى عليه حتّى فيما تعيّن عليه العمل ، فأجاب عنه سابقاً بأ نّه لا ينافي ما ذكرنا حكم الشارع </w:t>
      </w:r>
    </w:p>
    <w:p>
      <w:pPr>
        <w:pStyle w:val="BookText"/>
        <w:rPr/>
      </w:pPr>
      <w:r>
        <w:rPr>
          <w:rFonts w:ascii="Amiri" w:hAnsi="Amiri" w:eastAsia="Amiri" w:cs="Amiri"/>
          <w:color w:val="111111"/>
          <w:sz w:val="28"/>
          <w:sz w:val="28"/>
          <w:szCs w:val="28"/>
          <w:rtl w:val="true"/>
          <w:lang w:bidi="ar-SA"/>
        </w:rPr>
        <w:t>بجواز أخذ الاُجرة بعد العمل عليه كما أجاز للوصيّ أخذ اُجرة المثل أو مقدار</w:t>
      </w:r>
    </w:p>
    <w:p>
      <w:pPr>
        <w:pStyle w:val="BookText"/>
        <w:rPr/>
      </w:pPr>
      <w:r>
        <w:rPr>
          <w:rFonts w:ascii="Amiri" w:hAnsi="Amiri" w:eastAsia="Amiri" w:cs="Amiri"/>
          <w:color w:val="111111"/>
          <w:sz w:val="28"/>
          <w:sz w:val="28"/>
          <w:szCs w:val="28"/>
          <w:rtl w:val="true"/>
          <w:lang w:bidi="ar-SA"/>
        </w:rPr>
        <w:t>الكفاية ؛ لأنّ هذا حكم شرعي لا من باب المعاوضة</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أخذ الوصيّ الاُجرة على تولّي أموال الطفل فمن جهة</w:t>
      </w:r>
    </w:p>
    <w:p>
      <w:pPr>
        <w:pStyle w:val="BookText"/>
        <w:rPr/>
      </w:pPr>
      <w:r>
        <w:rPr>
          <w:rFonts w:ascii="Amiri" w:hAnsi="Amiri" w:eastAsia="Amiri" w:cs="Amiri"/>
          <w:color w:val="111111"/>
          <w:sz w:val="28"/>
          <w:sz w:val="28"/>
          <w:szCs w:val="28"/>
          <w:rtl w:val="true"/>
          <w:lang w:bidi="ar-SA"/>
        </w:rPr>
        <w:t xml:space="preserve">الإجماع والنصوص المستفيضة على أنّ له أن يأخذ شيئاً ، وإنّما وقع الخلاف في تعيينه ، فذهب جماعة إلى أنّ له اُجرة المثل حملاً للأخبار على ذلك ، ولأ نّه إذا فرض احترام عمله بالنصّ والإجماع فلا بدّ من كون العوض اُجرة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فملاحظة النصوص والفتاوى في تلك المسألة ترشد إلى خروجها عمّا نحن فيه</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بعضهم</w:t>
      </w:r>
      <w:r>
        <w:rPr>
          <w:rStyle w:val="FootnoteAnchor"/>
          <w:rtl w:val="true"/>
        </w:rPr>
        <w:footnoteReference w:id="775"/>
      </w:r>
      <w:r>
        <w:rPr>
          <w:rFonts w:ascii="Amiri" w:hAnsi="Amiri" w:eastAsia="Amiri" w:cs="Amiri"/>
          <w:color w:val="111111"/>
          <w:sz w:val="28"/>
          <w:sz w:val="28"/>
          <w:szCs w:val="28"/>
          <w:rtl w:val="true"/>
          <w:lang w:bidi="ar-SA"/>
        </w:rPr>
        <w:t>المناقضة بين هذا ودليله السابق ، فإنّ مبنى السابق</w:t>
      </w:r>
    </w:p>
    <w:p>
      <w:pPr>
        <w:pStyle w:val="BookText"/>
        <w:rPr/>
      </w:pPr>
      <w:r>
        <w:rPr>
          <w:rFonts w:ascii="Amiri" w:hAnsi="Amiri" w:eastAsia="Amiri" w:cs="Amiri"/>
          <w:color w:val="111111"/>
          <w:sz w:val="28"/>
          <w:sz w:val="28"/>
          <w:szCs w:val="28"/>
          <w:rtl w:val="true"/>
          <w:lang w:bidi="ar-SA"/>
        </w:rPr>
        <w:t xml:space="preserve">على أ نّه حكم شرعي لا من باب العوض ، واعترف في المقام باحترام عمله بالنصّ والإجماع ، فالعوض اُجرة عمله ، بل هو مناقض لأصل دليله على حرمة أخذ الأجر على الواجبات حيث تمسّك بعدم حرمة العمل المتعلّق للوجوب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بأنّ ما اعترف به هو قيام الإجماع والنصوص على أصل الأخذ ، وأمّا كونه على وجه اُجرة المثل فلم يعترف به ، بل حكاه عن جماعة في تعيين مقداره وأنّ له اُجرة المثل ؛ للأخبار ولاحترام عمله ، ولم يظهر ارتضاؤه بذلك ، 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فملاحظة النصوص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في أنّ مدّعاه خروجها تخصّصاً لا تخصيصاً ، فيرجع هذا إلى ما سبق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الشأن في أنّ الشارع المقدّس إن جعل الأجر بإزاء عمله فقد أذن في أكل المال بالباطل ، وهو لا يلتزم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 نّه أجاز الأخذ مجّاناً وبلا عوض وبلا لحاظ عمله خلاف الضرورة ، مع أ نّه أيضاً من قبيل إجازة أكل المال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بعض المحقّقين لدفعه بما حاصله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المقصود نفي اعتبار المعاوضة المالكية بين عمل الوصيّ بعد وجوبه عليه وبين ما رخّص في أكله من مال الصغير ، بل اعتبار العوضية إنّما هو في نظر الشارع قبل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والرخصة متفرّعان عليه ، فاعتبار العوضية قبل تعلّق الوجوب ، وبهذا اللحاظ ليس أكلاً للباطل</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العوضية لشيء يكون في ظرف تحقّقه مسلوب المالية أكل للمال بالباطل ، وماليته قبل تعلّق الوجوب عليه ، مع الإشكال فيها كما يأتي ، وكذا صالحيته لها في نفسه لا تصحّح العوضية ولا يدفع بها الإشكال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أخذ المال إن كان بلا عوض ومجّاناً وعلى صرف التعبّد فهو مع كونه خلاف القطع مرجعه إلى الإذن في أكل المال بالباطل ، وإن كان بلحاظ العمل الخارجي فالمفروض أ نّه خارج عن المالية بالإيجاب ، وإن كان بلحاظ العمل تعلّق الوجوب فهو غير متحقّق ولا يكون مالاً قبل تحقّقه ؛ لكون المفروض أنّ في ظرف تحقّقه لا مالية له ، وما كان كذلك لا يعقل اعتبار ماليته قبل تحقّقه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أنّ الوجه المذكور مع إعمال الدقّة فيه لا يفي بدفع الإشكال ، مع أنّ ظاهر الفتاوى والمتفاهم من النصوص عرفاً هو جواز الأخذ في مقابل العمل وإن اختلفوا في أنّ مقدار المأخوذ هل هو اُجرة المثل أو قدر كفايته أو أقلّ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والتوجيه المتقدّم على فرض صحّته في نفسه لا يدفع الإشكال ولا ينطبق على الواقع ، كالتوجيه الآخر لبعض أهل التحقيق</w:t>
      </w:r>
      <w:r>
        <w:rPr>
          <w:rStyle w:val="FootnoteAnchor"/>
          <w:rtl w:val="true"/>
        </w:rPr>
        <w:footnoteReference w:id="777"/>
      </w:r>
      <w:r>
        <w:rPr>
          <w:rFonts w:ascii="Amiri" w:hAnsi="Amiri" w:eastAsia="Amiri" w:cs="Amiri"/>
          <w:color w:val="111111"/>
          <w:sz w:val="28"/>
          <w:sz w:val="28"/>
          <w:szCs w:val="28"/>
          <w:rtl w:val="true"/>
          <w:lang w:bidi="ar-SA"/>
        </w:rPr>
        <w:t xml:space="preserve">، وهو أنّ الشارع اعتبر استحقاق الصغير بعمل الوصيّ بعوض، فلا عوض على الواجب، بل إيجاب العمل منبعث عن استحقاق الصغير له ، فهو من باب وجوب أداء ما يستحقّه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التكلّفات والوجوه الاختراعية المخالفة للنصوص والفتاوى إنّما يتشبّث بها إذا ألجأنا دليل عقلي قاطع على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w:t>
      </w:r>
    </w:p>
    <w:p>
      <w:pPr>
        <w:pStyle w:val="BookText"/>
        <w:rPr/>
      </w:pPr>
      <w:r>
        <w:rPr>
          <w:rFonts w:ascii="Amiri" w:hAnsi="Amiri" w:eastAsia="Amiri" w:cs="Amiri"/>
          <w:color w:val="111111"/>
          <w:sz w:val="28"/>
          <w:sz w:val="28"/>
          <w:szCs w:val="28"/>
          <w:rtl w:val="true"/>
          <w:lang w:bidi="ar-SA"/>
        </w:rPr>
        <w:t>طريق التخلّص عن الإشكال المتقدّم لا ينحصر بما ذكره الشيخ ؛ للوجه الذي قدّمناه في مبنى حرمة أخذ الأجر على الواجبات</w:t>
      </w:r>
      <w:r>
        <w:rPr>
          <w:rStyle w:val="FootnoteAnchor"/>
          <w:rtl w:val="true"/>
        </w:rPr>
        <w:footnoteReference w:id="778"/>
      </w:r>
      <w:r>
        <w:rPr>
          <w:rFonts w:ascii="Amiri" w:hAnsi="Amiri" w:eastAsia="Amiri" w:cs="Amiri"/>
          <w:color w:val="111111"/>
          <w:sz w:val="28"/>
          <w:sz w:val="28"/>
          <w:szCs w:val="28"/>
          <w:rtl w:val="true"/>
          <w:lang w:bidi="ar-SA"/>
        </w:rPr>
        <w:t xml:space="preserve">، ومعه لا يستكشف اعتبار الشارع لذلك الذي ادّعاه الموجِّه المتقدّم في خلال كلامه ، مع بعض مناقضات فيه أغمضنا عنه مخافة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مرّ أنّ دفاع الشيخ الأعظم غير دافع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بذل العوض على المضطرّ ، فقد أجاب عنه الشيخ بأنّ العوض للمبذول لا للبذل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المضطرّ ربّما يضطرّ إلى عمل من الغير ولا أظنّ بالتزامهم على عدم جواز أخذ الأجر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دليله وهو أنّ جواز الاستيفاء قهراً وعلى رغمه يوجب سلب احترام عمله ، مسلوبية احترام مال يقهر المالك على إتلافه ، بل قد يكون الإلجاء والاضطرار مؤدّياً إلى أن يكون المالك مباشراً لإتلافه ، كما لو اضطرّ إلى طلي دواء لا يتمكّن منه إلاّ مالكه فيلزم</w:t>
      </w:r>
    </w:p>
    <w:p>
      <w:pPr>
        <w:pStyle w:val="BookText"/>
        <w:rPr/>
      </w:pPr>
      <w:r>
        <w:rPr>
          <w:rFonts w:ascii="Amiri" w:hAnsi="Amiri" w:eastAsia="Amiri" w:cs="Amiri"/>
          <w:color w:val="111111"/>
          <w:sz w:val="28"/>
          <w:sz w:val="28"/>
          <w:szCs w:val="28"/>
          <w:rtl w:val="true"/>
          <w:lang w:bidi="ar-SA"/>
        </w:rPr>
        <w:t xml:space="preserve">ويقهر على الطلي والإتلاف ولا أظنّ بأحد الالتزام بالمجّانية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تعليقة بعض المحقّقين من إبداء الفرق بين الأعمال والأعيان</w:t>
      </w:r>
      <w:r>
        <w:rPr>
          <w:rStyle w:val="FootnoteAnchor"/>
          <w:rtl w:val="true"/>
        </w:rPr>
        <w:footnoteReference w:id="780"/>
      </w:r>
      <w:r>
        <w:rPr>
          <w:rFonts w:ascii="Amiri" w:hAnsi="Amiri" w:eastAsia="Amiri" w:cs="Amiri"/>
          <w:color w:val="111111"/>
          <w:sz w:val="28"/>
          <w:sz w:val="28"/>
          <w:szCs w:val="28"/>
          <w:rtl w:val="true"/>
          <w:lang w:bidi="ar-SA"/>
        </w:rPr>
        <w:t xml:space="preserve">،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جواز أخذ الاُمّ المرضعة اُجرة إرضاع اللبأ إذا وجب عليها دفعاً وإشكالاً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 على العمل العبادي النيابي ، فإنّ أخذه لو كان منافياً للإخلاص لكانت العبادات الاستئجارية على وجه النيابة باطلة والاستئجار عليها باطلاً ، والنصّ والفتوى متطابقان على صحّتها وصحّته ، فلا بدّ من الالتزام بعدم المنافاة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تصدّى الشيخ الأعظم لدفع الإشكال وإبداء الفرق بين المقامين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281" w:name="pg15162_155624"/>
    </w:p>
    <w:p>
      <w:pPr>
        <w:pStyle w:val="Heading3"/>
        <w:numPr>
          <w:ilvl w:val="2"/>
          <w:numId w:val="1"/>
        </w:numPr>
        <w:rPr/>
      </w:pPr>
      <w:bookmarkStart w:id="282" w:name="__RefHeading___Toc1955536_2142443653"/>
      <w:bookmarkStart w:id="283" w:name="_Toc99"/>
      <w:bookmarkEnd w:id="281"/>
      <w:bookmarkEnd w:id="282"/>
      <w:r>
        <w:rPr>
          <w:rtl w:val="true"/>
        </w:rPr>
        <w:t>تصحيح العبادات الاستئجارية</w:t>
      </w:r>
      <w:bookmarkEnd w:id="283"/>
    </w:p>
    <w:p>
      <w:pPr>
        <w:pStyle w:val="Heading4"/>
        <w:numPr>
          <w:ilvl w:val="3"/>
          <w:numId w:val="1"/>
        </w:numPr>
        <w:rPr/>
      </w:pPr>
      <w:bookmarkStart w:id="284" w:name="__RefHeading___Toc1955538_2142443653"/>
      <w:bookmarkStart w:id="285" w:name="_Toc100"/>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في ماهية النيابة</w:t>
      </w:r>
    </w:p>
    <w:p>
      <w:pPr>
        <w:pStyle w:val="BookText"/>
        <w:rPr/>
      </w:pPr>
      <w:r>
        <w:rPr>
          <w:rFonts w:ascii="Amiri" w:hAnsi="Amiri" w:eastAsia="Amiri" w:cs="Amiri"/>
          <w:color w:val="111111"/>
          <w:sz w:val="28"/>
          <w:sz w:val="28"/>
          <w:szCs w:val="28"/>
          <w:rtl w:val="true"/>
          <w:lang w:bidi="ar-SA"/>
        </w:rPr>
        <w:t xml:space="preserve">ولا بأس بالإشارة إلى ماهية النيابة في اعتبار العقلاء قبل التعرّض لدفاع الشيخ ؛ ليتّضح ما يمكن أن يكون فارقاً بين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اختلاف ماهية الوكالة والنيابة في اعتبار العقلاء ، فإنّ الوكالة عبارة عن تفويض أمر إلى الغير وإيكاله إليه ، من غير اعتبار كون الوكيل نازلاً منزلته في الاعتبار أو عمله نازلاً منزلة عمله ، وانتساب العمل إلى الموكّل باعتبار كونه فعلاً تسبيبياً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الوكالة يكون الوكيل والموكّل ممتازين في عالم الاعتبار ، والفعل صادر مباشرة من الوكيل ، وتسبيباً من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الوكالة في العباديات ، فلا تصحّ في الحجّ والصلاة وغيرهما ممّا هي أفعال عبادي مباشري ، ونظيرها في العرف حضور أعيان المملكة في الأعياد لدى السلطان للسلام ، فإنّه مع عذر بعضهم عن الحضور يقبل ذلك النيابة لا الوكالة لدى العقلاء وهو دليل على اختلافهما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النيابة في العمل </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955540_2142443653"/>
      <w:bookmarkStart w:id="287" w:name="_Toc101"/>
      <w:bookmarkEnd w:id="286"/>
      <w:r>
        <w:rPr>
          <w:rtl w:val="true"/>
        </w:rPr>
        <w:t>احتمال كون النيابة تنزيل النائب نفسه منزلة المنوب عنه</w:t>
      </w:r>
      <w:bookmarkEnd w:id="2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فيحتمل تصوّراً أن تكون عبارة عن تنزيل شخص نفسه منزلة غيره فيه ؛ بمعنى تبديل شخصية النائب بشخصية المنوب عنه في صقع الاعتبار ، فتكون مبنيّة على إنساء النائب وإفنائه وتحوّل وجوده بوجود المنوب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باب الاستعارة على المذهب الحقّ</w:t>
      </w:r>
      <w:r>
        <w:rPr>
          <w:rStyle w:val="FootnoteAnchor"/>
          <w:rtl w:val="true"/>
        </w:rPr>
        <w:footnoteReference w:id="782"/>
      </w:r>
      <w:r>
        <w:rPr>
          <w:rFonts w:ascii="Amiri" w:hAnsi="Amiri" w:eastAsia="Amiri" w:cs="Amiri"/>
          <w:color w:val="111111"/>
          <w:sz w:val="28"/>
          <w:sz w:val="28"/>
          <w:szCs w:val="28"/>
          <w:rtl w:val="true"/>
          <w:lang w:bidi="ar-SA"/>
        </w:rPr>
        <w:t xml:space="preserve">؛ من كون بنائها على تناسي التشبيه والمشبّه والمشبّه به ، بل مبنيّة على دعوى كون شخص أسداً حقيقة ، فيحسن إثبات لوازم الأسد له ونفي لوازم غيره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أشباه في العرف ، كمجالس الشبيه والعزاء المعروفة في بعض البلاد ، فصار شخص شمراً وآخر ابن زياد إلى غير ذلك ، فإنّ في تلك الصحنة تتبدّل الأشخاص بشخصيات اُخر ، فهي مبنيّة على تناسي الشخصيات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نظائر اُخر في مجالس اللهو سيّما في هذه الأعصار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ما صدر منه منتسباً إلى الشخصية الثانية ؛ أي المنوب عنه ومسلوبة عن الاُولى ، فلو كانت النيابة في الأعمال كذلك لا يعقل أن يقع الأجر في مقابل العمل ، فإنّ صقع إتيانه صقع فناء النائب ووجود المنوب عنه فقط والعمل عمله ولا معنى للأجر في عمل 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الاعتبار لا يكون للعمل اعتباران ، فإنّ النائب وعمله منسيّان ، فالنائب هو المنوب عنه ليس إلاّ والعمل عمله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فالاُجرة في هذا الاعتبار تقع بإزاء تنزيل النائب شخصه منزلة المنوب عنه وتبديل نفسه باُخرى في عمل ، فصقع العمل ليس صقع اعتبار الاُجرة ؛ إذ العمل عمل المنوب عنه فلا أجر له في عمل نفسه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إشكالان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 إن كان بإزاء التنزيل لابدّ من استحقاقه بمجرّد التنزيل </w:t>
      </w:r>
    </w:p>
    <w:p>
      <w:pPr>
        <w:pStyle w:val="BookText"/>
        <w:rPr/>
      </w:pPr>
      <w:r>
        <w:rPr>
          <w:rFonts w:ascii="Amiri" w:hAnsi="Amiri" w:eastAsia="Amiri" w:cs="Amiri"/>
          <w:color w:val="111111"/>
          <w:sz w:val="28"/>
          <w:sz w:val="28"/>
          <w:szCs w:val="28"/>
          <w:rtl w:val="true"/>
          <w:lang w:bidi="ar-SA"/>
        </w:rPr>
        <w:t>الذي هو أمر اعتباري وبناء قلبي ، وإن كان بإزاء التنزيل والعمل يعود الإشكال</w:t>
      </w:r>
    </w:p>
    <w:p>
      <w:pPr>
        <w:pStyle w:val="BookText"/>
        <w:rPr/>
      </w:pPr>
      <w:r>
        <w:rPr>
          <w:rFonts w:ascii="Amiri" w:hAnsi="Amiri" w:eastAsia="Amiri" w:cs="Amiri"/>
          <w:color w:val="111111"/>
          <w:sz w:val="28"/>
          <w:sz w:val="28"/>
          <w:szCs w:val="28"/>
          <w:rtl w:val="true"/>
          <w:lang w:bidi="ar-SA"/>
        </w:rPr>
        <w:t xml:space="preserve">وينهدم هذا الأساس ، وكذا إن كان بإزاء التنزيل المقيّد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 بإزاء التنزيل في العمل ، وهو وإن لم يتحقّق إلاّ بالعمل ويتوقّف تحقّقه عليه لكن لا يكون العمل جزءاً أو قيداً له ، نظير أن يقع أجر على إرادة ضرب زيد بناءً على عدم انفكاكها عن المراد خارجاً ، فإنّ ذلك لا يوجب أن يكون الأجر بإزاء الضرب جزءاً أو قيداً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جعل شيء جزءاً أو قيداً للمستأجر فيه ، وبين توقّف تحقّقه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على فرض كون النيابة هي ما تقدّم بيانها لا محيص عن كونه من قبيل الثاني ؛ لعدم الجمع بين اعتبار النيابة بما ذكر ، وبين كون العمل جزءاً أو قيداً ؛ لأنّ اعتبار الجزئية والقيدية اعتبار كون العمل للمؤجر والنائب ، وهو مضادّ</w:t>
      </w:r>
    </w:p>
    <w:p>
      <w:pPr>
        <w:pStyle w:val="BookText"/>
        <w:rPr/>
      </w:pPr>
      <w:r>
        <w:rPr>
          <w:rFonts w:ascii="Amiri" w:hAnsi="Amiri" w:eastAsia="Amiri" w:cs="Amiri"/>
          <w:color w:val="111111"/>
          <w:sz w:val="28"/>
          <w:sz w:val="28"/>
          <w:szCs w:val="28"/>
          <w:rtl w:val="true"/>
          <w:lang w:bidi="ar-SA"/>
        </w:rPr>
        <w:t xml:space="preserve">لاعتبار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مترتّب على التنزيل ومتأخّر عنه رتبة فلا يعقل تقيّده به ؛ للزوم صيرورة المتأخّرعن الشيء في رتبته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النيابة مبنيّة على التناسي فرضاً والتقيّد المذكور مبنيّ على تذكّر العمل وهما متنافيان فالأجر في مقابل التنزيل غير المنفكّ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بوجه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كون المراد منه أنّ العمل الموجود بنيّة أحد الجزئين التحليليين منه خير من جزئه الآخر ، حتّى لا يرد عليه الإشكال المعروف ، فكما أنّ الخيرية للنيّة الملازمة للعمل من</w:t>
      </w:r>
    </w:p>
    <w:p>
      <w:pPr>
        <w:pStyle w:val="BookText"/>
        <w:rPr/>
      </w:pPr>
      <w:r>
        <w:rPr>
          <w:rFonts w:ascii="Amiri" w:hAnsi="Amiri" w:eastAsia="Amiri" w:cs="Amiri"/>
          <w:color w:val="111111"/>
          <w:sz w:val="28"/>
          <w:sz w:val="28"/>
          <w:szCs w:val="28"/>
          <w:rtl w:val="true"/>
          <w:lang w:bidi="ar-SA"/>
        </w:rPr>
        <w:t xml:space="preserve">غير دخالة العمل في موضوع الأفضلية لعدم تعقّل دخالته ، كذلك في المقام يكون الأجر بإزاء النيابة في العمل غير المنفكّة عنه وغير المتقيّدة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الإخلاص لو كان معتبراً في العمل طولاً وعرضاً فلا شبهة في بطلان هذا العمل ؛ لأنّ أخذ الأجر محرّك الفاعل حقيقة في إتيان العمل ؛ ضرورة أ نّه لولا الأجر لما نزّل نفسه منزلته ولولا التنزيل في العمل لما عمل ، فالعمل مستند إلى الأجر بالأخرة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بالفرق بين كون شيء غاية لعمل أو غاية للعمل المغيّى كباب الداعي على الداعي على ما تقدّم</w:t>
      </w:r>
      <w:r>
        <w:rPr>
          <w:rStyle w:val="FootnoteAnchor"/>
          <w:rtl w:val="true"/>
        </w:rPr>
        <w:footnoteReference w:id="784"/>
      </w:r>
      <w:r>
        <w:rPr>
          <w:rFonts w:ascii="Amiri" w:hAnsi="Amiri" w:eastAsia="Amiri" w:cs="Amiri"/>
          <w:color w:val="111111"/>
          <w:sz w:val="28"/>
          <w:sz w:val="28"/>
          <w:szCs w:val="28"/>
          <w:rtl w:val="true"/>
          <w:lang w:bidi="ar-SA"/>
        </w:rPr>
        <w:t xml:space="preserve">وبين كون شيء متوقّفاً عليه من غير غائيته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استأجره للمسافرة يكون السفر لأجل الاُجرة ، ولازمه إتيان الصلاة قصراً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الاُجرة لما صلّى قصراً ؛ لأنّ القصر لأجل السفر والسفر للاُجرة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هذا من قبيل ترتّب ذي الغاية على غايته ، بل من قبيل كون شيء من آثار المغيّى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نحن فيه لم يجعل الأجر في مقابل العمل النيابي على ما تقدّم من أنّ العمل عمل المنوب عنه ، ولا يعقل فيه الأجر في اُفق الاعتبار ، فلا يمكن أن يكون الأجر في سلسلة غاياته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لولا الأجر لما صار النائب منوباً عنه 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تبدّل شخصيته بشخصيته ، ولولا ذلك لما 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التحفّظ على الاعتبار المتقدّم وعدم الخلط تندفع الإشكالات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من الأمثلة اُمور تكوينية واقعية ، فأين هي من المورد الذي من الاعتباريات والتنزيليات ؟ فالمحرّك الواقعي ليس التنزيل والدعوى ، بل أمر واقعي هو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المحرّك على هذا الفرض هو التنزيل وتبديل الشخصية بناءً وذهناً ، ولا شبهة في مؤثّريته ومبدئيته للإرادة والأعمال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من نزّل نفسه منزلة السلطان لعباً ولهواً يؤثّر ذلك في نفسه بحيث يعمل أعماله ، بل ربّما يحصل في نفسه نحو تجبّر وتبختر وليس ذلك إلاّ لكون هذا التنزيل والبناء مؤثّراً في النفوس وصيرورته مبدأً للإرادة ، بل مبدؤها ليست الاُمور الخارجية وإنّما هو اُمور ذهنية وإدراكات نفسانية وربّما تكون أمثال ما ذكر مؤثّرة في النفس ومبدأً للإرادة والتحريك مع الغفلة والذهول عن الأجر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عدم إمكان الجمع بين كون النيابة ما ذكرت وبين وقوع الأجر بإزاء العمل لا محيص عن الالتزام ببعض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الخلط في كلمات الشيخ الأعظم</w:t>
      </w:r>
      <w:r>
        <w:rPr>
          <w:rStyle w:val="FootnoteAnchor"/>
          <w:rtl w:val="true"/>
        </w:rPr>
        <w:footnoteReference w:id="785"/>
      </w:r>
      <w:r>
        <w:rPr>
          <w:rFonts w:ascii="Amiri" w:hAnsi="Amiri" w:eastAsia="Amiri" w:cs="Amiri"/>
          <w:color w:val="111111"/>
          <w:sz w:val="28"/>
          <w:sz w:val="28"/>
          <w:szCs w:val="28"/>
          <w:rtl w:val="true"/>
          <w:lang w:bidi="ar-SA"/>
        </w:rPr>
        <w:t xml:space="preserve">، حيث إنّه مع جعل اعتبار النيابة تنزيل الشخص منزلة المنوب عنه خلط في لوازمه وجعل للعمل الخارجي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فعل النائب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المنوب عنه ، مع أنّ لازم هذا الاعتبار عدم انتساب الفعل إلى النائب بوجه كما مرّ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الموجودة في الخارج على جهة النيابة فعل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w:t>
      </w:r>
    </w:p>
    <w:p>
      <w:pPr>
        <w:pStyle w:val="BookText"/>
        <w:rPr/>
      </w:pPr>
      <w:r>
        <w:rPr>
          <w:rFonts w:ascii="Amiri" w:hAnsi="Amiri" w:eastAsia="Amiri" w:cs="Amiri"/>
          <w:color w:val="111111"/>
          <w:sz w:val="28"/>
          <w:sz w:val="28"/>
          <w:szCs w:val="28"/>
          <w:rtl w:val="true"/>
          <w:lang w:bidi="ar-SA"/>
        </w:rPr>
        <w:t xml:space="preserve">في اُفق الاعتبار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للمنوب عنه بعد نيابة النائب ؛ يعني تنزيل نفسه</w:t>
      </w:r>
    </w:p>
    <w:p>
      <w:pPr>
        <w:pStyle w:val="BookText"/>
        <w:rPr/>
      </w:pPr>
      <w:r>
        <w:rPr>
          <w:rFonts w:ascii="Amiri" w:hAnsi="Amiri" w:eastAsia="Amiri" w:cs="Amiri"/>
          <w:color w:val="111111"/>
          <w:sz w:val="28"/>
          <w:sz w:val="28"/>
          <w:szCs w:val="28"/>
          <w:rtl w:val="true"/>
          <w:lang w:bidi="ar-SA"/>
        </w:rPr>
        <w:t>منزلة المنوب عنه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فعل النائب ليس إلاّ عملاً قلبياً واعتباراً وادّعاءً ، نظير الحقائق الادّعائية</w:t>
      </w:r>
    </w:p>
    <w:p>
      <w:pPr>
        <w:pStyle w:val="BookText"/>
        <w:rPr/>
      </w:pPr>
      <w:r>
        <w:rPr>
          <w:rFonts w:ascii="IRNazanin" w:hAnsi="IRNazanin" w:eastAsia="IRNazanin"/>
          <w:color w:val="111111"/>
          <w:sz w:val="28"/>
          <w:sz w:val="28"/>
          <w:szCs w:val="28"/>
          <w:rtl w:val="true"/>
          <w:lang w:bidi="fa-IR"/>
        </w:rPr>
        <w:t xml:space="preserve">لكنّه ملازم أو موقوف في التحقّق الخارجي على العمل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فالنيابة على هذا المبنى ليست من الأعمال الخارجية ولا يمكن أن يكون العمل الخارجي فعلاً للنائب بعد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رحمه الله علیه مضافاً إلى مخالفته للاعتبار المتقدّم مستلزم لورود الإشكال السابق عليه ، كما يأتي بيانه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قلنا بأنّ حقيقة النيابة هي تنزيل الشخص مقام الشخص يمكن دفع بعض إشكالات اُخر عن النيابة في العبادات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أنّ النائب لا أمر له بالنسبة إلى العمل ، والأمر متوجّه إلى</w:t>
      </w:r>
    </w:p>
    <w:p>
      <w:pPr>
        <w:pStyle w:val="BookText"/>
        <w:rPr/>
      </w:pPr>
      <w:r>
        <w:rPr>
          <w:rFonts w:ascii="Amiri" w:hAnsi="Amiri" w:eastAsia="Amiri" w:cs="Amiri"/>
          <w:color w:val="111111"/>
          <w:sz w:val="28"/>
          <w:sz w:val="28"/>
          <w:szCs w:val="28"/>
          <w:rtl w:val="true"/>
          <w:lang w:bidi="ar-SA"/>
        </w:rPr>
        <w:t xml:space="preserve">المنوب عنه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الحقيقي فواضح ؛ ضرورة أنّ الإضافات تشخّصها بتشخّص أطرافها فيستحيل خروجها من حدّ إلى حدّ ، فلا يمكن أن يتخطّئ الأمر المتوجّه إلى المنوب عنه منه إلى نائبه ، ومعه لا يمكن انبعاثه ؛ لعدم تعقّل الانبعاث عن الأمر المتوجّه إلى الغير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الانتساب الاعتباري التنزيلي بلحاظ تنزيل النائب منزلة المنوب عنه فلا يفيد ؛ لأنّ الانبعاث حقيقة لا يمكن إلاّ عن البعث الحقيقي ، فمجرّد التنزيل الاعتباري الادّعائي لا يوجب توجّه الأمر إليه حقيقةً ، والتوجّه </w:t>
      </w:r>
    </w:p>
    <w:p>
      <w:pPr>
        <w:pStyle w:val="BookText"/>
        <w:rPr/>
      </w:pPr>
      <w:r>
        <w:rPr>
          <w:rFonts w:ascii="Amiri" w:hAnsi="Amiri" w:eastAsia="Amiri" w:cs="Amiri"/>
          <w:color w:val="111111"/>
          <w:sz w:val="28"/>
          <w:sz w:val="28"/>
          <w:szCs w:val="28"/>
          <w:rtl w:val="true"/>
          <w:lang w:bidi="ar-SA"/>
        </w:rPr>
        <w:t xml:space="preserve">الادّعائي لا يمكن أن يصير باعثاً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حقيقة النيابة إذا كانت لدى العقلاء ما تقدّمت</w:t>
      </w:r>
      <w:r>
        <w:rPr>
          <w:rStyle w:val="FootnoteAnchor"/>
          <w:rtl w:val="true"/>
        </w:rPr>
        <w:footnoteReference w:id="788"/>
      </w:r>
      <w:r>
        <w:rPr>
          <w:rFonts w:ascii="IRNazanin" w:hAnsi="IRNazanin" w:eastAsia="IRNazanin"/>
          <w:color w:val="111111"/>
          <w:sz w:val="28"/>
          <w:sz w:val="28"/>
          <w:szCs w:val="28"/>
          <w:rtl w:val="true"/>
          <w:lang w:bidi="fa-IR"/>
        </w:rPr>
        <w:t xml:space="preserve">، وقد أمضاها الشارع وأنفذها بالأخبار المتظافرة ، كروايات ابن مسلم ، وابن أبي يعفور ، والبزنطي ، وصفوان بن يحيى عن الصادق والرضا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يقضى عن الميّت الحجّ والصوم والعتق وفعاله الحسن</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 xml:space="preserve">ممّا هي ظاهرة في صحّة النيابة وجوازها ، يستكشف منهما ؛ أي من الأخبار الممضية ومن فرض كونها ما تقدّمت ، التوسعة في الأدلّة الواقعية من حيث توجّه التكليف إلى الوجود التنزيلي توسعة حقيقية بمقدار سعة دائرة الإمضاء والإنفاذ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الحجّ لولا دليل النيابة قلنا بلزومه على المستطيع مباشرة ، ومع عجزه لا يقوم غيره مقامه ، لكن بعد قيام الدليل بجوازها حيّاً في حال عجزه</w:t>
      </w:r>
      <w:r>
        <w:rPr>
          <w:rStyle w:val="FootnoteAnchor"/>
          <w:rtl w:val="true"/>
        </w:rPr>
        <w:footnoteReference w:id="790"/>
      </w:r>
      <w:r>
        <w:rPr>
          <w:rFonts w:ascii="Amiri" w:hAnsi="Amiri" w:eastAsia="Amiri" w:cs="Amiri"/>
          <w:color w:val="111111"/>
          <w:sz w:val="28"/>
          <w:sz w:val="28"/>
          <w:szCs w:val="28"/>
          <w:rtl w:val="true"/>
          <w:lang w:bidi="ar-SA"/>
        </w:rPr>
        <w:t>وميّتاً</w:t>
      </w:r>
      <w:r>
        <w:rPr>
          <w:rStyle w:val="FootnoteAnchor"/>
          <w:rtl w:val="true"/>
        </w:rPr>
        <w:footnoteReference w:id="791"/>
      </w:r>
      <w:r>
        <w:rPr>
          <w:rFonts w:ascii="Amiri" w:hAnsi="Amiri" w:eastAsia="Amiri" w:cs="Amiri"/>
          <w:color w:val="111111"/>
          <w:sz w:val="28"/>
          <w:sz w:val="28"/>
          <w:szCs w:val="28"/>
          <w:rtl w:val="true"/>
          <w:lang w:bidi="ar-SA"/>
        </w:rPr>
        <w:t xml:space="preserve">نستكشف بسقوطه عنه بالإتيان الأعمّ بوجوده التنزيلي ويستكشفُ منه توجّه التكليف بأعمّ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وجوبه على المتبرّع إذا نزّل نفسه منزلته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يجب عليه بما أ نّه المنوب عنه ما دام تنزيله ، ولهذا يجب عليه نيّة الوجوب لكن لا يجب عليه التنزيل ولا إدامته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آجر نفسه للنيابة يجب عليه الوفاء بالإجارة بتنزيل نفسه منزلته في العمل ، ومعه ينوي الوجوب إن وجب على المنوب عنه ، ولو تركه يعاقب على ترك العمل بالإجارة إذا قلنا بوجوب الوفاء بالعقود ، ولا يعاقب على ترك الحجّ؛ لأنّ التكليف متوجّه إلى المنوب عنه لا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وتوجّهه عليه بعد التنزيل توجّه إلى المنوب عنه أيضاً بوجوده التنزيلي ، فمع إتيانه سقط عنه ؛ لإتيانه بوجوده التنزيلي ، ومع تركه بقي على ذمّة المنوب عنه لا النائب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أدلّة النيابة توسعة التكليف إلى الوجود التنزيلي ، وهذه توسعة حقيقية ببركة التحكيم والتعبّد ، كما قلنا بنظيرها في باب الإجزاء في المأتيّ به بالتكليف الظاهري ، حيث قلنا بأنّ مقتضى ظواهر الأدلّة الأوّلية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وإن كان اشتراط الصلاة مثلاً بالطهارة الواقعية لكن بعد تحكيم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على أدلّة الشروط صارت النتيجة توسعة دائرة الشرط إلى الطهارة الظاهرية ، فالصلاة المأتيّ بها بالطهارة الظاهرية مصداق حقيقي للصلاة ببركة التعبّد والتوسعة المستكشفة بدليل الأصل</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المقام يكون توجّه التكليف إلى الوجود التنزيلي حقيقياً ببركة استكشاف التوسعة من الأدلّة ، فيكون الانبعاث عن البعث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أن يجاب في المقام بوجه آخر غير مبنيّ على ما ذكرناه ، </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الاحتياج إلى توجّه الأمر إلى الآتي بها بعد قيام الدليل على سقوطها عن عهدة المنوب عنه بإتيان النائب ، نظير أداء دين الغير تبرّعاً ، غاية الأمر يقصد في المقام التقرّب والتعبّدية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الجواب عن إشكال آخر</w:t>
      </w:r>
      <w:r>
        <w:rPr>
          <w:rStyle w:val="FootnoteAnchor"/>
          <w:rtl w:val="true"/>
        </w:rPr>
        <w:footnoteReference w:id="795"/>
      </w:r>
      <w:r>
        <w:rPr>
          <w:rFonts w:ascii="Amiri" w:hAnsi="Amiri" w:eastAsia="Amiri" w:cs="Amiri"/>
          <w:color w:val="111111"/>
          <w:sz w:val="28"/>
          <w:sz w:val="28"/>
          <w:szCs w:val="28"/>
          <w:rtl w:val="true"/>
          <w:lang w:bidi="ar-SA"/>
        </w:rPr>
        <w:t xml:space="preserve">، وهو أ نّه كيف يمكن تقرّب المنوب عنه بعمل النائب ؟ فإنّ القرب المعنوي كالحسّي ، فكما أنّ قرب شخص من آخر مكاناً لا يوجب قرب غيره فكذلك في القرب 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 المعتبر في العبادة لو كان من الحقائق الواقعية كالكمالات الروحانية من حصول نحو تنزّه وتجرّد عن المادّة لكان حصولها للمنوب عنه بفعل النائب ممتنعاً لكن لا يعتبر ذلك فيها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القرب الاعتباري وسقوط الأمر أو سقوط المكلّف به عن عهدته بفعل الغير بمكان من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ويستكشف ذلك كلّه من أدلّة النيابة ، فالنائب يأتي بالفعل بما أ نّه منوب عنه فيحصل قرب المنوب عنه لا قرب نفسه ، ولا وجه لحصول القرب له في العمل عن غيره اللهمّ إلاّ تفضّلاً ، فهذا القرب الاعتباري لا مانع من حصوله مع قصد تحصيله للغير ، كما أنّ سقوط التكليف أو المكلّف به ممكن ، فقياس القرب في المقام بالقرب الحسّي مع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اعتبار نيّة التقرّب أو حصول القرب في العبادات غير ظاهر ؛ إذ لا دليل عليه ، فلا يعتبر فيها إلاّ الإخلاص وكونها للّه تعالى ، ومعه يسقط التكليف</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المكلّف به عن عهدة المنوب عنه ، وهذا موجب لامتيازه عن غيره ممّن </w:t>
      </w:r>
      <w:bookmarkStart w:id="288" w:name="pg15162_155633"/>
    </w:p>
    <w:p>
      <w:pPr>
        <w:pStyle w:val="BookText"/>
        <w:rPr/>
      </w:pPr>
      <w:bookmarkEnd w:id="288"/>
      <w:r>
        <w:rPr>
          <w:rFonts w:ascii="Amiri" w:hAnsi="Amiri" w:eastAsia="Amiri" w:cs="Amiri"/>
          <w:color w:val="111111"/>
          <w:sz w:val="28"/>
          <w:sz w:val="28"/>
          <w:szCs w:val="28"/>
          <w:rtl w:val="true"/>
          <w:lang w:bidi="ar-SA"/>
        </w:rPr>
        <w:t xml:space="preserve">يشتغل ذمّته ، ويمكن أن يصير ذلك موجباً للتفضّل عليه بإعطاء الثواب أو سقوط العقاب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النائب عن المنوب عنه يوجب وصول صورة عمله البهيّة إليه ، كما ورد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على الميّت في قبره الصلاة والصوم والحجّ والصدقة والدعاء</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955542_2142443653"/>
      <w:bookmarkStart w:id="290" w:name="_Toc102"/>
      <w:bookmarkEnd w:id="289"/>
      <w:r>
        <w:rPr>
          <w:rtl w:val="true"/>
        </w:rPr>
        <w:t>احتمال كون النيابة تنزيل العمل لا تنزيل الشخص</w:t>
      </w:r>
      <w:bookmarkEnd w:id="290"/>
    </w:p>
    <w:p>
      <w:pPr>
        <w:pStyle w:val="BookText"/>
        <w:rPr/>
      </w:pPr>
      <w:r>
        <w:rPr>
          <w:rFonts w:ascii="Amiri" w:hAnsi="Amiri" w:eastAsia="Amiri" w:cs="Amiri"/>
          <w:color w:val="111111"/>
          <w:sz w:val="28"/>
          <w:sz w:val="28"/>
          <w:szCs w:val="28"/>
          <w:rtl w:val="true"/>
          <w:lang w:bidi="ar-SA"/>
        </w:rPr>
        <w:t xml:space="preserve">ويحتمل أن تكون النيابة في اعتبار العقلاء عبارة عن تنزيل العمل منزلة عمل المنوب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بأن يوجد العمل نازلاً منزلته ويكون بنفس وجوده عملاً للمنوب عنه فلا يكون منتسباً إلى النائب في وعاء الاعتبار بوجه ، فيكون الاُجرة للتنزيل لا للعمل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التنزيل بعد تحقّق العمل ، فيكون عند وجوده عملاً للنائب وبالتنزيل للمنوب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تندفع الإشكالات المتقدّمة بنحو ما مرّ ، بل لا يرد على هذا الفرض إشكال استحقاق الاُجرة بنفس التنزيل ، فإنّ التنزيل هاهنا تنزيل العمل فلا يمكن تحقّقه بغيره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وإشكال المنافاة للإخلاص مندفع بأنّ الأجر في مقابل التنزيل وهو </w:t>
      </w:r>
    </w:p>
    <w:p>
      <w:pPr>
        <w:pStyle w:val="BookText"/>
        <w:rPr/>
      </w:pPr>
      <w:r>
        <w:rPr>
          <w:rFonts w:ascii="Amiri" w:hAnsi="Amiri" w:eastAsia="Amiri" w:cs="Amiri"/>
          <w:color w:val="111111"/>
          <w:sz w:val="28"/>
          <w:sz w:val="28"/>
          <w:szCs w:val="28"/>
          <w:rtl w:val="true"/>
          <w:lang w:bidi="ar-SA"/>
        </w:rPr>
        <w:t>غير العمل وإن كان موقوفاً عليه ، بل يظهر ممّا تقدّم عدم إمكان كون الأجر</w:t>
      </w:r>
    </w:p>
    <w:p>
      <w:pPr>
        <w:pStyle w:val="BookText"/>
        <w:rPr/>
      </w:pPr>
      <w:r>
        <w:rPr>
          <w:rFonts w:ascii="Amiri" w:hAnsi="Amiri" w:eastAsia="Amiri" w:cs="Amiri"/>
          <w:color w:val="111111"/>
          <w:sz w:val="28"/>
          <w:sz w:val="28"/>
          <w:szCs w:val="28"/>
          <w:rtl w:val="true"/>
          <w:lang w:bidi="ar-SA"/>
        </w:rPr>
        <w:t>مقابل العمل في الفرض أيضاً ؛ لأنّ اعتبار تحقّق العمل عملاً للمنوب عنه ينافي اعتبار الأجر المتقوّم بكون العمل عملاً للأجير فلا يعقل الجمع بين الاعتبارين فلا يعقل أن يكون الأجر بإزاء العمل ، وقد مرّ أنّ التوقّف غير الغائية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بوجه نظير إعطاء الأجر للإفطار بالتمر مثلاً ، فإنّ ذلك الأجر لا يعقل أن يقع بإزاء الصوم ولو قيداً ؛ لأ نّه بإزاء ما يبطله أو ينتهي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لا يكون</w:t>
      </w:r>
    </w:p>
    <w:p>
      <w:pPr>
        <w:pStyle w:val="BookText"/>
        <w:rPr/>
      </w:pPr>
      <w:r>
        <w:rPr>
          <w:rFonts w:ascii="Amiri" w:hAnsi="Amiri" w:eastAsia="Amiri" w:cs="Amiri"/>
          <w:color w:val="111111"/>
          <w:sz w:val="28"/>
          <w:sz w:val="28"/>
          <w:szCs w:val="28"/>
          <w:rtl w:val="true"/>
          <w:lang w:bidi="ar-SA"/>
        </w:rPr>
        <w:t>بإزاء الأجر ، ولو توقّف تحقّق استحقاق الأجر بتحقّق الصوم فلا يكون الأجر له ولا غاية له ، ومجرّد التوقّف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مطالبة الأمر في المقام للانبعاث ببعثه فقد تقدّم أ نّه لا تتوقّف صحّة العبادة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لمّا فرض كون النيابة عبارة عن قيام العمل مقام عمل المنوب عنه عرفاً فمنه ومن دليل تنفيذ النيابة يعلم أنّ العمل النيابي موجب لسقوطه عن ذمّة الميّت ، فيصير ذلك موجباً لانبعاث المتبرّع إلى الإتيان عن جدّ ، كما يستكشف منها صحّة الإجارة للنيابة وقد مرّ إمكان حصول التقرّب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أيضاً يمكن دفع الإشكالات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أوّلها فبما مرّ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الإخلاص فكذلك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الاُجرة على جعل العمل منزلة عمل المنوب عنه لا على ذاته ، نظير أخذ الأجر على إتيان عمل عبادي في مكان كذا ، فإنّ جعله فيه ليس عبادياً معتبراً فيه الإخلاص </w:t>
      </w:r>
      <w:r>
        <w:rPr>
          <w:rFonts w:eastAsia="Amiri" w:cs="Amiri" w:ascii="Amiri" w:hAnsi="Amiri"/>
          <w:color w:val="111111"/>
          <w:sz w:val="28"/>
          <w:szCs w:val="28"/>
          <w:rtl w:val="true"/>
          <w:lang w:bidi="ar-SA"/>
        </w:rPr>
        <w:t xml:space="preserve">. </w:t>
      </w:r>
      <w:bookmarkStart w:id="291" w:name="pg15162_155635"/>
    </w:p>
    <w:p>
      <w:pPr>
        <w:pStyle w:val="BookText"/>
        <w:rPr/>
      </w:pPr>
      <w:bookmarkEnd w:id="291"/>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ما كان ذات العمل مطلوباً متعلّقاً للأمر ، فيكون القصد إلى إتيانه خالصاً وجعله في مكان خاصّ غير عبادي يصحّ أخذ الأجر عليه ، وبين ما لا يكون العمل مطلوباً كالمقام ، حيث لا يكون مطلوباً من النائب وإنّما هو في ذمّة المنوب عنه ، فإتيان النائب له بطمع الأجر لا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المقام والصورتين السابقتين ، فإنّ فيهما يكون الأجر مقابل التنزيل</w:t>
      </w:r>
    </w:p>
    <w:p>
      <w:pPr>
        <w:pStyle w:val="BookText"/>
        <w:rPr/>
      </w:pPr>
      <w:r>
        <w:rPr>
          <w:rFonts w:ascii="Amiri" w:hAnsi="Amiri" w:eastAsia="Amiri" w:cs="Amiri"/>
          <w:color w:val="111111"/>
          <w:sz w:val="28"/>
          <w:sz w:val="28"/>
          <w:szCs w:val="28"/>
          <w:rtl w:val="true"/>
          <w:lang w:bidi="ar-SA"/>
        </w:rPr>
        <w:t xml:space="preserve">ولا يعقل جعله مقابل العمل كما مرّ ، وأمّا في المقام فالعمل عمل النائب يأتي به ليجعله وسيلة لجلب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قلنا بمقالة الشيخ من مخالفة ذلك للإخلاص</w:t>
      </w:r>
      <w:r>
        <w:rPr>
          <w:rStyle w:val="FootnoteAnchor"/>
          <w:rtl w:val="true"/>
        </w:rPr>
        <w:footnoteReference w:id="798"/>
      </w:r>
      <w:r>
        <w:rPr>
          <w:rFonts w:ascii="Amiri" w:hAnsi="Amiri" w:eastAsia="Amiri" w:cs="Amiri"/>
          <w:color w:val="111111"/>
          <w:sz w:val="28"/>
          <w:sz w:val="28"/>
          <w:szCs w:val="28"/>
          <w:rtl w:val="true"/>
          <w:lang w:bidi="ar-SA"/>
        </w:rPr>
        <w:t xml:space="preserve">فلا مفرّ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الإشكالات الاُخر فيندفع بالتأمّل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لوازم النيابة في الصورتين الأخيرتين تخالف مع الصورة الاُولى ، ففيهما لابدّ من مراعاة شرائط صلاة المنوب عنه لا شرائط نفسه بل النائب يراعي في شرائط الفاعل ما هو تكليفه ، فلا يجب على الرجل الإخفات أو الستر نحو ستر المرأة لو كان نائباً عنها ، ويجوز الاقتداء به إن كان نائباً عنها أو عن الميّت ، بخلاف الصورة الاُولى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955544_2142443653"/>
      <w:bookmarkStart w:id="293" w:name="_Toc103"/>
      <w:bookmarkEnd w:id="292"/>
      <w:r>
        <w:rPr>
          <w:rtl w:val="true"/>
        </w:rPr>
        <w:t>التحقيق في النيابة</w:t>
      </w:r>
      <w:bookmarkEnd w:id="29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لدى المتشرّعة وسائر العقلاء وظاهر النصوص في النيابة ليس شيئاً ممّا تقدّم ؛ ضرورة أنّ الاستئجار إنّما يقع في العمل عن الغير فيأخذ الأجر ويقع في عرف المتشرّعة ارتكازاً وعملاً في مقابل العمل عن الغير ، </w:t>
      </w:r>
    </w:p>
    <w:p>
      <w:pPr>
        <w:pStyle w:val="BookText"/>
        <w:rPr/>
      </w:pPr>
      <w:r>
        <w:rPr>
          <w:rFonts w:ascii="Amiri" w:hAnsi="Amiri" w:eastAsia="Amiri" w:cs="Amiri"/>
          <w:color w:val="111111"/>
          <w:sz w:val="28"/>
          <w:sz w:val="28"/>
          <w:szCs w:val="28"/>
          <w:rtl w:val="true"/>
          <w:lang w:bidi="ar-SA"/>
        </w:rPr>
        <w:t xml:space="preserve">فيأخذه ليعمل الحجّ عن غيره ، لا لتنزيل نفسه منزلة غيره في العمل ، ولا لتنزيل عمله كذلك ، وهو واضح غير قابل للخدشة ، كما هو ظاهر الأخبار الواردة في الحجّ عن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 إذ دخل عليه رجل فأعطاه ثلاثين ديناراً يحجّ بها عن إسماعيل ، ولم يترك شيئاً من العمرة إلى الحجّ إلاّ اشترط عليه ، حتّى اشترط عليه أن يسعى في وادي محسّر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 إذا أنت فعلت هذا كان لإسماعيل حجّة بما أنفق من ماله وكانت لك تسع بما أتعبت من بدنك</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إنّها كالصريح في كون الأجر في مقابل العمل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تقدّم من التصوّرات أجنبيّة عن عمل المسلمين وعن مفاد النصوص كالرواية المتقدّمة وغيرها ممّا هي منقولة في كتاب الحجّ</w:t>
      </w:r>
      <w:r>
        <w:rPr>
          <w:rStyle w:val="FootnoteAnchor"/>
          <w:rtl w:val="true"/>
        </w:rPr>
        <w:footnoteReference w:id="800"/>
      </w:r>
      <w:r>
        <w:rPr>
          <w:rFonts w:ascii="Amiri" w:hAnsi="Amiri" w:eastAsia="Amiri" w:cs="Amiri"/>
          <w:color w:val="111111"/>
          <w:sz w:val="28"/>
          <w:sz w:val="28"/>
          <w:szCs w:val="28"/>
          <w:rtl w:val="true"/>
          <w:lang w:bidi="ar-SA"/>
        </w:rPr>
        <w:t xml:space="preserve">التي هي ظاهرة الدلالة في ذلك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دفع الإشكال عن هذه الواقعة التي بيد المسلمين ومفاد النصوص ، وهو لا يندفع بما تقدّم ولا بما أفاده الشيخ الأنصاري ، فيستكشف من النصوص صحّة العبادات الاستئجارية بنحو الداعي على الداعي ، ولا يرد عليها ما أوردناه على الاستئجار في عبادة نفسه</w:t>
      </w:r>
      <w:r>
        <w:rPr>
          <w:rStyle w:val="FootnoteAnchor"/>
          <w:rtl w:val="true"/>
        </w:rPr>
        <w:footnoteReference w:id="801"/>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 xml:space="preserve">. </w:t>
      </w:r>
      <w:bookmarkStart w:id="294" w:name="pg15162_155637"/>
    </w:p>
    <w:p>
      <w:pPr>
        <w:pStyle w:val="BookText"/>
        <w:rPr/>
      </w:pPr>
      <w:bookmarkEnd w:id="294"/>
      <w:r>
        <w:rPr>
          <w:rFonts w:ascii="Amiri" w:hAnsi="Amiri" w:eastAsia="Amiri" w:cs="Amiri"/>
          <w:color w:val="111111"/>
          <w:sz w:val="28"/>
          <w:sz w:val="28"/>
          <w:szCs w:val="28"/>
          <w:rtl w:val="true"/>
          <w:lang w:bidi="ar-SA"/>
        </w:rPr>
        <w:t xml:space="preserve">وأمّا الإشكال بأ نّه كيف يسقط عمل عن عهدة شخص بفعل آخر ، وكيف يتقرّب المنوب عنه بفعل نائبه ، فليس موجّهاً بعد قيام الدليل ، وتقدّم الوجه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النيابة في الأعمال في ظاهر الشريعة ولدى المتشرّعة هي إتيان العمل عوض الغير وبدله كأداء الدين عنه كما صرّح به في رواية الخثعمية</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من نفسك أنّ المعطي لدين غيره وعن قبله ينزّل نفسه منزلة نفسه أو عمله منزلة عمله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النصوص إلاّ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عنه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وليس مفاد ذلك إلاّ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دينه عنه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955546_2142443653"/>
      <w:bookmarkStart w:id="296" w:name="_Toc104"/>
      <w:bookmarkEnd w:id="295"/>
      <w:r>
        <w:rPr>
          <w:rtl w:val="true"/>
        </w:rPr>
        <w:t>ما يرد على كلام العلاّمة الحائري والشيخ الأعظم في المقام</w:t>
      </w:r>
      <w:bookmarkEnd w:id="2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شيخنا العلاّمة في صلاته</w:t>
      </w:r>
      <w:r>
        <w:rPr>
          <w:rStyle w:val="FootnoteAnchor"/>
          <w:rtl w:val="true"/>
        </w:rPr>
        <w:footnoteReference w:id="805"/>
      </w:r>
      <w:r>
        <w:rPr>
          <w:rFonts w:ascii="Amiri" w:hAnsi="Amiri" w:eastAsia="Amiri" w:cs="Amiri"/>
          <w:color w:val="111111"/>
          <w:sz w:val="28"/>
          <w:sz w:val="28"/>
          <w:szCs w:val="28"/>
          <w:rtl w:val="true"/>
          <w:lang w:bidi="ar-SA"/>
        </w:rPr>
        <w:t xml:space="preserve">، ولعلّه يظهر من خلال كلمات الشيخ الأنصاري أيضاً </w:t>
      </w:r>
      <w:r>
        <w:rPr>
          <w:rStyle w:val="FootnoteAnchor"/>
          <w:rtl w:val="true"/>
        </w:rPr>
        <w:footnoteReference w:id="806"/>
      </w:r>
      <w:r>
        <w:rPr>
          <w:rFonts w:ascii="Amiri" w:hAnsi="Amiri" w:eastAsia="Amiri" w:cs="Amiri"/>
          <w:color w:val="111111"/>
          <w:sz w:val="28"/>
          <w:sz w:val="28"/>
          <w:szCs w:val="28"/>
          <w:rtl w:val="true"/>
          <w:lang w:bidi="ar-SA"/>
        </w:rPr>
        <w:t xml:space="preserve">؛ من أنّ المعتبر في صحّة الإجارة قرب المنوب عنه لا قرب العامل ، فالإشكال بمنافاة أخذ الأجر للقربة المعتبرة في العبادة كالجواب </w:t>
      </w:r>
    </w:p>
    <w:p>
      <w:pPr>
        <w:pStyle w:val="BookText"/>
        <w:rPr/>
      </w:pPr>
      <w:r>
        <w:rPr>
          <w:rFonts w:ascii="Amiri" w:hAnsi="Amiri" w:eastAsia="Amiri" w:cs="Amiri"/>
          <w:color w:val="111111"/>
          <w:sz w:val="28"/>
          <w:sz w:val="28"/>
          <w:szCs w:val="28"/>
          <w:rtl w:val="true"/>
          <w:lang w:bidi="ar-SA"/>
        </w:rPr>
        <w:t xml:space="preserve">بالداعي على الداعي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وجيه ؛ لأنّ حصول القرب على فرض اعتباره مترتّب على العمل الخالص للّه تعالى ، فإن أتى به بعد الخلوص لنفسه تصير مقرّبة ، وإن أتى به لغير يصير الغير مقرّباً ، فلا بدّ من لحاظ منشأ حصول القرب للمنوب عنه ، وليس هو إلاّ إتيان النائب العمل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إتيانه للأجر ينافي كونه للّه تعالى ، فالأجر ينافي الإخلاص ومع عدمه لا يحصل القرب للمنوب عنه ، ولهذا لو أتى الأجير بالعمل رياءً لا يقع عن المنوب عنه ؛ لعدم صلاحيته لحصول القرب له ، فالإشكال في محلّه ، وكذا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الأنصاري فلا تخلو كلماته عن اضطراب</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بعضها أنّ الأجر للعمل المأتيّ به تقرّباً إلى اللّه تعالى نيابة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في كون الأجر في مقابل العمل المقيّد ، لكنّ الظاهر أ نّه غير المقصود منه بقرينة سائر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بعضها أنّ الصلاة الموجودة في الخارج على جهة النيابة فعل للنائب بجهة وللمنوب عنه بجهة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مجموع كلماته أ نّه أيضاً غير مراد ؛ أي لا يعني أنّ للصلاة وجودين اعتباراً حتّى يرد عليه بأ نّه ليس لها إلاّ وجود واحد ينسب إلى النائب بوجه وإلى المنوب عنه بوجه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بعضها أنّ المنطبق على الصلاة الموجودة في الخارج على وجه </w:t>
      </w:r>
    </w:p>
    <w:p>
      <w:pPr>
        <w:pStyle w:val="BookText"/>
        <w:rPr/>
      </w:pPr>
      <w:r>
        <w:rPr>
          <w:rFonts w:ascii="Amiri" w:hAnsi="Amiri" w:eastAsia="Amiri" w:cs="Amiri"/>
          <w:color w:val="111111"/>
          <w:sz w:val="28"/>
          <w:sz w:val="28"/>
          <w:szCs w:val="28"/>
          <w:rtl w:val="true"/>
          <w:lang w:bidi="ar-SA"/>
        </w:rPr>
        <w:t xml:space="preserve">النيابة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الصلاة ، وهي منسوبة إلى المنوب عنه بوجه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النائب في فعلها ، وهي عنوان زائد على ذات الصلاة يقع الأجر بإزائه لا بإزاء ذات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مجموع كلماته بعد جعل بعضها قرينة على بعض أنّ هذا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فالموجود في ضمن الصلاة الخارجية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صادرة عن الأجير النائب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عن فلان ، وفعل كأ نّه صادر عن المنوب عنه ، فيمكن أن يقال على سبيل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فلان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جاز اختلاف هذين الفعلين في الآثار فلا ينافي اعتبار القربة في الثاني جواز الاستئجار على الأوّل الذي لا يعتبر فيه القربة</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العبارة قرينة على مراده في سائر الفقرات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لو كان مراده تعدّد العمل كما توهّم فهو خلاف الواقع ؛ لأنّ الصلاة المأتيّ بها واحدة حقيقة واعتباراً ، وإنّما التعدّد في انتسابها إلى النائب</w:t>
      </w:r>
    </w:p>
    <w:p>
      <w:pPr>
        <w:pStyle w:val="BookText"/>
        <w:rPr/>
      </w:pPr>
      <w:r>
        <w:rPr>
          <w:rFonts w:ascii="IRNazanin" w:hAnsi="IRNazanin" w:eastAsia="IRNazanin"/>
          <w:color w:val="111111"/>
          <w:sz w:val="28"/>
          <w:sz w:val="28"/>
          <w:szCs w:val="28"/>
          <w:rtl w:val="true"/>
          <w:lang w:bidi="fa-IR"/>
        </w:rPr>
        <w:t xml:space="preserve">والمنوب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مراده ما ذكرناه فهو مخالف لما عليه عمل المتشرّعة وظاهر الشريعة ؛ لما تقدّم من أنّ الأجر مجعول في مقابل العمل في عرف المتشرّعة وهو الظاهر من الأخبار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النظر في وجه آخر منسوب إلى الشيخ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النيابة عنوان يلحق الفعل المنوب فيه وبه يصير متعلّقاً للإجارة ، وهو كون الصلاة عن </w:t>
      </w:r>
    </w:p>
    <w:p>
      <w:pPr>
        <w:pStyle w:val="BookText"/>
        <w:rPr/>
      </w:pPr>
      <w:r>
        <w:rPr>
          <w:rFonts w:ascii="Amiri" w:hAnsi="Amiri" w:eastAsia="Amiri" w:cs="Amiri"/>
          <w:color w:val="111111"/>
          <w:sz w:val="28"/>
          <w:sz w:val="28"/>
          <w:szCs w:val="28"/>
          <w:rtl w:val="true"/>
          <w:lang w:bidi="ar-SA"/>
        </w:rPr>
        <w:t>فلان ، فالصلاة من حيث ذاتها عبادة ومن حيث وصفها ؛ أي كونها عن الغير ، معاملة محضة نظير الصوم والصلاة في البيت</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ذلك أيضاً راجع إلى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يرد عليه من أ نّه تصوّر وتخيّل غير مربوط بما بيد المتشرّعة وعليه عملهم ، وغير موافق للظواهر ، كما أنّ الظاهر رجوع الوجه الآخر المنقول عن رسالة القضاء</w:t>
      </w:r>
      <w:r>
        <w:rPr>
          <w:rStyle w:val="FootnoteAnchor"/>
          <w:rtl w:val="true"/>
        </w:rPr>
        <w:footnoteReference w:id="811"/>
      </w:r>
      <w:r>
        <w:rPr>
          <w:rFonts w:ascii="Amiri" w:hAnsi="Amiri" w:eastAsia="Amiri" w:cs="Amiri"/>
          <w:color w:val="111111"/>
          <w:sz w:val="28"/>
          <w:sz w:val="28"/>
          <w:szCs w:val="28"/>
          <w:rtl w:val="true"/>
          <w:lang w:bidi="ar-SA"/>
        </w:rPr>
        <w:t xml:space="preserve">إلى ذلك ، وهو أنّ للصلاة 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عن قصد القربة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عن الغير ويؤخذ الأجر على هذا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ما يردّ سابقه مع أنّ تلك الوجوه لا تدفع أصل الإشكال ؛ ضرورة أنّ المؤجر لا يأتي بالعمل خالصاً للّه تعالى ، وإنّما يأتي به طلباً وطمعاً في الأجر ،</w:t>
      </w:r>
    </w:p>
    <w:p>
      <w:pPr>
        <w:pStyle w:val="BookText"/>
        <w:rPr/>
      </w:pPr>
      <w:r>
        <w:rPr>
          <w:rFonts w:ascii="Amiri" w:hAnsi="Amiri" w:eastAsia="Amiri" w:cs="Amiri"/>
          <w:color w:val="111111"/>
          <w:sz w:val="28"/>
          <w:sz w:val="28"/>
          <w:szCs w:val="28"/>
          <w:rtl w:val="true"/>
          <w:lang w:bidi="ar-SA"/>
        </w:rPr>
        <w:t xml:space="preserve">وبهذا يفترق فعل الأجير لعمل الغير عن فعله لعمل نفسه في مكان كذا مثلاً ؛ فأخذ الأجر لإتيان صلاته الفريضة في مكان كذا لا يضرّ بالإخلاص إذا أخذه للخصوصية بعد تحقّق داعيه لإتيان فريضته ، فالفرق بينهما واضح ، والتخلّص عن الإشكال ما تقدّم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مرّ صحّة العبادات الاستئجارية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على محمّد وآله </w:t>
      </w:r>
      <w:r>
        <w:rPr>
          <w:rFonts w:eastAsia="Amiri" w:cs="Amiri" w:ascii="Amiri" w:hAnsi="Amiri"/>
          <w:color w:val="111111"/>
          <w:sz w:val="28"/>
          <w:szCs w:val="28"/>
          <w:rtl w:val="true"/>
          <w:lang w:bidi="ar-SA"/>
        </w:rPr>
        <w:t xml:space="preserve">. </w:t>
      </w:r>
      <w:bookmarkStart w:id="297" w:name="pg15162_155641"/>
    </w:p>
    <w:p>
      <w:pPr>
        <w:pStyle w:val="Heading2"/>
        <w:numPr>
          <w:ilvl w:val="1"/>
          <w:numId w:val="1"/>
        </w:numPr>
        <w:rPr/>
      </w:pPr>
      <w:bookmarkStart w:id="298" w:name="__RefHeading___Toc1955548_2142443653"/>
      <w:bookmarkStart w:id="299" w:name="_Toc105"/>
      <w:bookmarkEnd w:id="297"/>
      <w:bookmarkEnd w:id="298"/>
      <w:r>
        <w:rPr>
          <w:rtl w:val="true"/>
        </w:rPr>
        <w:t>خاتمة</w:t>
      </w:r>
      <w:bookmarkEnd w:id="299"/>
    </w:p>
    <w:p>
      <w:pPr>
        <w:pStyle w:val="Heading3"/>
        <w:numPr>
          <w:ilvl w:val="2"/>
          <w:numId w:val="1"/>
        </w:numPr>
        <w:rPr/>
      </w:pPr>
      <w:bookmarkStart w:id="300" w:name="__RefHeading___Toc1955550_2142443653"/>
      <w:bookmarkStart w:id="301" w:name="_Toc106"/>
      <w:bookmarkEnd w:id="300"/>
      <w:r>
        <w:rPr>
          <w:rtl w:val="true"/>
        </w:rPr>
        <w:t>اشارة</w:t>
      </w:r>
      <w:bookmarkEnd w:id="301"/>
    </w:p>
    <w:p>
      <w:pPr>
        <w:pStyle w:val="Heading3"/>
        <w:numPr>
          <w:ilvl w:val="2"/>
          <w:numId w:val="1"/>
        </w:numPr>
        <w:rPr/>
      </w:pPr>
      <w:bookmarkStart w:id="302" w:name="__RefHeading___Toc1955552_2142443653"/>
      <w:bookmarkStart w:id="303" w:name="_Toc107"/>
      <w:bookmarkEnd w:id="302"/>
      <w:r>
        <w:rPr>
          <w:rtl w:val="true"/>
        </w:rPr>
        <w:t xml:space="preserve">وفيها مسألتان </w:t>
      </w:r>
      <w:r>
        <w:rPr>
          <w:rtl w:val="true"/>
        </w:rPr>
        <w:t>:</w:t>
      </w:r>
      <w:bookmarkEnd w:id="30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1955554_2142443653"/>
      <w:bookmarkStart w:id="305" w:name="_Toc108"/>
      <w:bookmarkEnd w:id="304"/>
      <w:r>
        <w:rPr>
          <w:rtl w:val="true"/>
        </w:rPr>
        <w:t>اشارة</w:t>
      </w:r>
      <w:bookmarkEnd w:id="30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5162_155643"/>
      <w:bookmarkStart w:id="307" w:name="pg15162_155643"/>
      <w:bookmarkEnd w:id="307"/>
    </w:p>
    <w:p>
      <w:pPr>
        <w:pStyle w:val="Heading4"/>
        <w:numPr>
          <w:ilvl w:val="3"/>
          <w:numId w:val="1"/>
        </w:numPr>
        <w:rPr/>
      </w:pPr>
      <w:bookmarkStart w:id="308" w:name="pg15162_155643"/>
      <w:bookmarkStart w:id="309" w:name="__RefHeading___Toc1955556_2142443653"/>
      <w:bookmarkStart w:id="310" w:name="_Toc109"/>
      <w:bookmarkEnd w:id="308"/>
      <w:bookmarkEnd w:id="309"/>
      <w:r>
        <w:rPr>
          <w:rtl w:val="true"/>
        </w:rPr>
        <w:t>المسألة الاُولى في جوائز السلطان الجائر وعمّاله</w:t>
      </w:r>
      <w:bookmarkEnd w:id="310"/>
    </w:p>
    <w:p>
      <w:pPr>
        <w:pStyle w:val="BookText"/>
        <w:rPr/>
      </w:pPr>
      <w:r>
        <w:rPr>
          <w:rFonts w:ascii="Amiri" w:hAnsi="Amiri" w:eastAsia="Amiri" w:cs="Amiri"/>
          <w:color w:val="111111"/>
          <w:sz w:val="28"/>
          <w:sz w:val="28"/>
          <w:szCs w:val="28"/>
          <w:rtl w:val="true"/>
          <w:lang w:bidi="ar-SA"/>
        </w:rPr>
        <w:t xml:space="preserve">جوائز السلطان الجائر وعمّاله ، وصِلاتهم ، بل مطلق المال المأخوذ منهم مجّاناً أو بعوض ، لا يخلو عن صور تعرّض لمهمّاتها الشيخ الأعظم قدّس سرّه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955558_2142443653"/>
      <w:bookmarkStart w:id="312" w:name="_Toc110"/>
      <w:bookmarkEnd w:id="311"/>
      <w:r>
        <w:rPr>
          <w:rtl w:val="true"/>
        </w:rPr>
        <w:t>وفیها مسألتان</w:t>
      </w:r>
      <w:r>
        <w:rPr>
          <w:rtl w:val="true"/>
        </w:rPr>
        <w:t>:</w:t>
      </w:r>
      <w:bookmarkEnd w:id="312"/>
    </w:p>
    <w:p>
      <w:pPr>
        <w:pStyle w:val="Heading4"/>
        <w:numPr>
          <w:ilvl w:val="3"/>
          <w:numId w:val="1"/>
        </w:numPr>
        <w:rPr/>
      </w:pPr>
      <w:bookmarkStart w:id="313" w:name="__RefHeading___Toc1955560_2142443653"/>
      <w:bookmarkStart w:id="314" w:name="_Toc111"/>
      <w:bookmarkEnd w:id="313"/>
      <w:r>
        <w:rPr>
          <w:rtl w:val="true"/>
        </w:rPr>
        <w:t xml:space="preserve">الصورة الاُولى </w:t>
      </w:r>
      <w:r>
        <w:rPr>
          <w:rtl w:val="true"/>
        </w:rPr>
        <w:t xml:space="preserve">: </w:t>
      </w:r>
      <w:r>
        <w:rPr>
          <w:rtl w:val="true"/>
        </w:rPr>
        <w:t>عدم العلم بوجود الحرام في جملة أموال الجائر</w:t>
      </w:r>
      <w:bookmarkEnd w:id="314"/>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أنّ في جملة أموال الجائر مالاً محرّماً يصلح أن يكون المأخوذ منه ، ولا يكون ما في يده طرف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الشبهة في أمواله بدوية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عنوان المسألة بما ذكرناه ؛ أي جعل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الجائر وعمّاله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813"/>
      </w:r>
      <w:r>
        <w:rPr>
          <w:rFonts w:ascii="IRNazanin" w:hAnsi="IRNazanin" w:eastAsia="IRNazanin"/>
          <w:color w:val="111111"/>
          <w:sz w:val="28"/>
          <w:sz w:val="28"/>
          <w:szCs w:val="28"/>
          <w:rtl w:val="true"/>
          <w:lang w:bidi="fa-IR"/>
        </w:rPr>
        <w:t>وظاهر المحقّق</w:t>
      </w:r>
      <w:r>
        <w:rPr>
          <w:rStyle w:val="FootnoteAnchor"/>
          <w:rtl w:val="true"/>
        </w:rPr>
        <w:footnoteReference w:id="814"/>
      </w:r>
      <w:r>
        <w:rPr>
          <w:rFonts w:ascii="IRNazanin" w:hAnsi="IRNazanin" w:eastAsia="IRNazanin"/>
          <w:color w:val="111111"/>
          <w:sz w:val="28"/>
          <w:sz w:val="28"/>
          <w:szCs w:val="28"/>
          <w:rtl w:val="true"/>
          <w:lang w:bidi="fa-IR"/>
        </w:rPr>
        <w:t xml:space="preserve">، ولهذا فسّر 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بالسلطان الجائر</w:t>
      </w:r>
      <w:r>
        <w:rPr>
          <w:rStyle w:val="FootnoteAnchor"/>
          <w:rtl w:val="true"/>
        </w:rPr>
        <w:footnoteReference w:id="815"/>
      </w:r>
      <w:r>
        <w:rPr>
          <w:rFonts w:ascii="Amiri" w:hAnsi="Amiri" w:eastAsia="Amiri" w:cs="Amiri"/>
          <w:color w:val="111111"/>
          <w:sz w:val="28"/>
          <w:sz w:val="28"/>
          <w:szCs w:val="28"/>
          <w:rtl w:val="true"/>
          <w:lang w:bidi="ar-SA"/>
        </w:rPr>
        <w:t xml:space="preserve">، وهو ظاهر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 كما يظهر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ذلك ؛ لأنّ مخالفة</w:t>
      </w:r>
    </w:p>
    <w:p>
      <w:pPr>
        <w:pStyle w:val="BookText"/>
        <w:rPr/>
      </w:pPr>
      <w:r>
        <w:rPr>
          <w:rFonts w:ascii="Amiri" w:hAnsi="Amiri" w:eastAsia="Amiri" w:cs="Amiri"/>
          <w:color w:val="111111"/>
          <w:sz w:val="28"/>
          <w:sz w:val="28"/>
          <w:szCs w:val="28"/>
          <w:rtl w:val="true"/>
          <w:lang w:bidi="ar-SA"/>
        </w:rPr>
        <w:t xml:space="preserve">قواعد العلم الإجمالي في المسائل الآتية لابدّ لها من مستند معتمد معمول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يقال باستثنائه منها نصّاً وفتوى هو نحو جوائز السلطان الجائر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 مطلق الظالم به كالسارق ، أو مطلق من لم يتورّع عن الحرام ، أو مطلق المال المخلوط به محلّ إشكال وكلام ، كما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جوائز السلطان وصِلاته وسائر ما يؤخذ منه بعوض أو بلا عوض شبهتين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لا يكون المال منه وتكون يده عليه غاصبة ، وهو مدفوع في هذه الصورة بقاعدة اليد وإطلاق أدلّتها، وببعض الروايات الآتية ولو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ممنوعية أخذ الجائزة والصلة وغيرهما من خصوص السلاطين الجائرين سيّما مثل الغاصبين للخلافة ، واحتمال عدم جواز أكل أموالهم والتصرّف فيها كاحتمال حرمة عشرتهم وصحابتهم والدخول عليهم ، وهو مدفوع بأصالة البراءة والحلّ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تمسّك الشيخ الأعظم بالأصل</w:t>
      </w:r>
      <w:r>
        <w:rPr>
          <w:rStyle w:val="FootnoteAnchor"/>
          <w:rtl w:val="true"/>
        </w:rPr>
        <w:footnoteReference w:id="817"/>
      </w:r>
      <w:r>
        <w:rPr>
          <w:rFonts w:ascii="Amiri" w:hAnsi="Amiri" w:eastAsia="Amiri" w:cs="Amiri"/>
          <w:color w:val="111111"/>
          <w:sz w:val="28"/>
          <w:sz w:val="28"/>
          <w:szCs w:val="28"/>
          <w:rtl w:val="true"/>
          <w:lang w:bidi="ar-SA"/>
        </w:rPr>
        <w:t xml:space="preserve">لدفع الشبهة الثانية لا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بعضهم كالفاضل الإيرواني في حيص وبيص ؛ من تمسّكه بالأصل أو حمل الأصل على قاعدة اليد</w:t>
      </w:r>
      <w:r>
        <w:rPr>
          <w:rStyle w:val="FootnoteAnchor"/>
          <w:rtl w:val="true"/>
        </w:rPr>
        <w:footnoteReference w:id="818"/>
      </w:r>
      <w:r>
        <w:rPr>
          <w:rFonts w:ascii="Amiri" w:hAnsi="Amiri" w:eastAsia="Amiri" w:cs="Amiri"/>
          <w:color w:val="111111"/>
          <w:sz w:val="28"/>
          <w:sz w:val="28"/>
          <w:szCs w:val="28"/>
          <w:rtl w:val="true"/>
          <w:lang w:bidi="ar-SA"/>
        </w:rPr>
        <w:t xml:space="preserve">لعلّه في غير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ما ذكرناه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إشكال في جواز أخذه وحلّية التصرّف فيه؛ للأصل </w:t>
      </w:r>
      <w:r>
        <w:rPr>
          <w:rFonts w:eastAsia="Amiri" w:cs="Amiri" w:ascii="Amiri" w:hAnsi="Amiri"/>
          <w:color w:val="111111"/>
          <w:sz w:val="28"/>
          <w:szCs w:val="28"/>
          <w:rtl w:val="true"/>
          <w:lang w:bidi="ar-SA"/>
        </w:rPr>
        <w:t>. . .»</w:t>
      </w:r>
      <w:r>
        <w:rPr>
          <w:rStyle w:val="FootnoteAnchor"/>
          <w:rtl w:val="true"/>
        </w:rPr>
        <w:footnoteReference w:id="819"/>
      </w:r>
      <w:r>
        <w:rPr>
          <w:rFonts w:ascii="IRNazanin" w:hAnsi="IRNazanin" w:eastAsia="IRNazanin"/>
          <w:color w:val="111111"/>
          <w:sz w:val="28"/>
          <w:sz w:val="28"/>
          <w:szCs w:val="28"/>
          <w:rtl w:val="true"/>
          <w:lang w:bidi="fa-IR"/>
        </w:rPr>
        <w:t xml:space="preserve">ولو فرض عدم ظهوره فلا أقلّ أ نّه محتمله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عدم الإشكال في الاحتياج إلى الأصل لدفع تلك الشبهة ، ولا تندفع بقاعدة اليد ، ولا بالعلم بكون المال ماله ؛ إذ احتمال أنّ جوائزه وعطاياه محرّمة علينا ولو علمنا أ نّها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مبغوضية مطلق التماسّ معهم بشؤونه سيّما ما كان مظنّة لجلب الحبّ والوداد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مدفوع إلاّ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بالجواز الفعلي والحلّية الفعلية يتوقّف على قاعدة اليد والأصل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تندفع الشبهتان ببعض الروايات الآتية ، فالتمسّك بالأصل مع الغضّ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الشيخ الأعظم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يوهم بعض الأخبار أ نّه يشترط في حلّ مال الجائر ثبوت مال حلال له ، مثل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الحميري أ نّه كتب إلى صاحب الزمان علیه السلام يسأله عن الرجل من وكلاء الوقف مستحلّ لما في يده لا يتورّع عن أخذ ماله ، ربّما نزلت في قرية وهو فيها ، أو أدخل منزله وقد حضر طعامه ، فيدعوني إليه ، فإن لم آكل من طعامه عاداني عليه ، فهل يجوز لي أن آكل من طعامه وأتصدّق بصدقة ، وكم مقدار الصدقة ؟ وإن أهدى هذا الوكيل هدية إلى رجل آخر ، فيدعوني إلى أن أنال منها وأنا أعلم أنّ الوكيل لا يتورّع عن أخذ ما في يده ، فهل عليّ فيه شيء إن أنا نلت منه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الرجل مال أو معاش غير ما في يده فكل طعامه </w:t>
      </w:r>
    </w:p>
    <w:p>
      <w:pPr>
        <w:pStyle w:val="BookText"/>
        <w:rPr/>
      </w:pPr>
      <w:r>
        <w:rPr>
          <w:rFonts w:ascii="Amiri" w:hAnsi="Amiri" w:eastAsia="Amiri" w:cs="Amiri"/>
          <w:color w:val="111111"/>
          <w:sz w:val="28"/>
          <w:sz w:val="28"/>
          <w:szCs w:val="28"/>
          <w:rtl w:val="true"/>
          <w:lang w:bidi="ar-SA"/>
        </w:rPr>
        <w:t>واقبل برّه ، وإلاّ فلا</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الشرط في الحلّية هو وجود مال آخر فإذا لم يعلم به لم يثبت الحلّ</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مبنيّ على أن يكون السؤال في الرواية عن شخص غير مبالٍ في مال الوقف وغير متورّع عن أكله ، فيكون محطّ شبهته أنّ يد غير المتورّع معتبرة كسائر الأيادي ويعامل مع ما في يده معاملة ملكه ، أو أ نّها ساقطة لأجل عدم تورّعه وعدم مبالاته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يتورّع عن مال الوقف تسقط يده فيما كانت معتبرة لو لم يكن كذلك ، ولا يكون السؤال عن حيث العلم الإجمالي أو التفصيلي بكون ما في يده حراماً حتّى تكون الرواية أجنبيّة عن الصورة المفروضة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السؤال ناظر إلى الوجه الأوّل ، والجواب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 معاش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مناسب له ، بل لعلّه ليس أمراً تعبّدياً ؛ لكونه ظاهراً موافق بناء العقلاء</w:t>
      </w:r>
    </w:p>
    <w:p>
      <w:pPr>
        <w:pStyle w:val="BookText"/>
        <w:rPr/>
      </w:pPr>
      <w:r>
        <w:rPr>
          <w:rFonts w:ascii="Amiri" w:hAnsi="Amiri" w:eastAsia="Amiri" w:cs="Amiri"/>
          <w:color w:val="111111"/>
          <w:sz w:val="28"/>
          <w:sz w:val="28"/>
          <w:szCs w:val="28"/>
          <w:rtl w:val="true"/>
          <w:lang w:bidi="ar-SA"/>
        </w:rPr>
        <w:t xml:space="preserve">أيضاً في ترتيب الأثر على اليد ؛ لأنّ من لم يكن له طريق معاش سوى السرقة أو غصب مال الغيركالوقف ونحوه لا يعامل العقلاء مع ما في يده معاملة ملكه ولو في الشبهة البدوية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الجواب بعد فرض كون السؤال عن الحيثية المتقدّمة أ نّه إذا لم يكن للرجل مال ومعاش غير الوقف لا يؤخذ برّه ولو مع عدم العلم تفصيلاً أو إجمالاً بكونه من مال الوقف ، وهو عبارة اُخرى عن سقوط اعتبار يده فيما تعتبر يد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ذكرناه يسقط الإشكال على الشيخ من هذه الجهة بأنّ الرواية أجنبيّة عن الصورة الاُولى</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 إشكال آخر عليه ، وهو أنّ موضوع السؤال والجواب فيها وإن كان عن يد الشخص الذي لا يتورّع عن الحرام الذي في يده ، لكن المفروض وجود ممرّ حرام معلوم بالتفصيل عنده وكان غير متورّع عنه ، فأجاب في الفرض بما أجاب الذي قلنا إنّه موافق لبناء العقلاء ظاهراً ، وهو غير الصور المذكورة ؛ أي صورة العلم الإجمالي بكون حرام في يده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فمفروض السؤال والجواب حيثية غير مربوطة بالصور المذكورة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الرواية أ نّه إن كان له مال آخر يجوز أخذ برّه ، وأمّا لزوم العلم الوجداني بكون المال غير الوقف وبكونه حلالاً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إحراز كونه غير الوقف بالبيّنة وإحراز كونه حلالاً بكونه في يده يكون كافياً لتحقّق موضوع الرواية وتكون أدلّة حجّية البيّنة واليد حاكمة عليها ومنقِّحة لموضوعها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من لزوم العلم بمال حلال له</w:t>
      </w:r>
      <w:r>
        <w:rPr>
          <w:rStyle w:val="FootnoteAnchor"/>
          <w:rtl w:val="true"/>
        </w:rPr>
        <w:footnoteReference w:id="823"/>
      </w:r>
      <w:r>
        <w:rPr>
          <w:rFonts w:ascii="Amiri" w:hAnsi="Amiri" w:eastAsia="Amiri" w:cs="Amiri"/>
          <w:color w:val="111111"/>
          <w:sz w:val="28"/>
          <w:sz w:val="28"/>
          <w:szCs w:val="28"/>
          <w:rtl w:val="true"/>
          <w:lang w:bidi="ar-SA"/>
        </w:rPr>
        <w:t xml:space="preserve">، غير ظاهر إن أراد بالعلم هو الوجداني منه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يستشكل في إحراز اليد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مذكور في الرواية ؛ لعدم الدليل على حجّية مثل تلك الأمارات لمثل هذه اللوازم</w:t>
      </w:r>
      <w:r>
        <w:rPr>
          <w:rStyle w:val="FootnoteAnchor"/>
          <w:rtl w:val="true"/>
        </w:rPr>
        <w:footnoteReference w:id="824"/>
      </w:r>
      <w:r>
        <w:rPr>
          <w:rFonts w:ascii="Amiri" w:hAnsi="Amiri" w:eastAsia="Amiri" w:cs="Amiri"/>
          <w:color w:val="111111"/>
          <w:sz w:val="28"/>
          <w:sz w:val="28"/>
          <w:szCs w:val="28"/>
          <w:rtl w:val="true"/>
          <w:lang w:bidi="ar-SA"/>
        </w:rPr>
        <w:t xml:space="preserve">، وللكلام فيه محلّ آخر </w:t>
      </w:r>
      <w:r>
        <w:rPr>
          <w:rFonts w:eastAsia="Amiri" w:cs="Amiri" w:ascii="Amiri" w:hAnsi="Amiri"/>
          <w:color w:val="111111"/>
          <w:sz w:val="28"/>
          <w:szCs w:val="28"/>
          <w:rtl w:val="true"/>
          <w:lang w:bidi="ar-SA"/>
        </w:rPr>
        <w:t xml:space="preserve">. </w:t>
      </w:r>
      <w:bookmarkStart w:id="315" w:name="pg15162_155648"/>
    </w:p>
    <w:p>
      <w:pPr>
        <w:pStyle w:val="Heading4"/>
        <w:numPr>
          <w:ilvl w:val="3"/>
          <w:numId w:val="1"/>
        </w:numPr>
        <w:rPr/>
      </w:pPr>
      <w:bookmarkStart w:id="316" w:name="__RefHeading___Toc1955562_2142443653"/>
      <w:bookmarkStart w:id="317" w:name="_Toc112"/>
      <w:bookmarkEnd w:id="315"/>
      <w:bookmarkEnd w:id="316"/>
      <w:r>
        <w:rPr>
          <w:rtl w:val="true"/>
        </w:rPr>
        <w:t>الصورة الثانية العلم الإجمالي بوجود الحرام في أموال السلطان الجائر</w:t>
      </w:r>
      <w:bookmarkEnd w:id="31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إجمالاً بأنّ في أموال الظالم مالاً حراماً يمكن أن تكون الجائزة منه تماماً أو بعضاً مع عدم العلم ولو إجمالاً بأنّ الجائزة مشتملة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الجائزة طرف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تنجيز العلم الإجمالي لأجل الجهات المشتركة مع سائر المباحث ، ككون الأطراف غير محصورة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المانع من تنجيزه من هذه الجهات مع قطع النظر عن خصوصية المورد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955564_2142443653"/>
      <w:bookmarkStart w:id="319" w:name="_Toc113"/>
      <w:bookmarkEnd w:id="318"/>
      <w:r>
        <w:rPr>
          <w:rtl w:val="true"/>
        </w:rPr>
        <w:t>وفیها صورتان</w:t>
      </w:r>
      <w:r>
        <w:rPr>
          <w:rtl w:val="true"/>
        </w:rPr>
        <w:t>:</w:t>
      </w:r>
      <w:bookmarkEnd w:id="319"/>
    </w:p>
    <w:p>
      <w:pPr>
        <w:pStyle w:val="Heading4"/>
        <w:numPr>
          <w:ilvl w:val="3"/>
          <w:numId w:val="1"/>
        </w:numPr>
        <w:rPr/>
      </w:pPr>
      <w:bookmarkStart w:id="320" w:name="__RefHeading___Toc1955566_2142443653"/>
      <w:bookmarkStart w:id="321" w:name="_Toc114"/>
      <w:bookmarkEnd w:id="320"/>
      <w:r>
        <w:rPr>
          <w:rtl w:val="true"/>
        </w:rPr>
        <w:t xml:space="preserve">الاُولى </w:t>
      </w:r>
      <w:r>
        <w:rPr>
          <w:rtl w:val="true"/>
        </w:rPr>
        <w:t xml:space="preserve">: </w:t>
      </w:r>
      <w:r>
        <w:rPr>
          <w:rtl w:val="true"/>
        </w:rPr>
        <w:t>فيما لو كان العلم الإجمالي غير منجّز كالشبهة غير المحصورة</w:t>
      </w:r>
      <w:bookmarkEnd w:id="321"/>
    </w:p>
    <w:p>
      <w:pPr>
        <w:pStyle w:val="BookText"/>
        <w:rPr/>
      </w:pPr>
      <w:r>
        <w:rPr>
          <w:rFonts w:ascii="Amiri" w:hAnsi="Amiri" w:eastAsia="Amiri" w:cs="Amiri"/>
          <w:color w:val="111111"/>
          <w:sz w:val="28"/>
          <w:sz w:val="28"/>
          <w:szCs w:val="28"/>
          <w:rtl w:val="true"/>
          <w:lang w:bidi="ar-SA"/>
        </w:rPr>
        <w:t xml:space="preserve">وقبل الورود في المطلب لابدّ من التنبيه بأمر ربما صار الخلط فيه موجباً للخطأ في كثير من مباحث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العلم بالتكليف بحسب الكبرى الكلّية قد يتعلّق بتكليف فعلي يعلم بعدم رضا المولى بتركه كائناً ما كان ؛ لأجل أهمّيته عنده ، نظير قتل النبي رحمهما اللّه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الولد في الموالي العرفية ، ومعه يسقط جميع الاُصول العقلية والشرعية وجميع الأمارات العقلائية والشرعية ، ويجب عقلاً الاحتياط التامّ ، حرجياً كان أم لا ، ولا عذر إلاّ العجز العقلي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 نّه مع هذا العلم الوجداني بالتكليف الفعلي الكذائي لا يحتمل جواز الترخيص في العمل بالأمارات ولو في الشبهات البدوية وكذا في العمل بالاُصول ؛ لأنّ جواز الترخيص بها مساوق لاحتمال اجتماع النقيضين ؛ ضرورة أنّ العلم الوجداني بعدم رضا المولى بترك الواقع لا يجتمع مع احتمال الترخيص في تركه ، فإنّ إجازة العمل بالأمارة أو الأصل ولو في الشبهة البدوية ملازمة للترخيص في ترك الواقع على فرض تخلّفها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العلم بهذه المرتبة من الأهمّية بيان على التكليف الواقعي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إيجاب الاحتياط ، وهو بيان وارد على قاعدة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لا يمكن الترخيص في الشبهات البدوية فضلاً عن أطراف العلم أو بعضها ، وفي مثله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الترخيص في الأطراف ترخيص في المعصية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الصورة قليلة الاتّفاق في الشرعيات ، ويجب فيها على المولى عقلاً إيجاب الاحتياط في الشبهات البدوية مع عدم العلم بهذه المرتبة من الأهمّية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يتعلّق العلم بالحجّة ، كإطلاق دليل أو عموم عامّ أو نحو ذلك من ظاهر الكتاب والسنّة ، لا العلم بالتكليف الواقعي الفعلي ، فإطلاق الكتاب يقتضي حرمة الميتة والخمر ، كانتا معلومتين تفصيلاً أو إجمالاً أم مجهولتين ، ولكن العلم بالإطلاق لا يلازم العلم الوجداني بالتكليف الواقعي الفعلي ، وإن يلازم العلم بقيام الحجّة على الواقع ، لكن يحتمل وجداناً تخلّفها عن الواقع وإن لا عذر </w:t>
      </w:r>
    </w:p>
    <w:p>
      <w:pPr>
        <w:pStyle w:val="BookText"/>
        <w:rPr/>
      </w:pPr>
      <w:r>
        <w:rPr>
          <w:rFonts w:ascii="Amiri" w:hAnsi="Amiri" w:eastAsia="Amiri" w:cs="Amiri"/>
          <w:color w:val="111111"/>
          <w:sz w:val="28"/>
          <w:sz w:val="28"/>
          <w:szCs w:val="28"/>
          <w:rtl w:val="true"/>
          <w:lang w:bidi="ar-SA"/>
        </w:rPr>
        <w:t xml:space="preserve">للعبد مع قيام الحجّة في التخلّف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لا مانع عقلاً من الترخيص في المخالفة القطعية فضلاً عن الاحتمالية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هي التي ينبغي أن يبنى عليها المباحث الآتية ومباحث العلم الإجمالي في باب الاشتغال ، فمع عدم امتناع الترخيص في الأطراف جميعاً أو بعضاً يلاحظ مقتضى الأدلّة المرخّصة ويؤخذ بها ، وإن اقتضت الترخيص في جميعها ، فإنّ الترخيص في الجميع يلازم غمض العين عن التكليف الواقعي لمصالح أهمّ منه ولو لم نعلم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فالترخيص في جميع الأطراف في هذه الصورة كالترخيص في الشبهة البدوية والترخيص في العمل بالأمارات في إمكانه ، كما أنّ الجميع مشتركة في الصورة الاُولى في 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فمباحث العلم الإجمالي في باب القطع ينبغي أن تكون من قبيل الصورة الاُولى ، كما أنّ مباحث العلم الإجمالي في باب الاشتغال ، كعدم تنجيزه في الشبهة غير المحصورة ، أو في صورة الاضطرار إلى بعض الأطراف ، أو في صورة عدم الابتلاء به ، إلى غير ذلك من مباحث التنجيز واللا تنجيز والانحلال التعبّدي وغير ذلك ، ينبغي أن يبحث عنها في فرض الصورة الثانية ، فإنّها ساقطة مع الصورة الاُولى ، كما لا يخفى على اُولي النهى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وبحثنا في المقام من قبيل الصورة الثانية ، فمع فرض هذه الصورة لو كان العلم الإجمالي غير منجّز كالشبهة غير المحصورة أو كفرض الاضطرار إلى بعض الأطراف وغيرهما من موارد عدم التنجيز فحكمها حينئذٍ كالصورة الاُولى بعين ما ذكر فيها </w:t>
      </w:r>
      <w:r>
        <w:rPr>
          <w:rFonts w:eastAsia="Amiri" w:cs="Amiri" w:ascii="Amiri" w:hAnsi="Amiri"/>
          <w:color w:val="111111"/>
          <w:sz w:val="28"/>
          <w:szCs w:val="28"/>
          <w:rtl w:val="true"/>
          <w:lang w:bidi="ar-SA"/>
        </w:rPr>
        <w:t xml:space="preserve">. </w:t>
      </w:r>
      <w:bookmarkStart w:id="322" w:name="pg15162_155651"/>
    </w:p>
    <w:p>
      <w:pPr>
        <w:pStyle w:val="Heading4"/>
        <w:numPr>
          <w:ilvl w:val="3"/>
          <w:numId w:val="1"/>
        </w:numPr>
        <w:rPr/>
      </w:pPr>
      <w:bookmarkStart w:id="323" w:name="__RefHeading___Toc1955568_2142443653"/>
      <w:bookmarkStart w:id="324" w:name="_Toc115"/>
      <w:bookmarkEnd w:id="322"/>
      <w:bookmarkEnd w:id="323"/>
      <w:r>
        <w:rPr>
          <w:rtl w:val="true"/>
        </w:rPr>
        <w:t>حول القول بكراهة أخذ الجوائز في المقام</w:t>
      </w:r>
      <w:bookmarkEnd w:id="324"/>
    </w:p>
    <w:p>
      <w:pPr>
        <w:pStyle w:val="BookText"/>
        <w:rPr/>
      </w:pPr>
      <w:r>
        <w:rPr>
          <w:rFonts w:ascii="Amiri" w:hAnsi="Amiri" w:eastAsia="Amiri" w:cs="Amiri"/>
          <w:color w:val="111111"/>
          <w:sz w:val="28"/>
          <w:sz w:val="28"/>
          <w:szCs w:val="28"/>
          <w:rtl w:val="true"/>
          <w:lang w:bidi="ar-SA"/>
        </w:rPr>
        <w:t>ثمّ إنّه حكي عن جماعة كراهة الأخذ</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بنينا على عدم التعرّض إلاّ لمهمّات المسائل لكن لا بأس هنا بالإشارة الإجمالية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عناوين ، كراهة كلّ منها على فرض ثبوتها غير مربوطة بالآخر ، كما أنّ رفعها لا يكون على نسق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الاستعطاء من السلطان وعمّاله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جوائزهم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نفس المأخوذ استعطاء بما هو مأخوذ كذلك أو بنحو الجائزة بلا استعطاء بما هو مأخوذ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المال المنسوب إليهم وإن لم يكن بنحو الاستعطاء أو الجائزة وعلم كونه ماله وحلّيته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المال وأخذه بما أ نّه مال مشتبه حلّيته وحرمته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الصورة الاُولى خارجة عن محلّ البحث وإن كان الاستعطاء مكروهاً مطلقاً ، ولعلّه من الجائر أشدّ ، كما هو ظاهر بعض الروايات الآتية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استدلّوا لها في المقام بعضها راجع إلى العنوان الأخير ، وبعضها إلى الثاني </w:t>
      </w:r>
    </w:p>
    <w:p>
      <w:pPr>
        <w:pStyle w:val="BookText"/>
        <w:rPr/>
      </w:pPr>
      <w:r>
        <w:rPr>
          <w:rFonts w:ascii="Amiri" w:hAnsi="Amiri" w:eastAsia="Amiri" w:cs="Amiri"/>
          <w:color w:val="111111"/>
          <w:sz w:val="28"/>
          <w:sz w:val="28"/>
          <w:szCs w:val="28"/>
          <w:rtl w:val="true"/>
          <w:lang w:bidi="ar-SA"/>
        </w:rPr>
        <w:t xml:space="preserve">أو الثالث أيضاً ، كما أنّ ما ذكر في رفع الكراهة من إخبار ذي اليد وإخراج الخمس على فرض صحّته إنّما هو راجع إلى رفع الكراهة الحاصلة بالعنوان الأخير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تعميم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نجا من المحرّمات</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وكذا أخبار التثليث</w:t>
      </w:r>
      <w:r>
        <w:rPr>
          <w:rStyle w:val="FootnoteAnchor"/>
          <w:rtl w:val="true"/>
        </w:rPr>
        <w:footnoteReference w:id="828"/>
      </w:r>
      <w:r>
        <w:rPr>
          <w:rFonts w:ascii="Amiri" w:hAnsi="Amiri" w:eastAsia="Amiri" w:cs="Amiri"/>
          <w:color w:val="111111"/>
          <w:sz w:val="28"/>
          <w:sz w:val="28"/>
          <w:szCs w:val="28"/>
          <w:rtl w:val="true"/>
          <w:lang w:bidi="ar-SA"/>
        </w:rPr>
        <w:t>والتوقّف</w:t>
      </w:r>
      <w:r>
        <w:rPr>
          <w:rStyle w:val="FootnoteAnchor"/>
          <w:rtl w:val="true"/>
        </w:rPr>
        <w:footnoteReference w:id="829"/>
      </w:r>
      <w:r>
        <w:rPr>
          <w:rFonts w:ascii="Amiri" w:hAnsi="Amiri" w:eastAsia="Amiri" w:cs="Amiri"/>
          <w:color w:val="111111"/>
          <w:sz w:val="28"/>
          <w:sz w:val="28"/>
          <w:szCs w:val="28"/>
          <w:rtl w:val="true"/>
          <w:lang w:bidi="ar-SA"/>
        </w:rPr>
        <w:t xml:space="preserve">إلى جميع الصور المتقدّمة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تلك الصور شبهة الحرمة ، فكما أنّ في الأموال التي بيده ريباً وشبهة ، كذا في الاستعطاء وأخذ الجائزة من السلطان وعمّاله والتصرّف فيها بل في مطلق المال المنسوب إليهم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لجميعها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عدم ثبوت الكراهة الشرعية التابعة لحزازة ذاتية من تلك الأخبار على كثرتها ؛ لأنّ لسانها لسان الإرشاد إلى عدم الابتلاء بالمحرّمات ، كما 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نجا من المحرّمات ، ومن أخذ بالشبهات ارتكب المحرّمات 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والمعاصي </w:t>
      </w:r>
    </w:p>
    <w:p>
      <w:pPr>
        <w:pStyle w:val="BookText"/>
        <w:rPr/>
      </w:pPr>
      <w:r>
        <w:rPr>
          <w:rFonts w:ascii="Amiri" w:hAnsi="Amiri" w:eastAsia="Amiri" w:cs="Amiri"/>
          <w:color w:val="111111"/>
          <w:sz w:val="28"/>
          <w:sz w:val="28"/>
          <w:szCs w:val="28"/>
          <w:rtl w:val="true"/>
          <w:lang w:bidi="ar-SA"/>
        </w:rPr>
        <w:t>حمى اللّه ،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الناظر في الأخبار الواردة في عدم جواز الفتياء بغير علم والقضاء كذلك</w:t>
      </w:r>
      <w:r>
        <w:rPr>
          <w:rStyle w:val="FootnoteAnchor"/>
          <w:rtl w:val="true"/>
        </w:rPr>
        <w:footnoteReference w:id="831"/>
      </w:r>
      <w:r>
        <w:rPr>
          <w:rFonts w:ascii="Amiri" w:hAnsi="Amiri" w:eastAsia="Amiri" w:cs="Amiri"/>
          <w:color w:val="111111"/>
          <w:sz w:val="28"/>
          <w:sz w:val="28"/>
          <w:szCs w:val="28"/>
          <w:rtl w:val="true"/>
          <w:lang w:bidi="ar-SA"/>
        </w:rPr>
        <w:t xml:space="preserve">، وما ورد من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رشده ، وبيّن غيّه</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وغير ذلك ممّا وردت في العلم يقطع بأنّ المراد منه فيها على كثرتها كتاباً وسنّة ليس خصوص العلم الوجداني بل الأعمّ منه وممّا حصل من ظاهر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أفتى بظاهر الكتاب والسنّة وقضى على موازين القضاء أفتى وقضى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الرشد ما دلّ الدليل الشرعي على رشده لا خصوص ما علم وجداناً ، وكذا المراد من الريب والشكّ والجهل ونحوها المقابل له ليس الوجداني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تكون أدلّة اليد وسائر الأمارات حاكمة أو واردة على مثل تلك الروايات ومعدمة لموضوعها تعبّداً وتحكيماً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الريب من جهة الشبهة الحكمية مدفوع بمثل حديث الرفع</w:t>
      </w:r>
      <w:r>
        <w:rPr>
          <w:rStyle w:val="FootnoteAnchor"/>
          <w:rtl w:val="true"/>
        </w:rPr>
        <w:footnoteReference w:id="833"/>
      </w:r>
      <w:r>
        <w:rPr>
          <w:rFonts w:ascii="Amiri" w:hAnsi="Amiri" w:eastAsia="Amiri" w:cs="Amiri"/>
          <w:color w:val="111111"/>
          <w:sz w:val="28"/>
          <w:sz w:val="28"/>
          <w:szCs w:val="28"/>
          <w:rtl w:val="true"/>
          <w:lang w:bidi="ar-SA"/>
        </w:rPr>
        <w:t xml:space="preserve">الحاكم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سؤال قلّة المورد أو فقدانه في تلك الأدلّة ، وللكلام فيه محلّ آخر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إثبات الكراهة الشرعية بها غير وجيه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الاستدلال لها في بعض تلك العناوين المتقدّمة أو جميعها ببعض روايات 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صحّتها ؛ إذ ليس في سندها ما يناقش فيه إلاّ سهل بن زياد ، وهو سهل ، وفي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ابن حكيم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وصونوا دينكم بالورع ، وقوّوه بالتقيّة والاستغناء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طلب الحوائج إلى صاحب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خضع لصاحب سلطان ولمن يخالفه على دينه طلباً لما في يديه من دنياه أخمله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ومقته عليه ، ووكّله إليه ، فإن هو</w:t>
      </w:r>
    </w:p>
    <w:p>
      <w:pPr>
        <w:pStyle w:val="BookText"/>
        <w:rPr/>
      </w:pPr>
      <w:r>
        <w:rPr>
          <w:rFonts w:ascii="Amiri" w:hAnsi="Amiri" w:eastAsia="Amiri" w:cs="Amiri"/>
          <w:color w:val="111111"/>
          <w:sz w:val="28"/>
          <w:sz w:val="28"/>
          <w:szCs w:val="28"/>
          <w:rtl w:val="true"/>
          <w:lang w:bidi="ar-SA"/>
        </w:rPr>
        <w:t xml:space="preserve">غلب على شيء من دنياه فصار إليه منه شيء نزع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منه ولم يأجره على شيء منه ينفقه في حجّ ولا عتق ولا برّ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صدرها استحباب الاستغناء عن طلب الحوائج من صاحب السلطان ، بل لا يبعد استفادة كراهة طلبها منه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الثانية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خضع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ظاهرة في شدّة كراهة الخضوع له طلباً لما في يده ولو بنحو الجائزة المترتّبة على جلب قلبه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والفقرة الثالثة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هو غلب على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كانت مربوطة بخصوص الخاضع لطلب الدنيا فلا دلالة فيها إلاّ على عدم البركة والخير في المال الذي يصير إليه بتلك الوسيلة ولو بنحو الجائزة ، فتدلّ على كراهة التصرّف في المأخوذ جائزة في هذا الفرض لا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أعمّ من ذلك ويراد بها من صار إليه شيء من أمواله مطلقاً ، فلا بركة فيه تدلّ على كراهة المأخوذ منهم عطيّة وجائزة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على هذا الفرض استفادة كراهة القبول أيضاً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الاحتمال الأوّل ، فلا دلالة فيها على كراهة مطلق الجائزة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تدلّ على كراهة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رجوع الضمير إلى طالب الحوائج ،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الروايات فلا دلالة فيها على الكراهة الشرعية ، لا في المال ولا في سائر العناوين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أحدكم لا يصيب من دنياهم شيئاً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في ذيل صحيحة أبي بصير</w:t>
      </w:r>
      <w:r>
        <w:rPr>
          <w:rStyle w:val="FootnoteAnchor"/>
          <w:rtl w:val="true"/>
        </w:rPr>
        <w:footnoteReference w:id="835"/>
      </w:r>
      <w:r>
        <w:rPr>
          <w:rFonts w:ascii="Amiri" w:hAnsi="Amiri" w:eastAsia="Amiri" w:cs="Amiri"/>
          <w:color w:val="111111"/>
          <w:sz w:val="28"/>
          <w:sz w:val="28"/>
          <w:szCs w:val="28"/>
          <w:rtl w:val="true"/>
          <w:lang w:bidi="ar-SA"/>
        </w:rPr>
        <w:t xml:space="preserve">وبمنزلة التعليل لحرمة الدخول في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 أ نّهم استعملوكم في الحرام لا محالة ، فلا يمكن استفادة الكراهة من التعليل الوارد في الدخول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عن موسى بن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لولا أ نّي أرى من اُزوّجه بها من عزّاب </w:t>
      </w:r>
      <w:r>
        <w:rPr>
          <w:rFonts w:eastAsia="Amiri" w:cs="Amiri" w:ascii="Amiri" w:hAnsi="Amiri"/>
          <w:color w:val="111111"/>
          <w:sz w:val="28"/>
          <w:szCs w:val="28"/>
          <w:rtl w:val="true"/>
          <w:lang w:bidi="ar-SA"/>
        </w:rPr>
        <w:t>. . .»</w:t>
      </w:r>
      <w:r>
        <w:rPr>
          <w:rStyle w:val="FootnoteAnchor"/>
          <w:rtl w:val="true"/>
        </w:rPr>
        <w:footnoteReference w:id="836"/>
      </w:r>
      <w:r>
        <w:rPr>
          <w:rFonts w:ascii="Amiri" w:hAnsi="Amiri" w:eastAsia="Amiri" w:cs="Amiri"/>
          <w:color w:val="111111"/>
          <w:sz w:val="28"/>
          <w:sz w:val="28"/>
          <w:szCs w:val="28"/>
          <w:rtl w:val="true"/>
          <w:lang w:bidi="ar-SA"/>
        </w:rPr>
        <w:t xml:space="preserve">فلأنّ وجه عدم قبوله غير معلوم ، ولعلّه للاحتراز عن المشتبه احتياطاً ، ومعه لا تدلّ على الكراهة الشرعية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وبمثلها يجاب عن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الحسن علیه السلام والحسين علیه السلام </w:t>
      </w:r>
    </w:p>
    <w:p>
      <w:pPr>
        <w:pStyle w:val="BookText"/>
        <w:rPr/>
      </w:pPr>
      <w:r>
        <w:rPr>
          <w:rFonts w:ascii="Amiri" w:hAnsi="Amiri" w:eastAsia="Amiri" w:cs="Amiri"/>
          <w:color w:val="111111"/>
          <w:sz w:val="28"/>
          <w:sz w:val="28"/>
          <w:szCs w:val="28"/>
          <w:rtl w:val="true"/>
          <w:lang w:bidi="ar-SA"/>
        </w:rPr>
        <w:t>يأخذان من معاوية الأموال فلا ينفقان من ذلك على أنفسهما ولا على عيالهما ما</w:t>
      </w:r>
    </w:p>
    <w:p>
      <w:pPr>
        <w:pStyle w:val="BookText"/>
        <w:rPr/>
      </w:pPr>
      <w:r>
        <w:rPr>
          <w:rFonts w:ascii="Amiri" w:hAnsi="Amiri" w:eastAsia="Amiri" w:cs="Amiri"/>
          <w:color w:val="111111"/>
          <w:sz w:val="28"/>
          <w:sz w:val="28"/>
          <w:szCs w:val="28"/>
          <w:rtl w:val="true"/>
          <w:lang w:bidi="ar-SA"/>
        </w:rPr>
        <w:t>تحمله الذبابة بفيها</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قد تشعر بالكراهة صحيحة الوليد بن صبيح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فاستقبلني زرارة ،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وليد ، متى كانت الشيعة تسأل عن أعمالهم ؟ إنّما كانت الشيعة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يؤكل من طعامهم ويشرب من شرابهم ويستظلّ بظلّهم</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يبعد أن يكون ذلك تقريراً على حزازة أكل طعامهم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ولولا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يستظلّ بظلّهم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 من المحتمل أن يراد من السؤال عن الأكل والشرب دفع احتمال نجاستهم ، فلا يخلو ما ذكر من الإشعار بالحزازة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إثبات الكراهة بذلك مشكل ، فلا 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دلالة بعض الروايات على عدمها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بجوائز السلطان</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بناءً على أنّ البأس أعمّ من الحرمة أو استعماله غالباً في الكراهة ، وإن احتمل في المقام بمناسبة غلبة شبهة الحرمة رجحان إرادة نفيها ، لا نفي الكراهة أو الأعمّ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علیهما السلام كانا يقبلان جوائز معاوية</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كان بصدد بيان الحكم من حكاية عملهما ، فلا يبعد ظهورها في نفي البأس مطلقاً لولا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وكبعض الروايات الدالّة على إجازة الأخذ والحجّ بها ، وأوضح منها رواية عمر أخي عذافر المشتملة على حكاية ذهاب متاعه و وعد عامل المدينة إعطاء عوضه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فائت عامل المدينة فتنجز منه ما وعدك ، فإنّما هو شيء دعاك اللّه إليه لم تطلبه منه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أ نّه مع عدم الطلب لا حزازة في أخذه ولا في المأخوذ ؛ لأ نّه من دعوة اللّه تعالى وعطيّته ، مضافاً إلى أنّ الطلب مكروه لا حرام ، والظاهر منها</w:t>
      </w:r>
    </w:p>
    <w:p>
      <w:pPr>
        <w:pStyle w:val="BookText"/>
        <w:rPr/>
      </w:pPr>
      <w:r>
        <w:rPr>
          <w:rFonts w:ascii="IRNazanin" w:hAnsi="IRNazanin" w:eastAsia="IRNazanin"/>
          <w:color w:val="111111"/>
          <w:sz w:val="28"/>
          <w:sz w:val="28"/>
          <w:szCs w:val="28"/>
          <w:rtl w:val="true"/>
          <w:lang w:bidi="fa-IR"/>
        </w:rPr>
        <w:t xml:space="preserve">رفع ما ثبت بالطلب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الرواية رافعة لإجمال رواية حريز المتقدّمة لو كان فيها إجمال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ذلك أنّ في المأخوذ مع الاستعطاء أو بالملق والخضوع حزازة وفي التصرّف فيه كراهة ، وبدون ذلك لا دليل على كراهته الشرعية </w:t>
      </w:r>
      <w:r>
        <w:rPr>
          <w:rFonts w:eastAsia="Amiri" w:cs="Amiri" w:ascii="Amiri" w:hAnsi="Amiri"/>
          <w:color w:val="111111"/>
          <w:sz w:val="28"/>
          <w:szCs w:val="28"/>
          <w:rtl w:val="true"/>
          <w:lang w:bidi="ar-SA"/>
        </w:rPr>
        <w:t xml:space="preserve">. </w:t>
      </w:r>
      <w:bookmarkStart w:id="325" w:name="pg15162_155658"/>
    </w:p>
    <w:p>
      <w:pPr>
        <w:pStyle w:val="BookText"/>
        <w:rPr/>
      </w:pPr>
      <w:bookmarkEnd w:id="325"/>
      <w:r>
        <w:rPr>
          <w:rFonts w:ascii="Amiri" w:hAnsi="Amiri" w:eastAsia="Amiri" w:cs="Amiri"/>
          <w:color w:val="111111"/>
          <w:sz w:val="28"/>
          <w:sz w:val="28"/>
          <w:szCs w:val="28"/>
          <w:rtl w:val="true"/>
          <w:lang w:bidi="ar-SA"/>
        </w:rPr>
        <w:t xml:space="preserve">ثمّ إنّ الكراهة لو كانت من ناحية الاستعطاء أو الملق والاستعطاف ، أو لأجل كون الأخذ والاستفادة منه معرضاً لحصول المحبّة له ، أو قلنا بكراهة نفس الأخذ فلا ترفع بإخبار ذي اليد ولا بإخراج الخمس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رفعها مطلقاً بإخباره بما هو ذو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المراد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الريب الوجداني وقلنا باستفادة الكراهة منه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برفعها بإخبار من يوثق بصدقه كان بذي اليد أم لا ، لرفع الريب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يرفع بإخراج الخمس وإن قلنا باستحبابه ؛ لعدم الملازمة بين استحبابه وعدم الكراهة في التصرّف في البقيّ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 والأمر سهل </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955570_2142443653"/>
      <w:bookmarkStart w:id="327" w:name="_Toc116"/>
      <w:bookmarkEnd w:id="326"/>
      <w:r>
        <w:rPr>
          <w:rtl w:val="true"/>
        </w:rPr>
        <w:t xml:space="preserve">الثانية </w:t>
      </w:r>
      <w:r>
        <w:rPr>
          <w:rtl w:val="true"/>
        </w:rPr>
        <w:t xml:space="preserve">: </w:t>
      </w:r>
      <w:r>
        <w:rPr>
          <w:rtl w:val="true"/>
        </w:rPr>
        <w:t>فيما لو كان العلم الإجمالي منجّزاً كالشبهة المحصورة</w:t>
      </w:r>
      <w:bookmarkEnd w:id="327"/>
    </w:p>
    <w:p>
      <w:pPr>
        <w:pStyle w:val="Heading4"/>
        <w:numPr>
          <w:ilvl w:val="3"/>
          <w:numId w:val="1"/>
        </w:numPr>
        <w:rPr/>
      </w:pPr>
      <w:bookmarkStart w:id="328" w:name="__RefHeading___Toc1955572_2142443653"/>
      <w:bookmarkStart w:id="329" w:name="_Toc117"/>
      <w:bookmarkEnd w:id="328"/>
      <w:r>
        <w:rPr>
          <w:rtl w:val="true"/>
        </w:rPr>
        <w:t>حول جريان أصالة الحلّ في المقام</w:t>
      </w:r>
      <w:bookmarkEnd w:id="32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عدم المانع من تنجيز العلم الإجمالي بالجهات العامّة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الغضّ عن أخبار الباب وغيرها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حاصل بأنّ هذا المال الذي أجاز الجائر في تصرّفه أو أعطاه جائزة لغير الجائر أو غيره ممّا في يده ، ومقتضاه الاجتناب عن الجميع ، ولو قلنا بأنّ الخروج من محلّ الابتلاء مؤثّر في عدم تنجيزه؛ فإنّ الأموال التي تحت يد الجائر غير خارج عنه ؛ ضرورة عدم استهجان الخطاب بالنسبة إليها ، وأ نّها مورد ابتلائه من حيث إمكان الابتياع وإجازة التصرّف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الخروج بهذا النحو عن محلّ الابتلاء خلاف الضرورة مع الغضّ عن فساد أصل المبنى ، فالعلم الإجمالي موجب للتنجيز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المغصوب منه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 لأنّ مال زيد مثلاً بما هو ماله وبهذا العنوان ليس موضوعاً للحكم ، وما هو موضوع له هو مال الغير بلا إذنه أو مال أخ مسلم بغير طيب نفسه ، ولم يتعلّق علم إجمالي بهذا العنوان ؛ لأنّ ما في يد الجائر غير المأذون فيه</w:t>
      </w:r>
    </w:p>
    <w:p>
      <w:pPr>
        <w:pStyle w:val="BookText"/>
        <w:rPr/>
      </w:pP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تفصيلاً أ نّه للغير ولامرئ مسلم لا يطيب نفسه بالتصرّف فيه كما هو معلوم الحرمة تفصيلاً ، فالحكم الشرعي وموضوعه معلومان تفصيلاً بالنسبة إلى ما في يد الجائر وإن لم يعلم أ نّه له أو لغيره ، وما أجاز في التصرّف فيه مشتبه بدوي بالنسبة إلى الموضوع ذي الحكم ، وكذا بالنسبة إلى الحكم وإن علم إجمالاً أنّ هذا لزيد أو ما في يد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إجمالاً ليس موضوعاً للحكم ، ولا إجمال فيما هو 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بوجه نظير ما علم تفصيلاً بكون مائع خمراً ، وعلم إجمالاً بأ نّها إمّا من هذا العنب أو ذاك ، فإنّ العلم الإجمالي غير متعلّق بموضوع ذي حكم فلا يكون منجّزاً في عرض العلم التفصيلي ، فالعلم الإجمالي المذكور لا يمنع عن أصالة الحلّ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مسرح لإجراء أدلّة حلّ ما لم يعلم بحرمته في المقام ؛ يعني في باب إباحة التصرّف في جوائز السلطان أصلاً ؛ لأ نّه إن كان هناك أصل أو أمارة تقتضي جوازه كاليد وأصالة صحّة تصرّف المسلم على تقدير جريانهما </w:t>
      </w:r>
    </w:p>
    <w:p>
      <w:pPr>
        <w:pStyle w:val="BookText"/>
        <w:rPr/>
      </w:pPr>
      <w:r>
        <w:rPr>
          <w:rFonts w:ascii="Amiri" w:hAnsi="Amiri" w:eastAsia="Amiri" w:cs="Amiri"/>
          <w:color w:val="111111"/>
          <w:sz w:val="28"/>
          <w:sz w:val="28"/>
          <w:szCs w:val="28"/>
          <w:rtl w:val="true"/>
          <w:lang w:bidi="ar-SA"/>
        </w:rPr>
        <w:t>فالحلّ مستند إليه ، وإلاّ فأصالة عدم ملك المجيز لما أجازه ، أو عدم سبب ملك</w:t>
      </w:r>
    </w:p>
    <w:p>
      <w:pPr>
        <w:pStyle w:val="BookText"/>
        <w:rPr/>
      </w:pPr>
      <w:r>
        <w:rPr>
          <w:rFonts w:ascii="Amiri" w:hAnsi="Amiri" w:eastAsia="Amiri" w:cs="Amiri"/>
          <w:color w:val="111111"/>
          <w:sz w:val="28"/>
          <w:sz w:val="28"/>
          <w:szCs w:val="28"/>
          <w:rtl w:val="true"/>
          <w:lang w:bidi="ar-SA"/>
        </w:rPr>
        <w:t>المجاز له ، بل أصالة عدم ملك المجاز حاكمة على أصالة الحلّ</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اليد وأصالة الصحّة فيأتي الكلام فيهما </w:t>
      </w:r>
      <w:r>
        <w:rPr>
          <w:rStyle w:val="FootnoteAnchor"/>
          <w:rtl w:val="true"/>
        </w:rPr>
        <w:footnoteReference w:id="844"/>
      </w:r>
      <w:r>
        <w:rPr>
          <w:rFonts w:ascii="Amiri" w:hAnsi="Amiri" w:eastAsia="Amiri" w:cs="Amiri"/>
          <w:color w:val="111111"/>
          <w:sz w:val="28"/>
          <w:sz w:val="28"/>
          <w:szCs w:val="28"/>
          <w:rtl w:val="true"/>
          <w:lang w:bidi="ar-SA"/>
        </w:rPr>
        <w:t xml:space="preserve">، وأمّا الاُصول الموضوعية المذكورة ففي جريانها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أصالة عدم سبب الملك التي قرّرها المورد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ما في يد الجائر صار ملكاً له بسبب حادث كالشراء والصلح والتوريث ونحوها ، وكلّها مسبوق بالعدم ، فأصالة عدم حدوث سبب الملك حاكمة على أصالة الحلّ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عليها بأنّ ما هو موضوع للحكم الشرعي ؛ أي حرمة التصرّف أو عدم حلّيته ، هو ملك الغير بغير إذنه أو مال الأخ المسلم لا بطيب نفسه ، وهذا الحكم ثابت معلوم مع قطع النظر عن بعض الروايات الواردة بهذا المضمون ويؤيّده الروايات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فالاستصحاب إن أحرز موضوع هذا الحكم يصير حاكماً على أصالة الحلّ ، فلا بدّ من النظر في أنّ الأصل المذكور أو سائر الاُصول الموضوعية المذكورة هل يصلح لإحراز موضوع الدليل الاجتهادي أو لا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حدوث سبب الملك لا تفيد ، سواء قلنا بأنّ السببية مجعولة استقلالاً ، أو قلنا بأنّ المجعول هو المسبّب عقيب وجود السبب ؛ لأ نّه على الأوّل يكون ترتّب السبب على المسبّب عقلياً وإن كانت السببية شرعية ، فأصالة عدم وقوع السبب لا تثبت عدم ملكية ما بيد الجائر وإن اُغمض عن الإشكال المطّرد في نحو تلك الاُصول العدمية بعد كون الجعل متعلّقاً بالجانب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الثاني ؛ لأنّ السببية غير مجعولة على الفرض ، فعدم حدوث السبب لا أثر له رأساً ، وأصالة عدم حدوث الملك له غير أصالة عدم حدوث السبب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الفرض يكون السبب موضوعاً لترتّب المسبّب الشرعي عليه ، فبنفيه ينفي ، مع الغضّ عن الإشكال المطّرد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بنينا على إثبات عدم ملكية الجائر بأصالة عدم السبب لكن عدم ملكيته ليس موضوعاً لحرمة التصرّف وعدم الحلّ ، بل الموضوع ملك الغير بغير إذنه في التصرّف أو التصرّف في ملك الغير بغير إذنه ومال الأخ المسلم بغير طيب نفسه ، والأصل المذكور لا يفيد لإثبات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الكلام في أصالة عدم ملكية المجيز لهذا المال ، وكذا أصالة عدم ملك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الحلّ ناشٍ من احتمال كونه مال الجائر ، وأصالة عدم كونه ماله يدفع هذا الاحتمال تعبّداً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 لازم أعمّ لكون المال مال الدافع ومال غيره مع إذنه ، وكونه من المباحات ، وكونه مال الآخذ المجاز واقعاً ، لكن لمّا علم وجداناً أو بطريق </w:t>
      </w:r>
    </w:p>
    <w:p>
      <w:pPr>
        <w:pStyle w:val="BookText"/>
        <w:rPr/>
      </w:pPr>
      <w:r>
        <w:rPr>
          <w:rFonts w:ascii="Amiri" w:hAnsi="Amiri" w:eastAsia="Amiri" w:cs="Amiri"/>
          <w:color w:val="111111"/>
          <w:sz w:val="28"/>
          <w:sz w:val="28"/>
          <w:szCs w:val="28"/>
          <w:rtl w:val="true"/>
          <w:lang w:bidi="ar-SA"/>
        </w:rPr>
        <w:t>معتبر عدم كونه إلاّ مال الدافع أو المغصوب منه لا محالة يكون احتمال الحلّ</w:t>
      </w:r>
    </w:p>
    <w:p>
      <w:pPr>
        <w:pStyle w:val="BookText"/>
        <w:rPr/>
      </w:pPr>
      <w:r>
        <w:rPr>
          <w:rFonts w:ascii="Amiri" w:hAnsi="Amiri" w:eastAsia="Amiri" w:cs="Amiri"/>
          <w:color w:val="111111"/>
          <w:sz w:val="28"/>
          <w:sz w:val="28"/>
          <w:szCs w:val="28"/>
          <w:rtl w:val="true"/>
          <w:lang w:bidi="ar-SA"/>
        </w:rPr>
        <w:t>منحصراً بكونه مال الدافع ، فتكون الملازمة بين عدم كونه مال الدافع وبين عدم الحلّ مطلقاً علمية ، وفي مثله لا يثبت إلاّ بالأصل المثبت ، فإنّ نفي اللازم الأعمّ</w:t>
      </w:r>
    </w:p>
    <w:p>
      <w:pPr>
        <w:pStyle w:val="BookText"/>
        <w:rPr/>
      </w:pPr>
      <w:r>
        <w:rPr>
          <w:rFonts w:ascii="Amiri" w:hAnsi="Amiri" w:eastAsia="Amiri" w:cs="Amiri"/>
          <w:color w:val="111111"/>
          <w:sz w:val="28"/>
          <w:sz w:val="28"/>
          <w:szCs w:val="28"/>
          <w:rtl w:val="true"/>
          <w:lang w:bidi="ar-SA"/>
        </w:rPr>
        <w:t xml:space="preserve">بنفي أحد الملزومات للملازمة العلمية عقلي ومن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 أصل آخر تمسّك به المحقّق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عدم وقوع الإذن من المالك في مورد إذن الجائر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بهذا الظاهر مخدوش ؛ لأ نّها من قبيل استصحاب الكلّي لإثبات حال الفرد ، فإنّ استصحاب عدم وقوع الإذن من المالك لا يثبت أنّ هذا الموجود ملك لمالك لم يأذن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منها أصالة عدم كون الإذن المحقّق الصادر من الجائر من المالك على أن يكون اللام في الإذن للعهد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المحقّق ليست له حالة سابقة بالكون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عدم الكون المحمولي 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يرد على أصالة عدم القرشية ، والتفصيل في محلّه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 نّه مع تسليم جريانه أيضاً غير مفيد ؛ لأنّ استصحاب عدم كون الإذن المحقّق من مالكه لا يثبت عدم إذنه مطلقاً ولو بغير هذا الفرد إلاّ بالملازمة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العلمية نظير ما تقدّمت الإشارة إليه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تقرير الأصل بوجه آخر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كان سابقاً لمالك لم يأذن في التصرّف فيه ، لا بنحو المعلوم بالإجمال أو الفرد المردّد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شكّ في هذا المعنى الإجمالي أو الفرد المردّد حتّى يستصحب ، ولا تتّحد القضيّة المتيقّنة والمشكوك فيها ؛ لأنّ موضوع المتيقّنة مجمل أو مردّد ، وليس هذا المعنى المجمل أو المردّد مشكوكاً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يشار إلى الفرد الواقعي والمالك الحقيقي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كان لمالك موجود مشخّص واقعاً لم يأذن فيه وإن لم أعرفه ، وهو لا يضرّ بالعلم بالواقع ، فيستصحب هذا العنوان ، وهو عين العنوان المأخوذ في الدليل الاجتهادي ، فينقّح به الموضوع ويترتّب عليه الحرمة ويدفع به موضوع أصالة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نظير شبهة الغروب والمغرب في المقام ، فكما يقال بعدم جريان استصحاب عدم الغروب هناك ؛ لأ نّه إن كان عبارة عن سقوط القرص فهو معلوم التحقّق وإن كان زوال الحمرة فهو معلوم العدم ، فلا شكّ في البقاء ، بل الشكّ في انطباق مفهوم الغروب على هذا أو ذاك ، وهو أجنبيّ عن الاستصحاب ، يقال هاهنا بأن لا شكّ في الواقع ؛ لأنّ الإجازة من الجائر متيقّنة ، ومن الطرف الآخر متيقّنة العدم ، والشكّ في انطباق المالك على الجائر أو الطرف ، فليس في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وقع للشبهة لا هناك ولا هاهنا ؛ لتحقّق الشكّ وجداناً في بقاء النهار هناك وإن كان منشؤه في الواقع الاشتباه في المفهوم ، فدوران الأمر بين الأمرين المعلوم كلّ منهما على فرض محقّق الشكّ في بقاء النهار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فالشكّ في بقائه تارة يكون لأجل الشكّ في ذهاب الحمرة بعد إحراز </w:t>
      </w:r>
    </w:p>
    <w:p>
      <w:pPr>
        <w:pStyle w:val="BookText"/>
        <w:rPr/>
      </w:pPr>
      <w:r>
        <w:rPr>
          <w:rFonts w:ascii="Amiri" w:hAnsi="Amiri" w:eastAsia="Amiri" w:cs="Amiri"/>
          <w:color w:val="111111"/>
          <w:sz w:val="28"/>
          <w:sz w:val="28"/>
          <w:szCs w:val="28"/>
          <w:rtl w:val="true"/>
          <w:lang w:bidi="ar-SA"/>
        </w:rPr>
        <w:t xml:space="preserve">المفهوم ، واُخرى لأجل الشبهة في المفهوم ، وهي محقّقة الشكّ وجداناً لا منافيته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المقام ؛ لأنّ الشكّ في بقاء عدم إذن المالك الواقعي وجداني وإن كان منشؤه العلم الإجمالي بأنّ مالكه هو الجائر المجيز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إنكار هذه الواقعة ؛ أي العلم بعدم إجازة المالك الواقعي لهذا المال والشكّ في بقائه وتبدّله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شبهة اُخرى هي أنّ المعتبر في الاستصحاب وحدة القضيّة المتيقّنة والمشكوك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يعتبرتعلّق الشكّ بعين ما تعلّق به اليقين ، وليس في المقام كذلك ؛ لأنّ العلم قد تعلّق بشيء والشكّ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ذلك بالتدبّر في مورد استصحاب الكلّي من القسم الثاني ، كالفرد المردّد بين طويل العمر وقصيره بعد مضيّ زمان احتمال بقاء القصير ، فإنّه قد يراد فيه استصحاب الكلّي بين الحيوانين منقطع الإضافة عن الخصوصيات ، فلا كلام فيه هاهنا ، بل الظاهر وحدة القضيتين وعدم الإشكال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يراد استصحاب شخص الحيوان الموجود في الخارج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تحقّق حيوان شخصي خارجي وجزئي حقيقي قبل مضيّ زمان العلم بزوال القصير ، وبعده شكّ في بقاء ذلك الجزئي ،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المتيقّنة هاهنا غير القضيّة المشكوك فيها ؛ لأنّ اليقين تعلّق بحيوان مردّد بين القصير والطويل ؛ ضرورة عدم تعلّقه بخصوص الطويل أو القصير ، والشكّ في البقاء لم يتعلّق بالحيوان المردّد بينهما ، بل هنا احتمالان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تعلّق بأحد طرفي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بقاء الحيوان وهو متعلّق بالطويل ، </w:t>
      </w:r>
    </w:p>
    <w:p>
      <w:pPr>
        <w:pStyle w:val="BookText"/>
        <w:rPr/>
      </w:pPr>
      <w:r>
        <w:rPr>
          <w:rFonts w:ascii="Amiri" w:hAnsi="Amiri" w:eastAsia="Amiri" w:cs="Amiri"/>
          <w:color w:val="111111"/>
          <w:sz w:val="28"/>
          <w:sz w:val="28"/>
          <w:szCs w:val="28"/>
          <w:rtl w:val="true"/>
          <w:lang w:bidi="ar-SA"/>
        </w:rPr>
        <w:t xml:space="preserve">واحتمال عدمه وهو متعلّق بالقصير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محتمل البقاء وهو الطويل محتمل التحقّق من أوّل الأمر ، كما أنّ ما هو محتمل الزوال محتمل التحقّق ، وما هو يقيني التحقّق ومحتمل البقاء هو الكلّي الجامع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هو المعلوم بالإجمال إذا لوحظ الموجود الخارجي بخصوصيته ، فإنّ الحيوان في الخارج وإن كان جزئياً حقيقياً لكن العالم مردّد بين كونه طويل العمر أو قصيره ، وهذا عبارة اُخرى عن العلم الإجمالي والفرد المردّد بحسب وجدان العالم ، والشكّ في البقاء لم يتعلّق بهذا المعلوم بالإجمال ؛ لأنّ معنى تعلّقه به أن يشكّ في بقاء هذا المعلوم المجمل المردّد ، فإذا علم بوجود حيوان مردّد بين الفرس والحمار وشكّ في موت ما هو المردّد المجمل بأن احتمل موته سواء كان فرساً أو حماراً كان الشكّ متعلّقاً بعين ما تعلّق به اليقين وتكون القضيتان متّحدتين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فليس كذلك ؛ لأ نّه لا يحتمل زوال الحيوان المردّد بين الطويل والقصير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 لأنّ المال الذي لم يتعلّق به إذن المالك معلوم بالإجمال ومردّد بين كونه للجائر أو غيره ، وبعد إذن الجائر علم بتبدّل عدم إذنه بالوجود ، وعلم ببقاء عدم إذن الطرف لو كان مالكاً ، لكنّ الشكّ في بقاء عدم إذن المالك لأجل احتمال كون المالك غير الجائر لا لاحتمال عدم التبدّل سواء كان المالك جائراً أم غيره ، فمحتمل البقاء محتمل التحقّق لا متيقّنه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معلوم بالإجمال ، ومحتمل البقاء أحد المحتملين دون </w:t>
      </w:r>
      <w:bookmarkStart w:id="330" w:name="pg15162_155666"/>
    </w:p>
    <w:p>
      <w:pPr>
        <w:pStyle w:val="BookText"/>
        <w:rPr/>
      </w:pPr>
      <w:bookmarkEnd w:id="330"/>
      <w:r>
        <w:rPr>
          <w:rFonts w:ascii="Amiri" w:hAnsi="Amiri" w:eastAsia="Amiri" w:cs="Amiri"/>
          <w:color w:val="111111"/>
          <w:sz w:val="28"/>
          <w:sz w:val="28"/>
          <w:szCs w:val="28"/>
          <w:rtl w:val="true"/>
          <w:lang w:bidi="ar-SA"/>
        </w:rPr>
        <w:t xml:space="preserve">الآخر ، فاستصحاب عدم وقوع الإذن من المالك كاستصحاب عدم التمليك منه غير جارٍ ، فتدبّر ، فإنّه حقيق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الكلّي فلا مسرح له في المقام ؛ لأنّ أحد طرفي الترديد مالك والآخر غير مالك ، ولا يعقل أن يكون الجامع بينهما القابل للصدق عليهما المالك غير الآذن ، مع أنّ في استصحاب الجامع في المقام إشكالاً نغمض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جريان الأصل الحكمي ، وهو أصالة بقاء حرمة التصرّف في المجاز فيه من قبل الجائر ؛ لأنّ عدم جوازه قبل إجازته كان معلوماً بالتفصيل وإن كان منشؤه معلوماً إجمالاً ، وهو نظير العلم بنجاسة مائع تفصيلاً مع التردّد في أنّ نجاسته من وقوع قطرة من دم زيد فيه أو عمرو ، فالتردّد في المنشأ لا في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التفصيلي متعلّق بحرمة التصرّف في المال المأخوذ ، والشكّ في بقائها 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المقام وما تقدّم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استصحاب عدم النقل بعد تمليك الجائر لا مانع منه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955574_2142443653"/>
      <w:bookmarkStart w:id="332" w:name="_Toc118"/>
      <w:bookmarkEnd w:id="331"/>
      <w:r>
        <w:rPr>
          <w:rtl w:val="true"/>
        </w:rPr>
        <w:t>حول جريان قاعدة اليد في المقام</w:t>
      </w:r>
      <w:bookmarkEnd w:id="332"/>
    </w:p>
    <w:p>
      <w:pPr>
        <w:pStyle w:val="BookText"/>
        <w:rPr/>
      </w:pPr>
      <w:r>
        <w:rPr>
          <w:rFonts w:ascii="Amiri" w:hAnsi="Amiri" w:eastAsia="Amiri" w:cs="Amiri"/>
          <w:color w:val="111111"/>
          <w:sz w:val="28"/>
          <w:sz w:val="28"/>
          <w:szCs w:val="28"/>
          <w:rtl w:val="true"/>
          <w:lang w:bidi="ar-SA"/>
        </w:rPr>
        <w:t>ثمّ إنّه ربما يتوهّم أنّ اليد معتبرة في المأخوذ بعد العلم التفصيلي بحرمة ما في يد الجائر</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قلنا في عدم تأثير العلم الإجمالي وعدم منجّزيته في </w:t>
      </w:r>
    </w:p>
    <w:p>
      <w:pPr>
        <w:pStyle w:val="BookText"/>
        <w:rPr/>
      </w:pPr>
      <w:r>
        <w:rPr>
          <w:rFonts w:ascii="Amiri" w:hAnsi="Amiri" w:eastAsia="Amiri" w:cs="Amiri"/>
          <w:color w:val="111111"/>
          <w:sz w:val="28"/>
          <w:sz w:val="28"/>
          <w:szCs w:val="28"/>
          <w:rtl w:val="true"/>
          <w:lang w:bidi="ar-SA"/>
        </w:rPr>
        <w:t>حرمة التصرّف ، لا قبل الإجازة ولا بعدها ، للعلم التفصيلي بحرمة الجميع قبلها</w:t>
      </w:r>
    </w:p>
    <w:p>
      <w:pPr>
        <w:pStyle w:val="BookText"/>
        <w:rPr/>
      </w:pPr>
      <w:r>
        <w:rPr>
          <w:rFonts w:ascii="Amiri" w:hAnsi="Amiri" w:eastAsia="Amiri" w:cs="Amiri"/>
          <w:color w:val="111111"/>
          <w:sz w:val="28"/>
          <w:sz w:val="28"/>
          <w:szCs w:val="28"/>
          <w:rtl w:val="true"/>
          <w:lang w:bidi="ar-SA"/>
        </w:rPr>
        <w:t xml:space="preserve">وحرمة ما في يد الجائر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العلم بأنّ هذا مال زيد أو مال الجائر لا يؤثّر</w:t>
      </w:r>
    </w:p>
    <w:p>
      <w:pPr>
        <w:pStyle w:val="BookText"/>
        <w:rPr/>
      </w:pPr>
      <w:r>
        <w:rPr>
          <w:rFonts w:ascii="Amiri" w:hAnsi="Amiri" w:eastAsia="Amiri" w:cs="Amiri"/>
          <w:color w:val="111111"/>
          <w:sz w:val="28"/>
          <w:sz w:val="28"/>
          <w:szCs w:val="28"/>
          <w:rtl w:val="true"/>
          <w:lang w:bidi="ar-SA"/>
        </w:rPr>
        <w:t xml:space="preserve">في حرمة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جارٍ هاهنا ؛ لأنّ اليد أمارة عقلائية أنفذها الشارع ، وهي كاشفة عن مالكية ذي اليد ، ويترتّب على ما في يده جميع آثار الملكية الواقعية من البيع والشراء والصلح والإجارة ونحوها ، بل يجوز الشهادة على ملكية ذي اليد ، ومع العلم الإجمالي بأنّ بعض ما في يده ليس منه تسقط يده عن الأمارية والحجّية ، سواء كان مستندها الدليل الشرعي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أو بناء العقلاء ؛ لعدم البناء جزماً على ترتيب آثار ملكية ذي اليد على مالين يعلم بأنّ أحدهما مغصوب ولا على أحدهما المعيّن ، فلا محالة تسقط عن الاعتبار ، وذلك من غير فرق بين كون المالين تحت يده أو نقلهما أو نقل واحداً منهما إلى غيره ، ومن غير فرق بين ما إذا أجاز في تصرّفهما أو تصرّف واحد منهما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التفصيلي بحرمة التصرّف أجنبيّ عن المقام ، مع أنّ اعتبار إجازة التصرّف فيه ونفوذ تمليكه مستنداً إلى اليد موقوف على اعتبارها قبلهما ، فلا يعقل توقّف حجّيتها على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المستند لها هو الدليل التعبّدي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بناءً على عدم وروده إمضاءً لما في يد العقلاء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 يقتضي حجّيتها ولو في موارد لم يحرز بناء العقلاء على العمل أو اُحرز </w:t>
      </w:r>
      <w:bookmarkStart w:id="333" w:name="pg15162_155668"/>
    </w:p>
    <w:p>
      <w:pPr>
        <w:pStyle w:val="BookText"/>
        <w:rPr/>
      </w:pPr>
      <w:bookmarkEnd w:id="333"/>
      <w:r>
        <w:rPr>
          <w:rFonts w:ascii="Amiri" w:hAnsi="Amiri" w:eastAsia="Amiri" w:cs="Amiri"/>
          <w:color w:val="111111"/>
          <w:sz w:val="28"/>
          <w:sz w:val="28"/>
          <w:szCs w:val="28"/>
          <w:rtl w:val="true"/>
          <w:lang w:bidi="ar-SA"/>
        </w:rPr>
        <w:t xml:space="preserve">عدم بنائهم عليه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خروج بعض الأطراف عن محلّ الابتلاء</w:t>
      </w:r>
    </w:p>
    <w:p>
      <w:pPr>
        <w:pStyle w:val="BookText"/>
        <w:rPr/>
      </w:pPr>
      <w:r>
        <w:rPr>
          <w:rFonts w:ascii="Amiri" w:hAnsi="Amiri" w:eastAsia="Amiri" w:cs="Amiri"/>
          <w:color w:val="111111"/>
          <w:sz w:val="28"/>
          <w:sz w:val="28"/>
          <w:szCs w:val="28"/>
          <w:rtl w:val="true"/>
          <w:lang w:bidi="ar-SA"/>
        </w:rPr>
        <w:t xml:space="preserve">مطلقاً ، بناءً على سقوط أثر العلم به أو مع سقوط العلم بوجه آخر ، تكون اليد حجّة بالنسبة إلى سائر الأطراف ، فيفصّل بين كون المستند في اعتبار اليد بناء العقلاء ، فيقال بعدم اعتبارها مطلقاً ، وبين كونه الدليل الشرعي ، فيفصّل بين سقوط العلم عن التنجيز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إطلاق أدلّة اعتبار اليد بالنحو المشار إليه ، لكنّه لا يخلو من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بناء العقلاء على ترتيب آثار اليد في بعض الأطراف المبتلى به مع كثرة الأطراف وإن لم تبلغ حدّ غير المحصورة ، والمسألة محتاجة إلى الفحص والتأمّل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955576_2142443653"/>
      <w:bookmarkStart w:id="335" w:name="_Toc119"/>
      <w:bookmarkEnd w:id="334"/>
      <w:r>
        <w:rPr>
          <w:rtl w:val="true"/>
        </w:rPr>
        <w:t>حول جريان أصالة الصحّة في المقام</w:t>
      </w:r>
      <w:bookmarkEnd w:id="335"/>
    </w:p>
    <w:p>
      <w:pPr>
        <w:pStyle w:val="BookText"/>
        <w:rPr/>
      </w:pPr>
      <w:r>
        <w:rPr>
          <w:rFonts w:ascii="Amiri" w:hAnsi="Amiri" w:eastAsia="Amiri" w:cs="Amiri"/>
          <w:color w:val="111111"/>
          <w:sz w:val="28"/>
          <w:sz w:val="28"/>
          <w:szCs w:val="28"/>
          <w:rtl w:val="true"/>
          <w:lang w:bidi="ar-SA"/>
        </w:rPr>
        <w:t>وأمّا أصالة الصحّة المتشبّث بها للمقصود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الحمل على المباح في دوران الأمر بين حرمة العمل وحلّيته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الجائر في الجائزة بنحو الإجازة في التصرّف فيها أو الإعطاء لها محمول على الإباحة الواقعية ، ولازمها ملكيته ونفوذ إجازته وتمليكه فيدفع بها احتمال حرمة تصرّف المجاز ، واحتمال عدم النقل إليه والاُصول الحكمية محكومة لأصالة الصحّة ولو قيل بعدم حكومتها على الاُصول الموضوعية ؛ لما عرفت من عدم جريانها فليس في المقام إلاّ أصالة </w:t>
      </w:r>
    </w:p>
    <w:p>
      <w:pPr>
        <w:pStyle w:val="BookText"/>
        <w:rPr/>
      </w:pPr>
      <w:r>
        <w:rPr>
          <w:rFonts w:ascii="Amiri" w:hAnsi="Amiri" w:eastAsia="Amiri" w:cs="Amiri"/>
          <w:color w:val="111111"/>
          <w:sz w:val="28"/>
          <w:sz w:val="28"/>
          <w:szCs w:val="28"/>
          <w:rtl w:val="true"/>
          <w:lang w:bidi="ar-SA"/>
        </w:rPr>
        <w:t xml:space="preserve">حرمة التصرّف وأصالة عدم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يناقش فيها بأنّ المحرز من بناء العقلاء على اعتبار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الأدلّة الشرعية التي يظهر منها مفروغية اعتبارها في الأبواب المتفرّقة الكثيرة كجواز الاكتفاء بتجهيز الميّت الصادر من المسلم مع احتمال فساده ، والأدلّة المرغّبة إلى الجماعة مع احتمال بطلان صلاة الإمام والمأمومين الحائلين في الصفوف ، وأدلّة تنفيذ الوكالة وجواز ترتيب الآثار على فعل الوكيل وكذا الوصيّ ، إلى غير ذلك من الأدلّة الظاهرة في جواز الاتّكال على فعل الغير من أوّل الفقه إلى آخره ، وقلّما كان في الفقه موضوع نحو أصالة الصحّة في وفور الأدلّة على اعتباره وإن لم يكن شيء منها بعنوانها لكن يعلم منها مفروغيتها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الفعل الذي له جهة صحّة وجهة فساد على الصحّة الواقعية مع الشرائط المقرّرة في محلّه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العقلاء على ترتيب آثار الصحّة على أفعال تقع تارة صحيحة واُخرى فاسدة كالعقود والإيقاعات ، وكانوا يشهدون على ما ملكه الغير ببيع وصلح ونحوهما ، ويتزوّجون المطلّقات ولا يعتدّون باحتمال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يحرز بناؤهم على حمل فعل مردّد بين الحرمة والحلّية التكليفية على الحلّية الواقعية فيحلفون على كون فعله حلالاً ويشهدون عليه مع احتمال الحرمة ، بل خلافه محرز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الدوران بين الحرمة والحلّية ليس من دورانه بين الصحّة والفساد بالمعنى </w:t>
      </w:r>
    </w:p>
    <w:p>
      <w:pPr>
        <w:pStyle w:val="BookText"/>
        <w:rPr/>
      </w:pPr>
      <w:r>
        <w:rPr>
          <w:rFonts w:ascii="Amiri" w:hAnsi="Amiri" w:eastAsia="Amiri" w:cs="Amiri"/>
          <w:color w:val="111111"/>
          <w:sz w:val="28"/>
          <w:sz w:val="28"/>
          <w:szCs w:val="28"/>
          <w:rtl w:val="true"/>
          <w:lang w:bidi="ar-SA"/>
        </w:rPr>
        <w:t xml:space="preserve">المتقدّم الذي هو موافق للعرف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وإن لم يكن موضوع دليل لفظي ، بل هو عنوان مأخوذ في كلام الفقهاء ، لكن يمكن الاستئناس به ؛ لاختصاص حجّيتها بالمورد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نحن لا نحتاج إلى الدليل على العدم ، بل يكفي عدم الدليل على اعتبارها في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منها الصحّة الوضعية ؛ أي نفوذ إجازته وصحّة هبته وجائزته ليستكشف منها ملكية الجائر ويترتّب عليها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من بناء العقلاء والأدلّة الشرعية غير مورد العلم الإجمالي</w:t>
      </w:r>
    </w:p>
    <w:p>
      <w:pPr>
        <w:pStyle w:val="BookText"/>
        <w:rPr/>
      </w:pPr>
      <w:r>
        <w:rPr>
          <w:rFonts w:ascii="Amiri" w:hAnsi="Amiri" w:eastAsia="Amiri" w:cs="Amiri"/>
          <w:color w:val="111111"/>
          <w:sz w:val="28"/>
          <w:sz w:val="28"/>
          <w:szCs w:val="28"/>
          <w:rtl w:val="true"/>
          <w:lang w:bidi="ar-SA"/>
        </w:rPr>
        <w:t>سواء كان منجّزاً أم لا ، مضافاً إلى أ نّه لا يثبت بأصالة الصحّة إلاّ صحّة العقد ونحوه ، وكون المال لغيره لا ينافيها كما قرّر في محلّه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إمكان الاستدلال على عدم جواز ترتيب تلك اللوازم ؛ أي كشف الملكية ونحوها عليها بقوله في رواية حفص بن غياث الواردة في اعتبار 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منها أنّ سلب اعتبار اليد موجب لاختلال نظم السوق ، مع أ نّه لو ترتّبت على أصالة الصحّة تلك اللوازم وثبتت بها الملكية وغيرها من الآثار لما اختلّ نظام السوق بواسطة عدم اعتبارها ، بل لما احتاج المسلمون إلى اعتبارها في قيام سوقهم ، ولو فرض في بعض الموارد النادرة الاحتياج إليه لما كان </w:t>
      </w:r>
      <w:bookmarkStart w:id="336" w:name="pg15162_155671"/>
    </w:p>
    <w:p>
      <w:pPr>
        <w:pStyle w:val="BookText"/>
        <w:rPr/>
      </w:pPr>
      <w:bookmarkEnd w:id="336"/>
      <w:r>
        <w:rPr>
          <w:rFonts w:ascii="IRNazanin" w:hAnsi="IRNazanin" w:eastAsia="IRNazanin"/>
          <w:color w:val="111111"/>
          <w:sz w:val="28"/>
          <w:sz w:val="28"/>
          <w:szCs w:val="28"/>
          <w:rtl w:val="true"/>
          <w:lang w:bidi="fa-IR"/>
        </w:rPr>
        <w:t xml:space="preserve">موجباً لاختلاله مع عدم اعتبارها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جميع ما مرّ أنّ في بعض الموارد على بعض المباني تكون اليد حجّة ويصحّ الاستناد إليها ويدفع بها استصحاب حرمة التصرّف وعدم الانتقال ، وفي سائر الموارد تكون أصالة حرمة التصرّف وعدم الانتقال محكّمة وتقدّم على أصالة الحلّ تحكيماً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علم إجمالاً بأنّ هذا المال المأخوذ مثلاً من الغير ، أو ذلك فيما هو في معدود ، وأمّا إذا علم أنّ في أموال فلان مالاً محرّماً وكان له طرق معاش محلّلة وبعض طرق محرّمة فالظاهر قيام بناء العقلاء والسيرة المتشرّعة على اعتبار يده ، وهذه الصورة خارجة من مفروض مسألتنا هذه ، وسيأتي الكلام فيها </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955578_2142443653"/>
      <w:bookmarkStart w:id="338" w:name="_Toc120"/>
      <w:bookmarkEnd w:id="337"/>
      <w:r>
        <w:rPr>
          <w:rtl w:val="true"/>
        </w:rPr>
        <w:t>صورة تنجيز العلم الإجمالي في جميع الأطراف</w:t>
      </w:r>
      <w:bookmarkEnd w:id="338"/>
    </w:p>
    <w:p>
      <w:pPr>
        <w:pStyle w:val="BookText"/>
        <w:rPr/>
      </w:pPr>
      <w:r>
        <w:rPr>
          <w:rFonts w:ascii="Amiri" w:hAnsi="Amiri" w:eastAsia="Amiri" w:cs="Amiri"/>
          <w:color w:val="111111"/>
          <w:sz w:val="28"/>
          <w:sz w:val="28"/>
          <w:szCs w:val="28"/>
          <w:rtl w:val="true"/>
          <w:lang w:bidi="ar-SA"/>
        </w:rPr>
        <w:t>ثمّ إنّ الشيخ الأنصاري تعرّض لمسألة اُخرى في ذيل المسألة الثانية</w:t>
      </w:r>
      <w:r>
        <w:rPr>
          <w:rStyle w:val="FootnoteAnchor"/>
          <w:rtl w:val="true"/>
        </w:rPr>
        <w:footnoteReference w:id="855"/>
      </w:r>
      <w:r>
        <w:rPr>
          <w:rFonts w:ascii="Amiri" w:hAnsi="Amiri" w:eastAsia="Amiri" w:cs="Amiri"/>
          <w:color w:val="111111"/>
          <w:sz w:val="28"/>
          <w:sz w:val="28"/>
          <w:szCs w:val="28"/>
          <w:rtl w:val="true"/>
          <w:lang w:bidi="ar-SA"/>
        </w:rPr>
        <w:t xml:space="preserve">تكون من شقوقها أو مسألة مستقلّة ، وهي صورة تنجيز العلم الإجمالي جميع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فيه بوجه يتّضح الحال في مطلق العلم الإجمالي أ نّه تارة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العلم الإجمالي من قبيل المقام ، وهو ما كان الأطراف مسبوقة بالعلم التفصيلي مع عدم إيجاب جريان الأصل فيها للمخالفة العملية ، فاستصحاب حرمة التصرّف في كلّ من الأطراف جارٍ وحاكم على أصالة الحلّ ، بناءً على </w:t>
      </w:r>
    </w:p>
    <w:p>
      <w:pPr>
        <w:pStyle w:val="BookText"/>
        <w:rPr/>
      </w:pPr>
      <w:r>
        <w:rPr>
          <w:rFonts w:ascii="Amiri" w:hAnsi="Amiri" w:eastAsia="Amiri" w:cs="Amiri"/>
          <w:color w:val="111111"/>
          <w:sz w:val="28"/>
          <w:sz w:val="28"/>
          <w:szCs w:val="28"/>
          <w:rtl w:val="true"/>
          <w:lang w:bidi="ar-SA"/>
        </w:rPr>
        <w:t xml:space="preserve">جريانه في الأطراف في هذا الفرض ، وبناءً على عموم أدلّة الحلّ للأطراف المعلوم بالإجمال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سائر الصور وفي مطلقها بناءً على سقوط الاُصول في الأطراف بالمعارضة أو عدم جريانها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إطلاق أدلّة الحلّ وخصوص صحيحة عبداللّه بن سنان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 وحرام فهو لك حلال أبداً حتّى تعرف الحرام منه بعينه فتدعه</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 حلّية جميع الأطراف وسقوط العلم الإجمالي رأساً ، وقد تقدّم</w:t>
      </w:r>
      <w:r>
        <w:rPr>
          <w:rStyle w:val="FootnoteAnchor"/>
          <w:rtl w:val="true"/>
        </w:rPr>
        <w:footnoteReference w:id="857"/>
      </w:r>
      <w:r>
        <w:rPr>
          <w:rFonts w:ascii="Amiri" w:hAnsi="Amiri" w:eastAsia="Amiri" w:cs="Amiri"/>
          <w:color w:val="111111"/>
          <w:sz w:val="28"/>
          <w:sz w:val="28"/>
          <w:szCs w:val="28"/>
          <w:rtl w:val="true"/>
          <w:lang w:bidi="ar-SA"/>
        </w:rPr>
        <w:t xml:space="preserve">عدم محظور عقلي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الصحيحة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بالشيء هو الموجود المتشخّص كما هو ظاهره ، والضمائر راجعة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موجود شخصي في الخارج فيه حلال وحرام فهو لك حلال حتّى يتميّز الحلال والحرام ويعرف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بمورد اختلاط الحلال والحرام وحصول موجود شخصي عرفي ، كاختلاط الخلّ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بعيد جدّاً سيّما مع عدم تحقّق الغاية مطلقاً أو نوعاً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 لكن مع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جنس الشيء المتشخّص استخداماً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متشخّص في جنسه نوع حلال ونوع حرام </w:t>
      </w:r>
    </w:p>
    <w:p>
      <w:pPr>
        <w:pStyle w:val="BookText"/>
        <w:rPr/>
      </w:pPr>
      <w:r>
        <w:rPr>
          <w:rFonts w:ascii="Amiri" w:hAnsi="Amiri" w:eastAsia="Amiri" w:cs="Amiri"/>
          <w:color w:val="111111"/>
          <w:sz w:val="28"/>
          <w:sz w:val="28"/>
          <w:szCs w:val="28"/>
          <w:rtl w:val="true"/>
          <w:lang w:bidi="ar-SA"/>
        </w:rPr>
        <w:t xml:space="preserve">مع الجهل بانطباق أحد العنوانين عليه فهو حلال حتّى تعرف أ نّه حرام بعينه باندراجه تحت النوع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بالشبهة البدوية ، أو يعمّ أطراف العلم الإجمالي بإطلاقه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بالشيء الطبيعة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طبيعة قسم منها حلال وقسم حرام فهي حلال حتّى تعرف القسم الحرام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كالثاني في الاختصاص بالشبهة البدوية أو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بالشيء مجموع شيئين فصاعداً مع اعتبار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مجموع فيه حلال وحرام ؛ أي بعضه حلال وبعضه حرام فذلك المجموع حلال أبداً حتّى تعرف الحرام فتدعه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حلال وحرام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احتمالهما ، فبعيد غايته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الاحتمال الأوّل والرابع تكون واردة في خصوص المعلوم بالإجمال أو المختلط بنحو ما مرّ ، لكنّ الاحتمالين ضعيفان مخالفان لفهم العرف ، أمّا الأوّل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فلأنّ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مجموع واحد بالاعتبار في غاية البعد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فالأظهر هو الاحتمال الثالث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ورود نظيرها في ذيل روايات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عبداللّه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الجبن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سألتني عن طعام يعجبني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الجبن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ترني آكله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ولكنّي أحبّ أن أسمعه منك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ساُخبرك عن الجبن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كان فيه </w:t>
      </w:r>
    </w:p>
    <w:p>
      <w:pPr>
        <w:pStyle w:val="BookText"/>
        <w:rPr/>
      </w:pPr>
      <w:r>
        <w:rPr>
          <w:rFonts w:ascii="Amiri" w:hAnsi="Amiri" w:eastAsia="Amiri" w:cs="Amiri"/>
          <w:color w:val="111111"/>
          <w:sz w:val="28"/>
          <w:sz w:val="28"/>
          <w:szCs w:val="28"/>
          <w:rtl w:val="true"/>
          <w:lang w:bidi="ar-SA"/>
        </w:rPr>
        <w:t>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السؤال عن الطبيعة ولو بلحاظ وجودها ، لا عن خصوص مصداق أو مصاديق منضمّة بعضها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منشأ سؤاله علمه بأن يجعل في بعض الأمكنة فيه الميتة ، كما ربّما تشهد به رواية أبي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الجبن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رأى أ نّه يجعل فيه الميتة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أجل مكان واحد يجعل فيه الميتة حرّم في جميع الأرضين ؟ </w:t>
      </w:r>
      <w:r>
        <w:rPr>
          <w:rFonts w:eastAsia="IRNazanin" w:cs="IRNazanin"/>
          <w:color w:val="111111"/>
          <w:sz w:val="28"/>
          <w:szCs w:val="28"/>
          <w:rtl w:val="true"/>
          <w:lang w:bidi="fa-IR"/>
        </w:rPr>
        <w:t>! . .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فعليه لا يراد بها خصوص المعلوم بالإجمال ، بل إمّا يراد بها خصوص المشتبه بدواً ، أو مقتضى إطلاقها التعميم ، لكنّ الأخذ بهذا الإطلاق مشكل أو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فلإعراض الأصحاب عنه ، فإنّه لم ينقل جواز ارتكاب الجميع إلاّ</w:t>
      </w:r>
    </w:p>
    <w:p>
      <w:pPr>
        <w:pStyle w:val="BookText"/>
        <w:rPr/>
      </w:pPr>
      <w:r>
        <w:rPr>
          <w:rFonts w:ascii="Amiri" w:hAnsi="Amiri" w:eastAsia="Amiri" w:cs="Amiri"/>
          <w:color w:val="111111"/>
          <w:sz w:val="28"/>
          <w:sz w:val="28"/>
          <w:szCs w:val="28"/>
          <w:rtl w:val="true"/>
          <w:lang w:bidi="ar-SA"/>
        </w:rPr>
        <w:t>عن شرذمة من المتأخّرين</w:t>
      </w:r>
      <w:r>
        <w:rPr>
          <w:rStyle w:val="FootnoteAnchor"/>
          <w:rtl w:val="true"/>
        </w:rPr>
        <w:footnoteReference w:id="860"/>
      </w:r>
      <w:r>
        <w:rPr>
          <w:rFonts w:ascii="Amiri" w:hAnsi="Amiri" w:eastAsia="Amiri" w:cs="Amiri"/>
          <w:color w:val="111111"/>
          <w:sz w:val="28"/>
          <w:sz w:val="28"/>
          <w:szCs w:val="28"/>
          <w:rtl w:val="true"/>
          <w:lang w:bidi="ar-SA"/>
        </w:rPr>
        <w:t xml:space="preserve">، والكلام هاهنا في مطلق المعلوم بالإجمال ، لا خصوص الجوائز ، وسيأتي الكلام فيها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وإن لا يأبى عن تجويز ارتكاب جميع الأطراف لماتقدّم</w:t>
      </w:r>
      <w:r>
        <w:rPr>
          <w:rStyle w:val="FootnoteAnchor"/>
          <w:rtl w:val="true"/>
        </w:rPr>
        <w:footnoteReference w:id="861"/>
      </w:r>
      <w:r>
        <w:rPr>
          <w:rFonts w:ascii="Amiri" w:hAnsi="Amiri" w:eastAsia="Amiri" w:cs="Amiri"/>
          <w:color w:val="111111"/>
          <w:sz w:val="28"/>
          <w:sz w:val="28"/>
          <w:szCs w:val="28"/>
          <w:rtl w:val="true"/>
          <w:lang w:bidi="ar-SA"/>
        </w:rPr>
        <w:t xml:space="preserve">لكنّ العرف والعقلاء يأبون عنه بعد ما لا يحتمل تخصيص الواقع ؛ لأنّ </w:t>
      </w:r>
    </w:p>
    <w:p>
      <w:pPr>
        <w:pStyle w:val="BookText"/>
        <w:rPr/>
      </w:pPr>
      <w:r>
        <w:rPr>
          <w:rFonts w:ascii="Amiri" w:hAnsi="Amiri" w:eastAsia="Amiri" w:cs="Amiri"/>
          <w:color w:val="111111"/>
          <w:sz w:val="28"/>
          <w:sz w:val="28"/>
          <w:szCs w:val="28"/>
          <w:rtl w:val="true"/>
          <w:lang w:bidi="ar-SA"/>
        </w:rPr>
        <w:t xml:space="preserve">الحكم الظاهري لا يخصّص الأحكام الواقعية حتّى يحتمل في مورد التخصيص عدم الاقتضاء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يحتمل أن يكون عروض الشبهة موجباً لتغيير مفسدته ، فلا محالة يكون الموضوع باقياً على مفسدته ، لكن في الشبهة البدوية يكون التحليل الظاهري لمصلحة في التوسعة أو مفسدة في التضييق تكون في نظر الشارع الأقدس مراعاتها أهمّ من المفسدة المبتلى بها في بعض الأحيان ، بخلاف أطراف العلم الإجمالي ، فإنّ ترك العقول بحالها من إلزام الاجتناب لا يوجب مفسدة غالبة على مفسدة الواقع ولا يكون في ترك الأطراف مضيقة وحرج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سابقاً </w:t>
      </w:r>
      <w:r>
        <w:rPr>
          <w:rStyle w:val="FootnoteAnchor"/>
          <w:rtl w:val="true"/>
        </w:rPr>
        <w:footnoteReference w:id="862"/>
      </w:r>
      <w:r>
        <w:rPr>
          <w:rFonts w:ascii="Amiri" w:hAnsi="Amiri" w:eastAsia="Amiri" w:cs="Amiri"/>
          <w:color w:val="111111"/>
          <w:sz w:val="28"/>
          <w:sz w:val="28"/>
          <w:szCs w:val="28"/>
          <w:rtl w:val="true"/>
          <w:lang w:bidi="ar-SA"/>
        </w:rPr>
        <w:t xml:space="preserve">من عدم كون الترخيص في جميع الأطراف ترخيصاً في المعصية، إنّما هو بنظر العقل الدقيق المخالف لنظر العرف ، وأمّا بهذا النظر فيكون الترخيص في جميع الأطراف مستبعداً أو قبيحاً ، فتكون مثل تلك الرواية قاصرة عن إثباته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صحّ ذلك فلا بدّ من الالتزام بجواز إيقاع المكلّف نفسه في الشبهة فيخلط الحرام بالحلال عمداً فيرتكب الجميع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الرواية متعرّضة لحال ما كان مشتبهاً بطبعه وبلا اختيار تحكّم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في محيط العرف مخصّصة أو منصرفة عن أطراف العلم الإجمالي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موثّقة مسعدة بن صدقة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 xml:space="preserve">شيء هو لك حلال حتّى تعلم أ نّه حرام بعينه فتدعه من قبل نفسك ، وذلك مثل الثوب يكون عليك قد اشتريته وهو سرقة ، والمملوك عندك لعلّه حرّ قد باع نفسه أو خدع فبيع قهراً ، أو امرأة تحتك وهي اُختك أو رضيعتك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كونها من أدلّة أصالة الحلّ إشكال منشؤه عدم انطباق شيء من الأمثلة المذكورة فيها على أصالة الحلّ ؛ لأنّ احتمال السرقة في المال الذي اشتراه من الغير مدفوع باليد الحاكمة عليها ، وكذا الحال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اُختية امرأة تحته وكذا احتمال كونها رضيعته مدفوع ببناء العقلاء على عدم الاعتناء بتلك الاحتمالات فيما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منشأه قاعدة اليد ، فإنّها لا تنحصر على مورد الشكّ في ملكية الأعيان ، بل الاستيلاء واليد على كلّ شيء أمارة عقلائية على ملكيته له بالمعنى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استولى على موقوفة بعنوان التولية عليها ويعمل عملها معها يبني العقلاء على ولايته وأنّ يده واستيلاءه أمارة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استولى على امرأة استيلاء زواج يحكم العقلاء بكونها زوجته ويعمل معها معاملة زوجيته الواقعية من غير اعتناء باحتمال أ نّها اُخته أو رضيعته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استيلاء الغير واضح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 نّه كذلك لو شكّ المستولي بعد استيلائه ، سيّما مع معاملته مع </w:t>
      </w:r>
    </w:p>
    <w:p>
      <w:pPr>
        <w:pStyle w:val="BookText"/>
        <w:rPr/>
      </w:pPr>
      <w:r>
        <w:rPr>
          <w:rFonts w:ascii="Amiri" w:hAnsi="Amiri" w:eastAsia="Amiri" w:cs="Amiri"/>
          <w:color w:val="111111"/>
          <w:sz w:val="28"/>
          <w:sz w:val="28"/>
          <w:szCs w:val="28"/>
          <w:rtl w:val="true"/>
          <w:lang w:bidi="ar-SA"/>
        </w:rPr>
        <w:t xml:space="preserve">المستولى عليه معاملة الملكية أو الزوجية ، فمن كانت تحته امرأة يعامل معها معاملة الزواج ثمّ شكّ في أ نّها اُخته أو رضيعته لا يعتني به ؛ لأنّ الاستيلاء الزواجي كاشف عن زوجيته ، ولو اعتنى بشكّه يعدّ مخالفاً لطريقة العقلاء ، كما أنّ الأمر كذلك فيما استولى عليه من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 يعمّ مطلق الاستيلاء ، فيعمّ كونه له لمطلق الاختصاص الأعمّ من الاختصاص الملكي ، ولو استشكل فيه فلا ينبغي الإشكال في بناء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مقتضى الاستصحاب عدم كونها رضيعته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عدم كونها اُخته النسبية فجريانه مبنيّ على جريان الأصل في الأعدام الأزلية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ليس شيء من الأمثلة مورد جريان أصالة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دفع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المذكورة لم تذكر مثالاً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بل ذكرت على سبيل التنظير باُمور عقلائية للتشابه بينها وبين أصالة الحلّ بوجه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الموارد المذكورة يبنى على الحلّ كذلك يبنى عليه في مطلق ما شكّ فيه من غير نظر إلى وجه البناء عليه ، فتكون الرواية بصدد بيان أصالة الحلّ والأمثلة تقريب بالأذهان بوجه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وصفية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استوليت عليه حلال حتّى تعلم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w:t>
      </w:r>
      <w:bookmarkStart w:id="339" w:name="pg15162_155678"/>
    </w:p>
    <w:p>
      <w:pPr>
        <w:pStyle w:val="BookText"/>
        <w:rPr/>
      </w:pPr>
      <w:bookmarkEnd w:id="339"/>
      <w:r>
        <w:rPr>
          <w:rFonts w:ascii="Amiri" w:hAnsi="Amiri" w:eastAsia="Amiri" w:cs="Amiri"/>
          <w:color w:val="111111"/>
          <w:sz w:val="28"/>
          <w:sz w:val="28"/>
          <w:szCs w:val="28"/>
          <w:rtl w:val="true"/>
          <w:lang w:bidi="ar-SA"/>
        </w:rPr>
        <w:t>الأمثلة قرينة عليه ، وفي ضمير الفصل إشعار به ، فتكون الرواية بصدد بيان جواز</w:t>
      </w:r>
    </w:p>
    <w:p>
      <w:pPr>
        <w:pStyle w:val="BookText"/>
        <w:rPr/>
      </w:pPr>
      <w:r>
        <w:rPr>
          <w:rFonts w:ascii="Amiri" w:hAnsi="Amiri" w:eastAsia="Amiri" w:cs="Amiri"/>
          <w:color w:val="111111"/>
          <w:sz w:val="28"/>
          <w:sz w:val="28"/>
          <w:szCs w:val="28"/>
          <w:rtl w:val="true"/>
          <w:lang w:bidi="ar-SA"/>
        </w:rPr>
        <w:t xml:space="preserve">ترتيب آثار الحلّية على ما استولى عليه تأسيساً أو إرشاداً إن قلنا بموافقته لبناء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أصالة الحلّ بقرينة الأمثلة بل المراد بيان الحلّية المنكشفة بتلك الأمارات تأسيساً أو إرشاداً ، والمراد بالمعرفة هي الوجدانية ، أو الأعمّ منها ومن البيّنة المقدّمة عليها ، كما جعل في ذيلها الاستبانة وقيام البيّنة غاية للحلّ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بالحلال معنىً عامّ بنحو الجمع في التعبير يشمل مورد الأصل والأمارة لا خصوص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أ نّها من أدلّة أصالة الحلّ على بعض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أنّ الاتّكال عليها لأصالة الحلّ وإجراءها في أطراف العلم مشكل في مشكل ، ولو سلّم ذاك وذلك يأتي فيها ما قلناه في صحيحة ابن سنان </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955580_2142443653"/>
      <w:bookmarkStart w:id="341" w:name="_Toc121"/>
      <w:bookmarkEnd w:id="340"/>
      <w:r>
        <w:rPr>
          <w:rtl w:val="true"/>
        </w:rPr>
        <w:t>تمسّك السيّد الطباطبائي بالروايات الواردة في شراء السرقة والربا</w:t>
      </w:r>
      <w:bookmarkEnd w:id="341"/>
    </w:p>
    <w:p>
      <w:pPr>
        <w:pStyle w:val="BookText"/>
        <w:rPr/>
      </w:pPr>
      <w:r>
        <w:rPr>
          <w:rFonts w:ascii="Amiri" w:hAnsi="Amiri" w:eastAsia="Amiri" w:cs="Amiri"/>
          <w:color w:val="111111"/>
          <w:sz w:val="28"/>
          <w:sz w:val="28"/>
          <w:szCs w:val="28"/>
          <w:rtl w:val="true"/>
          <w:lang w:bidi="ar-SA"/>
        </w:rPr>
        <w:t>ثمّ إنّ السيّد الطباطبائي تمسّك بروايات لعدم لحوق حكم الشبهة المحصورة في المقام بل مطلقاً ؛ أي في غير الجوائز وغير السلطان وعامله في الجملة وفي جميع الأطراف</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شراء السرقة والخيانة ، كصحيحة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أحدهما عن شراء الخيانة والسرقة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أن يكون قد اختلط معه غيره ، فأمّا السرقة بعينها فلا ، إلاّ أن يكون من متاع السلطان فلا بأس بذلك</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الجرّاح المدائني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شراء السرقة</w:t>
      </w:r>
    </w:p>
    <w:p>
      <w:pPr>
        <w:pStyle w:val="BookText"/>
        <w:rPr/>
      </w:pPr>
      <w:r>
        <w:rPr>
          <w:rFonts w:ascii="Amiri" w:hAnsi="Amiri" w:eastAsia="Amiri" w:cs="Amiri"/>
          <w:color w:val="111111"/>
          <w:sz w:val="28"/>
          <w:sz w:val="28"/>
          <w:szCs w:val="28"/>
          <w:rtl w:val="true"/>
          <w:lang w:bidi="ar-SA"/>
        </w:rPr>
        <w:t>والخيانة إذا عرفت</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الخيانة والسرقة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 نّه كذلك فلا ، إلاّ أن يكون شيئاً اشتريته من العامل</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الكلام في السلطان وعامله فسيأتي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غيرهما فمحصّل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الأخيرتين مساقهما كمساق سائر ما وردت في شراء السرقة والخيانة ، كقوله في حديث المناهي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اشترى خيانة وهو يعلم فهو كالذي خانها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سرقة وهو يعلم فقد شرك في عارها وإثمها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في بيع الجارية المسروقة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أنبأهم أ نّها سرقة فلا يحلّ ، وإن لم يعلم فلا بأس</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التفصيل بين العلم والجهل ، لا العلم الإجمالي والتفصيلي ، فلا دلالة فيها على 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توهّم نفي البأس عن بعض الأطراف بالخصوص بلا مرجّح ، كما ترى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كليهما دفعة أو تدريجاً مخالف للروايات المذكورة ؛ ضرورة أنّ من اشترى مجموع أمرين يعلم كون أحدهما سرقة ، أو اشترى مخلوطاً من المسروق وغيره فقد اشترى السرقة وهو يعلم وصدق أ نّه اشترى السرقة مع معرفته بأ نّها سرقة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الظاهر من مرسلة ابن أبي نجران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اشترى سرقة وهو يعلم فقد شرك في عارها وإثمها</w:t>
      </w:r>
      <w:r>
        <w:rPr>
          <w:rFonts w:eastAsia="IRNazanin" w:cs="IRNazanin"/>
          <w:color w:val="111111"/>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 xml:space="preserve">أنّ الشركة في العار أمر عقلائي لا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شراء أطراف ما علم كون بعضها سرقة دفعةً أو تدريجاً عار وعيب لدى العقلاء ويعدّ مشتريها آكل مال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شراء بعض الأطراف أيضاً لا يخلو من عار وعيب ، بخلاف مورد الشكّ البدوي مع قيام الطرق العقلائية على ملك البائع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تلك الروايات هو تجويز المجهول لا المعلوم بالإجمال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الإطلاق غير وجيه ، وعلى فرض التسليم فلا شبهة في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أبي بصير</w:t>
      </w:r>
      <w:r>
        <w:rPr>
          <w:rStyle w:val="FootnoteAnchor"/>
          <w:rtl w:val="true"/>
        </w:rPr>
        <w:footnoteReference w:id="873"/>
      </w:r>
      <w:r>
        <w:rPr>
          <w:rFonts w:ascii="Amiri" w:hAnsi="Amiri" w:eastAsia="Amiri" w:cs="Amiri"/>
          <w:color w:val="111111"/>
          <w:sz w:val="28"/>
          <w:sz w:val="28"/>
          <w:szCs w:val="28"/>
          <w:rtl w:val="true"/>
          <w:lang w:bidi="ar-SA"/>
        </w:rPr>
        <w:t xml:space="preserve">فيمكن أن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الاختلاط مع غيره في مقابل السرقة بعينها هو الاشتباه بغيره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للسرقة ، 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نفس السرقة ، ولا شبهة في أنّ المختلط بمعنى الامتزاج إذا اشترى يقع الاشتراء بالسرقة بعينها ونفسها ، وكذا إذا اشترى المعلوم بالإجمال بأطرافه يصدق أ نّه اشترى السرقة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الجملة قرينة على أنّ الاختلاط ليس هو الامتزاج ليلزم التناقض بين الجملتين ، بل يراد به الاشتباه شبهة 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دلالتها على جواز شراء المختلط بالحرام فالظاهر أنّ السؤال عن الحكم الوضعي ؛ أي صحّة الشراء ، كما هو كذلك في جميع الأسئلة الواردة في الأسباب الشرعية والعقلائية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شراء السرقة غير جائز ، وأمّا إذا اختلط بغيره فيصحّ شراؤه ؛ لأ نّه مال يمكن تطهيره بإخراج خمسه أو التصالح أو الصدقة ، فلا ربط لها بعدم اعتبار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تصحيح شراء المختلط لا يدلّ على جواز أكل المشتري إيّاه ؛ لعدم كونها في مقام بيان غير صحّته ، ولو فرض إطلاقه فلا محالة وجب إخراج خمسه بأدلّة ثبوته في المال المختلط بالحرام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اُغمض عن ذلك فلا 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الاختلاط موجب للتحليل واقعاً وخروج الملك عن ملكية صاحبه ودخوله في ملك الغاصب ليصحّ الشراء ، 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الغضّ عن مخالفته للقواعد المحكّمة وعدم إمكان تركها إلاّ بأدلّة قاطعة صريحة معمول عليها ، وهذه الرواية مع الاحتمال المتقدّم لا تصلح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لوقوع التعارض بينها وبين سائر الروايات المتقدّمة ؛ لأنّ سلب العلم ولو إجمالاً عن الطريقية والحجّية غير ممكن ، فلا بدّ من التصرّف في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 xml:space="preserve">بدّ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في الصحيحة هو المال المختلط ، علم به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فشراء المال المختلط بالسرقة صحيح واقعاً ، علم بها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ومضمون تلك الروايات أنّ شراء المعلوم باطل ، إجمالاً كان العلم أم تفصيلاً ، مختلطاً كان المعلوم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فتتعارض الطائفتان تعارض العموم من وجه ، والترجيح مع سائر الروايات بوجوه لو قلنا بعمل العلاج في تعارض العامّين من وجه ، ومع القول بالتساقط فمقتضى القواعد العامّة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باب الربا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كصحيحة الحلبي عن أبي عبداللّه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رجل أبي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ورثت مالاً ، وقد علمت أنّ صاحبه الذي ورثته منه قد كان يربي ، وقد أعرف أنّ فيه رباً وأستيقن ذلك وليس يطيب لي حلاله لحال علمي فيه ، وقد سألت فقهاء أهل العراق وأهل الحجاز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تعلم بأنّ فيه مالاً معروفاً رباً وتعرف أهله فخذ رأس مالك وردّ ما سوى ذلك ، وإن كان مختلطاً فكلْه هنيئاً ، فإنّ المال مالك ، واجتنب ما كان يصنع صاحبه ، فإنّ رسول اللّه رحمهما اللّه قد وضع ما مضى من الربا وحرّم عليهم ما بقي ، فمن جهل وسع له جهله حتّى يعرفه ، فإذا عرف تحريمه حرم عليه ووجب عليه فيه </w:t>
      </w:r>
    </w:p>
    <w:p>
      <w:pPr>
        <w:pStyle w:val="BookText"/>
        <w:rPr/>
      </w:pPr>
      <w:r>
        <w:rPr>
          <w:rFonts w:ascii="Amiri" w:hAnsi="Amiri" w:eastAsia="Amiri" w:cs="Amiri"/>
          <w:color w:val="111111"/>
          <w:sz w:val="28"/>
          <w:sz w:val="28"/>
          <w:szCs w:val="28"/>
          <w:rtl w:val="true"/>
          <w:lang w:bidi="ar-SA"/>
        </w:rPr>
        <w:t>العقوبة إذا ركبه كما يجب على من يأكل الربا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صحيحته الاُخرى</w:t>
      </w:r>
      <w:r>
        <w:rPr>
          <w:rStyle w:val="FootnoteAnchor"/>
          <w:rtl w:val="true"/>
        </w:rPr>
        <w:footnoteReference w:id="875"/>
      </w:r>
      <w:r>
        <w:rPr>
          <w:rFonts w:ascii="IRNazanin" w:hAnsi="IRNazanin" w:eastAsia="IRNazanin"/>
          <w:color w:val="111111"/>
          <w:sz w:val="28"/>
          <w:sz w:val="28"/>
          <w:szCs w:val="28"/>
          <w:rtl w:val="true"/>
          <w:lang w:bidi="fa-IR"/>
        </w:rPr>
        <w:t xml:space="preserve">، ورواية أبي الربيع الشامي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أربى بجهالة ثمّ أراد أن يتركه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مضى فله ، وليتركه فيما يستقبل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أبا جعفر علیه السلام </w:t>
      </w:r>
      <w:r>
        <w:rPr>
          <w:rFonts w:eastAsia="IRNazanin" w:cs="IRNazanin"/>
          <w:color w:val="111111"/>
          <w:sz w:val="28"/>
          <w:szCs w:val="28"/>
          <w:rtl w:val="true"/>
          <w:lang w:bidi="fa-IR"/>
        </w:rPr>
        <w:t>. . . »</w:t>
      </w:r>
      <w:r>
        <w:rPr>
          <w:rStyle w:val="FootnoteAnchor"/>
          <w:rtl w:val="true"/>
        </w:rPr>
        <w:footnoteReference w:id="876"/>
      </w:r>
      <w:r>
        <w:rPr>
          <w:rFonts w:ascii="Amiri" w:hAnsi="Amiri" w:eastAsia="Amiri" w:cs="Amiri"/>
          <w:color w:val="111111"/>
          <w:sz w:val="28"/>
          <w:sz w:val="28"/>
          <w:szCs w:val="28"/>
          <w:rtl w:val="true"/>
          <w:lang w:bidi="ar-SA"/>
        </w:rPr>
        <w:t xml:space="preserve">وذكر الحديث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بحثنا بعد الفراغ عن الحكم الواقعي ، وعدم الفرق بحسب إطلاق الأدلّة والطرق الاجتهادية بين المعلوم والمجهول ؛ أي كان الحكم متعلّقاً بنفس الطبيعة من غير قيد وإنّما العلم كان طريقاً محضاً إلى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اختلف الحكم الواقعي بحسب حال العلم والجهل فهو خارج عن محطّ البحث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لم نكن بصدد تنقيح المسألة المعنونة عند الفقهاء في باب الربا لكن من الواضح للمراجع أنّ المبحوث عنه عندهم في المال الربوي الحاصل بجهالة والمال المورّث ممّن كان يربي هو الحكم الواقعي ، فذهب ابن الجنيد إلى التفصيل بين المختلط والمعزول في الربا بجهالة وفي المورّث ممّن يربي</w:t>
      </w:r>
      <w:r>
        <w:rPr>
          <w:rStyle w:val="FootnoteAnchor"/>
          <w:rtl w:val="true"/>
        </w:rPr>
        <w:footnoteReference w:id="8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وقوّاه بعض المتأخّرين استناداً إلى تلك الروايات</w:t>
      </w:r>
      <w:r>
        <w:rPr>
          <w:rStyle w:val="FootnoteAnchor"/>
          <w:rtl w:val="true"/>
        </w:rPr>
        <w:footnoteReference w:id="878"/>
      </w:r>
      <w:r>
        <w:rPr>
          <w:rFonts w:ascii="Amiri" w:hAnsi="Amiri" w:eastAsia="Amiri" w:cs="Amiri"/>
          <w:color w:val="111111"/>
          <w:sz w:val="28"/>
          <w:sz w:val="28"/>
          <w:szCs w:val="28"/>
          <w:rtl w:val="true"/>
          <w:lang w:bidi="ar-SA"/>
        </w:rPr>
        <w:t xml:space="preserve">، فيظهر أنّ مورد كلامهم غير 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الحلبي المتقدّمة فالظاهر من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المختلط ماله واقعاً ، ولمّا كان احتمال كون الاختلاط من النواقل بعيداً جدّاً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بردّ الربا المعروف إلى صاحبه إن كان معروفاً محمول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بالردّ لمّا تعلّق بصورة واحدة ، وهي معروفية المال وصاحبه ، تكون سائر الصور ؛ أي صورة اختلاطه مع معروفية الصاحب وعدمها ، وصورة كون الصاحب غير معلوم مع معروفية المال وعدمها ، داخلة في عدم لزوم الردّ ، وذكر أحد مصاديق المفهوم غير عزيز ، ويكون التعليل للجميع ، لا لخصوص صورة الاختلاط ، فيكون الحمل على الاستحباب حينئذٍ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أن يكون المفروض في السؤال والجواب صورة جهالة المورّث بحكم الربا ، بالقرينة المذكورة وبمحفوفية الرواية بما لا يبعد أن تكون قرينة عليه زائدة على ما ذكرناه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رحمهما اللّه قد وضع ما مضى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فإنّ الظاهر أنّ التناسب بينه وما تقدّم هو مفروضية جهالة المورّث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أيضاً رواية أبي الربيع المتقدّمة عن أبي عبداللّه علیه السلام ، حيث</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علیه السلام بعد بيان حكم الربا بجهالة بقول أبيه علیه السلام ، وهو ما في رواية الحلبي بعينها ، وهو شاهد على أنّ مورد قول أبي جعفر علیه السلام أيضاً هو الربا بجهالة </w:t>
      </w:r>
      <w:r>
        <w:rPr>
          <w:rFonts w:eastAsia="IRNazanin" w:cs="IRNazanin"/>
          <w:color w:val="111111"/>
          <w:sz w:val="28"/>
          <w:szCs w:val="28"/>
          <w:rtl w:val="true"/>
          <w:lang w:bidi="fa-IR"/>
        </w:rPr>
        <w:t xml:space="preserve">. </w:t>
      </w:r>
      <w:bookmarkStart w:id="342" w:name="pg15162_155685"/>
    </w:p>
    <w:p>
      <w:pPr>
        <w:pStyle w:val="BookText"/>
        <w:rPr/>
      </w:pPr>
      <w:bookmarkEnd w:id="342"/>
      <w:r>
        <w:rPr>
          <w:rFonts w:ascii="Amiri" w:hAnsi="Amiri" w:eastAsia="Amiri" w:cs="Amiri"/>
          <w:color w:val="111111"/>
          <w:sz w:val="28"/>
          <w:sz w:val="28"/>
          <w:szCs w:val="28"/>
          <w:rtl w:val="true"/>
          <w:lang w:bidi="ar-SA"/>
        </w:rPr>
        <w:t xml:space="preserve">ويحتمل أن يكون مورد السؤال فيها هو الربا مع عدم العلم بكونه بجهالة أو لا ، فحينئذٍ لا يبعد القول بأمارية يد المورّث لما في يده ؛ لإطلاق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ولبناء العقلاء ، فحينئذٍ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انتقاله إليه ممّن يكون ماله بأمارة شرعية فيحمل الأمر بردّ الربا المعروف على الاستحباب ، بل لو قلنا في تلك المسألة بالتفصيل كما قال به ابن الجنيد يكون ذلك في الحكم الواقعي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ممّا ذكرناه يقع الكلام في صحيحة الحلبي الاُخرى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إثبات ما رامه السيّد رحمه الله علیه بهذه الروايات مشكل بل ممنوع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غير روايات الباب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955582_2142443653"/>
      <w:bookmarkStart w:id="344" w:name="_Toc122"/>
      <w:bookmarkEnd w:id="343"/>
      <w:r>
        <w:rPr>
          <w:rtl w:val="true"/>
        </w:rPr>
        <w:t>في التمسّك بالروايات الواردة في جوائز السلطان وعمّاله</w:t>
      </w:r>
      <w:bookmarkEnd w:id="344"/>
    </w:p>
    <w:p>
      <w:pPr>
        <w:pStyle w:val="BookText"/>
        <w:rPr/>
      </w:pPr>
      <w:r>
        <w:rPr>
          <w:rFonts w:ascii="Amiri" w:hAnsi="Amiri" w:eastAsia="Amiri" w:cs="Amiri"/>
          <w:color w:val="111111"/>
          <w:sz w:val="28"/>
          <w:sz w:val="28"/>
          <w:szCs w:val="28"/>
          <w:rtl w:val="true"/>
          <w:lang w:bidi="ar-SA"/>
        </w:rPr>
        <w:t xml:space="preserve">وأمّا الروايات الخاصّة بجوائز السلطان وعمّاله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ولاّد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رجل يلي أعمال السلطان ليس له مكسب إلاّ من أعمالهم ، وأنا أمرّ به فأنزل عليه فيضيّفني ويحسن إليّ وربّما أمر لي بالدراهم والكسوة ، وقد ضاق صدري من ذلك ؟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وخذ منه ، فلك المهنأ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الوزر</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الرجل المسؤول عنه من هو داخل في ديوان السلطان نحو الوزير والمستوفي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المراد منه أهل الديوان لا من يعمل للسلطان شخصه كالخيّاط ونحوه ، ولا غير الديواني كمن يعمل للسلطان كالسرّاج والصيقل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الجواب أنّ المراد منه غير الشيعي المجاز من قبل الأئمّة علیهم السلام في الدخول في أعمالهم ، وهو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لا معيشة له إلاّ من أعمالهم ، وليس المراد الكسب المساوق للتجارة ظاهراً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الأجير للسلطان في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تقييد مورد السؤال بما ذكر ليس لمجرّد بيان الواقعة من غير نظر</w:t>
      </w:r>
    </w:p>
    <w:p>
      <w:pPr>
        <w:pStyle w:val="BookText"/>
        <w:rPr/>
      </w:pPr>
      <w:r>
        <w:rPr>
          <w:rFonts w:ascii="Amiri" w:hAnsi="Amiri" w:eastAsia="Amiri" w:cs="Amiri"/>
          <w:color w:val="111111"/>
          <w:sz w:val="28"/>
          <w:sz w:val="28"/>
          <w:szCs w:val="28"/>
          <w:rtl w:val="true"/>
          <w:lang w:bidi="ar-SA"/>
        </w:rPr>
        <w:t xml:space="preserve">إلى احتمال دخالته في الحكم ، بل هو لأمر ارتكازي عقلائي ، وهو أنّ من لا مكسب له ولا طريق لمعيشته إلاّ الحرام لا يعتني العقلاء بيده ولا يعملون مع ما في يده معاملة ملكه ، نظير ما مرّ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في قضيّة وكيل الوقف ، حيث قيّد فيها جواز أخذ برّه بكون معاش ومال له غير الوقف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موافق ظاهراً لبناء العقلاء في اعتبار اليد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يكون التقييد لاحتمال دخالته في الحكم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معاش له إلاّ من عمل السلطان يجوز أخذ جائزته والأكل من طعامه ؟ لا للعلم </w:t>
      </w:r>
    </w:p>
    <w:p>
      <w:pPr>
        <w:pStyle w:val="BookText"/>
        <w:rPr/>
      </w:pPr>
      <w:r>
        <w:rPr>
          <w:rFonts w:ascii="Amiri" w:hAnsi="Amiri" w:eastAsia="Amiri" w:cs="Amiri"/>
          <w:color w:val="111111"/>
          <w:sz w:val="28"/>
          <w:sz w:val="28"/>
          <w:szCs w:val="28"/>
          <w:rtl w:val="true"/>
          <w:lang w:bidi="ar-SA"/>
        </w:rPr>
        <w:t xml:space="preserve">التفصيلي بحرمة ما في يده ؛ فإنّ العلم به ممنوع نوعاً ؛ لاحتمال كون ما أعطاه من غير الحرام كإرث أو هديّة ونحوهما ، وقلّما يتّفق للوارد على الوالي والعامل العلم التفصيلي بحرمة عطيّته ونحوها ، مضافاً إلى أنّ السؤال معه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المهنأ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ظاهراً أنّ الوزر في ذلك المال محقّق معلوم حتّى نحتاج في توجيهه</w:t>
      </w:r>
      <w:r>
        <w:rPr>
          <w:rStyle w:val="FootnoteAnchor"/>
          <w:rtl w:val="true"/>
        </w:rPr>
        <w:footnoteReference w:id="883"/>
      </w:r>
      <w:r>
        <w:rPr>
          <w:rFonts w:ascii="Amiri" w:hAnsi="Amiri" w:eastAsia="Amiri" w:cs="Amiri"/>
          <w:color w:val="111111"/>
          <w:sz w:val="28"/>
          <w:sz w:val="28"/>
          <w:szCs w:val="28"/>
          <w:rtl w:val="true"/>
          <w:lang w:bidi="ar-SA"/>
        </w:rPr>
        <w:t xml:space="preserve">إلى أنّ المفروض في السؤال معلومية حرمته على العامل ، سواء كان من الخراج ونحوه أو من صلب مال السلطان أو من الظلم على العباد ، وكان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مكسب له غير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ذلك ، وإن احتمل الحلّية للآخذ ؛ لاحتمال جواز بعضها للشيعة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ذلك تعبير عرفي يقال في مورد المشتبه عند السائل ، فيقال لمن يأكل من طعام المضيف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حظّه لك ووزره عليه ؛ أي إن كان فيه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جارٍ على ما تعارف عند الناس ، وليس له ظهور في فرض الوزر الفعلي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ذيل الرواية قرينة على فرض العلم التفصيلي ، بل الصدر قرينة على الذيل لو سلّم ظهور 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في مفروض السؤال هو مورد العلم الإجمالي مع خصوصية زائدة هي قوّة احتمال كون الجائزة من الحاصل في أعمالهم ؛ إذ لا مكسب له غيره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ترك الاستفصال يستفاد أنّ الحكم جارٍ فيما إذا علم إجمالاً باشتمال </w:t>
      </w:r>
    </w:p>
    <w:p>
      <w:pPr>
        <w:pStyle w:val="BookText"/>
        <w:rPr/>
      </w:pPr>
      <w:r>
        <w:rPr>
          <w:rFonts w:ascii="Amiri" w:hAnsi="Amiri" w:eastAsia="Amiri" w:cs="Amiri"/>
          <w:color w:val="111111"/>
          <w:sz w:val="28"/>
          <w:sz w:val="28"/>
          <w:szCs w:val="28"/>
          <w:rtl w:val="true"/>
          <w:lang w:bidi="ar-SA"/>
        </w:rPr>
        <w:t xml:space="preserve">أموال العامل على محرّم غير نحو الخراج والزكاة ، سيّما مع كثرة الظلم في ديوانهم وأخذهم مال الناس زائداً على الأموال المفروضة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مورد الرواية هو كون الجائزة والضيافة من أطراف المعلوم بالإجمال ، وسائر الصور خارجة عنه حتّى مورد العلم الإجمالي باشتمالهما على محرّم ؛ لغاية بُعد حصول العلم لمن ورد على العامل وصار ضيفاً له بغتة على اشتمال ضيافته أو جائزته على العين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السؤال والجواب هو الصورة التي قلنا فيها بحرمة التصرّف بحكم الاستصحاب ؛ أي ما إذا كان بعض الأطراف مجازاً أو جائزة دون سائر ما في يد المجيز ، فالصورة التي فرضها الشيخ الأنصاري في ذيل الصورة الثانية</w:t>
      </w:r>
      <w:r>
        <w:rPr>
          <w:rStyle w:val="FootnoteAnchor"/>
          <w:rtl w:val="true"/>
        </w:rPr>
        <w:footnoteReference w:id="884"/>
      </w:r>
      <w:r>
        <w:rPr>
          <w:rFonts w:ascii="Amiri" w:hAnsi="Amiri" w:eastAsia="Amiri" w:cs="Amiri"/>
          <w:color w:val="111111"/>
          <w:sz w:val="28"/>
          <w:sz w:val="28"/>
          <w:szCs w:val="28"/>
          <w:rtl w:val="true"/>
          <w:lang w:bidi="ar-SA"/>
        </w:rPr>
        <w:t xml:space="preserve">خارجة عن مورد الرواية ، وإنّما موردها هو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w:t>
      </w:r>
      <w:r>
        <w:rPr>
          <w:rStyle w:val="FootnoteAnchor"/>
          <w:rtl w:val="true"/>
        </w:rPr>
        <w:footnoteReference w:id="885"/>
      </w:r>
      <w:r>
        <w:rPr>
          <w:rFonts w:ascii="Amiri" w:hAnsi="Amiri" w:eastAsia="Amiri" w:cs="Amiri"/>
          <w:color w:val="111111"/>
          <w:sz w:val="28"/>
          <w:sz w:val="28"/>
          <w:szCs w:val="28"/>
          <w:rtl w:val="true"/>
          <w:lang w:bidi="ar-SA"/>
        </w:rPr>
        <w:t xml:space="preserve">حال اليد وأصالة الصحّة والخروج عن محلّ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فصحيحة أبي ولاّد مخالفة لاستصحاب حرمة التصرّف في المال ، وللعلم الإجمالي الموجب لسقوط اليد عن الاعتبار ؛ لما عرفت من سقوطها ولو لم تكن الأطراف أو بعضها جائزة التصرّف له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الاستصحاب وسقوط اليد عن الاعتبار إنّما هو في موردٍ علم إجمالاً أنّ هذا المجاز أو الجائزة من مال الغير أو ذاك الذي تحت يد المجيز ، ويلحق به ما إذا لم يكن للمجيز معيشة إلاّ من الحرام كالسرقة وقطّاع </w:t>
      </w:r>
    </w:p>
    <w:p>
      <w:pPr>
        <w:pStyle w:val="BookText"/>
        <w:rPr/>
      </w:pPr>
      <w:r>
        <w:rPr>
          <w:rFonts w:ascii="Amiri" w:hAnsi="Amiri" w:eastAsia="Amiri" w:cs="Amiri"/>
          <w:color w:val="111111"/>
          <w:sz w:val="28"/>
          <w:sz w:val="28"/>
          <w:szCs w:val="28"/>
          <w:rtl w:val="true"/>
          <w:lang w:bidi="ar-SA"/>
        </w:rPr>
        <w:t xml:space="preserve">الطريق وغيرهما ممّن كان طريق معاشه منحصراً في غير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w:t>
      </w:r>
    </w:p>
    <w:p>
      <w:pPr>
        <w:pStyle w:val="BookText"/>
        <w:rPr/>
      </w:pPr>
      <w:r>
        <w:rPr>
          <w:rFonts w:ascii="Amiri" w:hAnsi="Amiri" w:eastAsia="Amiri" w:cs="Amiri"/>
          <w:color w:val="111111"/>
          <w:sz w:val="28"/>
          <w:sz w:val="28"/>
          <w:szCs w:val="28"/>
          <w:rtl w:val="true"/>
          <w:lang w:bidi="ar-SA"/>
        </w:rPr>
        <w:t>له طرق مشروعة لمعاشه فيده معتبرة ولو علم إجمالاً بأنّ في أمواله مغصوباً أو محرّماً ؛ لما مرّ</w:t>
      </w:r>
      <w:r>
        <w:rPr>
          <w:rStyle w:val="FootnoteAnchor"/>
          <w:rtl w:val="true"/>
        </w:rPr>
        <w:footnoteReference w:id="886"/>
      </w:r>
      <w:r>
        <w:rPr>
          <w:rFonts w:ascii="Amiri" w:hAnsi="Amiri" w:eastAsia="Amiri" w:cs="Amiri"/>
          <w:color w:val="111111"/>
          <w:sz w:val="28"/>
          <w:sz w:val="28"/>
          <w:szCs w:val="28"/>
          <w:rtl w:val="true"/>
          <w:lang w:bidi="ar-SA"/>
        </w:rPr>
        <w:t>أنّ بناء العقلاء وسيرة المتشرّعة على معاملة الملكية مع ما في يد التاجر وغيره ولو مع العلم بأنّ في أمواله محرّماً ، وتدلّ عليه الرواية المتقدّمة</w:t>
      </w:r>
    </w:p>
    <w:p>
      <w:pPr>
        <w:pStyle w:val="BookText"/>
        <w:rPr/>
      </w:pPr>
      <w:r>
        <w:rPr>
          <w:rFonts w:ascii="Amiri" w:hAnsi="Amiri" w:eastAsia="Amiri" w:cs="Amiri"/>
          <w:color w:val="111111"/>
          <w:sz w:val="28"/>
          <w:sz w:val="28"/>
          <w:szCs w:val="28"/>
          <w:rtl w:val="true"/>
          <w:lang w:bidi="ar-SA"/>
        </w:rPr>
        <w:t>في متولّي مال الوقف</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السؤال هو جائزة من يلي عمل السلطان ولا مكسب 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ضيق صدره لأجل اعتقاده بأنّ ما في يد العامل حرام نوعاً ولو كان من قبيل الخراج والمقاسمة والزكاة ؛ لعدم أهليتهم لأخذها ، ولعلّه الظاهر من تقييده بأن لا مكسب له غير أعمالهم ، وقد قلنا </w:t>
      </w:r>
      <w:r>
        <w:rPr>
          <w:rStyle w:val="FootnoteAnchor"/>
          <w:rtl w:val="true"/>
        </w:rPr>
        <w:footnoteReference w:id="888"/>
      </w:r>
      <w:r>
        <w:rPr>
          <w:rFonts w:ascii="Amiri" w:hAnsi="Amiri" w:eastAsia="Amiri" w:cs="Amiri"/>
          <w:color w:val="111111"/>
          <w:sz w:val="28"/>
          <w:sz w:val="28"/>
          <w:szCs w:val="28"/>
          <w:rtl w:val="true"/>
          <w:lang w:bidi="ar-SA"/>
        </w:rPr>
        <w:t xml:space="preserve">بسقوط اليد لدى العقلاء إذا كان ذو اليد ممّن لا شغل له إلاّ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بالحلّ لعلّه لأجل كون نوع ما في يد العمّال من الخراج والمقاسمة والزكاة ، ممّا أخذها السلطان بدعوى ولايته الشرعية حلالاً أخذه وشراؤه وكان الزارع المأخوذ منه فارغ الذمّة منها شرعاً كما يأتي الكلام فيه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يكون يد العامل الذي لا شغل له إلاّ عمل السلطان على الجوائز والأموال الاُخر كيد التاجر الذي لا شغل له إلاّ التجارة وإن علم أنّ في تجارة هذا وما في يد ذاك محرّماً ، فكما أنّ يد التاجر كاشفة عن ملكيته ومعتبرة لدى العقلاء والمتشرّعة كذلك يد العامل على الأموال التي تحت استيلائه كاشفة عن </w:t>
      </w:r>
    </w:p>
    <w:p>
      <w:pPr>
        <w:pStyle w:val="BookText"/>
        <w:rPr/>
      </w:pPr>
      <w:r>
        <w:rPr>
          <w:rFonts w:ascii="Amiri" w:hAnsi="Amiri" w:eastAsia="Amiri" w:cs="Amiri"/>
          <w:color w:val="111111"/>
          <w:sz w:val="28"/>
          <w:sz w:val="28"/>
          <w:szCs w:val="28"/>
          <w:rtl w:val="true"/>
          <w:lang w:bidi="ar-SA"/>
        </w:rPr>
        <w:t xml:space="preserve">كونها مأخوذة خراجاً ومقاسمة ونحوهما لا ظلماً وعدواناً ، فهذه اليد معتبرة لدى العقلاء والمتشرّعة بعد حلّية ما ذكر وإن علم إجمالاً أنّ في جملة الأموال التي تحت يدهم مالاً مغصوباً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أن تكون الروايات الواردة في حلّ الجوائز موافقة للقاعدة بعد البناء على حلّية الخراج ونحوه وجواز أخذها وشرائها من السلاطين وعمّالهم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كاشفيتها عن كون المأخوذ خراجاً ونحوه فلا أقلّ من اعتبارها لدى العقلاء وعدم الاعتناء بكونه مأخوذاً 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في يد عامل الصدقات من قبل السلطان العادل يعامل معه معاملة ملكيته الأعمّ من الملكية الشخصية والسلطنة على جهة الولاية فيشتري العقلاء والمتشرّعة منه ما في يده وإن علم أنّ في جملة الأموال التي تحت يده حراماً ولا يعتنى باحتمال كون المحرّم هذا المبيع ، كذلك في المقام بعد الفرض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التوقّف عن الأخذ والمعاملة معه إمّا احتمال كونه من مال الصدقة فالمفروض أ نّه أجاز وليّ الأمر الحقيقي لذلك ، أو العلم الإجمالي باشتمال ما في يده على المظلمة فقد عرفت عدم اعتناء العقلاء بذلك في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كلّ ما ذكر فلا ينبغي الإشكال في أنّ الروايات الواردة في الباب على كثرتها لا تدلّ على الحلّ في غير المورد المتقدّم ؛ أي مورد العلم الإجمالي بأنّ في أموال العامل محرّماً واحتمل كون المأخوذ منه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الصور الأربع وكذا الصورة التي تعرّض لها الشيخ الأنصاري في </w:t>
      </w:r>
    </w:p>
    <w:p>
      <w:pPr>
        <w:pStyle w:val="BookText"/>
        <w:rPr/>
      </w:pPr>
      <w:r>
        <w:rPr>
          <w:rFonts w:ascii="Amiri" w:hAnsi="Amiri" w:eastAsia="Amiri" w:cs="Amiri"/>
          <w:color w:val="111111"/>
          <w:sz w:val="28"/>
          <w:sz w:val="28"/>
          <w:szCs w:val="28"/>
          <w:rtl w:val="true"/>
          <w:lang w:bidi="ar-SA"/>
        </w:rPr>
        <w:t>ذيل الصورة الثانية</w:t>
      </w:r>
      <w:r>
        <w:rPr>
          <w:rStyle w:val="FootnoteAnchor"/>
          <w:rtl w:val="true"/>
        </w:rPr>
        <w:footnoteReference w:id="889"/>
      </w:r>
      <w:r>
        <w:rPr>
          <w:rFonts w:ascii="Amiri" w:hAnsi="Amiri" w:eastAsia="Amiri" w:cs="Amiri"/>
          <w:color w:val="111111"/>
          <w:sz w:val="28"/>
          <w:sz w:val="28"/>
          <w:szCs w:val="28"/>
          <w:rtl w:val="true"/>
          <w:lang w:bidi="ar-SA"/>
        </w:rPr>
        <w:t xml:space="preserve">فلا دلالة لها عليه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السلطان لا بأس به</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بالعامل فيجيزني بالدراهم آخذها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وأحجّ بها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xml:space="preserve">، ونحوهما </w:t>
      </w:r>
      <w:r>
        <w:rPr>
          <w:rStyle w:val="FootnoteAnchor"/>
          <w:rtl w:val="true"/>
        </w:rPr>
        <w:footnoteReference w:id="892"/>
      </w:r>
      <w:r>
        <w:rPr>
          <w:rFonts w:ascii="Amiri" w:hAnsi="Amiri" w:eastAsia="Amiri" w:cs="Amiri"/>
          <w:color w:val="111111"/>
          <w:sz w:val="28"/>
          <w:sz w:val="28"/>
          <w:szCs w:val="28"/>
          <w:rtl w:val="true"/>
          <w:lang w:bidi="ar-SA"/>
        </w:rPr>
        <w:t xml:space="preserve">، منصرفة إلى ما هو المعمول المتعارف المعهود من جائزة السلاطين وعمّالهم من غير علمهم بأ نّها محرّمة أو فيها محرّم ، بل من غير العلم بأنّ هذا أو ذاك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الروايات بصدد تحليل مال الغير على الآخذ بمجرّد كون المأخوذ منه سلطاناً أو عاملاً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بصدد بيان جواز أخذ جائزتهم ، لا تحليل المحرّم المعلوم بالتفصيل أو الإجمال ، فلا إطلاق لها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كانت الصورة الثانية كالملازم لجوائزهم ؛ بمعنى أنّ العلم بكون بعض أموالهم محرّماً حاصل لنوع الناس ، فلا محالة تكون هذه الصورة مشمولة للحكم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لما ذكرناه 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أشتري من العامل الشيء وأنا أعلم أ نّه يظلم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رواية عبد الرحمان بن أبي عبداللّه عنه علیه السلام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يشتري من العامل وهو يظلم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 نّه ظلم فيه أحداً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كالنصّ فيما ذكرناه ، فإنّه استثنى فيها صورة العلم تفصيلاً أو إجمالاً بأنّ فيه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منّا يشتري من السلطان من إبل الصدقة وغنم الصدقة وهو يعلم أ نّهم يأخذون منهم أكثر من الحقّ الذي يجب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 مثل الحنطة والشعير وغير ذلك ؛ لا بأس به حتّى تعرف الحرام بعينه</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بقوله ذلك العلم التفصيلي وتجويز شراء ما علم إجمالاً أنّ فيه حراماً ، بل المراد به ما هو المتعارف من شراء الصدقات ، حيث لا يعلم بأنّ في </w:t>
      </w:r>
    </w:p>
    <w:p>
      <w:pPr>
        <w:pStyle w:val="BookText"/>
        <w:rPr/>
      </w:pPr>
      <w:r>
        <w:rPr>
          <w:rFonts w:ascii="Amiri" w:hAnsi="Amiri" w:eastAsia="Amiri" w:cs="Amiri"/>
          <w:color w:val="111111"/>
          <w:sz w:val="28"/>
          <w:sz w:val="28"/>
          <w:szCs w:val="28"/>
          <w:rtl w:val="true"/>
          <w:lang w:bidi="ar-SA"/>
        </w:rPr>
        <w:t xml:space="preserve">مورد الشراء محرّماً وإن علم بأنّ في أموال العامل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للحرام فيعمّ العلم الإجمالي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تجويز شراء أموال المظلوم إلاّ إذا علم تفصيلاً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روايات ربّما يتوهّم تنافيها لما ذكرناه ومعارضتها لتلك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عن شراء الخيانة والسرقة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أن يكون قد اختلط معه غيره ، فأمّا السرقة بعينها فلا ، إلاّ أن يكون من متاع السلطان فلا بأس بذلك</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الخيانة والسرقة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 نّه كذلك فلا ، إلاّ أن يكون شيئاً اشتريته من العامل</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رواية أحمد بن محمّد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w:t>
      </w:r>
      <w:r>
        <w:rPr>
          <w:rStyle w:val="FootnoteAnchor"/>
          <w:rtl w:val="true"/>
        </w:rPr>
        <w:footnoteReference w:id="899"/>
      </w:r>
      <w:r>
        <w:rPr>
          <w:rFonts w:ascii="IRNazanin" w:hAnsi="IRNazanin" w:eastAsia="IRNazanin"/>
          <w:color w:val="111111"/>
          <w:sz w:val="28"/>
          <w:sz w:val="28"/>
          <w:szCs w:val="28"/>
          <w:rtl w:val="true"/>
          <w:lang w:bidi="fa-IR"/>
        </w:rPr>
        <w:t>، عن أبي عبداللّه علیه السلام ، حيث دلّت على جواز شراء الخيانة والسرقة المعروفة</w:t>
      </w:r>
    </w:p>
    <w:p>
      <w:pPr>
        <w:pStyle w:val="BookText"/>
        <w:rPr/>
      </w:pPr>
      <w:r>
        <w:rPr>
          <w:rFonts w:ascii="Amiri" w:hAnsi="Amiri" w:eastAsia="Amiri" w:cs="Amiri"/>
          <w:color w:val="111111"/>
          <w:sz w:val="28"/>
          <w:sz w:val="28"/>
          <w:szCs w:val="28"/>
          <w:rtl w:val="true"/>
          <w:lang w:bidi="ar-SA"/>
        </w:rPr>
        <w:t xml:space="preserve">بعينها من السلطان وعمّاله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في الصحيحة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بالمسروق من متاع السلطان ما كان لشخصه ، ولعلّ نفي البأس لكونه ناصباً ، وقد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ماله أينما وجدت</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الاحتمال لا تنافي بينها وبين ما تقدّمت ، لكنّه بعيد عن مذاق الشارع ، سيّما بالنسبة إلى السلطان الذي تقتضي التقيّة المداراة معه للمصالح العامّة ويكون في تركها مظنّة الفتن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سيرة الأئمّة علیهم السلام</w:t>
      </w:r>
    </w:p>
    <w:p>
      <w:pPr>
        <w:pStyle w:val="BookText"/>
        <w:rPr/>
      </w:pPr>
      <w:r>
        <w:rPr>
          <w:rFonts w:ascii="Amiri" w:hAnsi="Amiri" w:eastAsia="Amiri" w:cs="Amiri"/>
          <w:color w:val="111111"/>
          <w:sz w:val="28"/>
          <w:sz w:val="28"/>
          <w:szCs w:val="28"/>
          <w:rtl w:val="true"/>
          <w:lang w:bidi="ar-SA"/>
        </w:rPr>
        <w:t xml:space="preserve">المعاملة معهم في أملاكهم وأموالهم معاملة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أن يكون الحكم الأَوّلي هدر دمهم ومالهم ، كما أنّ الزواج معهم أيضاً صحيح واقعاً في دار التقيّة ؛ لأنّ أحكامها واقع ثانوي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ما سرق من السلطان بما هو سلطان ؛ أي يجوز شراء ما سرق من بيت المال ، باعتبار أنّ بيت المال من المسلمين وليس للسلطان الجائر ولاية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بعيد ؛ لما تقدّم في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به متاع السلطان المسروق من الناس والمأخوذ منهم خيانة ، فيراد تجويز شراء المسروق إذا كان السلطان وعمّاله سارقاً ، فيراد به التفصيل بين السلطان الجائر وغيره فأجاز شراء مال المظلوم سرقة من السلطان لا من غيره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أبعد الوجوه ، بل ينبغي القطع بفساده ؛ لمخالفته للقواعد المحكمة العقلية والشرعية وللأخبار المتقدّمة ولظاهر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بمتاع السلطان ما أخذه بعنوان السلطنة الشرعية من الخراج وغيره خيانة على الإسلام وعلى أئمّة الحقّ الولاة للأمر ، ولا بأس بتسمية هذا 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أقرب الاحتمالات من حيث موافقته للعقل ولسائر الروايات ولسيرة الأئمّة وأصحابهم ، فلا بدّ من حملها عليه وإن لا يخلو من مخالفة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فيه فلا أقلّ من عدم ظهورها في الاحتمال الثالث حتّى يتوهّم مخالفتها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تحمل الروايتان الاُخريان ، فيراد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اشتريته من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العامل بما هو عامل كفيلاً لبيعه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تجويز شراء المال المسروق من الناس إن كان السارق عاملاً فينبغي القطع بفساده ، فلا يراد بتلك الروايات إثبات مزيّة للسلطان أو العامل زائدةً على تجويز الشراء من بيت المال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أظنّ ممّا وردت في الروايات السابقة من تحليل جوائز السلطان وعمّاله وإن علم أ نّهم يظلمون الناس ويأخذون منهم زائداً عن الحقّ المقرّر عليهم إرادة إثبات مزيّة لهم على ولاة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 نّه اُريد بها تجويز الأخذ منهم على نحو الأخذ من الوالي العادل ، لا إثبات الجواز فيما لا يجوز لو كان المعطي السلطان العادل وعمّاله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الروايات موافقة للقواعد بعد جواز شراء الصدقات والخرائج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يلحق به كلّ مورد يكون من قبيل المقام ، لا لإلغاء الخصوصية من الروايات ، فإنّه ممنوع ، بل لاقتضاء القواعد ذلك </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بما ذكرناه في مفاد الروايات يتّضح عدم معارضتها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الواردة في بعض وكلاء الوقف المستحلّ لما في يده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ممرّ يحلّ لنا الأخذ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مورد الروايات ، حيث كان في أيديهم من الصدقات والخرائج وهي حلال لنا </w:t>
      </w:r>
      <w:r>
        <w:rPr>
          <w:rFonts w:eastAsia="Amiri" w:cs="Amiri" w:ascii="Amiri" w:hAnsi="Amiri"/>
          <w:color w:val="111111"/>
          <w:sz w:val="28"/>
          <w:szCs w:val="28"/>
          <w:rtl w:val="true"/>
          <w:lang w:bidi="ar-SA"/>
        </w:rPr>
        <w:t xml:space="preserve">. </w:t>
      </w:r>
      <w:bookmarkStart w:id="345" w:name="pg15162_155697"/>
    </w:p>
    <w:p>
      <w:pPr>
        <w:pStyle w:val="Heading4"/>
        <w:numPr>
          <w:ilvl w:val="3"/>
          <w:numId w:val="1"/>
        </w:numPr>
        <w:rPr/>
      </w:pPr>
      <w:bookmarkStart w:id="346" w:name="__RefHeading___Toc1955584_2142443653"/>
      <w:bookmarkStart w:id="347" w:name="_Toc123"/>
      <w:bookmarkEnd w:id="345"/>
      <w:bookmarkEnd w:id="346"/>
      <w:r>
        <w:rPr>
          <w:rtl w:val="true"/>
        </w:rPr>
        <w:t>الصورة الثالثة العلم التفصيلي بحرمة المأخوذ من السلطان الجائر</w:t>
      </w:r>
      <w:bookmarkEnd w:id="347"/>
    </w:p>
    <w:p>
      <w:pPr>
        <w:pStyle w:val="Heading5"/>
        <w:numPr>
          <w:ilvl w:val="4"/>
          <w:numId w:val="1"/>
        </w:numPr>
        <w:rPr/>
      </w:pPr>
      <w:bookmarkStart w:id="348" w:name="__RefHeading___Toc1955586_2142443653"/>
      <w:bookmarkStart w:id="349" w:name="_Toc12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تفصيلاً حرمة ما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بإمكان ردّه إلى مالكه أو من بحكمه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بعدم إمكانه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قد يعلم برضا مالكه بأخذه ، وقد يعلم بعدم رضاه ، وقد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قد يحصل العلم بالحرمة قبل وقوعه في يده ، وقد يحصل بعده </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955588_2142443653"/>
      <w:bookmarkStart w:id="351" w:name="_Toc125"/>
      <w:bookmarkEnd w:id="350"/>
      <w:r>
        <w:rPr>
          <w:rtl w:val="true"/>
        </w:rPr>
        <w:t>الإشارة إلى مفاد الأدلّة الاجتهادية</w:t>
      </w:r>
      <w:bookmarkEnd w:id="351"/>
    </w:p>
    <w:p>
      <w:pPr>
        <w:pStyle w:val="BookText"/>
        <w:rPr/>
      </w:pPr>
      <w:r>
        <w:rPr>
          <w:rFonts w:ascii="Amiri" w:hAnsi="Amiri" w:eastAsia="Amiri" w:cs="Amiri"/>
          <w:color w:val="111111"/>
          <w:sz w:val="28"/>
          <w:sz w:val="28"/>
          <w:szCs w:val="28"/>
          <w:rtl w:val="true"/>
          <w:lang w:bidi="ar-SA"/>
        </w:rPr>
        <w:t xml:space="preserve">وقبل التعرّض لحال الصور لا بأس بالإشارة إلى مفاد الأدلّة الاجتهادية وحدود دلالتها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أبي عبداللّه علیه السلام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رحمهما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عنده أمانة فليؤدّها إلى من ائتمنه عليها ، فإنّه لا يحلّ دم امرئ مسلم ولا ماله إلاّ بطيبة نفس منه</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أبواب القصاص في النفس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نفي الحلّية في مقابل الحلّية بطيب نفسه هي الواقعية ، لا الأعمّ منها ومن الظاهرية حتّى يقال</w:t>
      </w:r>
      <w:r>
        <w:rPr>
          <w:rStyle w:val="FootnoteAnchor"/>
          <w:rtl w:val="true"/>
        </w:rPr>
        <w:footnoteReference w:id="903"/>
      </w:r>
      <w:r>
        <w:rPr>
          <w:rFonts w:ascii="Amiri" w:hAnsi="Amiri" w:eastAsia="Amiri" w:cs="Amiri"/>
          <w:color w:val="111111"/>
          <w:sz w:val="28"/>
          <w:sz w:val="28"/>
          <w:szCs w:val="28"/>
          <w:rtl w:val="true"/>
          <w:lang w:bidi="ar-SA"/>
        </w:rPr>
        <w:t>باستفادة حكمين منها؛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الحلّ </w:t>
      </w:r>
    </w:p>
    <w:p>
      <w:pPr>
        <w:pStyle w:val="BookText"/>
        <w:rPr/>
      </w:pPr>
      <w:r>
        <w:rPr>
          <w:rFonts w:ascii="Amiri" w:hAnsi="Amiri" w:eastAsia="Amiri" w:cs="Amiri"/>
          <w:color w:val="111111"/>
          <w:sz w:val="28"/>
          <w:sz w:val="28"/>
          <w:szCs w:val="28"/>
          <w:rtl w:val="true"/>
          <w:lang w:bidi="ar-SA"/>
        </w:rPr>
        <w:t>الواقعي وإثباته لدى طيب نفسه،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الحلّية الظاهرية الذي بمنزلة</w:t>
      </w:r>
    </w:p>
    <w:p>
      <w:pPr>
        <w:pStyle w:val="BookText"/>
        <w:rPr/>
      </w:pPr>
      <w:r>
        <w:rPr>
          <w:rFonts w:ascii="Amiri" w:hAnsi="Amiri" w:eastAsia="Amiri" w:cs="Amiri"/>
          <w:color w:val="111111"/>
          <w:sz w:val="28"/>
          <w:sz w:val="28"/>
          <w:szCs w:val="28"/>
          <w:rtl w:val="true"/>
          <w:lang w:bidi="ar-SA"/>
        </w:rPr>
        <w:t xml:space="preserve">جعل الاحتياط عند الشكّ في طيب نفسه ، فكأ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ماله مطلقاً واقعاً وظاهراً إلاّ مع طيب نفسه فيحلّ معه واقعاً ، فيكون الاستثناء من قسم من المستثنى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الاحتمال مخالف للظاهر وموجب للتفكيك بين الصدر والذيل وإن لا يمتنع الجمع بينهما بجعل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استظهرناه ربّما يقال بجواز التصرّف في أموال المسلم مع الشكّ في رضاه لو لم يحرز عدم رضاه بالأصل ، وهو مخالف فتوى العلماء وسيرة العرف على ما حكي وادّعي</w:t>
      </w:r>
      <w:r>
        <w:rPr>
          <w:rStyle w:val="FootnoteAnchor"/>
          <w:rtl w:val="true"/>
        </w:rPr>
        <w:footnoteReference w:id="904"/>
      </w:r>
      <w:r>
        <w:rPr>
          <w:rFonts w:ascii="IRNazanin" w:hAnsi="IRNazanin" w:eastAsia="IRNazanin"/>
          <w:color w:val="111111"/>
          <w:sz w:val="28"/>
          <w:sz w:val="28"/>
          <w:szCs w:val="28"/>
          <w:rtl w:val="true"/>
          <w:lang w:bidi="fa-IR"/>
        </w:rPr>
        <w:t xml:space="preserve">وهو غير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الاستشهاد له بموثّقة أبي بصير في باب حرمة سبّ المؤمن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 وقتاله كفر ، وأكل لحمه معصية ، وحرمة ماله كحرمة دمه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كونه بصدد بيان الكيفية في حرمة المال لا أصل الحرمة ، بدليل تغيير اُسلوب البيان فيها ، ومقتضى إطلاق التشبيه وجوب الاحتياط لدى الشكّ كما وجب في الدم ، ولذا اشتهر بينهم وجوبه فيه كما يجب في الدم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عرفاً في مثل المورد الذي جعل الطيب سبباً </w:t>
      </w:r>
    </w:p>
    <w:p>
      <w:pPr>
        <w:pStyle w:val="BookText"/>
        <w:rPr/>
      </w:pPr>
      <w:r>
        <w:rPr>
          <w:rFonts w:ascii="Amiri" w:hAnsi="Amiri" w:eastAsia="Amiri" w:cs="Amiri"/>
          <w:color w:val="111111"/>
          <w:sz w:val="28"/>
          <w:sz w:val="28"/>
          <w:szCs w:val="28"/>
          <w:rtl w:val="true"/>
          <w:lang w:bidi="ar-SA"/>
        </w:rPr>
        <w:t>لجواز التصرّف هو عدم جوازه إلاّ بإحراز السبب وقيام الحجّة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 نّه بصدد بيان الحكم الواقعي في المستثنى والمستثنى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بما ذكر أنّ الإحراز غاية للحكم الواقعي فمع كونه خلاف ظاهر استثناء عنوان الطيب الظاهر في الواقعي منه لا إحرازه كما في جميع العناوين المأخوذة في الأحكام ، يلزم الالتزام بحرمة التصرّف واقعاً مع طيب نفس صاحب المال واقعاً ما لم يحرز ، وهو كما ترى ، ولا أظنّ التزامهم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 إحراز الطيب استثناءً من الحكم الظاهري فلا حكم ظاهري مجعول إلاّ أن يجعل نفي الحلّ أعمّ من الظاهري والواقعي والاستثناء لخصوص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قيل بعموم المستثنى والمستثنى منه ، فيراد منه لا يحلّ المال واقعاً وظاهراً إلاّ مع طيب نفسه واقعاً فيحلّ واقعاً ، وإلاّ مع إحرازه فيحلّ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تعسّفات لا ينبغي التقوّل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انتساب عدم الحلّ إلى ذات المال مبنيّ على ادّعاء وتنزيل ، كما في الأشباه والنظائر على ما هو التحقيق ، لا على حذف المضاف كما قيل</w:t>
      </w:r>
      <w:r>
        <w:rPr>
          <w:rStyle w:val="FootnoteAnchor"/>
          <w:rtl w:val="true"/>
        </w:rPr>
        <w:footnoteReference w:id="907"/>
      </w:r>
      <w:r>
        <w:rPr>
          <w:rFonts w:ascii="Amiri" w:hAnsi="Amiri" w:eastAsia="Amiri" w:cs="Amiri"/>
          <w:color w:val="111111"/>
          <w:sz w:val="28"/>
          <w:sz w:val="28"/>
          <w:szCs w:val="28"/>
          <w:rtl w:val="true"/>
          <w:lang w:bidi="ar-SA"/>
        </w:rPr>
        <w:t xml:space="preserve">، فيكون مقتضى إطلاق التنزيل ونفي حلّية الذات نفي حلّية مطلق التصرّفات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الانصراف إلى التصرّفات الراجعة إلى نفع المتصرّف لا ما يرجع إلى نفع صاحب المال</w:t>
      </w:r>
      <w:r>
        <w:rPr>
          <w:rStyle w:val="FootnoteAnchor"/>
          <w:rtl w:val="true"/>
        </w:rPr>
        <w:footnoteReference w:id="908"/>
      </w:r>
      <w:r>
        <w:rPr>
          <w:rFonts w:ascii="Amiri" w:hAnsi="Amiri" w:eastAsia="Amiri" w:cs="Amiri"/>
          <w:color w:val="111111"/>
          <w:sz w:val="28"/>
          <w:sz w:val="28"/>
          <w:szCs w:val="28"/>
          <w:rtl w:val="true"/>
          <w:lang w:bidi="ar-SA"/>
        </w:rPr>
        <w:t xml:space="preserve">، غير وجيهة ، بل الظاهر منه تحديد حمى المالكية وتثبيت </w:t>
      </w:r>
    </w:p>
    <w:p>
      <w:pPr>
        <w:pStyle w:val="BookText"/>
        <w:rPr/>
      </w:pPr>
      <w:r>
        <w:rPr>
          <w:rFonts w:ascii="Amiri" w:hAnsi="Amiri" w:eastAsia="Amiri" w:cs="Amiri"/>
          <w:color w:val="111111"/>
          <w:sz w:val="28"/>
          <w:sz w:val="28"/>
          <w:szCs w:val="28"/>
          <w:rtl w:val="true"/>
          <w:lang w:bidi="ar-SA"/>
        </w:rPr>
        <w:t xml:space="preserve">سلطنة المالك والمنع عن دخالة الغير في سلطانه ، فلا وجه لدعوى الانصراف عن التصرّف النافع له برغم أنفه المخالف لسلطنته ، من غير فرق بين كون منعه لذلك لغرض عقلائي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منها دعوى كونه القدر المتيقّن منه ، خصوصاً مع عدم عموم لفظي إلاّ باعتبار حذف المتعلّق الراجع في تشخيصه إلى العرف</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القدر المتيقّن لا يضرّ بالإطلاق ، وإلاّ لما سلم إطلاق في الفقه ، وحذف المتعلّق ممنوع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حلّية الذات إنّما تحسن إذا كان جميع التصرّفات غير حلال ، أو نزّل حلالها منزلة العدم ، وهو يحتاج إلى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دعوى الانصراف عن مورد لم يكن في نفس المالك رضاً ولا كراهة فعلاً ولو ارتكازاً إذا كان التصرّف لمجرّد الإيصال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الاستئناس للحكم في هذه الصورة بل وصورة الشكّ في الرضا بأخبار اللقطة</w:t>
      </w:r>
      <w:r>
        <w:rPr>
          <w:rStyle w:val="FootnoteAnchor"/>
          <w:rtl w:val="true"/>
        </w:rPr>
        <w:footnoteReference w:id="910"/>
      </w:r>
      <w:r>
        <w:rPr>
          <w:rFonts w:ascii="Amiri" w:hAnsi="Amiri" w:eastAsia="Amiri" w:cs="Amiri"/>
          <w:color w:val="111111"/>
          <w:sz w:val="28"/>
          <w:sz w:val="28"/>
          <w:szCs w:val="28"/>
          <w:rtl w:val="true"/>
          <w:lang w:bidi="ar-SA"/>
        </w:rPr>
        <w:t xml:space="preserve">؛ إذ إطلاقها يقتضي جواز الالتقاط مع الشكّ في رضا صاحبه ومع العلم بخلوّ نفسه من الطرفين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الظاهر عدم إطلاقها لحال العلم بعدم الرضا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فأدلّة حرمة التصرّف وكذا دليل جعل الاحتياط في الأموال مع الشكّ على فرض وجوده منصرفة عن مثل المقام ، فعليه يجوز أخذ المال للردّ إلى صاحبه مع العلم بخلوّ ذهنه ومع الشكّ في رضاه </w:t>
      </w:r>
      <w:r>
        <w:rPr>
          <w:rFonts w:eastAsia="Amiri" w:cs="Amiri" w:ascii="Amiri" w:hAnsi="Amiri"/>
          <w:color w:val="111111"/>
          <w:sz w:val="28"/>
          <w:szCs w:val="28"/>
          <w:rtl w:val="true"/>
          <w:lang w:bidi="ar-SA"/>
        </w:rPr>
        <w:t xml:space="preserve">. </w:t>
      </w:r>
      <w:bookmarkStart w:id="352" w:name="pg15162_155701"/>
    </w:p>
    <w:p>
      <w:pPr>
        <w:pStyle w:val="BookText"/>
        <w:rPr/>
      </w:pPr>
      <w:bookmarkEnd w:id="352"/>
      <w:r>
        <w:rPr>
          <w:rFonts w:ascii="Amiri" w:hAnsi="Amiri" w:eastAsia="Amiri" w:cs="Amiri"/>
          <w:color w:val="111111"/>
          <w:sz w:val="28"/>
          <w:sz w:val="28"/>
          <w:szCs w:val="28"/>
          <w:rtl w:val="true"/>
          <w:lang w:bidi="ar-SA"/>
        </w:rPr>
        <w:t xml:space="preserve">ثمّ الظاهر من طيب نفسه هو الفعلي منه ولو بنحو الارتكاز والاختزان في النفس وإن كان غافلاً عنه ، فلا يعتبر الالتفات إلى طيب نفسه ، بل يكفي ما هو المخزون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يكفي التقديري منه مع عدم تحقّقه فعلاً ، وإلاّ لزم الالتزام بجواز التصرّف مع كراهته الفعلية إذا أحرز أ نّه على تقدير التفاته بجهة كعلمه وورعه يصير راضياً وتطيب نفسه به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هذه الرواية جارٍ في سائر ما بمضمونها أو قريب منها </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955590_2142443653"/>
      <w:bookmarkStart w:id="354" w:name="_Toc126"/>
      <w:bookmarkEnd w:id="353"/>
      <w:r>
        <w:rPr>
          <w:rtl w:val="true"/>
        </w:rPr>
        <w:t>حال الصور المتصوّرة في المقام من حيث الحكم التكليفي</w:t>
      </w:r>
      <w:bookmarkEnd w:id="354"/>
    </w:p>
    <w:p>
      <w:pPr>
        <w:pStyle w:val="BookText"/>
        <w:rPr/>
      </w:pPr>
      <w:r>
        <w:rPr>
          <w:rFonts w:ascii="Amiri" w:hAnsi="Amiri" w:eastAsia="Amiri" w:cs="Amiri"/>
          <w:color w:val="111111"/>
          <w:sz w:val="28"/>
          <w:sz w:val="28"/>
          <w:szCs w:val="28"/>
          <w:rtl w:val="true"/>
          <w:lang w:bidi="ar-SA"/>
        </w:rPr>
        <w:t xml:space="preserve">إذا عرفت ذلك فلنرجع إلى حال الصور المتقدّمة من حيث الحكم التكليفي والوضعي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برضا صاحب المال فلا إشكال في جوازه في جميع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علم عدم رضاه ولو بأخذه وردّه إليه ، فلا ينبغي أيضاً التأمّل في حرمته ؛ لإطلاق الأدلّة ، سواء كان عدم الرضا أو المنع بجهة عقلائي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الانصراف وعدم الإطلاق قد عرفت ما فيهما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بتعارض الرواية مع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الضعيف صدقة ، كموثّقة السكوني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الضعيف من أفضل الصدقات</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المال من الغاصب والردّ إلى صاحبه من العون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معاوية بن وهب</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معروف فيكون مستحبّاً كالصدقة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 إحسان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عدم رضاه أو منعه يمكن أن يقال بسقوطهما بالتعارض والرجوع إلى أصالة الحلّ ، بل يمكن أن يقال بحكومتها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المنع لغرض عقلائي فالظاهر عدم جوازه ؛ لعدم صدق الإحسان ونحوه ، أو مع صدقه يكون مشوباً بالإساءة فيقدّم جانب الحرمة</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سنخ تلك الروايات الواردة في المستحبّات لا إطلاق لها حتّى يزاحم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مال الغير بلا إذنه أو مع منعه ظلم عليه لا إعانة وإحسان ، ومنكر لا معروف ، فيكون خارجاً عن مفادها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شبهة في انصرافها عن مثل المورد ، فلا وجه للتعارض بينها وبين ما تقدّم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تنزيل العون والمعروف منزلة الصدقة يستشعر منه عدم </w:t>
      </w:r>
      <w:bookmarkStart w:id="355" w:name="pg15162_155703"/>
    </w:p>
    <w:p>
      <w:pPr>
        <w:pStyle w:val="BookText"/>
        <w:rPr/>
      </w:pPr>
      <w:bookmarkEnd w:id="355"/>
      <w:r>
        <w:rPr>
          <w:rFonts w:ascii="Amiri" w:hAnsi="Amiri" w:eastAsia="Amiri" w:cs="Amiri"/>
          <w:color w:val="111111"/>
          <w:sz w:val="28"/>
          <w:sz w:val="28"/>
          <w:szCs w:val="28"/>
          <w:rtl w:val="true"/>
          <w:lang w:bidi="ar-SA"/>
        </w:rPr>
        <w:t xml:space="preserve">جواز التصرّف بغير إذن صاحبه ، كما أنّ الصدقة لا تصحّ ولا تجوز بجهة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تجوز الصدقة بمال الغير أو بماله إذا تعلّق به حقّ الغير، كذلك لا يجوز العون والإحسان مع كون مورده التصرّف في مال الغير بلا إذنه أو مع 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عرفت جواز الأخذ لمجرّد الإيصال إلى صاحبه في مورد خلوّ ذهنه عن الرضا والكراهة ولو ارتكازاً ، وإن لا يجوز سائر التصرّفات لتعليقها على طيب نفسه الظاهر في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في مورد الشكّ في طيب نفسه ؛ لكونه من الشبهة المصداقية للأدلّة ، ولانصراف دليل جعل الاحتياط في مورد الشكّ عنه على فرض وجود دليل لفظي كما أشرنا إليه</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الحكم إجماعياً يكون المتيقّن منه غير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يلحق مورد الشكّ في عدم الرضا بالعلم به بالأصل ، فلا بدّ من بيان حال الاستصحاب ومورد جريانه ولا جريانه </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955592_2142443653"/>
      <w:bookmarkStart w:id="357" w:name="_Toc127"/>
      <w:bookmarkEnd w:id="356"/>
      <w:r>
        <w:rPr>
          <w:rtl w:val="true"/>
        </w:rPr>
        <w:t>بيان حال الاستصحاب ومورد جريانه</w:t>
      </w:r>
      <w:bookmarkEnd w:id="357"/>
    </w:p>
    <w:p>
      <w:pPr>
        <w:pStyle w:val="BookText"/>
        <w:rPr/>
      </w:pPr>
      <w:r>
        <w:rPr>
          <w:rFonts w:ascii="Amiri" w:hAnsi="Amiri" w:eastAsia="Amiri" w:cs="Amiri"/>
          <w:color w:val="111111"/>
          <w:sz w:val="28"/>
          <w:sz w:val="28"/>
          <w:szCs w:val="28"/>
          <w:rtl w:val="true"/>
          <w:lang w:bidi="ar-SA"/>
        </w:rPr>
        <w:t xml:space="preserve">فنقول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بصدد بيان حكم المستثنى ؛ أي الحلّية مع الطيب ، فيكون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ماله إلاّ 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يتحقّق الحلّ إلاّ بالطيب الذي سببه ، ومع فقده ينتفي المسبّب ، لا بصدد جعل عدم الحلّ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المراد أنّ </w:t>
      </w:r>
    </w:p>
    <w:p>
      <w:pPr>
        <w:pStyle w:val="BookText"/>
        <w:rPr/>
      </w:pPr>
      <w:r>
        <w:rPr>
          <w:rFonts w:ascii="Amiri" w:hAnsi="Amiri" w:eastAsia="Amiri" w:cs="Amiri"/>
          <w:color w:val="111111"/>
          <w:sz w:val="28"/>
          <w:sz w:val="28"/>
          <w:szCs w:val="28"/>
          <w:rtl w:val="true"/>
          <w:lang w:bidi="ar-SA"/>
        </w:rPr>
        <w:t xml:space="preserve">الحلّ مسبّب عن الطيب وينتفي بانتفائه ، وهو أمر عقلي لا مجعول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بصدد بيان حكم المستثنى منه ؛ أي جعل عدم الحلّ مع فقد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بصدد بيان حكمهما فيكون المجعول عدم الحلّ مع فقد طيب نفسه والحلّ مع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عند الشكّ في بعض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بصدد بيان مجعولية هذا الأمر العدمي</w:t>
      </w:r>
    </w:p>
    <w:p>
      <w:pPr>
        <w:pStyle w:val="BookText"/>
        <w:rPr/>
      </w:pPr>
      <w:r>
        <w:rPr>
          <w:rFonts w:ascii="Amiri" w:hAnsi="Amiri" w:eastAsia="Amiri" w:cs="Amiri"/>
          <w:color w:val="111111"/>
          <w:sz w:val="28"/>
          <w:sz w:val="28"/>
          <w:szCs w:val="28"/>
          <w:rtl w:val="true"/>
          <w:lang w:bidi="ar-SA"/>
        </w:rPr>
        <w:t xml:space="preserve">بنفسه وإن فرض استلزامه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كناية عن مجعولية الحرمة ،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الكذائي لا يوافق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لا يوافق الفلان في</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يراد به المخالفة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لا يرضى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كراهته لا نفي رضاه ، وهو الأظهر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أ نّها بصدد بيان حكم المستثنى منه ، كما يظهر من صدرها ؛ أي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دماءكم وأموالكم عليكم حرام كحرمة يومكم </w:t>
      </w:r>
      <w:r>
        <w:rPr>
          <w:rFonts w:eastAsia="Amiri" w:cs="Amiri" w:ascii="Amiri" w:hAnsi="Amiri"/>
          <w:color w:val="111111"/>
          <w:sz w:val="28"/>
          <w:szCs w:val="28"/>
          <w:rtl w:val="true"/>
          <w:lang w:bidi="ar-SA"/>
        </w:rPr>
        <w:t>. . .»</w:t>
      </w:r>
      <w:r>
        <w:rPr>
          <w:rStyle w:val="FootnoteAnchor"/>
          <w:rtl w:val="true"/>
        </w:rPr>
        <w:footnoteReference w:id="917"/>
      </w:r>
      <w:r>
        <w:rPr>
          <w:rFonts w:ascii="Amiri" w:hAnsi="Amiri" w:eastAsia="Amiri" w:cs="Amiri"/>
          <w:color w:val="111111"/>
          <w:sz w:val="28"/>
          <w:sz w:val="28"/>
          <w:szCs w:val="28"/>
          <w:rtl w:val="true"/>
          <w:lang w:bidi="ar-SA"/>
        </w:rPr>
        <w:t xml:space="preserve">، أو بصدد بيان الجملتين لا بيان خصوص المستثنى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بجعل السببية في مثل المقام</w:t>
      </w:r>
      <w:r>
        <w:rPr>
          <w:rStyle w:val="FootnoteAnchor"/>
          <w:rtl w:val="true"/>
        </w:rPr>
        <w:footnoteReference w:id="918"/>
      </w:r>
      <w:r>
        <w:rPr>
          <w:rFonts w:ascii="Amiri" w:hAnsi="Amiri" w:eastAsia="Amiri" w:cs="Amiri"/>
          <w:color w:val="111111"/>
          <w:sz w:val="28"/>
          <w:sz w:val="28"/>
          <w:szCs w:val="28"/>
          <w:rtl w:val="true"/>
          <w:lang w:bidi="ar-SA"/>
        </w:rPr>
        <w:t xml:space="preserve">؛ أي جعل سببية الطيب للحلّ ، أو عدمه لعدمه ، لا يفيد الاستصحاب على جميع الاحتمالات ؛ لأنّ نفي المسبّب بنفي سببه عقلي وإن كان جعل السببية شرعياً ، كما أنّ ترتّب المسبّب على سببه عقلي لا شرعي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بجعل سببية الطيب للحلّ فاستصحاب عدم الطيب لنفي الحلّ عقلي ، </w:t>
      </w:r>
    </w:p>
    <w:p>
      <w:pPr>
        <w:pStyle w:val="BookText"/>
        <w:rPr/>
      </w:pPr>
      <w:r>
        <w:rPr>
          <w:rFonts w:ascii="Amiri" w:hAnsi="Amiri" w:eastAsia="Amiri" w:cs="Amiri"/>
          <w:color w:val="111111"/>
          <w:sz w:val="28"/>
          <w:sz w:val="28"/>
          <w:szCs w:val="28"/>
          <w:rtl w:val="true"/>
          <w:lang w:bidi="ar-SA"/>
        </w:rPr>
        <w:t xml:space="preserve">بل نفي الحلّ على الفرض الأوّل ممّا تقدّم عبارة عن سلب الحكم الشرعي ، لا إثبات الحكم ؛ أي عدم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فإثباته بهذا السلب أيضاً عقلي ، ولو اُغمض عنه فإثبات الحرمة بسلب الحلّ أيضاً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بجعل المسبّب عقيب السبب في مثل المقام ، فإثبات المسبّب باستصحاب سببه لا مانع منه ، وأمّا نفيه بنفيه لا يخلو من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الاحتمال الأوّل ، وأمّا على غيره فإن قلنا بجعل المسبّب عقيب السبب فلا إشكال في أنّ استصحاب عدم الطيب لعدم الحلّ غير مثبت وإن كان إثبات الحرمة به مثبتاً ، إلاّ أن يكون المجعول حرمة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إنّما يجري إن كان المجعول المسبّب عقيب السبب وقلنا بأ نّه الحرمة عقيب عدم طيب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جريان الاستصحاب موقوف على إحراز موضوع الدليل الاجتهادي به ، وهو إنّما يحرز وينقّح إذا كان الموضوع بقيوده مجرى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موضوع عدم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امرئ مسلم بلا طيب نفسه ، فلا بدّ من تنقيحه بالأصل حتّى يترتّب عليه الحكم ، فإن كان ذلك بقيوده مسبوقاً بالتحقّق يجري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أنّ صاحب المال الكذائي كان لا يطيب بالتصرّف فيه وشكّ في تبديله يستصحب ويحكم بالحرمة من غير فرق بين اعتبار طيبه سابقاً أو لا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كان صاحب المال غير بالغ واحتمل عند بلوغه حصول طيب نفسه ، فاستصحاب عدم طيب نفسه قبل البلوغ كافٍ لإثبات الحرمة حال البلوغ ؛ لكفاية كون الموضوع ذا أثر حال الشكّ </w:t>
      </w:r>
      <w:r>
        <w:rPr>
          <w:rFonts w:eastAsia="Amiri" w:cs="Amiri" w:ascii="Amiri" w:hAnsi="Amiri"/>
          <w:color w:val="111111"/>
          <w:sz w:val="28"/>
          <w:szCs w:val="28"/>
          <w:rtl w:val="true"/>
          <w:lang w:bidi="ar-SA"/>
        </w:rPr>
        <w:t xml:space="preserve">. </w:t>
      </w:r>
      <w:bookmarkStart w:id="358" w:name="pg15162_155706"/>
    </w:p>
    <w:p>
      <w:pPr>
        <w:pStyle w:val="BookText"/>
        <w:rPr/>
      </w:pPr>
      <w:bookmarkEnd w:id="358"/>
      <w:r>
        <w:rPr>
          <w:rFonts w:ascii="Amiri" w:hAnsi="Amiri" w:eastAsia="Amiri" w:cs="Amiri"/>
          <w:color w:val="111111"/>
          <w:sz w:val="28"/>
          <w:sz w:val="28"/>
          <w:szCs w:val="28"/>
          <w:rtl w:val="true"/>
          <w:lang w:bidi="ar-SA"/>
        </w:rPr>
        <w:t xml:space="preserve">إلاّ أن يناقش في المثال بأنّ موضوع الحكم هو امرؤ كذا وهو رجل بالغ ، وبإلغاء الخصوصية تدخل المرأة فيه ، لا غير البالغ ، فيأتي فيه الإشكال الذي في الفرض الآتي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علم بعدم طيب نفسه قبل انتقال المال إليه فاستصحاب عدم طيب نفس صاحب المال الذي هو موضوع الحكم لا يجري ؛ لعدم الحالة السابقة اليقينية للمستصحب ، وما هو مسبوق بالتيقّن هو عدم طيب نفسه بهذا المال لا بما هو مضاف إليه ، وهو مع قطع الإضافة ليس موضوعاً للحكم ، وإثبات الإضافة بعد الجرّ إلى زمان الملكية عقلي وليس الموضوع مركّباً بل بسيط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عدم جريان استصحاب عدم الطيب بعدم المغصوب منه أو بعدم المغصوب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الحكم التكليفي ، وأمّا الوضعي منه فنقول </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955594_2142443653"/>
      <w:bookmarkStart w:id="360" w:name="_Toc128"/>
      <w:bookmarkEnd w:id="359"/>
      <w:r>
        <w:rPr>
          <w:rtl w:val="true"/>
        </w:rPr>
        <w:t>حال صور المتصوّرة في المقام من حيث الحكم الوضعي</w:t>
      </w:r>
      <w:bookmarkEnd w:id="360"/>
    </w:p>
    <w:p>
      <w:pPr>
        <w:pStyle w:val="BookText"/>
        <w:rPr/>
      </w:pPr>
      <w:r>
        <w:rPr>
          <w:rFonts w:ascii="Amiri" w:hAnsi="Amiri" w:eastAsia="Amiri" w:cs="Amiri"/>
          <w:color w:val="111111"/>
          <w:sz w:val="28"/>
          <w:sz w:val="28"/>
          <w:szCs w:val="28"/>
          <w:rtl w:val="true"/>
          <w:lang w:bidi="ar-SA"/>
        </w:rPr>
        <w:t xml:space="preserve">إنّ الأخذ إمّا أن يكون بعد العلم بالحرمة أو قبله ، وعلى التقديرين قد يكون مع العلم برضاه ، وقد يكون مع العلم بعدمه ، أو مع العلم بخلوّ ذهنه منهما ، أو مع الشكّ في رضاه وعدمه ، أو خلوّ ذهنه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الأخذ بإكراه واضطرار تقيّة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باختيار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بعد العلم به ومع الاختيار فالضمان وإن لم يثبت ظاهراً لكن ثبوته واقعاً تابع لعدم رضاه واقعاً ، كما أنّ عدمه تابع لرضاه واقعاً ، ولا دخل للعلم </w:t>
      </w:r>
    </w:p>
    <w:p>
      <w:pPr>
        <w:pStyle w:val="BookText"/>
        <w:rPr/>
      </w:pPr>
      <w:r>
        <w:rPr>
          <w:rFonts w:ascii="Amiri" w:hAnsi="Amiri" w:eastAsia="Amiri" w:cs="Amiri"/>
          <w:color w:val="111111"/>
          <w:sz w:val="28"/>
          <w:sz w:val="28"/>
          <w:szCs w:val="28"/>
          <w:rtl w:val="true"/>
          <w:lang w:bidi="ar-SA"/>
        </w:rPr>
        <w:t xml:space="preserve">والجهل فيهما ، فمع العلم برضاه جاز الأخذ ظاهراً لكنّه موجب لضمان اليد ، ومع العلم بعدمه لا يجوز ظاهراً ومتجرٍّ فيه وإن لم يضمن واقعاً ، وفي صورة الشكّ أيضاً يكون الضمان الواقعي تابعاً لعدم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إحراز عدم طيب نفسه بالأصل كما في بعض الصور يحكم بضمانه ، ومع عدم جريانه فالحكم به تابع لمقدار دلالة دليل الاحتياط في الأموال ، فإن دلّ على لزومه في الحكم الوضعي أيضاً يحكم بالضمان احتياطاً ، وإن قلنا باختصاص دليله بالتكليف وعدم دليل على الوضعي كما لا يبعد فلا يحكم به ؛ لكون الشبهة مصداقية لأدلّته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العلم بعدم كراهته ورضاه فعلاً لو أخذه بقصد الردّ إليه يكون محسناً ولا ضمان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كلام وهو أنّ نفي السبيل عن المحسن هل يختصّ بمن كان محسناً فعلاً وفاعلاً ، أو بمن كان محسناً فعلاً ، أو بمن كان محسناً فاعلاً وإن لم يكن كذلك واقعاً ؟</w:t>
      </w:r>
    </w:p>
    <w:p>
      <w:pPr>
        <w:pStyle w:val="BookText"/>
        <w:rPr/>
      </w:pPr>
      <w:r>
        <w:rPr>
          <w:rFonts w:ascii="Amiri" w:hAnsi="Amiri" w:eastAsia="Amiri" w:cs="Amiri"/>
          <w:color w:val="111111"/>
          <w:sz w:val="28"/>
          <w:sz w:val="28"/>
          <w:szCs w:val="28"/>
          <w:rtl w:val="true"/>
          <w:lang w:bidi="ar-SA"/>
        </w:rPr>
        <w:t xml:space="preserve">فمن أخذ ضالّة ليردّها إلى شخص بتخيّل أ نّه صاحبها وكان غيره لم يضمن على الأخير دون غيره ، ومن أخذها ليردّها إلى شخص بتخيّل أ نّه غير صاحبها وكان صاحبها فتلف قبل الردّ لم يضمن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الاشتقاق وإن كان الاختصاص بالثاني لكن مقتضى المناسبة بين الحكم والموضوع الاختصاص بالثالث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مكرهاً أو مضطرّاً لأجل التقيّة في أخذه فمع رضاه لا إشكال فيه ، ومع عدمه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الأخذ الإكراهي والاضطراري كلا أخذ بمقتضى </w:t>
      </w:r>
    </w:p>
    <w:p>
      <w:pPr>
        <w:pStyle w:val="BookText"/>
        <w:rPr/>
      </w:pPr>
      <w:r>
        <w:rPr>
          <w:rFonts w:ascii="Amiri" w:hAnsi="Amiri" w:eastAsia="Amiri" w:cs="Amiri"/>
          <w:color w:val="111111"/>
          <w:sz w:val="28"/>
          <w:sz w:val="28"/>
          <w:szCs w:val="28"/>
          <w:rtl w:val="true"/>
          <w:lang w:bidi="ar-SA"/>
        </w:rPr>
        <w:t>دليل الرفع</w:t>
      </w:r>
      <w:r>
        <w:rPr>
          <w:rStyle w:val="FootnoteAnchor"/>
          <w:rtl w:val="true"/>
        </w:rPr>
        <w:footnoteReference w:id="919"/>
      </w:r>
      <w:r>
        <w:rPr>
          <w:rFonts w:ascii="Amiri" w:hAnsi="Amiri" w:eastAsia="Amiri" w:cs="Amiri"/>
          <w:color w:val="111111"/>
          <w:sz w:val="28"/>
          <w:sz w:val="28"/>
          <w:szCs w:val="28"/>
          <w:rtl w:val="true"/>
          <w:lang w:bidi="ar-SA"/>
        </w:rPr>
        <w:t xml:space="preserve">، الرافع لذات ما اُكرهوا عليه وما اضطرّوا إليه ، ومقتضى رفع الذات رفع جميع آثاره وضعاً وتكليفاً ، وهو حاكم على دليل ضمان اليد والإتلاف ؛ لأنّ موضوعهما الأخذ والاستيلاء والإتلاف ، ودليل الرفع يرفعهما ويجعلهما بمنزلة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لابدّ للآخذ من ارتكاب ما هو أقلّ محذوراً ، فيقصد الردّ إلى صاحبه ، ومع قصد التملّك يضمن ، وكذا مع عدم قصد ردّه إليه ؛ لإطلاق دليل اليد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عدم إطلاقه</w:t>
      </w:r>
      <w:r>
        <w:rPr>
          <w:rStyle w:val="FootnoteAnchor"/>
          <w:rtl w:val="true"/>
        </w:rPr>
        <w:footnoteReference w:id="920"/>
      </w:r>
      <w:r>
        <w:rPr>
          <w:rFonts w:ascii="Amiri" w:hAnsi="Amiri" w:eastAsia="Amiri" w:cs="Amiri"/>
          <w:color w:val="111111"/>
          <w:sz w:val="28"/>
          <w:sz w:val="28"/>
          <w:szCs w:val="28"/>
          <w:rtl w:val="true"/>
          <w:lang w:bidi="ar-SA"/>
        </w:rPr>
        <w:t>غير وجيهة ، كدعوى أنّ الأخذ بمنزلة عدمه</w:t>
      </w:r>
      <w:r>
        <w:rPr>
          <w:rStyle w:val="FootnoteAnchor"/>
          <w:rtl w:val="true"/>
        </w:rPr>
        <w:footnoteReference w:id="921"/>
      </w:r>
      <w:r>
        <w:rPr>
          <w:rFonts w:ascii="Amiri" w:hAnsi="Amiri" w:eastAsia="Amiri" w:cs="Amiri"/>
          <w:color w:val="111111"/>
          <w:sz w:val="28"/>
          <w:sz w:val="28"/>
          <w:szCs w:val="28"/>
          <w:rtl w:val="true"/>
          <w:lang w:bidi="ar-SA"/>
        </w:rPr>
        <w:t xml:space="preserve">مطلقاً ، فإنّه لا يضطرّ إلى أخذه بلا قصد ردّه ولا يكره عليه كذلك ، بل هو مضطرّ إلى مهملة الأخذ لا مطلقه ولا قسم خاصّ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الرفع ينفي ما يضطرّ إليه وهو لا يضطرّ إلى الأخذ بلا ضمان ، ومقتضاه نفي الحكم التكليفي لا الوضعي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تقييد الموضوع بحكمه ، فالرفع إنّما يتعلّق بالأخذ الذي هو موضوع ضمان اليد لا بالأخذ الضماني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الضمان هو الأخذ والاستيلاء ولا يعقل أن يكون الأخذ الضماني ، ودليل الرفع يرفع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عدم الضمان في الأكل في المخمصة وهم لا يلتزمون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المقامين ، فإنّ في المخمصة لا يضطرّ إلاّ إلى سدّ الرمق وهو يحصل بنفس المال ، لا بمال الغير ، ولا بالمال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يضطرّ إلى أخذ مال الغير ، لا أخذ ذات المال وهو مرفوع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امتنانية دليل الرفع عدم المجّانية في الأكل ، وأمّا في المقام فلمّا كان الضمان على الجائر لا يكون نفي الضمان عن الآخذ منافياً للامتنان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الأخذ بعد العلم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قبله فلا يخلو إمّا أن يكون شاكّاً ملتفتاً أو غافلاً ، أو قاطعاً بأ نّه مال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إمّا أن يكون يد الجائر معتبرة عنده وأمارة على ملكيته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يستصحب عدم طيب نفس صاحب المال إن كان المال مسبوقاً بكونه للغير مع عدم طيب نفسه ، بأن يكون هذا المعنى الموضوع للحكم بجميع قيوده مسبوقاً باليقين ، وأمّا إذا كان بعض قيوده مسبوقاً به وبعض آخر حاصلاً بالوجدان فلا يجري الأصل ولا يحرز به الربط ؛ لكونه مثبتاً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لو كان موضوع جواز التقليد الفقيه إذا كان عادلاً أو الفقيه العادل ، فإنّه إذا كان الموضوع مسبوقاً باليقين بقيوده يجري الاستصحاب ، بخلاف ما لو كان فقاهته مسبوقة بالتحقّق دون عدالته وكانت عدالته محرزة بالوجدان حال الشكّ في فقاهته ، فإنّ إجراء استصحاب كونه فقيهاً لإحراز موضوع الدليل بالأصل والوجدان غير صحيح ؛ لعدم إثبات الكون الرابط أو التوصيف به إلاّ بالأصل المثبت </w:t>
      </w:r>
      <w:r>
        <w:rPr>
          <w:rFonts w:eastAsia="Amiri" w:cs="Amiri" w:ascii="Amiri" w:hAnsi="Amiri"/>
          <w:color w:val="111111"/>
          <w:sz w:val="28"/>
          <w:szCs w:val="28"/>
          <w:rtl w:val="true"/>
          <w:lang w:bidi="ar-SA"/>
        </w:rPr>
        <w:t xml:space="preserve">. </w:t>
      </w:r>
      <w:bookmarkStart w:id="361" w:name="pg15162_155710"/>
    </w:p>
    <w:p>
      <w:pPr>
        <w:pStyle w:val="BookText"/>
        <w:rPr/>
      </w:pPr>
      <w:bookmarkEnd w:id="361"/>
      <w:r>
        <w:rPr>
          <w:rFonts w:ascii="Amiri" w:hAnsi="Amiri" w:eastAsia="Amiri" w:cs="Amiri"/>
          <w:color w:val="111111"/>
          <w:sz w:val="28"/>
          <w:sz w:val="28"/>
          <w:szCs w:val="28"/>
          <w:rtl w:val="true"/>
          <w:lang w:bidi="ar-SA"/>
        </w:rPr>
        <w:t xml:space="preserve">نعم ، لو كان الموضوع مركّباً ، كأن دلّ الدليل على أنّ التقليد يصحّ من رجل عالم وعادل ، يمكن إحرازه بالأصل والوجدان وإن لا يخلو من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قبيل الأوّل ، فلا يجري الأصل ، وفي صورة عدم جريانه لا يجوز الأخذ مع الاختيار إلاّ للإيصال إلى صاحبه مع الإمكان ولإجراء حكم مجهول المالك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الاضطرار والإكراه يأتي فيه الكلام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القطع بكونه مال الجائر ، أو الغفلة أو الالتفات وبنائه على اعتبار يده وأخذه بعنوان التملّك فيقع الكلام فيه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نّه هل يكون الأخذ بنيّة التملّك مع الجهل بكونه للغير موجباً للضمان أو لا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الضمان هل يبقى حكمه مع نيّة الحفظ بعد العلم بالحال أو لا ؟</w:t>
      </w:r>
    </w:p>
    <w:p>
      <w:pPr>
        <w:pStyle w:val="Heading5"/>
        <w:numPr>
          <w:ilvl w:val="4"/>
          <w:numId w:val="1"/>
        </w:numPr>
        <w:rPr/>
      </w:pPr>
      <w:bookmarkStart w:id="362" w:name="__RefHeading___Toc1955596_2142443653"/>
      <w:bookmarkStart w:id="363" w:name="_Toc129"/>
      <w:bookmarkEnd w:id="362"/>
      <w:r>
        <w:rPr>
          <w:rtl w:val="true"/>
        </w:rPr>
        <w:t>في أنّ الأخذ بنيّة التملّك مع الجهل بكونه للغير موجب للضمان</w:t>
      </w:r>
      <w:bookmarkEnd w:id="363"/>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الشهيد والطباطبائي عدم الضمان مع الجهل</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الأوّل بأنّ يده يد أمانة فيستصحب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أ نّه بحكم الأمانة في عدم الضمان ، ولعلّ موضوع كلامه هو القسم الشائع من المأخوذ ، وهو مورد جهله بأ نّه مال الغير مع الالتفات والاتّكال على يده ، لا مطلق الجهل </w:t>
      </w:r>
      <w:r>
        <w:rPr>
          <w:rFonts w:eastAsia="Amiri" w:cs="Amiri" w:ascii="Amiri" w:hAnsi="Amiri"/>
          <w:color w:val="111111"/>
          <w:sz w:val="28"/>
          <w:szCs w:val="28"/>
          <w:rtl w:val="true"/>
          <w:lang w:bidi="ar-SA"/>
        </w:rPr>
        <w:t xml:space="preserve">. </w:t>
      </w:r>
      <w:bookmarkStart w:id="364" w:name="pg15162_155711"/>
    </w:p>
    <w:p>
      <w:pPr>
        <w:pStyle w:val="BookText"/>
        <w:rPr/>
      </w:pPr>
      <w:bookmarkEnd w:id="364"/>
      <w:r>
        <w:rPr>
          <w:rFonts w:ascii="Amiri" w:hAnsi="Amiri" w:eastAsia="Amiri" w:cs="Amiri"/>
          <w:color w:val="111111"/>
          <w:sz w:val="28"/>
          <w:sz w:val="28"/>
          <w:szCs w:val="28"/>
          <w:rtl w:val="true"/>
          <w:lang w:bidi="ar-SA"/>
        </w:rPr>
        <w:t xml:space="preserve">ولعلّ وجهه أ نّه مع الاتّكال بالأمارة الشرعية في الأخذ بعنوان التملّك يرفع الضمان ، ويكون حاله حال الأمانة ، بتخيّل أنّ الأمر بالعمل بالأمارة أو الإذن به ينافي التضمين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موضوع كلامه مطلق الجهل ، ووجه عدم الضمان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 xml:space="preserve">أعمّ من الوضعي كسائر فقراته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جعل الاحتياط حاكم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شموله لمورد قيام الأمارة على الخلاف ومورد القطع به غير ظاهر ، مضافاً إلى عدم التزام الأصحاب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اليد لا يشمل مورد الجهل ؛ لأنّ ظاهره الاختصاص بما إذا</w:t>
      </w:r>
    </w:p>
    <w:p>
      <w:pPr>
        <w:pStyle w:val="BookText"/>
        <w:rPr/>
      </w:pPr>
      <w:r>
        <w:rPr>
          <w:rFonts w:ascii="Amiri" w:hAnsi="Amiri" w:eastAsia="Amiri" w:cs="Amiri"/>
          <w:color w:val="111111"/>
          <w:sz w:val="28"/>
          <w:sz w:val="28"/>
          <w:szCs w:val="28"/>
          <w:rtl w:val="true"/>
          <w:lang w:bidi="ar-SA"/>
        </w:rPr>
        <w:t>أخذ المال قهراً على المالك</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ضرورة إطلاقه لجميع أنحاء الأخذ ، فالأوفق بالقواعد هو الضمان </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955598_2142443653"/>
      <w:bookmarkStart w:id="366" w:name="_Toc130"/>
      <w:bookmarkEnd w:id="365"/>
      <w:r>
        <w:rPr>
          <w:rtl w:val="true"/>
        </w:rPr>
        <w:t>في بقاء الضمان مع نيّة الحفظ بعد العلم بالحال</w:t>
      </w:r>
      <w:bookmarkEnd w:id="366"/>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تعميم البحث إلى كلّ ما كان أخذه موجباً للضمان سواء علم بالواقعة حال الأخذ أم لا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نوى الحفظ والردّ إلى صاحبه زال الضمان ، وذلك لدخوله </w:t>
      </w:r>
    </w:p>
    <w:p>
      <w:pPr>
        <w:pStyle w:val="BookText"/>
        <w:rPr/>
      </w:pPr>
      <w:r>
        <w:rPr>
          <w:rFonts w:ascii="Amiri" w:hAnsi="Amiri" w:eastAsia="Amiri" w:cs="Amiri"/>
          <w:color w:val="111111"/>
          <w:sz w:val="28"/>
          <w:sz w:val="28"/>
          <w:szCs w:val="28"/>
          <w:rtl w:val="true"/>
          <w:lang w:bidi="ar-SA"/>
        </w:rPr>
        <w:t xml:space="preserve">تحت عنوان الإحسان الموجب لعدم الضمان المخصّص لعموم على اليد في الابتداء والأثناء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انقلبت اليد من العدوان والخيانة إلى الإحسان والأمانة ينقلب الحكم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يردّ ذلك بأنّ يد الإحسان غير مقتضٍ للضمان وهو لا يزاحم اليد المقتضية للضمان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مدّعاه تخصيص دليل اليد بدليل الإحسان ، وليس المقام من قبيل تزاحم المقتضي مع اللامقتضي ؛ إذ لازمه الضمان حتّى إذا كان محسناً من أوّل الأمر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 القائل بالانقلاب أنّ مقتضى دليل الإحسان هو نفي السبيل عن المحسن بما هو محسن ، لا نفيه ولو عمّا يقتضي إساءته أو غير إحسانه ، ومقتضى دليل اليد أنّ حدوثها على الشيء موجب للضمان مستمرّاً إلى زمان التأدية ، فموجب الضمان حدوث اليد غير الإحسانية فقط ، وليس للاستيلاء الإحساني أثر في الضمان حتّى يرفع بدليل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الموجب للضمان اليد العدوانية ، وهي غير مرفوعة بدليل الإحسان ، وما صدر عنه إحساناً ليست موجبة للضمان حتّى يرفع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منه أنّ مقتضى القواعد عدم الانقلاب ، ولهذا لا يلتزمون به في يد الغاصب </w:t>
      </w:r>
      <w:r>
        <w:rPr>
          <w:rFonts w:eastAsia="Amiri" w:cs="Amiri" w:ascii="Amiri" w:hAnsi="Amiri"/>
          <w:color w:val="111111"/>
          <w:sz w:val="28"/>
          <w:szCs w:val="28"/>
          <w:rtl w:val="true"/>
          <w:lang w:bidi="ar-SA"/>
        </w:rPr>
        <w:t xml:space="preserve">. </w:t>
      </w:r>
      <w:bookmarkStart w:id="367" w:name="pg15162_155713"/>
    </w:p>
    <w:p>
      <w:pPr>
        <w:pStyle w:val="Heading5"/>
        <w:numPr>
          <w:ilvl w:val="4"/>
          <w:numId w:val="1"/>
        </w:numPr>
        <w:rPr/>
      </w:pPr>
      <w:bookmarkStart w:id="368" w:name="__RefHeading___Toc1955600_2142443653"/>
      <w:bookmarkStart w:id="369" w:name="_Toc131"/>
      <w:bookmarkEnd w:id="367"/>
      <w:bookmarkEnd w:id="368"/>
      <w:r>
        <w:rPr>
          <w:rtl w:val="true"/>
        </w:rPr>
        <w:t>في وجوب ردّ المأخوذ إلى صاحبه</w:t>
      </w:r>
      <w:bookmarkEnd w:id="369"/>
    </w:p>
    <w:p>
      <w:pPr>
        <w:pStyle w:val="BookText"/>
        <w:rPr/>
      </w:pPr>
      <w:r>
        <w:rPr>
          <w:rFonts w:ascii="Amiri" w:hAnsi="Amiri" w:eastAsia="Amiri" w:cs="Amiri"/>
          <w:color w:val="111111"/>
          <w:sz w:val="28"/>
          <w:sz w:val="28"/>
          <w:szCs w:val="28"/>
          <w:rtl w:val="true"/>
          <w:lang w:bidi="ar-SA"/>
        </w:rPr>
        <w:t xml:space="preserve">وعلى أيّ تقدير يجب على الآخذ ردّ المأخوذ إلى صاحبه بعد العلم بالقضيّة مع العلم بعدم رضا صاحبه بقاءه عنده ، بل مع الشكّ أيضاً ، بدليل الاستصحاب فيما جرى فيه والاحتياط في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في صورة عدم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حكم العقل وإلى أ نّه ظلم وعدوان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الأدلّة ، فإنّ إطلاق قوله في مثل صحيحة الشحّام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امرئ مسلم ولا ماله إلاّ بطيبة نفسه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عدم حلّ حفظه وحبسه وغيرهما وإن فرض عدم صدق التصرّف عليها ؛ لأنّ مفادها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تقدير التصرّف قد مرّ بطلانها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عدم الحلّ التخلّص عنه بأقرب ما يمكن التخلّص كالمتوسّط في الأرض المغصوبة وذلك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التشبّث بأدلّة وجوب ردّ الأمانات</w:t>
      </w:r>
      <w:r>
        <w:rPr>
          <w:rStyle w:val="FootnoteAnchor"/>
          <w:rtl w:val="true"/>
        </w:rPr>
        <w:footnoteReference w:id="928"/>
      </w:r>
      <w:r>
        <w:rPr>
          <w:rFonts w:ascii="Amiri" w:hAnsi="Amiri" w:eastAsia="Amiri" w:cs="Amiri"/>
          <w:color w:val="111111"/>
          <w:sz w:val="28"/>
          <w:sz w:val="28"/>
          <w:szCs w:val="28"/>
          <w:rtl w:val="true"/>
          <w:lang w:bidi="ar-SA"/>
        </w:rPr>
        <w:t xml:space="preserve">فغير سديد ؛ لأنّ المورد ليس من قبيل الأمانات ، بل من الغصب أو نظيره ، إلاّ أن يدّعى الأولوية وهي غير ظاهرة ، فالدليل عليه ما عرفت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في الغاصب صحيحة الحذّاء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اقتطع مال مؤمن غصباً بغير حقّه لم يزل اللّه معرضاً عنه ، ماقتاً لأعماله التي يعملها من البرّ والخير ، لا يثبتها في حسناته حتّى يردّ المال</w:t>
      </w:r>
    </w:p>
    <w:p>
      <w:pPr>
        <w:pStyle w:val="BookText"/>
        <w:rPr/>
      </w:pPr>
      <w:r>
        <w:rPr>
          <w:rFonts w:ascii="Amiri" w:hAnsi="Amiri" w:eastAsia="Amiri" w:cs="Amiri"/>
          <w:color w:val="111111"/>
          <w:sz w:val="28"/>
          <w:sz w:val="28"/>
          <w:szCs w:val="28"/>
          <w:rtl w:val="true"/>
          <w:lang w:bidi="ar-SA"/>
        </w:rPr>
        <w:t>الذي أخذه إلى صاحبه</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مرسلةً رواية اُخرى</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رحمهما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عصا أخيه فليردّها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والصحيحة تدلّ على وجوب الردّ فوراً ولو كان وجوباً عقلياً ؛ للتخلّص عن غضب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الردّ الإيصال إلى صاحبه وإيقاعه تحت سلطانه ويده ، ولا يكفي مجرّد التخلية بينه وبين صاحبه ، وهو موافق لحكم العرف والعقلاء ، بخلاف باب الوديعة ، حيث إنّ ارتكاز العقلاء والمناسبات تقتضي صرف ظواهر الأدلّة لو دلّت على وجوب الردّ ، كما عليه الفقهاء أيضاً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مناسب لأخذ الغاصب بأشقّ الأحوال ، بل الظاهر لزوم الردّ والإيصال وإن كان ضررياً أو حرجياً ؛ لما ذكر من أخذه بالأشقّ ، ولانصراف دليلهما عنه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المأخوذ بغير عدوان وغصب وإن كان على وجه الضمان كالأخذ مع </w:t>
      </w:r>
      <w:bookmarkStart w:id="370" w:name="pg15162_155715"/>
    </w:p>
    <w:p>
      <w:pPr>
        <w:pStyle w:val="BookText"/>
        <w:rPr/>
      </w:pPr>
      <w:bookmarkEnd w:id="370"/>
      <w:r>
        <w:rPr>
          <w:rFonts w:ascii="Amiri" w:hAnsi="Amiri" w:eastAsia="Amiri" w:cs="Amiri"/>
          <w:color w:val="111111"/>
          <w:sz w:val="28"/>
          <w:sz w:val="28"/>
          <w:szCs w:val="28"/>
          <w:rtl w:val="true"/>
          <w:lang w:bidi="ar-SA"/>
        </w:rPr>
        <w:t>الجهل أو الجبر يلحق بالغصب ، أو بالوديعة فلا يجب إلاّ التخلية ؟</w:t>
      </w:r>
    </w:p>
    <w:p>
      <w:pPr>
        <w:pStyle w:val="BookText"/>
        <w:rPr/>
      </w:pPr>
      <w:r>
        <w:rPr>
          <w:rFonts w:ascii="Amiri" w:hAnsi="Amiri" w:eastAsia="Amiri" w:cs="Amiri"/>
          <w:color w:val="111111"/>
          <w:sz w:val="28"/>
          <w:sz w:val="28"/>
          <w:szCs w:val="28"/>
          <w:rtl w:val="true"/>
          <w:lang w:bidi="ar-SA"/>
        </w:rPr>
        <w:t xml:space="preserve">الأقرب إلحاقه بالغصب في وجوب إيصاله إلى صاحبه والتخلّص عنه بأقرب الطرق ؛ لعدم حلّ الأموال إلاّ بطيب نفس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الإيصال حرجياً يمكن رفعه بدليله </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955602_2142443653"/>
      <w:bookmarkStart w:id="372" w:name="_Toc132"/>
      <w:bookmarkEnd w:id="371"/>
      <w:r>
        <w:rPr>
          <w:rtl w:val="true"/>
        </w:rPr>
        <w:t>في وجوب الفحص عن المالك لو كان مجهولاً</w:t>
      </w:r>
      <w:bookmarkEnd w:id="372"/>
    </w:p>
    <w:p>
      <w:pPr>
        <w:pStyle w:val="BookText"/>
        <w:rPr/>
      </w:pPr>
      <w:r>
        <w:rPr>
          <w:rFonts w:ascii="Amiri" w:hAnsi="Amiri" w:eastAsia="Amiri" w:cs="Amiri"/>
          <w:color w:val="111111"/>
          <w:sz w:val="28"/>
          <w:sz w:val="28"/>
          <w:szCs w:val="28"/>
          <w:rtl w:val="true"/>
          <w:lang w:bidi="ar-SA"/>
        </w:rPr>
        <w:t>ثمّ لو كان المالك مجهولاً فهل يجب الفحص عنه أو لا ؟</w:t>
      </w:r>
    </w:p>
    <w:p>
      <w:pPr>
        <w:pStyle w:val="BookText"/>
        <w:rPr/>
      </w:pPr>
      <w:r>
        <w:rPr>
          <w:rFonts w:ascii="Amiri" w:hAnsi="Amiri" w:eastAsia="Amiri" w:cs="Amiri"/>
          <w:color w:val="111111"/>
          <w:sz w:val="28"/>
          <w:sz w:val="28"/>
          <w:szCs w:val="28"/>
          <w:rtl w:val="true"/>
          <w:lang w:bidi="ar-SA"/>
        </w:rPr>
        <w:t>اختار الشيخ الأعظم الثاني</w:t>
      </w:r>
      <w:r>
        <w:rPr>
          <w:rStyle w:val="FootnoteAnchor"/>
          <w:rtl w:val="true"/>
        </w:rPr>
        <w:footnoteReference w:id="933"/>
      </w:r>
      <w:r>
        <w:rPr>
          <w:rFonts w:ascii="Amiri" w:hAnsi="Amiri" w:eastAsia="Amiri" w:cs="Amiri"/>
          <w:color w:val="111111"/>
          <w:sz w:val="28"/>
          <w:sz w:val="28"/>
          <w:szCs w:val="28"/>
          <w:rtl w:val="true"/>
          <w:lang w:bidi="ar-SA"/>
        </w:rPr>
        <w:t xml:space="preserve">، تمسّكاً بإطلاق جملة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علي بن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صديق من كُتّاب بني اُميّة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أبي عبداللّه علیه السلام ، فاستأذنت له ، فأذن له ، فلمّا أن دخل سلّم</w:t>
      </w:r>
    </w:p>
    <w:p>
      <w:pPr>
        <w:pStyle w:val="BookText"/>
        <w:rPr/>
      </w:pPr>
      <w:r>
        <w:rPr>
          <w:rFonts w:ascii="Amiri" w:hAnsi="Amiri" w:eastAsia="Amiri" w:cs="Amiri"/>
          <w:color w:val="111111"/>
          <w:sz w:val="28"/>
          <w:sz w:val="28"/>
          <w:szCs w:val="28"/>
          <w:rtl w:val="true"/>
          <w:lang w:bidi="ar-SA"/>
        </w:rPr>
        <w:t xml:space="preserve">وجلس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في ديوان هؤلاء القوم فأصبت من دنياهم مالاً كثيراً وأغمضت في مطالبه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فهل لي مخرج منه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من جميع ما كسبت في ديوانهم ، فمن عرفت منهم رددت عليه ماله ، ومن لم تعرف تصدّقت به </w:t>
      </w:r>
      <w:r>
        <w:rPr>
          <w:rFonts w:eastAsia="Amiri" w:cs="Amiri" w:ascii="Amiri" w:hAnsi="Amiri"/>
          <w:color w:val="111111"/>
          <w:sz w:val="28"/>
          <w:szCs w:val="28"/>
          <w:rtl w:val="true"/>
          <w:lang w:bidi="ar-SA"/>
        </w:rPr>
        <w:t>. .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مقتضى إطلاقها جواز التصدّق بلا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مورد اليأس عن معرفة صاحبه كالحمل على عدم معرفته بعد الفحص خلاف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لا يبعد انصرافه عن مورد يعلم بالعثور عليه بالفحص ، سيّما إذا علم بمعرفته بالفحص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الاستفصال دليل العموم ، بل ذيلها دالّ على عدم لزوم الفحص ؛ إذ من البعيد بل غير الممكن أ نّه كان تفحّص عن صاحب الأموال الكثيرة والأشخاص المتفرّقة ويئس عن معرفتهم في أشهر قلائل ، مع أنّ عدم ذكره الفحص دليل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هي ترك الاستفصال والإطلاق ، وإلاّ فمن الممكن المناقشة في حجّية قول الراوي في بقائه أشهراً 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تمامية دلالتها لولا ضعف سندها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معنى للإطلاق وترك الاستفصال في المقام ؛ لأ نّه قضيّة شخصية يحتمل علم الإمام علیه السلام بالواقعة ، وأنّ المورد لا يجب فيه الفحص،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سائر الروايات ففي إطلاقها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كصحيحة محمّد بن مسلم عن أبي عبداللّه علیه السلام في رجل ترك غلاماً له في كرم له يبيعه عنباً أو عصيراً ، فانطلق الغلام فعصر خمراً ثمّ باعه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خصال هذه التي باعها الغلام أن يتصدّق بثمنها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 نّه بصدد بيان أفضلية هذه الخصلة من غيرها ، فكأنّ له خصالاً </w:t>
      </w:r>
    </w:p>
    <w:p>
      <w:pPr>
        <w:pStyle w:val="BookText"/>
        <w:rPr/>
      </w:pPr>
      <w:r>
        <w:rPr>
          <w:rFonts w:ascii="Amiri" w:hAnsi="Amiri" w:eastAsia="Amiri" w:cs="Amiri"/>
          <w:color w:val="111111"/>
          <w:sz w:val="28"/>
          <w:sz w:val="28"/>
          <w:szCs w:val="28"/>
          <w:rtl w:val="true"/>
          <w:lang w:bidi="ar-SA"/>
        </w:rPr>
        <w:t xml:space="preserve">معهودة هي أفضلها ، لا بصدد بيان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إطلاق فيها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الكلام في رواية أبي أيّوب</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وكرواية أبي علي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اشتريت أرضاً إلى جنب ضيعتي بألفي درهم ، فلمّا وفيت المال خبّرت أنّ الأرض وقف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شراء الوقف ، ولا تدخل الغلّة في مالك ، وادفعها إلى من وقفت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لها ربّاً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لها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عنده أن لا يكون له ربّ رأساً وأن وقفت الأرض لمطلق الخيرات ، وإلاّ كان حقّ التعبير في مجهول المالك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الظاهر أنّ الوقف كان مجهول المصرف لا مجهول المالك ، مع أنّ في متنها أيضاً كلاماً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وكرواية علي بن ميمون الصائغ ، قال سألت أبا عبداللّه علیه السلام عمّا يكنس من التراب فأبيعه ، فما أصنع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 فإمّا لك وإمّا لأهله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لك وإمّا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الذرّات للغير غير معلوم ، وكان نظره التخلّص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الذرّات معرضاً عنها ، ويراد بما ذكر التخيير بين التملّك والتصدّق لنفسه أو التصدّق عن أهله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 الاُخرى</w:t>
      </w:r>
      <w:r>
        <w:rPr>
          <w:rStyle w:val="FootnoteAnchor"/>
          <w:rtl w:val="true"/>
        </w:rPr>
        <w:footnoteReference w:id="939"/>
      </w:r>
      <w:r>
        <w:rPr>
          <w:rFonts w:ascii="Amiri" w:hAnsi="Amiri" w:eastAsia="Amiri" w:cs="Amiri"/>
          <w:color w:val="111111"/>
          <w:sz w:val="28"/>
          <w:sz w:val="28"/>
          <w:szCs w:val="28"/>
          <w:rtl w:val="true"/>
          <w:lang w:bidi="ar-SA"/>
        </w:rPr>
        <w:t xml:space="preserve">ففي معلوم المالك ، فلا يمكن العمل بظاهرها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ليس في الروايات ما يمكن الاستناد إليها لترك الفحص الواجب عقلاً والمؤيّد بما دلّت على وجوب الفحص في عدّة موارد ، فالأقوى وجوبه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بيده المال المجهول مالكه إن علم بعثوره على مالكه بالفحص يجب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فيه فإمّا أن يكون التردّد بين من يقدر على إيصال المال إليه ومن لا يقدر ، أو بين من يقدر على الإيصال إلى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يجب الفحص إذا كان تردّده بعد العلم بكونه محصوراً بين المقدورين ، وبدونه لا يجب الفحص ؛ لأنّ خروج بعض الأطراف المعيّن من العلم الإجمالي عن مورد التكليف يوجب عدم وجوب الاحتياط بالنسبة إلى البعض الآخر ، بل يرجع فيها إلى أصالة البراءة ، ومع سقوط التكليف فلا مقتضى للفحص</w:t>
      </w:r>
      <w:r>
        <w:rPr>
          <w:rStyle w:val="FootnoteAnchor"/>
          <w:rtl w:val="true"/>
        </w:rPr>
        <w:footnoteReference w:id="94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ما ذكره إجراء البراءة في الشكّ في القدرة على الإيصال ابتداء ، ومبناه على ما يظهر من كلامه أنّ القدرة من القيود الشرعية المستكشفة بالعقل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الإشكال في مبناه بما قرّر في محلّه</w:t>
      </w:r>
      <w:r>
        <w:rPr>
          <w:rStyle w:val="FootnoteAnchor"/>
          <w:rtl w:val="true"/>
        </w:rPr>
        <w:footnoteReference w:id="941"/>
      </w:r>
      <w:r>
        <w:rPr>
          <w:rFonts w:ascii="Amiri" w:hAnsi="Amiri" w:eastAsia="Amiri" w:cs="Amiri"/>
          <w:color w:val="111111"/>
          <w:sz w:val="28"/>
          <w:sz w:val="28"/>
          <w:szCs w:val="28"/>
          <w:rtl w:val="true"/>
          <w:lang w:bidi="ar-SA"/>
        </w:rPr>
        <w:t xml:space="preserve">من أنّ القدرة ونحوها من الأعذار العقلية لامتثال التكاليف ، لا قيودها شرعاً أو عقلاً ، وأنّ التكاليف الكلّية القانونية فعليات على موضوعاتها من غير تقييد بالعلم والقدرة والالتفات وغيرها ، فحينئذٍ يجب الاحتياط عقلاً مع الشكّ في القدرة ، ويجب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إنّما يتمّ لو قلنا بأنّ الواجب على الغاصب ونحوه الإيصال إلى صاحب المال وجوباً شرعياً ، وأمّا إن قلنا بعدم وجوبه شرعاً ، بل ليس في المال المغصوب ونحوه إلاّ حرمة الاستيلاء على أموال الناس عدواناً وبلا حقّ وحرمة التصرّف فيها ونحوه كالحفظ والحبس ، وإنّما يجب الإيصال تخلّصاً عن المحرّم المعلوم عقلاً ، فلا شبهة في وجوب الفحص عقلاً ولو عند 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إذا قلنا بتكليفين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الإيصال وحرمة التصرّف والاستيلاء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أ نّه لا يمكن مساعدة القائل المدقّق التقيّ في المبنى ولا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يتعيّن عليه الفحص ، أو يتعيّن الردّ إلى الحاكم ، فإنّه وليّ الغائب ،</w:t>
      </w:r>
    </w:p>
    <w:p>
      <w:pPr>
        <w:pStyle w:val="BookText"/>
        <w:rPr/>
      </w:pPr>
      <w:r>
        <w:rPr>
          <w:rFonts w:ascii="Amiri" w:hAnsi="Amiri" w:eastAsia="Amiri" w:cs="Amiri"/>
          <w:color w:val="111111"/>
          <w:sz w:val="28"/>
          <w:sz w:val="28"/>
          <w:szCs w:val="28"/>
          <w:rtl w:val="true"/>
          <w:lang w:bidi="ar-SA"/>
        </w:rPr>
        <w:t xml:space="preserve">والردّ إليه بمنزلة الردّ إلى صاحبه ، أو يتخيّر بينهما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التخلّص من الحرام وهو يحصل بأحدهما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تعيّن الردّ إلى الحاكم ، وعدم التخيير ؛ لأنّ ولاية الحاكم على الغائب ليس على نحو الإطلاق ؛ إذ لا دليل عليه ، وإنّما هي ثابتة فيما إذا لم يمكن الردّ إلى صاحبه الغائب أو المفقود حسبة ، وليس للغاصب ومن بحكمه </w:t>
      </w:r>
    </w:p>
    <w:p>
      <w:pPr>
        <w:pStyle w:val="BookText"/>
        <w:rPr/>
      </w:pPr>
      <w:r>
        <w:rPr>
          <w:rFonts w:ascii="Amiri" w:hAnsi="Amiri" w:eastAsia="Amiri" w:cs="Amiri"/>
          <w:color w:val="111111"/>
          <w:sz w:val="28"/>
          <w:sz w:val="28"/>
          <w:szCs w:val="28"/>
          <w:rtl w:val="true"/>
          <w:lang w:bidi="ar-SA"/>
        </w:rPr>
        <w:t>ترك الفحص ، والردّ إلى الحاكم ، بل وليس للحاكم القبول إلاّ في بعض الموارد حفظاً للتضي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ومؤونة الحفظ وغيره على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نفي وجوبها على غير الغاصب ولو كانت يده يد ضمان ؛ لنفي الحرج والضرر بناءً على ثبوت نفي الضرر كنفي الحرج ، كما هو المعروف عند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وجوب الفحص وتعيّنه عليه ، إلاّ أن يقال بدلالة حسنة داود بن أبي يزيد أو صحيحته على تعيّن الردّ إلى الحاكم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أصبت مالاً ، وإنّي قد خفت فيه على نفسي ، ولو أصبت صاحبه دفعته إليه وتخلّصت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لو أصبته كنت تدفعه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واللّه ، ما له صاحب غيري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فاستحلفه أن يدفعه إلى من يأمره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فاقسمه في إخوانك ، ولك الأمن ممّا خفت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بين إخواني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إطلاقها لكلّ مال مجهول ، غصباً كان أو غيره ، وأنّ المراد بكون المال</w:t>
      </w:r>
    </w:p>
    <w:p>
      <w:pPr>
        <w:pStyle w:val="BookText"/>
        <w:rPr/>
      </w:pPr>
      <w:r>
        <w:rPr>
          <w:rFonts w:ascii="IRNazanin" w:hAnsi="IRNazanin" w:eastAsia="IRNazanin"/>
          <w:color w:val="111111"/>
          <w:sz w:val="28"/>
          <w:sz w:val="28"/>
          <w:szCs w:val="28"/>
          <w:rtl w:val="true"/>
          <w:lang w:bidi="fa-IR"/>
        </w:rPr>
        <w:t xml:space="preserve">له علیه السلام أ نّه وليّ أمره ، لا مالكه الخاصّ كما في الأشباه والنظائر حتّى في سهم الإمام علیه السلام على احتمال غير بعيد ، فيكون الفقيه قائماً مقامه ، فإطلاقها يقتضي وجوب إرجاع كلّ مجهول مالكه إلى الحاكم إلاّ ما خرج كاللقطة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إطلاقها ؛ لقوّة احتمال أن يكون المراد به اللقطة ، بل لا يبعد ظهور </w:t>
      </w:r>
      <w:bookmarkStart w:id="373" w:name="pg15162_155721"/>
    </w:p>
    <w:p>
      <w:pPr>
        <w:pStyle w:val="BookText"/>
        <w:rPr/>
      </w:pPr>
      <w:bookmarkEnd w:id="37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والعثور عليه فجأة ومن باب الاتّفاق كاللقطة دون المأخوذ جائزة أو غصباً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أن يكون السؤال بعد الفحص واليأس ، أو الفحص سنة كما عن الصدوق</w:t>
      </w:r>
      <w:r>
        <w:rPr>
          <w:rStyle w:val="FootnoteAnchor"/>
          <w:rtl w:val="true"/>
        </w:rPr>
        <w:footnoteReference w:id="943"/>
      </w:r>
      <w:r>
        <w:rPr>
          <w:rFonts w:ascii="Amiri" w:hAnsi="Amiri" w:eastAsia="Amiri" w:cs="Amiri"/>
          <w:color w:val="111111"/>
          <w:sz w:val="28"/>
          <w:sz w:val="28"/>
          <w:szCs w:val="28"/>
          <w:rtl w:val="true"/>
          <w:lang w:bidi="ar-SA"/>
        </w:rPr>
        <w:t xml:space="preserve">، وربّما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أصبت صاحبه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مضافاً إلى أنّ الأمر بالتصدّق مع عدم اليأس عن صاحبه وإمكان العثور عليه بعيد جدّاً ، بل مقطوع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نّها قضيّة شخصية يشكل فهم الحكم الكلّي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ذلك تعيّن الفحص عليه </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955604_2142443653"/>
      <w:bookmarkStart w:id="375" w:name="_Toc133"/>
      <w:bookmarkEnd w:id="374"/>
      <w:r>
        <w:rPr>
          <w:rtl w:val="true"/>
        </w:rPr>
        <w:t>تعيين مقدار الفحص</w:t>
      </w:r>
      <w:bookmarkEnd w:id="375"/>
    </w:p>
    <w:p>
      <w:pPr>
        <w:pStyle w:val="BookText"/>
        <w:rPr/>
      </w:pPr>
      <w:r>
        <w:rPr>
          <w:rFonts w:ascii="Amiri" w:hAnsi="Amiri" w:eastAsia="Amiri" w:cs="Amiri"/>
          <w:color w:val="111111"/>
          <w:sz w:val="28"/>
          <w:sz w:val="28"/>
          <w:szCs w:val="28"/>
          <w:rtl w:val="true"/>
          <w:lang w:bidi="ar-SA"/>
        </w:rPr>
        <w:t xml:space="preserve">ثمّ إنّ مقتضى القواعد لزوم الفحص إلى أن حصل اليأس ، سواء حصل قبل تمام السنة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يحصل إلى الزائد عن السنة يجب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أدلّة اللقطة ثبوت أحكامها ولو أخذها غصباً وعدواناً أو ضماناً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صحيحة الحلبي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واللقطة يجدها الرجل ويأخذها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سنة فإن جاء لها طالب ، وإلاّ فهي كسبيل ماله</w:t>
      </w:r>
      <w:r>
        <w:rPr>
          <w:rFonts w:eastAsia="IRNazanin" w:cs="IRNazanin"/>
          <w:color w:val="111111"/>
          <w:sz w:val="28"/>
          <w:szCs w:val="28"/>
          <w:rtl w:val="true"/>
          <w:lang w:bidi="fa-IR"/>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ينبغي الإشكال في إطلاقها للأخذ الإحساني والغصبي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الحكم بأ نّه كسبيل ماله بعد تعريف السنة حكم إرفاقي لا يناسب الغاصب ، مدفوع بأنّ الحكم الإرفاقي يناسب أيضاً الغاصب التائب الذي أراد إيصال المال إلى صاحبه بتعريف السنة ، فإذا كان مقتضى الإطلاق إسراء الحكم إلى الغاصب ومن بحكمه لا مانع من إسرائه إلى مطلق المأخوذ غصباً أو ضماناً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الالتزام بالحكم في الملتقط غصباً وعدواناً مشكل ، ولعلّ الفقهاء لا يلتزمون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جواز الأخذ بالإطلاق لكن لا يصحّ إسراء الحكم من اللقطة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إلغاء الخصوصية باطلة ؛ لعدم مساعدة العرف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إسراء الحكم إلى المقام من النصّ الوارد في إيداع اللصّ غير ممكن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حفص بن غياث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من المسلمين أودعه رجل من اللصوص دراهم أو متاعاً ، واللصّ مسلم ، هل يردّ عليه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يردّه ، فإن أمكنه أن يردّه على أصحابه فعل ، وإلاّ كان في يده بمنزلة اللقطة يصيبها </w:t>
      </w:r>
      <w:r>
        <w:rPr>
          <w:rFonts w:eastAsia="IRNazanin" w:cs="IRNazanin"/>
          <w:color w:val="111111"/>
          <w:sz w:val="28"/>
          <w:szCs w:val="28"/>
          <w:rtl w:val="true"/>
          <w:lang w:bidi="fa-IR"/>
        </w:rPr>
        <w:t>. .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إسراء الحكم إلى غير الوديعة لا يصحّ وإن لا يبعد الإسراء إلى مطلق الغاصب كما عن الفقهاء</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صدر الرواية أ نّه سأل عن حكم ما في يد اللصّ مع الشكّ </w:t>
      </w:r>
      <w:bookmarkStart w:id="376" w:name="pg15162_155723"/>
    </w:p>
    <w:p>
      <w:pPr>
        <w:pStyle w:val="BookText"/>
        <w:rPr/>
      </w:pPr>
      <w:bookmarkEnd w:id="376"/>
      <w:r>
        <w:rPr>
          <w:rFonts w:ascii="Amiri" w:hAnsi="Amiri" w:eastAsia="Amiri" w:cs="Amiri"/>
          <w:color w:val="111111"/>
          <w:sz w:val="28"/>
          <w:sz w:val="28"/>
          <w:szCs w:val="28"/>
          <w:rtl w:val="true"/>
          <w:lang w:bidi="ar-SA"/>
        </w:rPr>
        <w:t xml:space="preserve">في كونه منه ، سيّما بلحاظ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واللصّ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أو المشعر بأنّ السؤال</w:t>
      </w:r>
    </w:p>
    <w:p>
      <w:pPr>
        <w:pStyle w:val="BookText"/>
        <w:rPr/>
      </w:pPr>
      <w:r>
        <w:rPr>
          <w:rFonts w:ascii="Amiri" w:hAnsi="Amiri" w:eastAsia="Amiri" w:cs="Amiri"/>
          <w:color w:val="111111"/>
          <w:sz w:val="28"/>
          <w:sz w:val="28"/>
          <w:szCs w:val="28"/>
          <w:rtl w:val="true"/>
          <w:lang w:bidi="ar-SA"/>
        </w:rPr>
        <w:t xml:space="preserve">عن اعتبار يد اللصّ المسلم ، وإن كان الجواب ظاهراً في مفروغية كون ما أودعه للغير ، فيمكن أن يجعل الحكم قرينة على أنّ الموضوع المال المسروق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بإمكان أن تكون يد اللصّ لدى الشارع الأقدس أمارة على كون ما في يده للغير ، فيجب ترتيب آثار ملكية غيره ، فيؤخذ بظاهر الصدر ويحمل الحكم على مفروغية كونه للغير ؛ لقيام الأمارة عليه وهي يد اللصّ الذي شغله ذلك ؛ لحصول الغلبة التي يمكن أن تكون مبنى حجّية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ذلك بعيد عن فهم العرف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يمكن فهم حكم المقام منها </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955606_2142443653"/>
      <w:bookmarkStart w:id="378" w:name="_Toc134"/>
      <w:bookmarkEnd w:id="377"/>
      <w:r>
        <w:rPr>
          <w:rtl w:val="true"/>
        </w:rPr>
        <w:t>مقتضى القواعد في مصرف مجهول المالك</w:t>
      </w:r>
      <w:bookmarkEnd w:id="378"/>
    </w:p>
    <w:p>
      <w:pPr>
        <w:pStyle w:val="BookText"/>
        <w:rPr/>
      </w:pPr>
      <w:r>
        <w:rPr>
          <w:rFonts w:ascii="Amiri" w:hAnsi="Amiri" w:eastAsia="Amiri" w:cs="Amiri"/>
          <w:color w:val="111111"/>
          <w:sz w:val="28"/>
          <w:sz w:val="28"/>
          <w:szCs w:val="28"/>
          <w:rtl w:val="true"/>
          <w:lang w:bidi="ar-SA"/>
        </w:rPr>
        <w:t xml:space="preserve">ثمّ بعد الفحص واليأس يقع الكلام في تكليفه على حسب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قطع النظر عن النصوص الاحتمالات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 ووجوب الإمساك والوصيّة به حين الموت ، ووجوب الدفع إلى الحاكم ، والتخي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 بين اثنين منها أو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وليّ الغائب ، فيجب الدفع إليه ؛ لأ نّه بمنزلة الدفع إليه ، ولا بأس به وإن</w:t>
      </w:r>
    </w:p>
    <w:p>
      <w:pPr>
        <w:pStyle w:val="BookText"/>
        <w:rPr/>
      </w:pPr>
      <w:r>
        <w:rPr>
          <w:rFonts w:ascii="Amiri" w:hAnsi="Amiri" w:eastAsia="Amiri" w:cs="Amiri"/>
          <w:color w:val="111111"/>
          <w:sz w:val="28"/>
          <w:sz w:val="28"/>
          <w:szCs w:val="28"/>
          <w:rtl w:val="true"/>
          <w:lang w:bidi="ar-SA"/>
        </w:rPr>
        <w:t xml:space="preserve">كان في تعيّنه نظر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وجب ؛ لأ نّه القدر المتيقّن حينئذٍ ، لكنّه</w:t>
      </w:r>
    </w:p>
    <w:p>
      <w:pPr>
        <w:pStyle w:val="BookText"/>
        <w:rPr/>
      </w:pPr>
      <w:r>
        <w:rPr>
          <w:rFonts w:ascii="Amiri" w:hAnsi="Amiri" w:eastAsia="Amiri" w:cs="Amiri"/>
          <w:color w:val="111111"/>
          <w:sz w:val="28"/>
          <w:sz w:val="28"/>
          <w:szCs w:val="28"/>
          <w:rtl w:val="true"/>
          <w:lang w:bidi="ar-SA"/>
        </w:rPr>
        <w:t xml:space="preserve">مشكل ؛ لإمكان تعيّن الأوّلين أيضاً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الوجه الأوّل يمكن دفعه بما ذكره المصنّف من أ نّه مع الشكّ يكون الأصل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المذكور لا يقتضي حرمة التصدّق </w:t>
      </w:r>
    </w:p>
    <w:p>
      <w:pPr>
        <w:pStyle w:val="BookText"/>
        <w:rPr/>
      </w:pPr>
      <w:r>
        <w:rPr>
          <w:rFonts w:ascii="Amiri" w:hAnsi="Amiri" w:eastAsia="Amiri" w:cs="Amiri"/>
          <w:color w:val="111111"/>
          <w:sz w:val="28"/>
          <w:sz w:val="28"/>
          <w:szCs w:val="28"/>
          <w:rtl w:val="true"/>
          <w:lang w:bidi="ar-SA"/>
        </w:rPr>
        <w:t>حتّى يتعيّن الآخر ؛ لأنّ المفروض احتمال وجوبه كما يحتمل وجوب غيره ، والعقل حاكم بالتخيير في مثل ذلك ، فيجوز التصدّق بمعنى الدفع إلى الفقير ، وإن كان لا يجوز له أخذه ولا للمتصدّق ترتيب آثار الملك ، والثمر هو جواز الدفع بدون الإعلام ، فيجوز له التصرّف حينئذٍ</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عدم حلّية مال امرئ مسلم إلاّ بطيبة نفسه وحرمة إبقاء التسلّط والاستيلاء عليه عدواناً وبلا حقّ ، حرمة التصرّف فيه بالتصدّق وحرمة الإمساك ، فيندفع احتمالهما تعييناً أو تخييراً ، فيبقى احتمال وجوب الردّ إلى الحاكم ، ولا يدفع بما ذكر ، بل مقتضى ولاية الحاكم وكونه بمنزلة صاحبه وجوب الردّ إليه تخلّصاً عن الإمساك المحرّم ، أو توسّلاً إلى الواجب إن قلنا بوجوب الردّ والإيصال شرعاً ؛ لحكومة دليل ولايته على دليل عدم حلّ مال المسلم ودليل وجوب ردّ المغصوب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منه أنّ غير احتمال الردّ إلى الحاكم مدفوع بالدليل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مع فرض جريان أصالة فساد الصدقة وأصالة عدم وقوعه صدقة لا يبقى مجال للردّ إلى الفقير بغير جهة الصدقة ؛ لعدم احتمال جواز إتلاف مال الغير وإعطائه بالفقير بغير وجه الصدقة فضلاً عن احتمال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فالمحتمل مدفوع بالأصل ، وغير الصدقة لا يحتمل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القواعد مع الغضّ عن النصوص الخاصّة وجوب الإرجاع إلى الحاكم </w:t>
      </w:r>
      <w:r>
        <w:rPr>
          <w:rFonts w:eastAsia="Amiri" w:cs="Amiri" w:ascii="Amiri" w:hAnsi="Amiri"/>
          <w:color w:val="111111"/>
          <w:sz w:val="28"/>
          <w:szCs w:val="28"/>
          <w:rtl w:val="true"/>
          <w:lang w:bidi="ar-SA"/>
        </w:rPr>
        <w:t xml:space="preserve">. </w:t>
      </w:r>
      <w:bookmarkStart w:id="379" w:name="pg15162_155725"/>
    </w:p>
    <w:p>
      <w:pPr>
        <w:pStyle w:val="Heading5"/>
        <w:numPr>
          <w:ilvl w:val="4"/>
          <w:numId w:val="1"/>
        </w:numPr>
        <w:rPr/>
      </w:pPr>
      <w:bookmarkStart w:id="380" w:name="__RefHeading___Toc1955608_2142443653"/>
      <w:bookmarkStart w:id="381" w:name="_Toc135"/>
      <w:bookmarkEnd w:id="379"/>
      <w:bookmarkEnd w:id="380"/>
      <w:r>
        <w:rPr>
          <w:rtl w:val="true"/>
        </w:rPr>
        <w:t>مقتضى الأخبار في مصرف مجهول المالك</w:t>
      </w:r>
      <w:bookmarkEnd w:id="381"/>
    </w:p>
    <w:p>
      <w:pPr>
        <w:pStyle w:val="BookText"/>
        <w:rPr/>
      </w:pPr>
      <w:r>
        <w:rPr>
          <w:rFonts w:ascii="Amiri" w:hAnsi="Amiri" w:eastAsia="Amiri" w:cs="Amiri"/>
          <w:color w:val="111111"/>
          <w:sz w:val="28"/>
          <w:sz w:val="28"/>
          <w:szCs w:val="28"/>
          <w:rtl w:val="true"/>
          <w:lang w:bidi="ar-SA"/>
        </w:rPr>
        <w:t>وأمّا الأخبار فمنها المطلقات المتقدّمة</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دلالتها على وجوب التصدّق تعييناً أو تخييراً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علي بن أبي حمزة</w:t>
      </w:r>
      <w:r>
        <w:rPr>
          <w:rStyle w:val="FootnoteAnchor"/>
          <w:rtl w:val="true"/>
        </w:rPr>
        <w:footnoteReference w:id="950"/>
      </w:r>
      <w:r>
        <w:rPr>
          <w:rFonts w:ascii="IRNazanin" w:hAnsi="IRNazanin" w:eastAsia="IRNazanin"/>
          <w:color w:val="111111"/>
          <w:sz w:val="28"/>
          <w:sz w:val="28"/>
          <w:szCs w:val="28"/>
          <w:rtl w:val="true"/>
          <w:lang w:bidi="fa-IR"/>
        </w:rPr>
        <w:t xml:space="preserve">في قضيّة بعض كتّاب بني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فلاحتمال أن يكون أمر أبي عبداللّه علیه السلام إذناً له في التصدّق ، وكان أمر المجهول بيد الإمام علیه السلام ، ولا إطلاق فيها يدفع هذا 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صحيحة محمّد بن مسلم</w:t>
      </w:r>
      <w:r>
        <w:rPr>
          <w:rStyle w:val="FootnoteAnchor"/>
          <w:rtl w:val="true"/>
        </w:rPr>
        <w:footnoteReference w:id="951"/>
      </w:r>
      <w:r>
        <w:rPr>
          <w:rFonts w:ascii="Amiri" w:hAnsi="Amiri" w:eastAsia="Amiri" w:cs="Amiri"/>
          <w:color w:val="111111"/>
          <w:sz w:val="28"/>
          <w:sz w:val="28"/>
          <w:szCs w:val="28"/>
          <w:rtl w:val="true"/>
          <w:lang w:bidi="ar-SA"/>
        </w:rPr>
        <w:t>ورواية أبي أيّوب</w:t>
      </w:r>
      <w:r>
        <w:rPr>
          <w:rStyle w:val="FootnoteAnchor"/>
          <w:rtl w:val="true"/>
        </w:rPr>
        <w:footnoteReference w:id="952"/>
      </w:r>
      <w:r>
        <w:rPr>
          <w:rFonts w:ascii="Amiri" w:hAnsi="Amiri" w:eastAsia="Amiri" w:cs="Amiri"/>
          <w:color w:val="111111"/>
          <w:sz w:val="28"/>
          <w:sz w:val="28"/>
          <w:szCs w:val="28"/>
          <w:rtl w:val="true"/>
          <w:lang w:bidi="ar-SA"/>
        </w:rPr>
        <w:t xml:space="preserve">فلاحتمال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يكون بصدد بيان</w:t>
      </w:r>
    </w:p>
    <w:p>
      <w:pPr>
        <w:pStyle w:val="BookText"/>
        <w:rPr/>
      </w:pPr>
      <w:r>
        <w:rPr>
          <w:rFonts w:ascii="Amiri" w:hAnsi="Amiri" w:eastAsia="Amiri" w:cs="Amiri"/>
          <w:color w:val="111111"/>
          <w:sz w:val="28"/>
          <w:sz w:val="28"/>
          <w:szCs w:val="28"/>
          <w:rtl w:val="true"/>
          <w:lang w:bidi="ar-SA"/>
        </w:rPr>
        <w:t xml:space="preserve">فاعل الصدقة ، وإن كان المظنون كونه على صيغة المعلوم لكن الظنّ غير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السائل سأل عن وظيفته فلا بدّ من كون الجواب عنها مدفوع بأنّ جوابه في الصحيحة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ثمنه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خصال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فكلام مستأنف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ذلك في رواية أبي أيّوب ، وإن احتمل مع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أنّ الصدقة أحبّ ، ففهم الراوي عدم جواز أكل ثمنه ،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ما تقدّم من عدم إطلاق فيها </w:t>
      </w:r>
      <w:r>
        <w:rPr>
          <w:rStyle w:val="FootnoteAnchor"/>
          <w:rtl w:val="true"/>
        </w:rPr>
        <w:footnoteReference w:id="953"/>
      </w:r>
      <w:r>
        <w:rPr>
          <w:rFonts w:ascii="Amiri" w:hAnsi="Amiri" w:eastAsia="Amiri" w:cs="Amiri"/>
          <w:color w:val="111111"/>
          <w:sz w:val="28"/>
          <w:sz w:val="28"/>
          <w:szCs w:val="28"/>
          <w:rtl w:val="true"/>
          <w:lang w:bidi="ar-SA"/>
        </w:rPr>
        <w:t xml:space="preserve">،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الأشياء عندي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إطلاق فيه يدفع الشكّ في شرط أو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أبي علي بن راشد</w:t>
      </w:r>
      <w:r>
        <w:rPr>
          <w:rStyle w:val="FootnoteAnchor"/>
          <w:rtl w:val="true"/>
        </w:rPr>
        <w:footnoteReference w:id="954"/>
      </w:r>
      <w:r>
        <w:rPr>
          <w:rFonts w:ascii="Amiri" w:hAnsi="Amiri" w:eastAsia="Amiri" w:cs="Amiri"/>
          <w:color w:val="111111"/>
          <w:sz w:val="28"/>
          <w:sz w:val="28"/>
          <w:szCs w:val="28"/>
          <w:rtl w:val="true"/>
          <w:lang w:bidi="ar-SA"/>
        </w:rPr>
        <w:t>فموردها غير المورد ؛ لما تقدّم</w:t>
      </w:r>
      <w:r>
        <w:rPr>
          <w:rStyle w:val="FootnoteAnchor"/>
          <w:rtl w:val="true"/>
        </w:rPr>
        <w:footnoteReference w:id="955"/>
      </w:r>
      <w:r>
        <w:rPr>
          <w:rFonts w:ascii="Amiri" w:hAnsi="Amiri" w:eastAsia="Amiri" w:cs="Amiri"/>
          <w:color w:val="111111"/>
          <w:sz w:val="28"/>
          <w:sz w:val="28"/>
          <w:szCs w:val="28"/>
          <w:rtl w:val="true"/>
          <w:lang w:bidi="ar-SA"/>
        </w:rPr>
        <w:t xml:space="preserve">أنّ ظاهرها عدم معرفة ربّ للموقوفة رأساً ، وهو غير مجهول المالك المعلوم ملكيته لشخص ، كما أنّ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الصائغ</w:t>
      </w:r>
      <w:r>
        <w:rPr>
          <w:rStyle w:val="FootnoteAnchor"/>
          <w:rtl w:val="true"/>
        </w:rPr>
        <w:footnoteReference w:id="956"/>
      </w:r>
      <w:r>
        <w:rPr>
          <w:rFonts w:ascii="Amiri" w:hAnsi="Amiri" w:eastAsia="Amiri" w:cs="Amiri"/>
          <w:color w:val="111111"/>
          <w:sz w:val="28"/>
          <w:sz w:val="28"/>
          <w:szCs w:val="28"/>
          <w:rtl w:val="true"/>
          <w:lang w:bidi="ar-SA"/>
        </w:rPr>
        <w:t xml:space="preserve">أيضاً غير موردنا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موثّقة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رجل نزل في بعض بيوت مكّة فوجد فيه نحواً من سبعين درهماً مدفونة ، فلم تزل معه ولم يذكرها حتّى قدم الكوفة ، كيف يصنع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عنها أهل المنزل لعلّهم يعرفونها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يعرفوها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دلالتها على المقصود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موردها يد ضمان بل عدوان وغصب ، فإنّ إخراج المال من مكّة إلى الكوفة بغير حقّ ولا فحص عن صاحبه يوجب الضمان ويكون عدواناً ، ومقتضى إطلاق الذيل وجوب الصدقة عليه عند اليأس عن صاحبه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الأمر بالصدقة بعد التعريف عند صاحب البيت دليل على وجوب </w:t>
      </w:r>
    </w:p>
    <w:p>
      <w:pPr>
        <w:pStyle w:val="BookText"/>
        <w:rPr/>
      </w:pPr>
      <w:r>
        <w:rPr>
          <w:rFonts w:ascii="Amiri" w:hAnsi="Amiri" w:eastAsia="Amiri" w:cs="Amiri"/>
          <w:color w:val="111111"/>
          <w:sz w:val="28"/>
          <w:sz w:val="28"/>
          <w:szCs w:val="28"/>
          <w:rtl w:val="true"/>
          <w:lang w:bidi="ar-SA"/>
        </w:rPr>
        <w:t xml:space="preserve">الصدقة قبل الفحص ، مدفوع بأنّ الفحص إنّما يجب توصّلاً ومقدّمة ، لا تعبّداً ونفساً ، ولا شبهة في أنّ وجدان دراهم مدفونة في بيوت مكّة التي هي محلّ ورود الحجّاج من البلاد المتفرّقة النائية في سنين كثيرة يوجب اليأس عن معرفة صاحبها كما هو واضح ، فالأمر بالتصدّق في مورد اليد الغاصبة والضامنة مع إلغاء الخصوصية عن المورد موجب لفهم عموم الحكم إلى كلّ يد غصب وضمان ، ولا يحتمل عرفاً خصوصية الدفن ولا بيوت مكّة ولا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مورد الرواية خصوصية لا يمكن إلغاؤها ، وهي احتمال كون الدراهم المدفونة لا ربّ لها ؛ لاحتمال أ نّها من السنين القديمة التي انقرض أربابها ، فلايكون من مجهول المالك المعلوم أنّ 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مورد في المقام كذلك يمكن التفصيل بينه وبين غيره لهذه الرواية وللرواية الواردة في الوقف كما تقدّمت</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والتمسّك باستصحاب بقاء مالكها ، أو أنّ لها ربّاً لإلحاق غيرها بها محلّ إشكال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احتمال خصوصية الدفن حاصل ولا يصحّ إلغاؤها ، كما نرى اختلاف الأحكام مع اختلاف خصوصية في الموضوع نظير المقام ، كالدار يوجد فيها الورق ، والدابّة يوجد في جوفها الشيء ، والسمكة يوجد في جوفها المال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صحيحة يونس بن عبد الرحمان ، قال سئل أبو الحسن الرضا علیه السلام وأنا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حاضر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كان لنا بمكّة فرحل منها إلى منزله ورحلنا إلى </w:t>
      </w:r>
    </w:p>
    <w:p>
      <w:pPr>
        <w:pStyle w:val="BookText"/>
        <w:rPr/>
      </w:pPr>
      <w:r>
        <w:rPr>
          <w:rFonts w:ascii="Amiri" w:hAnsi="Amiri" w:eastAsia="Amiri" w:cs="Amiri"/>
          <w:color w:val="111111"/>
          <w:sz w:val="28"/>
          <w:sz w:val="28"/>
          <w:szCs w:val="28"/>
          <w:rtl w:val="true"/>
          <w:lang w:bidi="ar-SA"/>
        </w:rPr>
        <w:t xml:space="preserve">منازلنا ، فلمّا أن صرنا في الطريق أصبنا بعض متاعه معنا ، فأيّ شيء نصنع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تحملونه حتّى تحملوه إلى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نعرفه ولا نعرف بلده ولا نعرف كيف نصنع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كذا فبعه وتصدّق بثمنه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جعلت فداك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فغير مربوطة بالمقام ؛ لأنّ وجود المتاع من الرفقة عند بعضهم كان برضا صاحبه وإذنه ، ثمّ نسي فبقي عنده ، فلا تكون يده غاصبة أو ضامنة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احتمال أن يكون أمره بالتصدّق إذناً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فاستفادة حكم المورد منها في غير محلّها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الكلام في موثّقة هشام بن سالم الراجعة إلى أجير يقوم في الرحى ، ففيها الأمر بالدفع إلى المساكين</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احتمالاً صحيحة منه أيضاً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الحال أيضاً في رواية نصر صاحب الخان</w:t>
      </w:r>
      <w:r>
        <w:rPr>
          <w:rStyle w:val="FootnoteAnchor"/>
          <w:rtl w:val="true"/>
        </w:rPr>
        <w:footnoteReference w:id="963"/>
      </w:r>
      <w:r>
        <w:rPr>
          <w:rFonts w:ascii="Amiri" w:hAnsi="Amiri" w:eastAsia="Amiri" w:cs="Amiri"/>
          <w:color w:val="111111"/>
          <w:sz w:val="28"/>
          <w:sz w:val="28"/>
          <w:szCs w:val="28"/>
          <w:rtl w:val="true"/>
          <w:lang w:bidi="ar-SA"/>
        </w:rPr>
        <w:t>، ورواية حفص بن غياث</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استفادة حكم المورد من الروايات الآمرة بالتصدّق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فغير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جبرها بالشهرة المحقّقة</w:t>
      </w:r>
      <w:r>
        <w:rPr>
          <w:rStyle w:val="FootnoteAnchor"/>
          <w:rtl w:val="true"/>
        </w:rPr>
        <w:footnoteReference w:id="966"/>
      </w:r>
      <w:r>
        <w:rPr>
          <w:rFonts w:ascii="Amiri" w:hAnsi="Amiri" w:eastAsia="Amiri" w:cs="Amiri"/>
          <w:color w:val="111111"/>
          <w:sz w:val="28"/>
          <w:sz w:val="28"/>
          <w:szCs w:val="28"/>
          <w:rtl w:val="true"/>
          <w:lang w:bidi="ar-SA"/>
        </w:rPr>
        <w:t xml:space="preserve">غير ظاهرة ؛ لعدم معلومية استناد المشهور على فرض ثبوت الشهرة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الشهرة على فرضها غير حجّة في المقام ؛ لقرب استنادهم بالأخبار الكثيرة المتقدّمة وغيرها وتخلّل الاجتهاد فيها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جملة من الروايات الدالّة على لزوم حفظه والوصيّة به كصحيحة هشام ابن سالم ، وذيل موثّقته ، وصحيحة معاوية بن وهب</w:t>
      </w:r>
      <w:r>
        <w:rPr>
          <w:rStyle w:val="FootnoteAnchor"/>
          <w:rtl w:val="true"/>
        </w:rPr>
        <w:footnoteReference w:id="967"/>
      </w:r>
      <w:r>
        <w:rPr>
          <w:rFonts w:ascii="Amiri" w:hAnsi="Amiri" w:eastAsia="Amiri" w:cs="Amiri"/>
          <w:color w:val="111111"/>
          <w:sz w:val="28"/>
          <w:sz w:val="28"/>
          <w:szCs w:val="28"/>
          <w:rtl w:val="true"/>
          <w:lang w:bidi="ar-SA"/>
        </w:rPr>
        <w:t>، ورواية الهيثم</w:t>
      </w:r>
      <w:r>
        <w:rPr>
          <w:rStyle w:val="FootnoteAnchor"/>
          <w:rtl w:val="true"/>
        </w:rPr>
        <w:footnoteReference w:id="968"/>
      </w:r>
      <w:r>
        <w:rPr>
          <w:rFonts w:ascii="Amiri" w:hAnsi="Amiri" w:eastAsia="Amiri" w:cs="Amiri"/>
          <w:color w:val="111111"/>
          <w:sz w:val="28"/>
          <w:sz w:val="28"/>
          <w:szCs w:val="28"/>
          <w:rtl w:val="true"/>
          <w:lang w:bidi="ar-SA"/>
        </w:rPr>
        <w:t xml:space="preserve">فموردها عدم اليأس عن معرفة صاحبه ؛ ضرورة أنّ الأمر بالطلب لا يحسن إلاّ في مورد الاحتمال العقلائي بالمعرفة ؛ إذ الطلب بدونه لغو ، فالأمر فيها محمول على مورد الرجاء وعدم اليأس ، مع أنّ في نفسها شواهد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الإطلاق في بعضها يجب تقييده بمثل صحيحة يونس بن عبدالرحمان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بالتخيير بين التصدّق والحفظ</w:t>
      </w:r>
      <w:r>
        <w:rPr>
          <w:rStyle w:val="FootnoteAnchor"/>
          <w:rtl w:val="true"/>
        </w:rPr>
        <w:footnoteReference w:id="969"/>
      </w:r>
      <w:r>
        <w:rPr>
          <w:rFonts w:ascii="Amiri" w:hAnsi="Amiri" w:eastAsia="Amiri" w:cs="Amiri"/>
          <w:color w:val="111111"/>
          <w:sz w:val="28"/>
          <w:sz w:val="28"/>
          <w:szCs w:val="28"/>
          <w:rtl w:val="true"/>
          <w:lang w:bidi="ar-SA"/>
        </w:rPr>
        <w:t xml:space="preserve">في غير محلّه ، بعد كون الحكمين في موردين ورتبتين ؛ إذ مع الرجاء يجب الفحص ولا يجوز التصدّق ، ومع اليأس مورد التصدّق لو قلنا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من جميع ذلك أنّ مقتضى الأدلّة والقواعد وجوب الفحص، ومع اليأس الرجوع إلى الحاكم ، ولكن مؤونة الحفظ وغيره على الآخذ كمؤونة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لم نقل بإطلاق حسنة داود بن أبي يزيد أو صحيحته</w:t>
      </w:r>
      <w:r>
        <w:rPr>
          <w:rStyle w:val="FootnoteAnchor"/>
          <w:rtl w:val="true"/>
        </w:rPr>
        <w:footnoteReference w:id="970"/>
      </w:r>
      <w:r>
        <w:rPr>
          <w:rFonts w:ascii="Amiri" w:hAnsi="Amiri" w:eastAsia="Amiri" w:cs="Amiri"/>
          <w:color w:val="111111"/>
          <w:sz w:val="28"/>
          <w:sz w:val="28"/>
          <w:szCs w:val="28"/>
          <w:rtl w:val="true"/>
          <w:lang w:bidi="ar-SA"/>
        </w:rPr>
        <w:t xml:space="preserve">وقلنا باختصاصها باللقطة ، وإلاّ فالأمر أوضح ؛ لحكومتها على الأدلّة الآمرة بالتصدّق ، فيكشف منها أنّ الأمر به من قبيل الإذن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قيل بدلالة الروايات على الإذن الكلّي لا يبقى مجال للبحث ولا ثمرة له ؛ لعدم لزوم الرجوع إلى النوّاب بعد إذنهم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كلّ إمام معتبر حال حياته كإذن النوّاب ، لكنّه غير وجيه ، بل لعلّه خلاف اُصول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بل الأقوى وجوب الرجوع إلى الحاكم ؛ للإشكال في رواية ابن أبي يزيد كما تقدّم</w:t>
      </w:r>
      <w:r>
        <w:rPr>
          <w:rStyle w:val="FootnoteAnchor"/>
          <w:rtl w:val="true"/>
        </w:rPr>
        <w:footnoteReference w:id="971"/>
      </w:r>
      <w:r>
        <w:rPr>
          <w:rFonts w:ascii="Amiri" w:hAnsi="Amiri" w:eastAsia="Amiri" w:cs="Amiri"/>
          <w:color w:val="111111"/>
          <w:sz w:val="28"/>
          <w:sz w:val="28"/>
          <w:szCs w:val="28"/>
          <w:rtl w:val="true"/>
          <w:lang w:bidi="ar-SA"/>
        </w:rPr>
        <w:t xml:space="preserve">وعدم إطلاق في الباب ، ولا اعتماد على الشهرة المحكيّة بما مرّ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لا يبعد عدم لزوم الإرجاع إلى الحاكم ؛ لكثرة موارد الأمر بالتصدّق في مجهول المالك مع السكوت عن الإرجاع إلى الحاكم ، وقوّة احتمال الإطلاق في بعض الروايات ، كصحيحة ابن مسلم</w:t>
      </w:r>
      <w:r>
        <w:rPr>
          <w:rStyle w:val="FootnoteAnchor"/>
          <w:rtl w:val="true"/>
        </w:rPr>
        <w:footnoteReference w:id="972"/>
      </w:r>
      <w:r>
        <w:rPr>
          <w:rFonts w:ascii="Amiri" w:hAnsi="Amiri" w:eastAsia="Amiri" w:cs="Amiri"/>
          <w:color w:val="111111"/>
          <w:sz w:val="28"/>
          <w:sz w:val="28"/>
          <w:szCs w:val="28"/>
          <w:rtl w:val="true"/>
          <w:lang w:bidi="ar-SA"/>
        </w:rPr>
        <w:t>وأوضح منها رواية أبي أيّوب</w:t>
      </w:r>
      <w:r>
        <w:rPr>
          <w:rStyle w:val="FootnoteAnchor"/>
          <w:rtl w:val="true"/>
        </w:rPr>
        <w:footnoteReference w:id="973"/>
      </w:r>
      <w:r>
        <w:rPr>
          <w:rFonts w:ascii="Amiri" w:hAnsi="Amiri" w:eastAsia="Amiri" w:cs="Amiri"/>
          <w:color w:val="111111"/>
          <w:sz w:val="28"/>
          <w:sz w:val="28"/>
          <w:szCs w:val="28"/>
          <w:rtl w:val="true"/>
          <w:lang w:bidi="ar-SA"/>
        </w:rPr>
        <w:t>، مؤيّدة بالشهرة المنقولة</w:t>
      </w:r>
      <w:r>
        <w:rPr>
          <w:rStyle w:val="FootnoteAnchor"/>
          <w:rtl w:val="true"/>
        </w:rPr>
        <w:footnoteReference w:id="974"/>
      </w:r>
      <w:r>
        <w:rPr>
          <w:rFonts w:ascii="Amiri" w:hAnsi="Amiri" w:eastAsia="Amiri" w:cs="Amiri"/>
          <w:color w:val="111111"/>
          <w:sz w:val="28"/>
          <w:sz w:val="28"/>
          <w:szCs w:val="28"/>
          <w:rtl w:val="true"/>
          <w:lang w:bidi="ar-SA"/>
        </w:rPr>
        <w:t xml:space="preserve">، لكن الأحوط التصدّق بإذن الحاكم وتوكيله </w:t>
      </w:r>
      <w:r>
        <w:rPr>
          <w:rFonts w:eastAsia="Amiri" w:cs="Amiri" w:ascii="Amiri" w:hAnsi="Amiri"/>
          <w:color w:val="111111"/>
          <w:sz w:val="28"/>
          <w:szCs w:val="28"/>
          <w:rtl w:val="true"/>
          <w:lang w:bidi="ar-SA"/>
        </w:rPr>
        <w:t xml:space="preserve">. </w:t>
      </w:r>
      <w:bookmarkStart w:id="382" w:name="pg15162_155731"/>
    </w:p>
    <w:p>
      <w:pPr>
        <w:pStyle w:val="BookText"/>
        <w:rPr/>
      </w:pPr>
      <w:bookmarkEnd w:id="382"/>
      <w:r>
        <w:rPr>
          <w:rFonts w:ascii="Amiri" w:hAnsi="Amiri" w:eastAsia="Amiri" w:cs="Amiri"/>
          <w:color w:val="111111"/>
          <w:sz w:val="28"/>
          <w:sz w:val="28"/>
          <w:szCs w:val="28"/>
          <w:rtl w:val="true"/>
          <w:lang w:bidi="ar-SA"/>
        </w:rPr>
        <w:t xml:space="preserve">ولا ينبغي الريب في أنّ مصرف المال التصدّق بعد اليأس ، كما هو مفاد الأدلّة ومقتضى قاعدة لزوم إيصال المال إلى صاحبه حتّى الإمكان ، فإنّ الحفظ مع اليأس يعدّ لغواً ، وتؤيّده الروايات الواردة في مجهول المالك وإن اختلفت مواردها </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955610_2142443653"/>
      <w:bookmarkStart w:id="384" w:name="_Toc136"/>
      <w:bookmarkEnd w:id="383"/>
      <w:r>
        <w:rPr>
          <w:rtl w:val="true"/>
        </w:rPr>
        <w:t>في ضمان المتصدّق إذا لم يرض به صاحبه</w:t>
      </w:r>
      <w:bookmarkEnd w:id="384"/>
    </w:p>
    <w:p>
      <w:pPr>
        <w:pStyle w:val="BookText"/>
        <w:rPr/>
      </w:pPr>
      <w:r>
        <w:rPr>
          <w:rFonts w:ascii="Amiri" w:hAnsi="Amiri" w:eastAsia="Amiri" w:cs="Amiri"/>
          <w:color w:val="111111"/>
          <w:sz w:val="28"/>
          <w:sz w:val="28"/>
          <w:szCs w:val="28"/>
          <w:rtl w:val="true"/>
          <w:lang w:bidi="ar-SA"/>
        </w:rPr>
        <w:t>ثمّ لو قلنا بتعيّن التصدّق عليه فتصدّق فجاء صاحبه ولم يرض به فهل يضمن مطلقاً أو لا كذلك ، أو يفصّل بين يد الضمان وغيره ؟</w:t>
      </w:r>
    </w:p>
    <w:p>
      <w:pPr>
        <w:pStyle w:val="BookText"/>
        <w:rPr/>
      </w:pPr>
      <w:r>
        <w:rPr>
          <w:rFonts w:ascii="Amiri" w:hAnsi="Amiri" w:eastAsia="Amiri" w:cs="Amiri"/>
          <w:color w:val="111111"/>
          <w:sz w:val="28"/>
          <w:sz w:val="28"/>
          <w:szCs w:val="28"/>
          <w:rtl w:val="true"/>
          <w:lang w:bidi="ar-SA"/>
        </w:rPr>
        <w:t>اختار الشيخ الأعظم الضمان</w:t>
      </w:r>
      <w:r>
        <w:rPr>
          <w:rStyle w:val="FootnoteAnchor"/>
          <w:rtl w:val="true"/>
        </w:rPr>
        <w:footnoteReference w:id="975"/>
      </w:r>
      <w:r>
        <w:rPr>
          <w:rFonts w:ascii="Amiri" w:hAnsi="Amiri" w:eastAsia="Amiri" w:cs="Amiri"/>
          <w:color w:val="111111"/>
          <w:sz w:val="28"/>
          <w:sz w:val="28"/>
          <w:szCs w:val="28"/>
          <w:rtl w:val="true"/>
          <w:lang w:bidi="ar-SA"/>
        </w:rPr>
        <w:t xml:space="preserve">بعد الإشكال في أدلّة الضمان وفي إطلاق ما دلّت على وجوب التصدّق ، بدعوى تحكيم استصحاب الضمان فيما تقتضي اليد الضمان على البراءة في اليد غير المقتضية له بعد 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بأنّ التحقيق جريان استصحاب عدم الشغل بالبدل حتّى في مورد يد الضمان ؛ لأنّ معنى ضمان اليد أ نّه إذا تلف يضمن ، فما لم يتلف لا ضمان فيستصحب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مقتضى ظاهر دليل ضمان اليد أنّ الاشتغال بالعين تنجيزي لا تعليقي ويأتي في محلّه تحقيقه</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بنينا على التعليق يجري الاستصحاب التعليقي ، فإنّ الإتلاف ولو بالتصدّق قبل الفحص موجب للضمان </w:t>
      </w:r>
    </w:p>
    <w:p>
      <w:pPr>
        <w:pStyle w:val="BookText"/>
        <w:rPr/>
      </w:pPr>
      <w:r>
        <w:rPr>
          <w:rFonts w:ascii="Amiri" w:hAnsi="Amiri" w:eastAsia="Amiri" w:cs="Amiri"/>
          <w:color w:val="111111"/>
          <w:sz w:val="28"/>
          <w:sz w:val="28"/>
          <w:szCs w:val="28"/>
          <w:rtl w:val="true"/>
          <w:lang w:bidi="ar-SA"/>
        </w:rPr>
        <w:t>ويكون التعليق شرعياً فرضاً ، والاستصحاب التعليقي حاكم على الاستصحاب التنجيزي كما قرّر في محلّه</w:t>
      </w:r>
      <w:r>
        <w:rPr>
          <w:rStyle w:val="FootnoteAnchor"/>
          <w:rtl w:val="true"/>
        </w:rPr>
        <w:footnoteReference w:id="977"/>
      </w:r>
      <w:r>
        <w:rPr>
          <w:rFonts w:ascii="Amiri" w:hAnsi="Amiri" w:eastAsia="Amiri" w:cs="Amiri"/>
          <w:color w:val="111111"/>
          <w:sz w:val="28"/>
          <w:sz w:val="28"/>
          <w:szCs w:val="28"/>
          <w:rtl w:val="true"/>
          <w:lang w:bidi="ar-SA"/>
        </w:rPr>
        <w:t xml:space="preserve">، فلا إشكال من هذه الجهة ، وإنّما الإشكال من جهة تحكيمه الاستصحاب على البراءة في المقام ؛ لأنّ الإجماع على عدم الفصل غايته إثبات التلازم بين الحكمين الواقعيين ، وإثبات أحد المتلازمين باستصحاب الآخر مثبت ولو كان التلازم شرعياً ، فإنّ تحقّق الملازم بتحقّق ملازمه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ادّعى عدم الفصل بين الحكمين الواقعيين كما هو ظاهره من دعوى التحكيم ، وإن ادّعى التلازم بين الحكمين الظاهريين فلا وجه للتحكيم بل الوجه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جريان استصحاب عدم الضمان في الطرف الآخر أيضاً ، فمع عدم القول بالفصل وإجدائه 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بحسب الأصل التفصيل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الأقوى بحسب قاعدة اليد والإتلاف الضمان مطلقاً ، ودعوى انصراف دليله إلى ما كان الإتلاف عليه لا له</w:t>
      </w:r>
      <w:r>
        <w:rPr>
          <w:rStyle w:val="FootnoteAnchor"/>
          <w:rtl w:val="true"/>
        </w:rPr>
        <w:footnoteReference w:id="978"/>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ظهور الإتلاف في العلّية التامّة</w:t>
      </w:r>
      <w:r>
        <w:rPr>
          <w:rStyle w:val="FootnoteAnchor"/>
          <w:rtl w:val="true"/>
        </w:rPr>
        <w:footnoteReference w:id="979"/>
      </w:r>
      <w:r>
        <w:rPr>
          <w:rFonts w:ascii="Amiri" w:hAnsi="Amiri" w:eastAsia="Amiri" w:cs="Amiri"/>
          <w:color w:val="111111"/>
          <w:sz w:val="28"/>
          <w:sz w:val="28"/>
          <w:szCs w:val="28"/>
          <w:rtl w:val="true"/>
          <w:lang w:bidi="ar-SA"/>
        </w:rPr>
        <w:t xml:space="preserve">وهي في المقام مفقودة ؛ لأنّ الضمان موقوف على عدم إجازة المالك بما ذكره الشيخ من ضمانه أوّلاً ورفعه بالرضا بالصدقة ، وإن أمر بالتأمّل لكنّه أوجه ؛ لأنّ التصدّق بعد فرض عدم جواز الرجوع إلى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w:t>
      </w:r>
    </w:p>
    <w:p>
      <w:pPr>
        <w:pStyle w:val="BookText"/>
        <w:rPr/>
      </w:pPr>
      <w:r>
        <w:rPr>
          <w:rFonts w:ascii="Amiri" w:hAnsi="Amiri" w:eastAsia="Amiri" w:cs="Amiri"/>
          <w:color w:val="111111"/>
          <w:sz w:val="28"/>
          <w:sz w:val="28"/>
          <w:szCs w:val="28"/>
          <w:rtl w:val="true"/>
          <w:lang w:bidi="ar-SA"/>
        </w:rPr>
        <w:t xml:space="preserve">الشيخ الأعظم عدم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لماله عرفاً ومقتضٍ للضمان ، فلا وجه</w:t>
      </w:r>
    </w:p>
    <w:p>
      <w:pPr>
        <w:pStyle w:val="BookText"/>
        <w:rPr/>
      </w:pPr>
      <w:r>
        <w:rPr>
          <w:rFonts w:ascii="Amiri" w:hAnsi="Amiri" w:eastAsia="Amiri" w:cs="Amiri"/>
          <w:color w:val="111111"/>
          <w:sz w:val="28"/>
          <w:sz w:val="28"/>
          <w:szCs w:val="28"/>
          <w:rtl w:val="true"/>
          <w:lang w:bidi="ar-SA"/>
        </w:rPr>
        <w:t xml:space="preserve">لكونه مراعىً بأمر متأخّر غير دخيل في الإتلاف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ضمان الإتلاف يؤخذ بإطلاقه ، وما اشتهر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مستنقذ من الموارد الجزئية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دليله موثّقة أبي بصير في باب حرمة سباب المؤمن عن أبي جعفر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وحرمة ماله كحرمة دمه</w:t>
      </w:r>
      <w:r>
        <w:rPr>
          <w:rFonts w:eastAsia="IRNazanin" w:cs="IRNazanin"/>
          <w:color w:val="111111"/>
          <w:sz w:val="28"/>
          <w:szCs w:val="28"/>
          <w:rtl w:val="true"/>
          <w:lang w:bidi="fa-IR"/>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قوّة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w:t>
      </w:r>
    </w:p>
    <w:p>
      <w:pPr>
        <w:pStyle w:val="BookText"/>
        <w:rPr/>
      </w:pP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حرمة ماله أ نّه لا يذهب هدراً بل هو محترم لابدّ من جبره ، كدمه فإنّه لا يطلّ دم رجل مسلم ؛ أي لا يهدر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بمال الغير موجب للضمان ولو كان يده يد أمانة وإحسان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التصدّق إحسان</w:t>
      </w:r>
      <w:r>
        <w:rPr>
          <w:rStyle w:val="FootnoteAnchor"/>
          <w:rtl w:val="true"/>
        </w:rPr>
        <w:footnoteReference w:id="982"/>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الغضّ عن أخبار وجوب التصدّق ، وأمّا بالنظر إليها فالظاهر استفادة عدم الضمان منها ؛ للملازمة العرفية بين إلزامه على التصدّق والإتلاف وعدم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باب اللقطة فلم يكن التصدّق متعيّناً عليه ، بل هو مختار بين الأخذ لنفسه ، والحفظ لصاحبه ، والتصدّق بالضمان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دلالة رواية داود بن أبي يزيد</w:t>
      </w:r>
      <w:r>
        <w:rPr>
          <w:rStyle w:val="FootnoteAnchor"/>
          <w:rtl w:val="true"/>
        </w:rPr>
        <w:footnoteReference w:id="983"/>
      </w:r>
      <w:r>
        <w:rPr>
          <w:rFonts w:ascii="Amiri" w:hAnsi="Amiri" w:eastAsia="Amiri" w:cs="Amiri"/>
          <w:color w:val="111111"/>
          <w:sz w:val="28"/>
          <w:sz w:val="28"/>
          <w:szCs w:val="28"/>
          <w:rtl w:val="true"/>
          <w:lang w:bidi="ar-SA"/>
        </w:rPr>
        <w:t xml:space="preserve">عليه ، بناءً على أنّ المراد بالإصابة أعمّ من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رواية علي بن أبي حمزة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الصورة الثالثة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الرابعة فقد أحال الشيخ الأعظم تحقيقها على كتاب الخمس</w:t>
      </w:r>
      <w:r>
        <w:rPr>
          <w:rStyle w:val="FootnoteAnchor"/>
          <w:rtl w:val="true"/>
        </w:rPr>
        <w:footnoteReference w:id="985"/>
      </w:r>
      <w:r>
        <w:rPr>
          <w:rFonts w:ascii="IRNazanin" w:hAnsi="IRNazanin" w:eastAsia="IRNazanin"/>
          <w:color w:val="111111"/>
          <w:sz w:val="28"/>
          <w:sz w:val="28"/>
          <w:szCs w:val="28"/>
          <w:rtl w:val="true"/>
          <w:lang w:bidi="fa-IR"/>
        </w:rPr>
        <w:t xml:space="preserve">، ونحن نقفوا أثره </w:t>
      </w:r>
      <w:r>
        <w:rPr>
          <w:rFonts w:eastAsia="IRNazanin" w:cs="IRNazanin"/>
          <w:color w:val="111111"/>
          <w:sz w:val="28"/>
          <w:szCs w:val="28"/>
          <w:rtl w:val="true"/>
          <w:lang w:bidi="fa-IR"/>
        </w:rPr>
        <w:t xml:space="preserve">. </w:t>
      </w:r>
      <w:bookmarkStart w:id="385" w:name="pg15162_155735"/>
    </w:p>
    <w:p>
      <w:pPr>
        <w:pStyle w:val="Heading4"/>
        <w:numPr>
          <w:ilvl w:val="3"/>
          <w:numId w:val="1"/>
        </w:numPr>
        <w:rPr/>
      </w:pPr>
      <w:bookmarkStart w:id="386" w:name="__RefHeading___Toc1955612_2142443653"/>
      <w:bookmarkStart w:id="387" w:name="_Toc137"/>
      <w:bookmarkEnd w:id="385"/>
      <w:bookmarkEnd w:id="386"/>
      <w:r>
        <w:rPr>
          <w:rtl w:val="true"/>
        </w:rPr>
        <w:t>المسألة الثانية حكم الخراج والمقاسمة إذا أخذهما السلطان الجائر</w:t>
      </w:r>
      <w:bookmarkEnd w:id="387"/>
    </w:p>
    <w:p>
      <w:pPr>
        <w:pStyle w:val="Heading5"/>
        <w:numPr>
          <w:ilvl w:val="4"/>
          <w:numId w:val="1"/>
        </w:numPr>
        <w:rPr/>
      </w:pPr>
      <w:bookmarkStart w:id="388" w:name="__RefHeading___Toc1955614_2142443653"/>
      <w:bookmarkStart w:id="389" w:name="_Toc138"/>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 xml:space="preserve">مقتضى القواعد أنّ ما أخذه السلطان الجائر المستحلّ لأخذ الخراج والمقاسمة باسمهما ، ومن الغلاّت وغيرها بعنوان الزكاة ، عدم وقوعها خراجاً وزكاة ، وبقاؤها على ملك صاحبها ، وعدم نفوذ تصرّفاته من البيع ونحوه ، وبقاء الخراج والزكاة على ذمّة المالك أو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عقلاً في جواز إنفاذ ما أخذه كذلك أخذاً وإعطاءً ، وإنفاذ معاملاته على المأخوذ ، وعدم قبح شيء من ذلك عقلاً بل هو مستحسن ؛ لرفع الحرج والضرر عن صاحب الزكاة والخراج وعن سائر المسلمين ، بل قد يلزم عقلاً إذا توقّف نظام الممالك الإسلامية عليه ، فلا بدّ في ذلك من اتّباع الأدلّة ولا يجوز طرح ظاهر دليل معتمد بتوهّم مخالفته للعقل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ملازمة بين إنفاذ المأخوذ زكاة وخراجاً ووقوعهما كذلك وإنفاذ المعاملة عليها وضعاً ، وبين حلّية الأخذ وحلّية التصرّفات في المأخوذ على الجائر ؛ لإمكان صحّة شيء وضعاً وحرمته تكليفاً ، فلا مانع </w:t>
      </w:r>
      <w:bookmarkStart w:id="390" w:name="pg15162_155736"/>
    </w:p>
    <w:p>
      <w:pPr>
        <w:pStyle w:val="BookText"/>
        <w:rPr/>
      </w:pPr>
      <w:bookmarkEnd w:id="390"/>
      <w:r>
        <w:rPr>
          <w:rFonts w:ascii="Amiri" w:hAnsi="Amiri" w:eastAsia="Amiri" w:cs="Amiri"/>
          <w:color w:val="111111"/>
          <w:sz w:val="28"/>
          <w:sz w:val="28"/>
          <w:szCs w:val="28"/>
          <w:rtl w:val="true"/>
          <w:lang w:bidi="ar-SA"/>
        </w:rPr>
        <w:t xml:space="preserve">من حرمة البيع وقت النداء وصحّته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دلّ دليل على نفوذ أعمال السلاطين في أخذ المذكورات والمعاملة عليها لا يكشف منه حلّية تصرّفاتهم وأخذهم وإعطائهم تكليفاً ؛ لأنّ كلّ ذلك تصرّف في سلطان الوالي العادل ، فله المنع عن تصرّفاتهم والإنفاذ على فرض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استفيض نقل الإجماع وعدم الخلاف والشهرة</w:t>
      </w:r>
      <w:r>
        <w:rPr>
          <w:rStyle w:val="FootnoteAnchor"/>
          <w:rtl w:val="true"/>
        </w:rPr>
        <w:footnoteReference w:id="986"/>
      </w:r>
      <w:r>
        <w:rPr>
          <w:rFonts w:ascii="Amiri" w:hAnsi="Amiri" w:eastAsia="Amiri" w:cs="Amiri"/>
          <w:color w:val="111111"/>
          <w:sz w:val="28"/>
          <w:sz w:val="28"/>
          <w:szCs w:val="28"/>
          <w:rtl w:val="true"/>
          <w:lang w:bidi="ar-SA"/>
        </w:rPr>
        <w:t xml:space="preserve">على جواز الشراء من السلطان الجائر ، وتدلّ على جوازه بل جواز مطلق المعاملة جملة من الروايات </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955616_2142443653"/>
      <w:bookmarkStart w:id="392" w:name="_Toc139"/>
      <w:bookmarkEnd w:id="391"/>
      <w:r>
        <w:rPr>
          <w:rtl w:val="true"/>
        </w:rPr>
        <w:t>الاستدلال بالروايات على جواز الشراء من الجائر</w:t>
      </w:r>
      <w:bookmarkEnd w:id="392"/>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الحذّاء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منّا يشتري من السلطان من إبل الصدقة وغنم الصدقة وهو يعلم أ نّهم يأخذون منهم أكثر من الحقّ الذي يجب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الإبل إلاّ مثل الحنطة والشعير وغير ذلك ، لا بأس به حتّى تعرف الحرام بعينه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مصدّق يجيئنا فيأخذ منّا صدقات أغنامنا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بعناها ، فيبيعناها ، فما تقول في شرائها منه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الحنطة والشعير يجيئنا القاسم فيقسم لنا حظّنا ويأخذ حظّه فيعزله بكيل ، فما ترى في شراء ذلك الطعام منه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قبضه بكيل وأنتم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بفقراتها الثلاث تدلّ على المطلوب ؛ أي نفوذ أخذ الجائر ؛ بمعنى وقوع ما أخذه صدقة ، وجواز الشراء منه ونفوذه بل جواز سائر المعاملات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الاُولى فدلالتها ظاهرة ، سيّما مع تسمية ما زاد عن الحقّ الواجب حراماً ومفروضية كون المأخوذ حقّاً واجباً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فيها </w:t>
      </w:r>
      <w:r>
        <w:rPr>
          <w:rStyle w:val="FootnoteAnchor"/>
          <w:rtl w:val="true"/>
        </w:rPr>
        <w:footnoteReference w:id="988"/>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السائل في مقام السؤال عن حكم آخر ، وليس بصدد السؤال عن السلطان الجائر ، فلا إطلاق فيها من هذه الجهة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يأخذون منهم أكثر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يدلّ على كون السلطان جائراً ؛ لأنّ عمّال السلطان العادل يمكن أن يصدر منهم الظلم أحياناً بلا اطّلاع من السلطان عليه ، وضمير الجمع لا يرجع إلى السلطان بل إلى عمّاله الذين يأخذون الصدقات ، ومعلوم أنّ السلطان لا يأخذ بنفسه ، بل لعلّ مفروضية كون الأخذ حقّاً قرينة على أنّ السؤال عن السلطان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بمضمونها غير ممكن ؛ لأ نّه مخالف للقواعد ؛ لتجويزه الشراء في غير مورد واحد ، وهو العلم التفصيلي بالحرام ، ومقتضاه جوازه مع العلم الإجمالي حتّى اشتراء جميع أطرافه دفعة ؛ لصدق عدم معرفته بالحرام بعينه ومفصّلاً ، وهذا موهن لها فيشكل العمل بها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الذي كالنصّ أنّ السؤال عن السلطان الجائر الذي كانت صدقاتهم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عن كلّي لم يكن محلّ الابتلاء رأساً ولا متوقّعاً لذلك مقطوع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منّا يشتري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من المعلوم أنّ المراد به هو الشيعة الإمامية ، قبال السلطان الذي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 على عمّال سلطان العدل وفرض ظلمهم لا ينبغي احتماله ، فلا إشكال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من المحتمل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للحرام لا قيداً للمعرفة ، ومعه لا تكون الرواية مخالفة للقواعد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إطلاقها مخالفة لها ، فيتقيّد عقلاً ، فلا يصحّ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السؤال ما يدلّ على أنّ المعلوم بالإجمال في مورد الشراء ، بل الظاهر أنّ مراده أنّ السلطان إذا كان في أمواله مظلمة يجوز الشراء منه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الخدشة فيها في غير محلّها ، وقد تقدّم</w:t>
      </w:r>
      <w:r>
        <w:rPr>
          <w:rStyle w:val="FootnoteAnchor"/>
          <w:rtl w:val="true"/>
        </w:rPr>
        <w:footnoteReference w:id="989"/>
      </w:r>
      <w:r>
        <w:rPr>
          <w:rFonts w:ascii="Amiri" w:hAnsi="Amiri" w:eastAsia="Amiri" w:cs="Amiri"/>
          <w:color w:val="111111"/>
          <w:sz w:val="28"/>
          <w:sz w:val="28"/>
          <w:szCs w:val="28"/>
          <w:rtl w:val="true"/>
          <w:lang w:bidi="ar-SA"/>
        </w:rPr>
        <w:t xml:space="preserve">أنّ الحكم ليس مخالفاً للعقل ، بل موافق للاعتبار والعقل لتنظيم أمر المسلمين والإسلام مع عدم بسط يد السلطان العادل وتسهيل الأمر على الاُمّة ، فلا معنى لردّها بعد الإقرار بظهورها وصحّتها واعتماد الأصحاب عليها والعمل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الإبل المذكور أخيراً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بشراء الإبل إلاّ ما علم أ نّه حرام ، وقد علم أنّ إبل الصدقات حرام حسب القواعد وإنّما أجمل في الكلام تقيّة</w:t>
      </w:r>
      <w:r>
        <w:rPr>
          <w:rStyle w:val="FootnoteAnchor"/>
          <w:rtl w:val="true"/>
        </w:rPr>
        <w:footnoteReference w:id="990"/>
      </w:r>
      <w:r>
        <w:rPr>
          <w:rFonts w:ascii="Amiri" w:hAnsi="Amiri" w:eastAsia="Amiri" w:cs="Amiri"/>
          <w:color w:val="111111"/>
          <w:sz w:val="28"/>
          <w:sz w:val="28"/>
          <w:szCs w:val="28"/>
          <w:rtl w:val="true"/>
          <w:lang w:bidi="ar-SA"/>
        </w:rPr>
        <w:t xml:space="preserve">، فلا ينبغي الإصغاء إليه ؛ إذ هو في غاية السقوط ، كما لا يخفى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من الفقرتين الأخيرتين أنّ السائل أراد السؤال عن مسألتين مربوطتين بعمّال الصدقات ومقسّمها وشراء ما أخذوا بعد ما سأل الحذّاء مسألته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والحمل على غيرها </w:t>
      </w:r>
      <w:r>
        <w:rPr>
          <w:rStyle w:val="FootnoteAnchor"/>
          <w:rtl w:val="true"/>
        </w:rPr>
        <w:footnoteReference w:id="991"/>
      </w:r>
      <w:r>
        <w:rPr>
          <w:rFonts w:ascii="Amiri" w:hAnsi="Amiri" w:eastAsia="Amiri" w:cs="Amiri"/>
          <w:color w:val="111111"/>
          <w:sz w:val="28"/>
          <w:sz w:val="28"/>
          <w:szCs w:val="28"/>
          <w:rtl w:val="true"/>
          <w:lang w:bidi="ar-SA"/>
        </w:rPr>
        <w:t xml:space="preserve">خلاف ظاهر الكلام وسياقه وفهم العقلاء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w:t>
      </w:r>
    </w:p>
    <w:p>
      <w:pPr>
        <w:pStyle w:val="BookText"/>
        <w:rPr/>
      </w:pPr>
      <w:r>
        <w:rPr>
          <w:rFonts w:ascii="Amiri" w:hAnsi="Amiri" w:eastAsia="Amiri" w:cs="Amiri"/>
          <w:color w:val="111111"/>
          <w:sz w:val="28"/>
          <w:sz w:val="28"/>
          <w:szCs w:val="28"/>
          <w:rtl w:val="true"/>
          <w:lang w:bidi="ar-SA"/>
        </w:rPr>
        <w:t xml:space="preserve">كون الفقرتين مستقلّتين في مجلس غير مجلس سؤال الحذّاء ضعيف ، مع أنّ ظاهر المصدّق والقاسم هو عمّال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فيها ، لا سنداً ، ولا دلالة ، ولا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تعليق نفي البأس في الفقرة الثانية بالأخذ والعزل لأجل أنّ قبلهما لا يتعيّن زكاة وصدقة ، ولا ولاية للجائر مطلقاً حتّى تصحّ معاملته للملك المشاع بناءً على إشاعة الزكاة كما هي الأرجح ، وإنّما نفذت تصرّفاته بعد الأخذ والعزل حفظاً للمصالح وتسهيلاً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دلالة في الرواية على سقوط الضمان من الجائر ؛ لأنّ مجرّد وقوع ما أخذه صدقة وصحّة الشراء من إبل الصدقات وغيره لا يلازم سقوط الضمان عنه ؛ لأنّ الزكاة بعد حصولها لابدّ في صرفها من تصرّف وليّ أمرها أو إذنه ، والظالم ليس بوليّ ، فلا بدّ من رفع ضمانه من دلالة دليل على صحّة صرفه في مصارفها الشرعية ، والصحيحة لا دلالة عليها ، وإن كان المظنون قويّاً وقوعها مصرفاً إذا صرفها في المصارف الشرعية ، والتفكيك بين الوقوع في الأخذ وبين الوقوع في الإعطاء في غاية البعد ، لكن مجرّد الاستبعاد ليس بحجّة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تدلّ على ذلك ، بل وعلى جميع المطالب المتقدّمة ، حسنة أبي بكر أو صحيحته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وعنده إسماعيل ابنه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 ابن أبي السمّاك أن يخرج شباب الشيعة ، فيكفونه ما يكفيه الناس ، </w:t>
      </w:r>
    </w:p>
    <w:p>
      <w:pPr>
        <w:pStyle w:val="BookText"/>
        <w:rPr/>
      </w:pPr>
      <w:r>
        <w:rPr>
          <w:rFonts w:ascii="Amiri" w:hAnsi="Amiri" w:eastAsia="Amiri" w:cs="Amiri"/>
          <w:color w:val="111111"/>
          <w:sz w:val="28"/>
          <w:sz w:val="28"/>
          <w:szCs w:val="28"/>
          <w:rtl w:val="true"/>
          <w:lang w:bidi="ar-SA"/>
        </w:rPr>
        <w:t>ويعطيهم ما يعطي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عطاءك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على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ابن أبي السمّاك أن يبعث إليك بعطائك ؟ 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صدرها وذيلها أنّ ما أعطى من بيت المال شباب الشيعة وكذا لو أعطى نصيبه ابن أبي السمّاك من بيت المال يقع على ما هو عليه ومصرفاً شرعياً ، كما أنّ التعبير ببيت المال وأنّ لأبي بكر فيه نصيباً دليل على أنّ المأخوذ</w:t>
      </w:r>
    </w:p>
    <w:p>
      <w:pPr>
        <w:pStyle w:val="BookText"/>
        <w:rPr/>
      </w:pPr>
      <w:r>
        <w:rPr>
          <w:rFonts w:ascii="Amiri" w:hAnsi="Amiri" w:eastAsia="Amiri" w:cs="Amiri"/>
          <w:color w:val="111111"/>
          <w:sz w:val="28"/>
          <w:sz w:val="28"/>
          <w:szCs w:val="28"/>
          <w:rtl w:val="true"/>
          <w:lang w:bidi="ar-SA"/>
        </w:rPr>
        <w:t xml:space="preserve">من الناس وقع خراجاً وزكاة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فتدلّ الرواية مضافاً إلى ما دلّت عليه السابقة على خروج الغاصب من الضمان لو عمل في الصدقات على طبق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والخدشة فيها بأنّ الدخول في أعمالهم محرّم وقد سوّغه فيها </w:t>
      </w:r>
      <w:r>
        <w:rPr>
          <w:rStyle w:val="FootnoteAnchor"/>
          <w:rtl w:val="true"/>
        </w:rPr>
        <w:footnoteReference w:id="993"/>
      </w:r>
      <w:r>
        <w:rPr>
          <w:rFonts w:ascii="Amiri" w:hAnsi="Amiri" w:eastAsia="Amiri" w:cs="Amiri"/>
          <w:color w:val="111111"/>
          <w:sz w:val="28"/>
          <w:sz w:val="28"/>
          <w:szCs w:val="28"/>
          <w:rtl w:val="true"/>
          <w:lang w:bidi="ar-SA"/>
        </w:rPr>
        <w:t xml:space="preserve">في غير محلّها ؛ لإمكان أن يكون لدخول شباب الشيعة مصلحة مجوّزة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احتمال كون نصيبه من بيت المال من وجوه اُخر غير ما هو المعهود من بيت المال</w:t>
      </w:r>
      <w:r>
        <w:rPr>
          <w:rStyle w:val="FootnoteAnchor"/>
          <w:rtl w:val="true"/>
        </w:rPr>
        <w:footnoteReference w:id="994"/>
      </w:r>
      <w:r>
        <w:rPr>
          <w:rFonts w:ascii="Amiri" w:hAnsi="Amiri" w:eastAsia="Amiri" w:cs="Amiri"/>
          <w:color w:val="111111"/>
          <w:sz w:val="28"/>
          <w:sz w:val="28"/>
          <w:szCs w:val="28"/>
          <w:rtl w:val="true"/>
          <w:lang w:bidi="ar-SA"/>
        </w:rPr>
        <w:t xml:space="preserve">لا يصغى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ظاهرة الدلالة ، نقيّة السند ، معمول بها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المطلوب ؛ من وقوع المذكورات على ما هي عليها وسقوطها عن المأخوذ منه وصحّة شرائها ، جملة من الروايات التي وقع السؤال فيها عن الاشتراء عن العامل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كصحيحة معاوية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من العامل الشيء وأنا أعلم أ نّه يظلم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رواية عبدالرحمان بن أبي عبداللّه‌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وكموثّقة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يشتري من العامل وهو يظلم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 نّه ظلم فيه أحداً</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اختصاص العامل بالذكر كراراً في الروايات يدلّ على أنّ السؤال ليس عن مطلق الظالم أو عن مطلق من بيده مال الغير ، بل يكون عن الصدقات التي في يد العامل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تلك الروايات نظير رواية أبي عبيدة</w:t>
      </w:r>
      <w:r>
        <w:rPr>
          <w:rStyle w:val="FootnoteAnchor"/>
          <w:rtl w:val="true"/>
        </w:rPr>
        <w:footnoteReference w:id="998"/>
      </w:r>
      <w:r>
        <w:rPr>
          <w:rFonts w:ascii="Amiri" w:hAnsi="Amiri" w:eastAsia="Amiri" w:cs="Amiri"/>
          <w:color w:val="111111"/>
          <w:sz w:val="28"/>
          <w:sz w:val="28"/>
          <w:szCs w:val="28"/>
          <w:rtl w:val="true"/>
          <w:lang w:bidi="ar-SA"/>
        </w:rPr>
        <w:t xml:space="preserve">، فهي تدلّ على المقصود في الجملة ؛ إذ لا إطلاق لها فتكون في مقام بيان حكم آخر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موثّقة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الخيانة والسرقة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 نّه كذلك فلا ، إلاّ أن يكون شيئاً اشتريته من العامل</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393" w:name="pg15162_155742"/>
    </w:p>
    <w:p>
      <w:pPr>
        <w:pStyle w:val="BookText"/>
        <w:rPr/>
      </w:pPr>
      <w:bookmarkEnd w:id="393"/>
      <w:r>
        <w:rPr>
          <w:rFonts w:ascii="Amiri" w:hAnsi="Amiri" w:eastAsia="Amiri" w:cs="Amiri"/>
          <w:color w:val="111111"/>
          <w:sz w:val="28"/>
          <w:sz w:val="28"/>
          <w:szCs w:val="28"/>
          <w:rtl w:val="true"/>
          <w:lang w:bidi="ar-SA"/>
        </w:rPr>
        <w:t xml:space="preserve">ونحوها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w:t>
      </w:r>
      <w:r>
        <w:rPr>
          <w:rStyle w:val="FootnoteAnchor"/>
          <w:rtl w:val="true"/>
        </w:rPr>
        <w:footnoteReference w:id="1000"/>
      </w:r>
      <w:r>
        <w:rPr>
          <w:rFonts w:ascii="IRNazanin" w:hAnsi="IRNazanin" w:eastAsia="IRNazanin"/>
          <w:color w:val="111111"/>
          <w:sz w:val="28"/>
          <w:sz w:val="28"/>
          <w:szCs w:val="28"/>
          <w:rtl w:val="true"/>
          <w:lang w:bidi="fa-IR"/>
        </w:rPr>
        <w:t xml:space="preserve">مرسلة عن أبي عبداللّه علیه السلام ، بل وصحيحته عن أبي بصير عن أحدهما علیهما السلام وفي ذيلها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السرقة بعينها فلا ، إلاّ أن يكون من متاع السلطان فلا بأس بذلك</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المراد من السرقة والخيانة التي أجاز اشتراءها ونفي البأس عنه ليست إلاّ ما أخذها السلطان وعمّاله عن الناس باسم الخراج والزكاة بغير حقّ خيانة وسرقة أو كان بحكمها ؛ ضرورة عدم خصوصية للسلطان الجائر وعمّاله في ذلك ؛ أي في السرقة من أموال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مع وضوحه الروايات المتقدّمة الدالّة على عدم جواز شراء ما يعلم أ نّه ظلم فيه أحداً ، وما عرف أ نّه حرام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دلالتها على نفوذ المعاملات وسقوط الزكاة ونحوها عن ذمّة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دلالة لها على سقوط الضمان على الوالي الجائر </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955618_2142443653"/>
      <w:bookmarkStart w:id="395" w:name="_Toc140"/>
      <w:bookmarkEnd w:id="394"/>
      <w:r>
        <w:rPr>
          <w:rtl w:val="true"/>
        </w:rPr>
        <w:t>الاستدلال بالأخبار الواردة في تقبّل الخراج</w:t>
      </w:r>
      <w:bookmarkEnd w:id="39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ما دلّت على جواز تقبّل خراج الأراضي الخراجية وجزية الرؤوس ، بل ما دلّت على جواز تقبّل الأرض من السلطان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الاُولى موثّقة إسماعيل بن الفضل الهاشمي بطريق الصدوق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يتقبّل خراج الرجال وجزية رؤوسهم وخراج النخل والشجر والآجام والمصائد والسمك والطير ، وهو لا يدري لعلّ هذا لا يكون أبداً أو يكون أيشتريه ؟ وفي أيّ زمان يشتريه ويتقبّل منه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أنّ من ذلك شيئاً واحداً قد أدرك فاشتره وتقبّل به</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الكليني باختلاف يسير</w:t>
      </w:r>
      <w:r>
        <w:rPr>
          <w:rStyle w:val="FootnoteAnchor"/>
          <w:rtl w:val="true"/>
        </w:rPr>
        <w:footnoteReference w:id="1003"/>
      </w:r>
      <w:r>
        <w:rPr>
          <w:rFonts w:ascii="Amiri" w:hAnsi="Amiri" w:eastAsia="Amiri" w:cs="Amiri"/>
          <w:color w:val="111111"/>
          <w:sz w:val="28"/>
          <w:sz w:val="28"/>
          <w:szCs w:val="28"/>
          <w:rtl w:val="true"/>
          <w:lang w:bidi="ar-SA"/>
        </w:rPr>
        <w:t xml:space="preserve">، وفي روايته إرسال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الثانية رواية إسماعيل بن الفضل الهاشمي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استأجر من السلطان من أرض الخراج بدراهم مسمّاة أو بطعام مسمّى ، ثمّ آجرها وشرط لمن يزرعها أن يقاسمه النصف أو أقلّ من ذلك أو أكثر ، وله في الأرض بعد ذلك فضل أيصلح له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إذا حفر لهم نهراً أو عمل لهم شيئاً يعينهم بذلك فله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استأجر أرضاً من أرض الخراج بدراهم مسمّاة ،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استأجرت أرضاً فأنفقت فيها شيئاً أو رمّمت فيها فلا بأس بما ذكرت</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الفيض بن المختار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تقول في الأرض أتقبّلها من السلطان ثمّ اُؤاجرها من آخرين على أنّ ما أخرج اللّه </w:t>
      </w:r>
    </w:p>
    <w:p>
      <w:pPr>
        <w:pStyle w:val="BookText"/>
        <w:rPr/>
      </w:pPr>
      <w:r>
        <w:rPr>
          <w:rFonts w:ascii="Amiri" w:hAnsi="Amiri" w:eastAsia="Amiri" w:cs="Amiri"/>
          <w:color w:val="111111"/>
          <w:sz w:val="28"/>
          <w:sz w:val="28"/>
          <w:szCs w:val="28"/>
          <w:rtl w:val="true"/>
          <w:lang w:bidi="ar-SA"/>
        </w:rPr>
        <w:t xml:space="preserve">منها من شيء كان لي من ذلك النصف أو الثلث أو أقلّ من ذلك أو أكثر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عليهما جميعاً صحيحة الحلبي عن أبي عبداللّه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يتقبّل الأرض وأهلَها من السلطان</w:t>
      </w:r>
      <w:r>
        <w:rPr>
          <w:rFonts w:eastAsia="IRNazanin" w:cs="IRNazanin"/>
          <w:color w:val="111111"/>
          <w:sz w:val="28"/>
          <w:szCs w:val="28"/>
          <w:rtl w:val="true"/>
          <w:lang w:bidi="fa-IR"/>
        </w:rPr>
        <w:t>»</w:t>
      </w:r>
      <w:r>
        <w:rPr>
          <w:rStyle w:val="FootnoteAnchor"/>
          <w:rtl w:val="true"/>
        </w:rPr>
        <w:footnoteReference w:id="1006"/>
      </w:r>
      <w:r>
        <w:rPr>
          <w:rFonts w:ascii="Amiri" w:hAnsi="Amiri" w:eastAsia="Amiri" w:cs="Amiri"/>
          <w:color w:val="111111"/>
          <w:sz w:val="28"/>
          <w:sz w:val="28"/>
          <w:szCs w:val="28"/>
          <w:rtl w:val="true"/>
          <w:lang w:bidi="ar-SA"/>
        </w:rPr>
        <w:t>إذ الظاهر أنّ المراد بأهلها جزية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الاُولى والثالثة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فلدلالتها على نفوذ عمل السلطان في استئجار الأراضي الخراجية ، فتدلّ على أنّ ما أخذه اُجرة وقعت كذلك ؛ لصحّة الإجارة ، فتدلّ على نفوذ عمله وصحّة إجارة الأراضي التي أمرها أصالة بيد الحاكم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دلالتها بأ نّها بعد ما كانت في مقام بيان حكم آخر بعد الفراغ</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 السلطان آخذ لا محالة عن مستعملي الأرض الضريبة ، فلا دلالة على جواز أصل التقبّل ، بل جوازه مفروغ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جوازه لأجل أنّ السلطان يأخذ ما يأخذه البتّة ، وبعد ذلك كلّ مستعملي الأراضي يرضون لا محالة أن يتقدّم واحد ويضمن للسلطان ما هوآخذ منهم ، ثمّ يدفعون ما هو عليهم لهذا المتقبّل ، فإنّ ذلك أمان لهم من جور الجائرين واعتداء المأمورين ، فهم يدفعون بطيب النفس لهذا ليدفع عنهم الظلامات</w:t>
      </w:r>
      <w:r>
        <w:rPr>
          <w:rStyle w:val="FootnoteAnchor"/>
          <w:rtl w:val="true"/>
        </w:rPr>
        <w:footnoteReference w:id="100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صحيحة الحلبي في مقام بيان جواز التقبّل من السلطان،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طيب نفس مستعملي الأرض بما ذكره غريب ؛ ضرورة أنّ الفرار من الأفسد إلى الفاسد ومن الظلم الكثير إلى الظلم القليل بالنسبة لا يوجب طيب النفس بالفاسد وبالظلم ، ومعلوم أ نّهم لا يرضون بأداء الخراج وجزية الرؤوس ، وإنّما يطيب نفسهم بوقوع هذا الظلم بيد من لا يجوز فوق ذلك ، وهذا غير طيب النفس على أصل الأداء ، مع أنّ طيب نفسهم لا يفيد بعد كون الأمر بيد وليّ الأمر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فساد ما لو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المحتمل أن يكون مستعملي الأرض ممّن يعتقد بلزوم أداء الخراج إلى الوالي الجائر بتوهّم أ نّه على الحقّ ، فكان أداؤهم بطيب نفسهم ؛ لما عرفت من أنّ طيب نفسهم لا تأثير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الطيب المبنيّ على أمر فاسد لا يفيد ، فهو نظير طيب النفس في المعاملة الفاسدة مع أنّ المقبوض بها كالمقبوض غصباً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دلالة الروايات على المقصود ، فلا ينبغي إطالة الكلام فيه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بعض الاُمور </w:t>
      </w:r>
      <w:r>
        <w:rPr>
          <w:rFonts w:eastAsia="Amiri" w:cs="Amiri" w:ascii="Amiri" w:hAnsi="Amiri"/>
          <w:color w:val="111111"/>
          <w:sz w:val="28"/>
          <w:szCs w:val="28"/>
          <w:rtl w:val="true"/>
          <w:lang w:bidi="ar-SA"/>
        </w:rPr>
        <w:t xml:space="preserve">: </w:t>
      </w:r>
      <w:bookmarkStart w:id="396" w:name="pg15162_155746"/>
    </w:p>
    <w:p>
      <w:pPr>
        <w:pStyle w:val="Heading5"/>
        <w:numPr>
          <w:ilvl w:val="4"/>
          <w:numId w:val="1"/>
        </w:numPr>
        <w:rPr/>
      </w:pPr>
      <w:bookmarkStart w:id="397" w:name="__RefHeading___Toc1955620_2142443653"/>
      <w:bookmarkStart w:id="398" w:name="_Toc141"/>
      <w:bookmarkEnd w:id="396"/>
      <w:bookmarkEnd w:id="397"/>
      <w:r>
        <w:rPr>
          <w:rtl w:val="true"/>
        </w:rPr>
        <w:t>الأمر الأوّل حكم الشراء من السلطان قبل الأخذ</w:t>
      </w:r>
      <w:bookmarkEnd w:id="398"/>
    </w:p>
    <w:p>
      <w:pPr>
        <w:pStyle w:val="BookText"/>
        <w:rPr/>
      </w:pPr>
      <w:r>
        <w:rPr>
          <w:rFonts w:ascii="Amiri" w:hAnsi="Amiri" w:eastAsia="Amiri" w:cs="Amiri"/>
          <w:color w:val="111111"/>
          <w:sz w:val="28"/>
          <w:sz w:val="28"/>
          <w:szCs w:val="28"/>
          <w:rtl w:val="true"/>
          <w:lang w:bidi="ar-SA"/>
        </w:rPr>
        <w:t xml:space="preserve">مقتضى القواعد اختصاص الحكم بما يأخذه السلطان ، فإنّه المتيقّن من نفوذ أمره ، ويحتاج في النفوذ على الذمم أو على المال المشاع قبل الأخذ إلى دليل ، وقد دلّ الدليل على نفوذه بالنسبة إلى تقبّل الخراج وجزية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وجود دليل على جواز المعاملة مع ما أخذ من الخراج وجزية الرؤوس يستفاد منه جوازها بالنسبة إلى الذمم أيضاً ؛ لأنّ جعل الخراج والجزية بيد الوالي ، فإذا دلّ دليل على جواز المعاملة على المأخوذ يكون دالاًّ على صحّة جعله ونفوذه على الذمم ، ولازمه العرفي جواز الحوالة على ما جعله ونفوذها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الزكاة والخمس ممّا كان المجعول بجعل إلهي غير مربوط بالوالي فلا دليل على نفوذ أمره قبل أخذه ، بل ظاهر الفقرة الثانية من صحيحة أبي عبيدة المتقدّمة</w:t>
      </w:r>
      <w:r>
        <w:rPr>
          <w:rStyle w:val="FootnoteAnchor"/>
          <w:rtl w:val="true"/>
        </w:rPr>
        <w:footnoteReference w:id="1008"/>
      </w:r>
      <w:r>
        <w:rPr>
          <w:rFonts w:ascii="Amiri" w:hAnsi="Amiri" w:eastAsia="Amiri" w:cs="Amiri"/>
          <w:color w:val="111111"/>
          <w:sz w:val="28"/>
          <w:sz w:val="28"/>
          <w:szCs w:val="28"/>
          <w:rtl w:val="true"/>
          <w:lang w:bidi="ar-SA"/>
        </w:rPr>
        <w:t xml:space="preserve">عدم نفوذه إلاّ بعد الأخذ والعزل ، كما أشرنا إليه سابقاً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أن يكون ذلك لأجل كون الزكاة حقّاً لا ملكاً فلا ملكية إلاّ بعد الأخذ</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والعزل</w:t>
      </w:r>
      <w:r>
        <w:rPr>
          <w:rStyle w:val="FootnoteAnchor"/>
          <w:rtl w:val="true"/>
        </w:rPr>
        <w:footnoteReference w:id="1010"/>
      </w:r>
      <w:r>
        <w:rPr>
          <w:rFonts w:ascii="Amiri" w:hAnsi="Amiri" w:eastAsia="Amiri" w:cs="Amiri"/>
          <w:color w:val="111111"/>
          <w:sz w:val="28"/>
          <w:sz w:val="28"/>
          <w:szCs w:val="28"/>
          <w:rtl w:val="true"/>
          <w:lang w:bidi="ar-SA"/>
        </w:rPr>
        <w:t>ضعيف ؛ لما قرّر في محلّه من كونها ملكاً بنحو الإشاعة والاشتراك</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احتمال كون زكاة الأغنام قبل العزل مجهولة فاسد بعد البناء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من قبيل الكلّي في المعيّن يمكن أن تكون النكتة ما ذكر ، لكنّه مع ضعفه يمكن توصيفه بما يخرجه عن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عدم الجواز لا يحتاج إلى دليل خاصّ ، بل يكفي عدم الدليل على النفوذ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إلغاء الخصوصية عن الخراج والجزية ، وإسراء الحكم إلى الزكاة والخمس في غير محلّها ؛ لاحتمال الفرق بين المجعول الإلهي وبين ما جعله الوالي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التشبّث بعدم الفرق بين ما جعله اللّه تعالى وما جعله رسول اللّه رحمهما اللّه أو أمير المؤمنين علیه السلام ، ومقتضى ترك الاستفصال في الأدلّة جواز التقبّل حتّى فيما بقي الجعل من زمان رسول اللّه رحمهما اللّه وأمير المؤمنين علیه السلام ، فإذا نفذ فيما جعلا نفذ فيما جعله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وجيه ؛ باحتمال الفرق وعدم الدليل على التسوية وكفى الاحتمال في عدم جواز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العلم ببقاء ما جعله رسول اللّه رحمهما اللّه</w:t>
      </w:r>
    </w:p>
    <w:p>
      <w:pPr>
        <w:pStyle w:val="BookText"/>
        <w:rPr/>
      </w:pPr>
      <w:r>
        <w:rPr>
          <w:rFonts w:ascii="IRNazanin" w:hAnsi="IRNazanin" w:eastAsia="IRNazanin"/>
          <w:color w:val="111111"/>
          <w:sz w:val="28"/>
          <w:sz w:val="28"/>
          <w:szCs w:val="28"/>
          <w:rtl w:val="true"/>
          <w:lang w:bidi="fa-IR"/>
        </w:rPr>
        <w:t xml:space="preserve">وأمير المؤمنين علیه السلام إلى ذلك الزمان ، ومجرّد الاحتمال غير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ترك الاستفصال في مثل صحيحة الحلبي</w:t>
      </w:r>
      <w:r>
        <w:rPr>
          <w:rStyle w:val="FootnoteAnchor"/>
          <w:rtl w:val="true"/>
        </w:rPr>
        <w:footnoteReference w:id="1012"/>
      </w:r>
      <w:r>
        <w:rPr>
          <w:rFonts w:ascii="IRNazanin" w:hAnsi="IRNazanin" w:eastAsia="IRNazanin"/>
          <w:color w:val="111111"/>
          <w:sz w:val="28"/>
          <w:sz w:val="28"/>
          <w:szCs w:val="28"/>
          <w:rtl w:val="true"/>
          <w:lang w:bidi="fa-IR"/>
        </w:rPr>
        <w:t xml:space="preserve">لعدم بقاء مجعولهما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بحسب القواعد والأخبار التفصيل بين المجعول الإلهي وما جعله الوالي </w:t>
      </w:r>
      <w:r>
        <w:rPr>
          <w:rFonts w:eastAsia="Amiri" w:cs="Amiri" w:ascii="Amiri" w:hAnsi="Amiri"/>
          <w:color w:val="111111"/>
          <w:sz w:val="28"/>
          <w:szCs w:val="28"/>
          <w:rtl w:val="true"/>
          <w:lang w:bidi="ar-SA"/>
        </w:rPr>
        <w:t xml:space="preserve">. </w:t>
      </w:r>
      <w:bookmarkStart w:id="399" w:name="pg15162_155748"/>
    </w:p>
    <w:p>
      <w:pPr>
        <w:pStyle w:val="BookText"/>
        <w:rPr/>
      </w:pPr>
      <w:bookmarkEnd w:id="399"/>
      <w:r>
        <w:rPr>
          <w:rFonts w:ascii="Amiri" w:hAnsi="Amiri" w:eastAsia="Amiri" w:cs="Amiri"/>
          <w:color w:val="111111"/>
          <w:sz w:val="28"/>
          <w:sz w:val="28"/>
          <w:szCs w:val="28"/>
          <w:rtl w:val="true"/>
          <w:lang w:bidi="ar-SA"/>
        </w:rPr>
        <w:t xml:space="preserve">ثمّ لا يخفى أنّ نقل الإجماع وعدم الخلاف في هذه المسألة التي ظاهر كلمات أكثر الفقهاء أو كلّهم على ما قال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بالمأخوذ</w:t>
      </w:r>
      <w:r>
        <w:rPr>
          <w:rStyle w:val="FootnoteAnchor"/>
          <w:rtl w:val="true"/>
        </w:rPr>
        <w:footnoteReference w:id="1013"/>
      </w:r>
      <w:r>
        <w:rPr>
          <w:rFonts w:ascii="Amiri" w:hAnsi="Amiri" w:eastAsia="Amiri" w:cs="Amiri"/>
          <w:color w:val="111111"/>
          <w:sz w:val="28"/>
          <w:sz w:val="28"/>
          <w:szCs w:val="28"/>
          <w:rtl w:val="true"/>
          <w:lang w:bidi="ar-SA"/>
        </w:rPr>
        <w:t xml:space="preserve">، موهون لا يتّكل عليه ، كما أنّ إبداء القول الثالث ، كالتفصيل المتقدّم مع اقتضاء الدليل ، وعدم ثبوت الإجماع على عدم الفصل ،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استشهاد الشيخ الأنصاري لعدم الفرق بين المأخوذ وغيره بظاهر الأصحاب في باب المساقاة ، حيث يذكرون أنّ خراج السلطان على المالك إلاّ أن يشترط خلافه</w:t>
      </w:r>
      <w:r>
        <w:rPr>
          <w:rStyle w:val="FootnoteAnchor"/>
          <w:rtl w:val="true"/>
        </w:rPr>
        <w:footnoteReference w:id="1014"/>
      </w:r>
      <w:r>
        <w:rPr>
          <w:rFonts w:ascii="Amiri" w:hAnsi="Amiri" w:eastAsia="Amiri" w:cs="Amiri"/>
          <w:color w:val="111111"/>
          <w:sz w:val="28"/>
          <w:sz w:val="28"/>
          <w:szCs w:val="28"/>
          <w:rtl w:val="true"/>
          <w:lang w:bidi="ar-SA"/>
        </w:rPr>
        <w:t xml:space="preserve">غير ظاهر ، فإنّه لو فرض توجّه ظلم إلى مالك الأشجار أو الأراضي فمع جعل المساقاة أو المزارعة لا معنى لتوجّهه وتعلّقه إلى المُزارع والساقي ، وأمّا إذا شرط عليهما أداء المظلمة فهو شرط سائغ يجب الوفاء به ، فلا تدلّ كلماتهم في المساقاة ولا في المزارعة على ما رامه </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955622_2142443653"/>
      <w:bookmarkStart w:id="401" w:name="_Toc142"/>
      <w:bookmarkEnd w:id="400"/>
      <w:r>
        <w:rPr>
          <w:rtl w:val="true"/>
        </w:rPr>
        <w:t>الأمر الثاني حكم أداء الزكاة ونحوها إلى الجائر</w:t>
      </w:r>
      <w:bookmarkEnd w:id="401"/>
    </w:p>
    <w:p>
      <w:pPr>
        <w:pStyle w:val="BookText"/>
        <w:rPr/>
      </w:pPr>
      <w:r>
        <w:rPr>
          <w:rFonts w:ascii="Amiri" w:hAnsi="Amiri" w:eastAsia="Amiri" w:cs="Amiri"/>
          <w:color w:val="111111"/>
          <w:sz w:val="28"/>
          <w:sz w:val="28"/>
          <w:szCs w:val="28"/>
          <w:rtl w:val="true"/>
          <w:lang w:bidi="ar-SA"/>
        </w:rPr>
        <w:t xml:space="preserve">مقتضى القواعد الأوّلية حرمة أداء الزكوات والأخماس ، وكذا الخراج والمقاسمة وجزية الرؤوس إلى حكّام الجور إذا أمكن ذلك ولم يكن مخالفاً للتقيّة فلا بدّ لحرمة منعهم ووجوب التأدية إليهم من قيام الدليل عليه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التفصيل في هذه المسألة أيضاً بالنظر إلى الأدلّة الخاصّة بين الخراج </w:t>
      </w:r>
    </w:p>
    <w:p>
      <w:pPr>
        <w:pStyle w:val="BookText"/>
        <w:rPr/>
      </w:pPr>
      <w:r>
        <w:rPr>
          <w:rFonts w:ascii="Amiri" w:hAnsi="Amiri" w:eastAsia="Amiri" w:cs="Amiri"/>
          <w:color w:val="111111"/>
          <w:sz w:val="28"/>
          <w:sz w:val="28"/>
          <w:szCs w:val="28"/>
          <w:rtl w:val="true"/>
          <w:lang w:bidi="ar-SA"/>
        </w:rPr>
        <w:t xml:space="preserve">وجزية الرؤوس ، ممّا يكون التعيين بجعل الوالي ، وبين الزكوات والأخماس ، ممّا هو بجعل اللّه تعالى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العرفي من تنفيذ جعل الوالي ما ضرب على الأرض خراجاً وعلى الرؤوس جزية لزوم أدائه ، فإنّ السلاطين عدولاً كانوا أو فسّاقاً إنّما جعلوا الخراج والجزية على الناس بأن يؤدّوا إليهم لا</w:t>
      </w:r>
    </w:p>
    <w:p>
      <w:pPr>
        <w:pStyle w:val="BookText"/>
        <w:rPr/>
      </w:pPr>
      <w:r>
        <w:rPr>
          <w:rFonts w:ascii="Amiri" w:hAnsi="Amiri" w:eastAsia="Amiri" w:cs="Amiri"/>
          <w:color w:val="111111"/>
          <w:sz w:val="28"/>
          <w:sz w:val="28"/>
          <w:szCs w:val="28"/>
          <w:rtl w:val="true"/>
          <w:lang w:bidi="ar-SA"/>
        </w:rPr>
        <w:t xml:space="preserve">إلى غيرهم ، وكان صرفها في مصارفها بيدهم من غير اختيار لأحد فيه ، فإذا دلّ الدليل على نفوذ جعل الوالي الجائر كان لازمه العرفي أو مدلوله المطابقي هو وجوب الردّ إليه وعدم جواز التخلّف والخيانة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نظير ما إذا ورد دليل على إنفاذ معاملة كان مفادها انتقال سلعة بثمن ، فإنّ لازم ذلك صيرورة كلّ من السلعة والثمن منتقلاً إلى من انتقل إليه بحسب الجعل ، ولازمه العرفي حرمة المنع والخيانة والسرقة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ضرب الوالي على كلّ جريب من أرض درهماً بأن يؤدّى إليه ما ضرب عليها ليصرفه في المصارف المعهودة ، ودلّ دليل على نفوذ ذلك كان لازمه صيرورته مالك التصرّف شرعاً بحسب الوضع ولو حرم عليه تكليفاً كما مرّ</w:t>
      </w:r>
      <w:r>
        <w:rPr>
          <w:rStyle w:val="FootnoteAnchor"/>
          <w:rtl w:val="true"/>
        </w:rPr>
        <w:footnoteReference w:id="1015"/>
      </w:r>
      <w:r>
        <w:rPr>
          <w:rFonts w:ascii="Amiri" w:hAnsi="Amiri" w:eastAsia="Amiri" w:cs="Amiri"/>
          <w:color w:val="111111"/>
          <w:sz w:val="28"/>
          <w:sz w:val="28"/>
          <w:szCs w:val="28"/>
          <w:rtl w:val="true"/>
          <w:lang w:bidi="ar-SA"/>
        </w:rPr>
        <w:t xml:space="preserve">، ولازم ذلك عرفاً حرمة منعه ووجوب أدائه إليه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وتشعر بذلك أو تدلّ عليه صحيحة أبي بصير ومحمّد بن مسلم جميعاً عن أبي جعفر علیه السلام أ نّهما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الأرض التي يزارع أهلها ما ترى فيها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أرض دفعها إليك السلطان فما حرثته فيها فعليك ممّا أخرج اللّه منها الذي قاطعك عليه ، وليس على جميع ما أخرج اللّه منها العشر ، إنّما عليك العشر فيما </w:t>
      </w:r>
    </w:p>
    <w:p>
      <w:pPr>
        <w:pStyle w:val="BookText"/>
        <w:rPr/>
      </w:pPr>
      <w:r>
        <w:rPr>
          <w:rFonts w:ascii="Amiri" w:hAnsi="Amiri" w:eastAsia="Amiri" w:cs="Amiri"/>
          <w:color w:val="111111"/>
          <w:sz w:val="28"/>
          <w:sz w:val="28"/>
          <w:szCs w:val="28"/>
          <w:rtl w:val="true"/>
          <w:lang w:bidi="ar-SA"/>
        </w:rPr>
        <w:t>يحصل في يدك بعد مقاسمته لك</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 أنّ عليه ما قاطعه عليه السلطان أن يردّ عليه ، فإنّه المتفاهم عرفاً من نظائره لولا قرينة أو دليل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الزكوات ونحوها فلا دلالة بل ولا إشعار في أدلّة إنفاذ المعاملات على المأخوذ منها على وجوب أدائها إلى السلطان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قيام الدليل على وجوب منعها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صحيحة عيص بن القاسم عن أبي عبداللّه علیه السلام في الزكاة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أخذوا منكم بنو اُميّة فاحتسبوا به ، ولا تعطوهم شيئاً ما استطعتم ، فإنّ المال لا يبقى على هذا أن يزكّيه مرّتين</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البختري عن جعفر علیه السلام ، عن أبيه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 في زكاتك بما أخذ العشّار منك واخفها عنه ما استطعت</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فالتفصيل بينهما غير بعيد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علي بن يقطين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أعمال هؤلاء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لابدّ فاعلاً فاتّق أموال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علي أ نّه </w:t>
      </w:r>
    </w:p>
    <w:p>
      <w:pPr>
        <w:pStyle w:val="BookText"/>
        <w:rPr/>
      </w:pPr>
      <w:r>
        <w:rPr>
          <w:rFonts w:ascii="Amiri" w:hAnsi="Amiri" w:eastAsia="Amiri" w:cs="Amiri"/>
          <w:color w:val="111111"/>
          <w:sz w:val="28"/>
          <w:sz w:val="28"/>
          <w:szCs w:val="28"/>
          <w:rtl w:val="true"/>
          <w:lang w:bidi="ar-SA"/>
        </w:rPr>
        <w:t>كان يجبيها من الشيعة علانية ويردّها عليهم في السرّ</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إرسالها وكونها في قضيّة شخصية راجعة إلى علي بن يقطين ، ولعلّ ما كان يتولّى أو في اُهبة تولّيه من الأراضي لم تكن أراضي الخراج المعهودة ، تأمّل ،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أخذ منهم كان أموالهم وأخذ منهم جوراً وظلماً ، ولا بأس بإطلاق الجباية عليه بعد جعل السلطان ظلماً ، ولهذا كان يردّ عليهم خفاء وهم لا يؤدّون الخراج إلى وليّ المسلمين بحقّ مع أ نّه غير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المحتمل أن يكون ذلك إذناً منه علیه السلام لعلي بن يقطين بأن يأخذ ما على الشيعة من الخراج وغيره ويردّ إلى مستحقّيهم ، فليس المراد من الردّ إليهم الردّ إلى من أخذ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يظهر الكلام في رواية أحمد بن زكريّا الصيدلاني عن رجل من بني حنيفة من أهل بست وسجستان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وافقت أبا جعفر علیه السلام في السنة التي حجّ فيها ، ثمّ حكى قضيّة كتابة أبي جعفر علیه السلام إلى والي سجستان وإمحاء الوالي خراجه من ديوانه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تؤدّ خراجاً ما دام لي عمل</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أيضاً مع ضعفها واردة في قضيّة شخصية لا يعلم أنّ الخراج المأخوذ منه كان من الأراضي الخراجية أو من ملكه الشخصي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رواية ابن جمهور المشتملة على كتابة أبي عبداللّه علیه السلام إلى النجاشي</w:t>
      </w:r>
    </w:p>
    <w:p>
      <w:pPr>
        <w:pStyle w:val="BookText"/>
        <w:rPr/>
      </w:pPr>
      <w:r>
        <w:rPr>
          <w:rFonts w:ascii="Amiri" w:hAnsi="Amiri" w:eastAsia="Amiri" w:cs="Amiri"/>
          <w:color w:val="111111"/>
          <w:sz w:val="28"/>
          <w:sz w:val="28"/>
          <w:szCs w:val="28"/>
          <w:rtl w:val="true"/>
          <w:lang w:bidi="ar-SA"/>
        </w:rPr>
        <w:t>والي الأهواز وفارس</w:t>
      </w:r>
      <w:r>
        <w:rPr>
          <w:rStyle w:val="FootnoteAnchor"/>
          <w:rtl w:val="true"/>
        </w:rPr>
        <w:footnoteReference w:id="1021"/>
      </w:r>
      <w:r>
        <w:rPr>
          <w:rFonts w:ascii="Amiri" w:hAnsi="Amiri" w:eastAsia="Amiri" w:cs="Amiri"/>
          <w:color w:val="111111"/>
          <w:sz w:val="28"/>
          <w:sz w:val="28"/>
          <w:szCs w:val="28"/>
          <w:rtl w:val="true"/>
          <w:lang w:bidi="ar-SA"/>
        </w:rPr>
        <w:t xml:space="preserve">فلا دلالة لها رأساً ؛ لأنّ الظاهر منها أ نّه أمر بأداء الخراج من ماله عنه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يكون التفصيل المذكور ظاهر جملة من الأصحاب ، وقد حكى عباراتهم شيخنا الأنصاري</w:t>
      </w:r>
      <w:r>
        <w:rPr>
          <w:rStyle w:val="FootnoteAnchor"/>
          <w:rtl w:val="true"/>
        </w:rPr>
        <w:footnoteReference w:id="1022"/>
      </w:r>
      <w:r>
        <w:rPr>
          <w:rFonts w:ascii="Amiri" w:hAnsi="Amiri" w:eastAsia="Amiri" w:cs="Amiri"/>
          <w:color w:val="111111"/>
          <w:sz w:val="28"/>
          <w:sz w:val="28"/>
          <w:szCs w:val="28"/>
          <w:rtl w:val="true"/>
          <w:lang w:bidi="ar-SA"/>
        </w:rPr>
        <w:t>، وأوّلها بما هو خلاف ظاهرها ، فإنّهم تعرّضوا لخصوص الخراج والمقاسمة وأفتوا بحرمة الجحود والإنكار والمنع مع دعوى الاتّفاق عليه ، ولا أظنّ إسراءهم الحكم إلى الزكاة مع ورود رواية صحيحة</w:t>
      </w:r>
      <w:r>
        <w:rPr>
          <w:rStyle w:val="FootnoteAnchor"/>
          <w:rtl w:val="true"/>
        </w:rPr>
        <w:footnoteReference w:id="1023"/>
      </w:r>
      <w:r>
        <w:rPr>
          <w:rFonts w:ascii="IRNazanin" w:hAnsi="IRNazanin" w:eastAsia="IRNazanin"/>
          <w:color w:val="111111"/>
          <w:sz w:val="28"/>
          <w:sz w:val="28"/>
          <w:szCs w:val="28"/>
          <w:rtl w:val="true"/>
          <w:lang w:bidi="fa-IR"/>
        </w:rPr>
        <w:t xml:space="preserve">على وجوب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شيخنا الأنصاري تعرّض لفروع وتنبيهات اُخر سيأتي حكم بعضها إن شاء اللّه تعالى في خلال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نختم الكلام هاهنا ، حامداً له تعالى ، شاكراً لنعمائه ، مصلّياً على محمّد وآله الطاهرين ، لاعناً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يوم السبت ثامن شهر جمادى الاُولى سنة ثمانين وثلاثمائة</w:t>
      </w:r>
    </w:p>
    <w:p>
      <w:pPr>
        <w:pStyle w:val="BookText"/>
        <w:rPr/>
      </w:pPr>
      <w:r>
        <w:rPr>
          <w:rFonts w:ascii="IRNazanin" w:hAnsi="IRNazanin" w:eastAsia="IRNazanin"/>
          <w:color w:val="111111"/>
          <w:sz w:val="28"/>
          <w:sz w:val="28"/>
          <w:szCs w:val="28"/>
          <w:rtl w:val="true"/>
          <w:lang w:bidi="fa-IR"/>
        </w:rPr>
        <w:t xml:space="preserve">بعد الألف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 بيده الداثرة العبد المفتاق إلى اللّه الكريم</w:t>
      </w:r>
    </w:p>
    <w:p>
      <w:pPr>
        <w:pStyle w:val="BookText"/>
        <w:rPr/>
      </w:pPr>
      <w:r>
        <w:rPr>
          <w:rFonts w:ascii="Amiri" w:hAnsi="Amiri" w:eastAsia="Amiri" w:cs="Amiri"/>
          <w:color w:val="111111"/>
          <w:sz w:val="28"/>
          <w:sz w:val="28"/>
          <w:szCs w:val="28"/>
          <w:rtl w:val="true"/>
          <w:lang w:bidi="ar-SA"/>
        </w:rPr>
        <w:t>السيّد روح اللّه بن السيّد مصطفى الخميني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 اللّه عنهما </w:t>
      </w:r>
      <w:r>
        <w:rPr>
          <w:rFonts w:eastAsia="IRNazanin" w:cs="IRNazanin"/>
          <w:color w:val="111111"/>
          <w:sz w:val="28"/>
          <w:szCs w:val="28"/>
          <w:rtl w:val="true"/>
          <w:lang w:bidi="fa-IR"/>
        </w:rPr>
        <w:t xml:space="preserve">. </w:t>
      </w:r>
      <w:bookmarkStart w:id="402" w:name="pg15162_155753"/>
    </w:p>
    <w:p>
      <w:pPr>
        <w:pStyle w:val="Heading2"/>
        <w:numPr>
          <w:ilvl w:val="1"/>
          <w:numId w:val="1"/>
        </w:numPr>
        <w:rPr/>
      </w:pPr>
      <w:bookmarkStart w:id="403" w:name="__RefHeading___Toc1955624_2142443653"/>
      <w:bookmarkStart w:id="404" w:name="_Toc143"/>
      <w:bookmarkEnd w:id="402"/>
      <w:bookmarkEnd w:id="403"/>
      <w:r>
        <w:rPr>
          <w:rtl w:val="true"/>
        </w:rPr>
        <w:t>الفهارس العامّة</w:t>
      </w:r>
      <w:bookmarkEnd w:id="404"/>
    </w:p>
    <w:p>
      <w:pPr>
        <w:pStyle w:val="Heading3"/>
        <w:numPr>
          <w:ilvl w:val="2"/>
          <w:numId w:val="1"/>
        </w:numPr>
        <w:rPr/>
      </w:pPr>
      <w:bookmarkStart w:id="405" w:name="__RefHeading___Toc1955626_2142443653"/>
      <w:bookmarkStart w:id="406" w:name="_Toc144"/>
      <w:bookmarkEnd w:id="405"/>
      <w:r>
        <w:rPr>
          <w:rtl w:val="true"/>
        </w:rPr>
        <w:t>اشارة</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5162_155755"/>
      <w:bookmarkStart w:id="408" w:name="pg15162_155755"/>
      <w:bookmarkEnd w:id="408"/>
    </w:p>
    <w:p>
      <w:pPr>
        <w:pStyle w:val="Heading3"/>
        <w:numPr>
          <w:ilvl w:val="2"/>
          <w:numId w:val="1"/>
        </w:numPr>
        <w:rPr/>
      </w:pPr>
      <w:bookmarkStart w:id="409" w:name="pg15162_155755"/>
      <w:bookmarkStart w:id="410" w:name="__RefHeading___Toc1955628_2142443653"/>
      <w:bookmarkStart w:id="411" w:name="_Toc145"/>
      <w:bookmarkEnd w:id="409"/>
      <w:bookmarkEnd w:id="410"/>
      <w:r>
        <w:rPr/>
        <w:t>1</w:t>
      </w:r>
      <w:r>
        <w:rPr>
          <w:rtl w:val="true"/>
        </w:rPr>
        <w:t xml:space="preserve"> - </w:t>
      </w:r>
      <w:r>
        <w:rPr>
          <w:rtl w:val="true"/>
        </w:rPr>
        <w:t>فهرس الآيات الكريمة</w:t>
      </w:r>
      <w:bookmarkEnd w:id="411"/>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w:t>
      </w:r>
    </w:p>
    <w:p>
      <w:pPr>
        <w:pStyle w:val="BookText"/>
        <w:rPr/>
      </w:pPr>
      <w:r>
        <w:rPr>
          <w:rFonts w:ascii="Amiri" w:hAnsi="Amiri" w:eastAsia="Amiri" w:cs="Amiri"/>
          <w:color w:val="111111"/>
          <w:sz w:val="28"/>
          <w:sz w:val="28"/>
          <w:szCs w:val="28"/>
          <w:rtl w:val="true"/>
          <w:lang w:bidi="ar-SA"/>
        </w:rPr>
        <w:t>إِثْمَ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w:t>
      </w:r>
    </w:p>
    <w:p>
      <w:pPr>
        <w:pStyle w:val="BookText"/>
        <w:rPr/>
      </w:pPr>
      <w:r>
        <w:rPr>
          <w:rFonts w:ascii="Amiri" w:hAnsi="Amiri" w:eastAsia="Amiri" w:cs="Amiri"/>
          <w:color w:val="111111"/>
          <w:sz w:val="28"/>
          <w:sz w:val="28"/>
          <w:szCs w:val="28"/>
          <w:rtl w:val="true"/>
          <w:lang w:bidi="ar-SA"/>
        </w:rPr>
        <w:t>الَّذِينَ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 فِى</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الْخَمْرِ وَالْمَيْسِرِ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الْخَمْرِ وَالْمَيْسِرِ قُلْ</w:t>
      </w:r>
    </w:p>
    <w:p>
      <w:pPr>
        <w:pStyle w:val="BookText"/>
        <w:rPr/>
      </w:pPr>
      <w:r>
        <w:rPr>
          <w:rFonts w:ascii="Amiri" w:hAnsi="Amiri" w:eastAsia="Amiri" w:cs="Amiri"/>
          <w:color w:val="111111"/>
          <w:sz w:val="28"/>
          <w:sz w:val="28"/>
          <w:szCs w:val="28"/>
          <w:rtl w:val="true"/>
          <w:lang w:bidi="ar-SA"/>
        </w:rPr>
        <w:t>فِيهِمَا إِثْمٌ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وَإِثْمُهُما أَكْبَرُ مِنْ نَفْعِهِما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w:t>
      </w:r>
    </w:p>
    <w:p>
      <w:p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w:t>
      </w:r>
    </w:p>
    <w:p>
      <w:pPr>
        <w:pStyle w:val="BookText"/>
        <w:rPr/>
      </w:pP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w:t>
      </w:r>
    </w:p>
    <w:p>
      <w:pPr>
        <w:pStyle w:val="BookText"/>
        <w:rPr/>
      </w:pPr>
      <w:r>
        <w:rPr>
          <w:rFonts w:ascii="Amiri" w:hAnsi="Amiri" w:eastAsia="Amiri" w:cs="Amiri"/>
          <w:color w:val="111111"/>
          <w:sz w:val="28"/>
          <w:sz w:val="28"/>
          <w:szCs w:val="28"/>
          <w:rtl w:val="true"/>
          <w:lang w:bidi="ar-SA"/>
        </w:rPr>
        <w:t>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p>
    <w:p>
      <w:pPr>
        <w:pStyle w:val="BookText"/>
        <w:rPr/>
      </w:pP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وَاُولِى</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الصَّلَوةَ كَانَتْ عَلَى الْمُؤمِنينَ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الَّذِينَ آمَنُوا أَوْفُوا</w:t>
      </w:r>
    </w:p>
    <w:p>
      <w:pPr>
        <w:pStyle w:val="BookText"/>
        <w:rPr/>
      </w:pP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بَنِى إِسْرَائِيلَ</w:t>
      </w:r>
    </w:p>
    <w:p>
      <w:pPr>
        <w:pStyle w:val="BookText"/>
        <w:rPr/>
      </w:pPr>
      <w:r>
        <w:rPr>
          <w:rFonts w:ascii="Amiri" w:hAnsi="Amiri" w:eastAsia="Amiri" w:cs="Amiri"/>
          <w:color w:val="111111"/>
          <w:sz w:val="28"/>
          <w:sz w:val="28"/>
          <w:szCs w:val="28"/>
          <w:rtl w:val="true"/>
          <w:lang w:bidi="ar-SA"/>
        </w:rPr>
        <w:t>عَلَى لِسَانِ دَاوُدَ وَعِيسَى 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 يَتَوَلَّوْنَ الَّذِينَ كَفَرُوا</w:t>
      </w:r>
    </w:p>
    <w:p>
      <w:pPr>
        <w:pStyle w:val="BookText"/>
        <w:rPr/>
      </w:pPr>
      <w:r>
        <w:rPr>
          <w:rFonts w:ascii="Amiri" w:hAnsi="Amiri" w:eastAsia="Amiri" w:cs="Amiri"/>
          <w:color w:val="111111"/>
          <w:sz w:val="28"/>
          <w:sz w:val="28"/>
          <w:szCs w:val="28"/>
          <w:rtl w:val="true"/>
          <w:lang w:bidi="ar-SA"/>
        </w:rPr>
        <w:t>لَبِئْسَ ما قَدَّمَتْ لَهُمْ أَ 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كَثيراً مِنْهُمْ 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w:t>
      </w:r>
    </w:p>
    <w:p>
      <w:pPr>
        <w:pStyle w:val="BookText"/>
        <w:rPr/>
      </w:pPr>
      <w:r>
        <w:rPr>
          <w:rFonts w:ascii="Amiri" w:hAnsi="Amiri" w:eastAsia="Amiri" w:cs="Amiri"/>
          <w:color w:val="111111"/>
          <w:sz w:val="28"/>
          <w:sz w:val="28"/>
          <w:szCs w:val="28"/>
          <w:rtl w:val="true"/>
          <w:lang w:bidi="ar-SA"/>
        </w:rPr>
        <w:t>وَالْأَزْلاَمُ 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w:t>
      </w:r>
    </w:p>
    <w:p>
      <w:pPr>
        <w:pStyle w:val="BookText"/>
        <w:rPr/>
      </w:pPr>
      <w:r>
        <w:rPr>
          <w:rFonts w:ascii="Amiri" w:hAnsi="Amiri" w:eastAsia="Amiri" w:cs="Amiri"/>
          <w:color w:val="111111"/>
          <w:sz w:val="28"/>
          <w:sz w:val="28"/>
          <w:szCs w:val="28"/>
          <w:rtl w:val="true"/>
          <w:lang w:bidi="ar-SA"/>
        </w:rPr>
        <w:t>وَالْأَزْلاَمُ رِجْسٌ مِنْ عَمَلِ الشَّيْطَانِ</w:t>
      </w:r>
    </w:p>
    <w:p>
      <w:pPr>
        <w:pStyle w:val="BookText"/>
        <w:rPr/>
      </w:pP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الْعَدَاوَةَ وَالْبَغْضَاءَ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يَدْخُلُونَ الْجَنَّةَ حَتّى يَلِجَ الْجَمَلُ</w:t>
      </w:r>
    </w:p>
    <w:p>
      <w:pPr>
        <w:pStyle w:val="BookText"/>
        <w:rPr/>
      </w:pPr>
      <w:r>
        <w:rPr>
          <w:rFonts w:ascii="Amiri" w:hAnsi="Amiri" w:eastAsia="Amiri" w:cs="Amiri"/>
          <w:color w:val="111111"/>
          <w:sz w:val="28"/>
          <w:sz w:val="28"/>
          <w:szCs w:val="28"/>
          <w:rtl w:val="true"/>
          <w:lang w:bidi="ar-SA"/>
        </w:rPr>
        <w:t>فِى سَمِّ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يُؤخَذْ عَلَيْهِمْ مِيثَاقُ الْكِتَابِ أَنْ</w:t>
      </w:r>
    </w:p>
    <w:p>
      <w:pPr>
        <w:pStyle w:val="BookText"/>
        <w:rPr/>
      </w:pPr>
      <w:r>
        <w:rPr>
          <w:rFonts w:ascii="Amiri" w:hAnsi="Amiri" w:eastAsia="Amiri" w:cs="Amiri"/>
          <w:color w:val="111111"/>
          <w:sz w:val="28"/>
          <w:sz w:val="28"/>
          <w:szCs w:val="28"/>
          <w:rtl w:val="true"/>
          <w:lang w:bidi="ar-SA"/>
        </w:rPr>
        <w:t>لاَ يَقُولُوا عَلَى اللّه‌ِ إِلاَّ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w:t>
      </w:r>
    </w:p>
    <w:p>
      <w:pPr>
        <w:pStyle w:val="BookText"/>
        <w:rPr/>
      </w:pPr>
      <w:r>
        <w:rPr>
          <w:rFonts w:ascii="Amiri" w:hAnsi="Amiri" w:eastAsia="Amiri" w:cs="Amiri"/>
          <w:color w:val="111111"/>
          <w:sz w:val="28"/>
          <w:sz w:val="28"/>
          <w:szCs w:val="28"/>
          <w:rtl w:val="true"/>
          <w:lang w:bidi="ar-SA"/>
        </w:rPr>
        <w:t>عَسَى اللّه‌ُ أَنْ يَتُوبَ عَلَيْهِمْ إِنَّ اللّه‌َ</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w:t>
      </w:r>
    </w:p>
    <w:p>
      <w:pPr>
        <w:pStyle w:val="BookText"/>
        <w:rPr/>
      </w:pPr>
      <w:r>
        <w:rPr>
          <w:rFonts w:ascii="Amiri" w:hAnsi="Amiri" w:eastAsia="Amiri" w:cs="Amiri"/>
          <w:color w:val="111111"/>
          <w:sz w:val="28"/>
          <w:sz w:val="28"/>
          <w:szCs w:val="28"/>
          <w:rtl w:val="true"/>
          <w:lang w:bidi="ar-SA"/>
        </w:rPr>
        <w:t>يَأْتِهِمْ تَأْوِيلُهُ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تَنْقُصُوا الْمِكْيَالَ وَالْمِيزَانَ إِنِّى</w:t>
      </w:r>
    </w:p>
    <w:p>
      <w:pPr>
        <w:pStyle w:val="BookText"/>
        <w:rPr/>
      </w:pPr>
      <w:r>
        <w:rPr>
          <w:rFonts w:ascii="Amiri" w:hAnsi="Amiri" w:eastAsia="Amiri" w:cs="Amiri"/>
          <w:color w:val="111111"/>
          <w:sz w:val="28"/>
          <w:sz w:val="28"/>
          <w:szCs w:val="28"/>
          <w:rtl w:val="true"/>
          <w:lang w:bidi="ar-SA"/>
        </w:rPr>
        <w:t>أَرَيكُمْ بِخَيْرٍ وَإِنِّى أَخَافُ عَلَيْكُمْ</w:t>
      </w:r>
    </w:p>
    <w:p>
      <w:pPr>
        <w:pStyle w:val="BookText"/>
        <w:rPr/>
      </w:pPr>
      <w:r>
        <w:rPr>
          <w:rFonts w:ascii="Amiri" w:hAnsi="Amiri" w:eastAsia="Amiri" w:cs="Amiri"/>
          <w:color w:val="111111"/>
          <w:sz w:val="28"/>
          <w:sz w:val="28"/>
          <w:szCs w:val="28"/>
          <w:rtl w:val="true"/>
          <w:lang w:bidi="ar-SA"/>
        </w:rPr>
        <w:t>عَذَابَ يَوْمٍ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آيَةً مَكَانَ آيَةٍ وَاللّه‌ُ أَعْلَمُ</w:t>
      </w:r>
    </w:p>
    <w:p>
      <w:pPr>
        <w:pStyle w:val="BookText"/>
        <w:rPr/>
      </w:pPr>
      <w:r>
        <w:rPr>
          <w:rFonts w:ascii="Amiri" w:hAnsi="Amiri" w:eastAsia="Amiri" w:cs="Amiri"/>
          <w:color w:val="111111"/>
          <w:sz w:val="28"/>
          <w:sz w:val="28"/>
          <w:szCs w:val="28"/>
          <w:rtl w:val="true"/>
          <w:lang w:bidi="ar-SA"/>
        </w:rPr>
        <w:t>بِما يُنَزِّلُ قَالُوا إِنَّما أَنْتَ مُفْتَرٍ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آيَةً مَكَانَ آيَةٍ وَاللّه‌ُ أَعْلَمُ</w:t>
      </w:r>
    </w:p>
    <w:p>
      <w:pPr>
        <w:pStyle w:val="BookText"/>
        <w:rPr/>
      </w:pPr>
      <w:r>
        <w:rPr>
          <w:rFonts w:ascii="Amiri" w:hAnsi="Amiri" w:eastAsia="Amiri" w:cs="Amiri"/>
          <w:color w:val="111111"/>
          <w:sz w:val="28"/>
          <w:sz w:val="28"/>
          <w:szCs w:val="28"/>
          <w:rtl w:val="true"/>
          <w:lang w:bidi="ar-SA"/>
        </w:rPr>
        <w:t>بِما يُنَزِّلُ قَالُوا إِنَّما أَنْتَ مُفْتَرٍ بَلْ</w:t>
      </w:r>
    </w:p>
    <w:p>
      <w:pPr>
        <w:pStyle w:val="BookText"/>
        <w:rPr/>
      </w:pP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نَعْلَمُ أَ نَّهُمْ يَقُولُونَ إِنَّمَا يُعَلِّمُهُ</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w:t>
      </w:r>
    </w:p>
    <w:p>
      <w:pPr>
        <w:pStyle w:val="BookText"/>
        <w:rPr/>
      </w:pP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 يُؤمِنُونَ</w:t>
      </w:r>
    </w:p>
    <w:p>
      <w:pPr>
        <w:pStyle w:val="BookText"/>
        <w:rPr/>
      </w:pPr>
      <w:r>
        <w:rPr>
          <w:rFonts w:ascii="Amiri" w:hAnsi="Amiri" w:eastAsia="Amiri" w:cs="Amiri"/>
          <w:color w:val="111111"/>
          <w:sz w:val="28"/>
          <w:sz w:val="28"/>
          <w:szCs w:val="28"/>
          <w:rtl w:val="true"/>
          <w:lang w:bidi="ar-SA"/>
        </w:rPr>
        <w:t>بِآيَاتِ اللّه‌ِ وَاُولئِكَ هُمُ الْكَاذِبُونَ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الَّذِينَ لا يُؤمِنُونَ</w:t>
      </w:r>
    </w:p>
    <w:p>
      <w:pPr>
        <w:pStyle w:val="BookText"/>
        <w:rPr/>
      </w:pPr>
      <w:r>
        <w:rPr>
          <w:rFonts w:ascii="Amiri" w:hAnsi="Amiri" w:eastAsia="Amiri" w:cs="Amiri"/>
          <w:color w:val="111111"/>
          <w:sz w:val="28"/>
          <w:sz w:val="28"/>
          <w:szCs w:val="28"/>
          <w:rtl w:val="true"/>
          <w:lang w:bidi="ar-SA"/>
        </w:rPr>
        <w:t xml:space="preserve">بِآياتِ اللّه‌ِ وَأُولئِكَ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كَفَرَ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بِآيَاتِ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واُولئِكَ هُمُ الْكَاذِبُونَ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الَّتِى حَرَّمَ اللّه‌ُ إِلاَّ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كَبِيرُهُمْ هَذَا فَاسْأَلُوهُمْ</w:t>
      </w:r>
    </w:p>
    <w:p>
      <w:pPr>
        <w:pStyle w:val="BookText"/>
        <w:rPr/>
      </w:pP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فَاسْأَ لُوهُمْ إنْ</w:t>
      </w:r>
    </w:p>
    <w:p>
      <w:pPr>
        <w:pStyle w:val="BookText"/>
        <w:rPr/>
      </w:pPr>
      <w:r>
        <w:rPr>
          <w:rFonts w:ascii="Amiri" w:hAnsi="Amiri" w:eastAsia="Amiri" w:cs="Amiri"/>
          <w:color w:val="111111"/>
          <w:sz w:val="28"/>
          <w:sz w:val="28"/>
          <w:szCs w:val="28"/>
          <w:rtl w:val="true"/>
          <w:lang w:bidi="ar-SA"/>
        </w:rPr>
        <w:t>كَانُوا يَنْطِقُونَ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 لُوهُمْ إِنْ كَانُوا يَنْطِقُونَ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p>
    <w:p>
      <w:pPr>
        <w:pStyle w:val="BookText"/>
        <w:rPr/>
      </w:pP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p>
    <w:p>
      <w:pPr>
        <w:pStyle w:val="BookText"/>
        <w:rPr/>
      </w:pP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w:t>
      </w:r>
    </w:p>
    <w:p>
      <w:pPr>
        <w:pStyle w:val="BookText"/>
        <w:rPr/>
      </w:pPr>
      <w:r>
        <w:rPr>
          <w:rFonts w:ascii="Amiri" w:hAnsi="Amiri" w:eastAsia="Amiri" w:cs="Amiri"/>
          <w:color w:val="111111"/>
          <w:sz w:val="28"/>
          <w:sz w:val="28"/>
          <w:szCs w:val="28"/>
          <w:rtl w:val="true"/>
          <w:lang w:bidi="ar-SA"/>
        </w:rPr>
        <w:t>مُشْرِكِينَ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الاْءِثْمِ</w:t>
      </w:r>
    </w:p>
    <w:p>
      <w:pPr>
        <w:pStyle w:val="BookText"/>
        <w:rPr/>
      </w:pPr>
      <w:r>
        <w:rPr>
          <w:rFonts w:ascii="Amiri" w:hAnsi="Amiri" w:eastAsia="Amiri" w:cs="Amiri"/>
          <w:color w:val="111111"/>
          <w:sz w:val="28"/>
          <w:sz w:val="28"/>
          <w:szCs w:val="28"/>
          <w:rtl w:val="true"/>
          <w:lang w:bidi="ar-SA"/>
        </w:rPr>
        <w:t>وَالْفَواحِشَ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w:t>
      </w:r>
    </w:p>
    <w:p>
      <w:pPr>
        <w:pStyle w:val="BookText"/>
        <w:rPr/>
      </w:pP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bookmarkStart w:id="412" w:name="pg15162_155763"/>
    </w:p>
    <w:p>
      <w:pPr>
        <w:pStyle w:val="Heading3"/>
        <w:numPr>
          <w:ilvl w:val="2"/>
          <w:numId w:val="1"/>
        </w:numPr>
        <w:rPr/>
      </w:pPr>
      <w:bookmarkStart w:id="413" w:name="__RefHeading___Toc1955630_2142443653"/>
      <w:bookmarkStart w:id="414" w:name="_Toc146"/>
      <w:bookmarkEnd w:id="412"/>
      <w:bookmarkEnd w:id="413"/>
      <w:r>
        <w:rPr/>
        <w:t>2</w:t>
      </w:r>
      <w:r>
        <w:rPr>
          <w:rtl w:val="true"/>
        </w:rPr>
        <w:t xml:space="preserve"> - </w:t>
      </w:r>
      <w:r>
        <w:rPr>
          <w:rtl w:val="true"/>
        </w:rPr>
        <w:t>فهرس الأحاديث الشريفة</w:t>
      </w:r>
      <w:bookmarkEnd w:id="414"/>
    </w:p>
    <w:p>
      <w:pPr>
        <w:pStyle w:val="BookText"/>
        <w:rPr/>
      </w:pPr>
      <w:r>
        <w:rPr>
          <w:rFonts w:ascii="Amiri" w:hAnsi="Amiri" w:eastAsia="Amiri" w:cs="Amiri"/>
          <w:color w:val="111111"/>
          <w:sz w:val="28"/>
          <w:sz w:val="28"/>
          <w:szCs w:val="28"/>
          <w:rtl w:val="true"/>
          <w:lang w:bidi="ar-SA"/>
        </w:rPr>
        <w:t xml:space="preserve">أتحبّ بقاءهم حتّى يخرج كراؤك؟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أتقلّد لهم عملاً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اتّقوا اللّه وصونوا دينكم بالورع ، وقوّوه بالتقيّة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أتى رجل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 وقد علمت أنّ صاحبه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اجتنبوا الكذب وإن رأيتم فيه النجاة فإنّ فيه الهلكة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أجروهم عليهم في ديوانهم ، وإيّاكم وظلم المؤمن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احلف لهم بما أرادوا إذا خفت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إذا استأجرت أرضاً فأنفقت فيها شيئاً أو رمّمت فيها فلا بأس بما ذكرت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إذا أنبأهم أ نّها سرقة فلا يحلّ ، وإن لم يعلم فلا بأس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إذا بلغت التقيّة الدم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إذا بلغت التقيّة الدم فلا تقيّة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إذا حلف الرجل تقيّة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إذا حلف الرجل تقيّة لم يضرّه إذا هو اُكره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إذا حلف كاذباً لم تلزمه الكفّارة </w:t>
      </w:r>
      <w:r>
        <w:rPr>
          <w:rFonts w:eastAsia="Amiri" w:cs="Amiri" w:ascii="Amiri" w:hAnsi="Amiri"/>
          <w:color w:val="111111"/>
          <w:sz w:val="28"/>
          <w:szCs w:val="28"/>
          <w:lang w:bidi="ar-SA"/>
        </w:rPr>
        <w:t>137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سئل الرجل منكم عمّا لا يعلم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أ نّه كذلك فلا ، إلاّ أن يكون شيئاً اشتريته من العامل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إذا علمت أنّ من ذلك شيئاً واحداً قد أدرك فاشتره وتقبّل به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إذا كان كذا فبعه وتصدّق بثمنه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إذا كان يوم القيامة نادى منادٍ من السماء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الظلمة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إذا ميّز اللّه بين الحقّ والباطل مع أيّهما يكون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إذا ولّوكم يدخلون عليكم المرفق وينفعونكم في حوائجكم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إذا هو اُكره أو اضطرّ إليه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أرأيتك إذا ميّز اللّه الحقّ والباطل مع أيّهما تكون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أربى الربا الكذب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الاستغفار وصلوات الخمس تغسل ذلك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الإشراك باللّه ، وعقوق الوالدين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أكبر الكبائر الإشراك باللّه ، وعقوق الوالدين ، وقول الزور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ألا اُخبركم بأكبر الكبائر ؟ الإشراك باللّه ، وعقوق الوالدين ، وقول الزور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ألا اُنبّئكم بأكبر الكبائر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ألا فاصدقوا إنّ اللّه مع الصادقين ، وجانبوا الكذب فإنّه يجانب الإيمان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إلاّ لإعزاز مؤمن ، أو فكّ أسره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إلاّ لتفريج كربة عن مؤمن ، أو فكّ أسره ، أو قضاء دينه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الآن سلم لك دينك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ألا وقول الزور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أليس قد أجرى لهم الناس على ذلك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أمّا الميسر فالنرد والشطرنج ، وكلّ قمار ميسر </w:t>
      </w:r>
      <w:r>
        <w:rPr>
          <w:rFonts w:eastAsia="Amiri" w:cs="Amiri" w:ascii="Amiri" w:hAnsi="Amiri"/>
          <w:color w:val="111111"/>
          <w:sz w:val="28"/>
          <w:szCs w:val="28"/>
          <w:lang w:bidi="ar-SA"/>
        </w:rPr>
        <w:t>17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تغشى سلطان هؤلاء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إمّا لك وإمّا لأهله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أمّا ما مضى فله ، وليتركه فيما يستقبل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امض وأعزز إخوانك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أمِنْ أجل مكان واحد يجعل فيه الميتة حرّم في جميع الأرضين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إنّ إبراهيم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الإصلاح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إنّ أحدكم لا يصيب من دنياهم شيئاً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إنّ أفضل خصال </w:t>
      </w:r>
      <w:r>
        <w:rPr>
          <w:rFonts w:eastAsia="IRNazanin" w:cs="IRNazanin"/>
          <w:color w:val="111111"/>
          <w:sz w:val="28"/>
          <w:szCs w:val="28"/>
          <w:rtl w:val="true"/>
          <w:lang w:bidi="fa-IR"/>
        </w:rPr>
        <w:t xml:space="preserve">. . .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إنّ أفضل خصال هذه التي باعها الغلام أن يتصدّق بثمنها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إنّ التقيّة تُرس المؤمن ، ولا إيمان لمن لا تقيّة له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إنّ الحسن والحسين علیهما السلام كانا يقبلان جوائز معاوية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أنّ الخبائث حطّت في بيت ومفتاحه الكذب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أنّ 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إنّ الرجل ليصدق على أخيه فيناله عنت من صدقه فيكون كذّاباً عند اللّه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الشطرنج والنرد وأربعة عشر وكلّ ما قومر عليه منها فهو ميسر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إنّ العبد ليكذب حتّى يكتب من الكذّابين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 الكاذب على شفا مخزاةٍ وهلكةٍ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 الكذّاب يكذب حتّى يجيء بالصدق فلا يُصدَّق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 الكذب يهدي إلى الفجور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 اللّه أحبّ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إنّ اللّه تعالى أحبّ اثنين ، وأبغض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الخطر فيما بين الصفّين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إنّ اللّه تعالى جعل للشرّ أقفالاً وجعل مفاتيح تلك الأقفال الشراب </w:t>
      </w:r>
      <w:r>
        <w:rPr>
          <w:rFonts w:eastAsia="Amiri" w:cs="Amiri" w:ascii="Amiri" w:hAnsi="Amiri"/>
          <w:color w:val="111111"/>
          <w:sz w:val="28"/>
          <w:szCs w:val="28"/>
          <w:lang w:bidi="ar-SA"/>
        </w:rPr>
        <w:t>97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جعل للشرّ أقفالاً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أنّ المصلح ليس بكذّاب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إنّ الملائكة تحضر الرهان في الخفّ والحافر والريش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 الملائكة لتنفر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الملائكة لتنفر عند الرهان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إنّ الملائكة لتنفر عند الرهان وتلعن صاحبه ما خلا الحافر والخفّ والريش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 المؤمن إذا أظهر الإيمان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إنّ المؤمن ينطبع على كلّ شيء إلاّ على الكذب والخيانة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أن تمضوا على ما مضى عليه عمّار بن ياسر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أنّ حبّ الدنيا رأس كلّ خطيئة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خفت على مالك ودمك فاحلف تردّه بيمينك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إنّ رجلاً أتى أبا جعفر علیه السلام </w:t>
      </w:r>
      <w:r>
        <w:rPr>
          <w:rFonts w:eastAsia="IRNazanin" w:cs="IRNazanin"/>
          <w:color w:val="111111"/>
          <w:sz w:val="28"/>
          <w:szCs w:val="28"/>
          <w:rtl w:val="true"/>
          <w:lang w:bidi="fa-IR"/>
        </w:rPr>
        <w:t xml:space="preserve">. .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أنّ رسول اللّه رحمهما اللّه أجرى الخيل وجعل سبقها أواقي من فضّة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أنّ رسول اللّه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أمانة فليؤدّها إلى من ائتمنه عليها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إنّ شهادة الزور تعادل الشرك باللّه تعالى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اُنظر ما أصبت ، فعد به على أصحابك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إن عادوا لك فعد لهم بما قلت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أنّ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 في زكاتك بما أخذ العشّار منك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إن قلت لك تفعل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إن كان قبضه بكيل وأنتم حضور ذلك فلا بأس بشرائه منه من غير كيل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إن كان قد أخذها وعزلها فلا بأس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إن كان لهذا الرجل مال أو معاش غير ما في يده فكل طعامه واقبل برّه </w:t>
      </w:r>
      <w:r>
        <w:rPr>
          <w:rFonts w:eastAsia="Amiri" w:cs="Amiri" w:ascii="Amiri" w:hAnsi="Amiri"/>
          <w:color w:val="111111"/>
          <w:sz w:val="28"/>
          <w:szCs w:val="28"/>
          <w:lang w:bidi="ar-SA"/>
        </w:rPr>
        <w:t>368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لا بدّ فاعلاً فاتّق أموال الشيعة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للّه بأبواب الجبابرة من يدفع بهم عن أوليائه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للّه بأبواب الظالمين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إنّ للّه تبارك وتعالى مع السلطان أولياء يدفع بهم عن أوليائه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إنّ للّه تعالى بأبواب الظالمين من نوّر اللّه له البرهان ومكّن له في البلاد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إنّما جعلت التقيّة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إنّما جعلت التقيّة ليحقن بها الدم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إلى سبّي فسبّوني ثمّ تدعون إلى البراءة منّي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إنّما يعطي اللّه العباد على نيّاتهم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إنّ ممّا أعان اللّه به على الكذّابين النسيان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إنّ من حقيقة الإيمان أن لا يجوز منطقك علمك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إن نطقوا فكبيرهم فعل ، وإن لم ينطقوا فلم يفعل كبيرهم شيئاً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إنّها فريضة تقام بها الفرائض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 نّه يقضى عن الميّت الحجّ والصوم والعتق وفعاله الحسن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أن يقولوا ما يعلمون ويكفّوا عمّا لا يعلمون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إنّي لا اُحبُّ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إنّي لا أرى لك الخروج من عمل السلطان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أوصاني رسول اللّه رحمهما اللّه حين زوّجني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والكذب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اُولئك هم المؤمنون حقّاً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اُولئك هم المؤمنون حقّاً ، عليهم مغفرة من ربّهم ورحمة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أو لم ترني آكله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أهم الداخلون علينا ، أم نحن الداخلون عليهم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إيّاكم والكذب ، فإنّه من الفجور وإنّهما في النار </w:t>
      </w:r>
      <w:r>
        <w:rPr>
          <w:rFonts w:eastAsia="Amiri" w:cs="Amiri" w:ascii="Amiri" w:hAnsi="Amiri"/>
          <w:color w:val="111111"/>
          <w:sz w:val="28"/>
          <w:szCs w:val="28"/>
          <w:lang w:bidi="ar-SA"/>
        </w:rPr>
        <w:t>132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وصحبة العاصين ومعونة الظالمين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أيّما مسلم سئل عن مسلم فصدق ، فأدخل على ذلك المسلم مضرّة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أين الظلمة وأعوانهم ، حتّى من لاق لهم دواة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بيع الشطرنج حرام وأكل ثمنه سحت واتّخاذها كفر واللعب بها شرك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بيّن رشده ، وبيّن غيّه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تتّقي مال أخيك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تحملونه حتّى تحملوه إلى الكوفة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تصدّق بغلّتها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تصدّق به؛ فإمّا لك وإمّا لأهله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التفل من كلّ شيء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التقيّة تُرس المؤمن وحرزه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التقيّة في كلّ شيء حتّى يبلغ الدم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التقيّة في كلّ شيء يضطرّ إليه ابن آدم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التقيّة في كلّ ضرورة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التقيّة في كلّ ضرورة ، وصاحبها أعلم بها حين تنزل به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التقيّة من أفضل أعمال المؤمن يصون بها نفسه وإخوانه عن الفاجرين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تناول السماء أيسر عليك من ذلك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ثلاث خصال من علامات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 وإذا ائتمن خان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ثلاثة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 وعِدَتك زوجتك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ثمّ احتجّ اللّه على المؤمنين الموالين للكفّار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جبّل المؤمن على كلّ طبيعة إلاّ الخيانة والكذب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جعلت الخبائث كلّها في بيت واحد وجعل مفتاحها الكذب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جوائز السلطان لا بأس به </w:t>
      </w:r>
      <w:r>
        <w:rPr>
          <w:rFonts w:eastAsia="IRNazanin" w:cs="IRNazanin"/>
          <w:color w:val="111111"/>
          <w:sz w:val="28"/>
          <w:szCs w:val="28"/>
          <w:lang w:bidi="fa-IR"/>
        </w:rPr>
        <w:t>413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جوائز العمّال ليس بها بأس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الرجل مال أو معاش غير ما في يده فكل طعامه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حتّى الكعاب والجوز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حتّى تعرف الحرام بعينه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حتّى يصيبوا من دينه مثله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حتّى يكتب من الكذّابين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حرّم اللّه الخمر لما فيها من الفساد ، ومن تغيير عقول شاربها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الحسنة التقيّة ، والسيّئة الإذاعة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خبّرني عن السلطان لنا أو لهم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دع ما يريبك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دعوا المجوسية لأهلها لعنها اللّه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الرجس 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الرجس من الأوثان هو الشطرنج ، وقول الزور الغناء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رُفع ما اُكرهوا عليه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سئل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المؤمن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ساُخبرك عن الجبن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فيه حلال وحرام فهو لك حلال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سبحان اللّه ، أما علمت أنّ رسول اللّه رحمهما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الرهان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شارب الخمر كعابد وثن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شرّ من الشراب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صدقت ، المسلم أخو المسلم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العامل بالظلم والمعين له والراضي به شركاء ثلاثتهم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العبد إذا كذب كان أوّل من يكذّبه اللّه ، ونفسه تعلم أ نّه كاذب </w:t>
      </w:r>
      <w:r>
        <w:rPr>
          <w:rFonts w:eastAsia="Amiri" w:cs="Amiri" w:ascii="Amiri" w:hAnsi="Amiri"/>
          <w:color w:val="111111"/>
          <w:sz w:val="28"/>
          <w:szCs w:val="28"/>
          <w:lang w:bidi="ar-SA"/>
        </w:rPr>
        <w:t>82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عونك الضعيف من أفضل الصدقات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غيّبه ما استطعت، وضعه مواضعه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فائت عامل المدينة فتنجز منه ما وعدك ، فإنّما هو شيء دعاك اللّه إليه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فاحلف لهم ، فهو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أحلى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التمر والزبد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فاخرج من جميع ما كسبت في ديوانهم ، فمن عرفت منهم رددت عليه ماله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فإذا بلغت الدم فلا تقيّة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فاذهب فاقسمه في إخوانك ، ولك الأمن ممّا خفت منه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فالولاية له ، والعمل معه ، ومعونته في ولايته ، وتقويته حلال محلّل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فأمّا الإثم في كتاب اللّه فهي الخمر والميسر ، وإثمهما كبير كما قال اللّه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فأمّا السرقة بعينها فلا ، إلاّ أن يكون من متاع السلطان فلا بأس بذلك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فأمّا اليمين التي يؤجر عليها الرجل إذا حلف كاذباً ولم تلزمه الكفّارة فهو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فإنّ المال مالك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فأنا واللّه ، ما له صاحب غيري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فإنّ دماءكم وأموالكم عليكم حرام كحرمة يومكم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فإنّ رسول اللّه رحمهما اللّه قد وضع ما مضى </w:t>
      </w:r>
      <w:r>
        <w:rPr>
          <w:rFonts w:eastAsia="IRNazanin" w:cs="IRNazanin"/>
          <w:color w:val="111111"/>
          <w:sz w:val="28"/>
          <w:szCs w:val="28"/>
          <w:rtl w:val="true"/>
          <w:lang w:bidi="fa-IR"/>
        </w:rPr>
        <w:t xml:space="preserve">. . .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فإنّما هم قوم اضطرّوكم فدخلتم في بعض حقّكم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فإن ولّيت شيئاً من أعمالهم فأحسن إلى إخوانك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فإنّها تحضره الملائكة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فإن هو غلب على 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فقد خرج من الإيمان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فكن منهم يا محمّد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فلذلك حرم العمل معهم ومعونتهم ، والكسب معهم إلاّ بجهة الضرورة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فلعنة اللّه على الكاذب وإن كان مازحاً </w:t>
      </w:r>
      <w:r>
        <w:rPr>
          <w:rFonts w:eastAsia="Amiri" w:cs="Amiri" w:ascii="Amiri" w:hAnsi="Amiri"/>
          <w:color w:val="111111"/>
          <w:sz w:val="28"/>
          <w:szCs w:val="28"/>
          <w:lang w:bidi="ar-SA"/>
        </w:rPr>
        <w:t>132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لك والباطل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لهم ؟ وما له ؟ ألم أنههم ؟ ألم أنههم ؟ ألم أنههم ؟ هم النار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فمن الزور أن يشهد الرجل بما لا يعلم ، أو ينكر ما يعلم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فمن ترك الشبهات نجا من المحرّمات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فنهى اللّه عزّ وجلّ أن يوالي المؤمن الكافر إلاّ عند التقيّة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فوجه الحلال من الولاية ، ولاية الوالي العادل الذي أمر اللّه بمعرفته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فهمت كتابك وما ذكرت من الخوف على نفسك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فهنيئاً لهم ، ما على أحدكم أن لو شاء لنال هذا كلّه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فيه حلال وحرام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أعوان الظلمة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إنّما فضّلهم اللّه على خلقه أجمعين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كان منافقاً ، وإن صام وصلّى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خطأُها ، ونسيانها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قال رسول اللّه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 وقتاله كفر ، وأكل لحمه معصية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قال رسول اللّه رحمهما اللّه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كلّه إثم ، إلاّ ما نفعت به مؤمناً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كذب على مصلح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عرافة قوم اُتي به يوم القيامة ويداه مغلولتان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الخمس كفّر اللّه عنه من الذنوب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قال رسول اللّه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نكث بيعة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برئ من الإسلام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قد سابق رسول اللّه رحمهما اللّه اُسامة بن زيد وأجرى الخيل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قضى أمير المؤمنين علیه السلام في رجل أكل هو وأصحاب له شاة </w:t>
      </w:r>
      <w:r>
        <w:rPr>
          <w:rFonts w:eastAsia="IRNazanin" w:cs="IRNazanin"/>
          <w:color w:val="111111"/>
          <w:sz w:val="28"/>
          <w:szCs w:val="28"/>
          <w:rtl w:val="true"/>
          <w:lang w:bidi="fa-IR"/>
        </w:rPr>
        <w:t xml:space="preserve">. .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يؤخذ يريدون عذابه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عذابه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234</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تقومر به حتّى الكعاب والجوز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الكاذب على شفا مخزاة وهلكة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والكذب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كانت قريش تقامر الرجل بأهله وماله ، فنهاهم اللّه عزّ وجلّ عن ذلك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كان علي بن الحسين علیه السلام يقول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الكذب ، الصغير منه والكبير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كان ينهى عن الجوز يجيء به الصبيان من القمار أن يؤكل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الكذب أقبح علّة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الكذب خراب الإيمان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الكذب على اللّه وعلى رسوله من الكبائر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الكذب كلّه إثم إلاّ ما نفعت به مؤمناً أو دفعت به عن دين المسلم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الكذب مذموم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الكذب يسوّد الوجه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الكذب يهدي إلى الفجور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كفّارة أعمالكم الإحسان إلى إخوانكم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كفّارة عمل السلطان قضاء حوائج الإخوان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كلّ أرض دفعها إليك السلطان فما حرثته فيها فعليك ممّا أخرج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وكذب ، وإصلاح بين الناس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كلّ شيء فيه حلال وحرام فهو لك حلال أبداً حتّى تعرف الحرام منه بعينه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كلّ شيء هو 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كلّ شيء هو لك حلال حتّى تعلم أ نّه حرام بعينه فتدعه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كلّفوهم الشرك باللّه العظيم ، فأظهروا لهم الشرك وأسرّوا الإيمان </w:t>
      </w:r>
      <w:r>
        <w:rPr>
          <w:rFonts w:eastAsia="Amiri" w:cs="Amiri" w:ascii="Amiri" w:hAnsi="Amiri"/>
          <w:color w:val="111111"/>
          <w:sz w:val="28"/>
          <w:szCs w:val="28"/>
          <w:lang w:bidi="ar-SA"/>
        </w:rPr>
        <w:t>247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كذب مسؤول عنه صاحبه يوماً إلاّ كذباً في ثلاثة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ما ألهى عن ذكر اللّه فهو من الميسر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كلّ ما تقومر به حتّى الكعاب والجوز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كلّ ما قومر به فهو الميسر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 ما قومر عليه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كلّ ما قومر عليه فهو ميسر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كل وخذ منه ، فلك المهنأ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الوزر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كلّ هذا بيعه وشراؤه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كلّ هذا بيعه وشراؤه والانتفاع بشيء من هذا حرام من اللّه محرّم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لا آذن لك بالخروج من عملهم ، واتّق اللّه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 إلاّ أن لا يقدر على شيء يأكل ولا يشرب ، ولا يقدر على حيلة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 ، إلاّ أن يكون قد اختلط معه غيره ، فأمّا السرقة بعينها فلا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لا بأس إذا لم يعرف بفسق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لا بأس ، إذا وصلت إخوانك ، وعضدت أهل ولايتك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لا بأس أن يتقبّل الأرض وأهلَها من السلطان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لا بأس بجوائز السلطان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لا بأس بشهادة الذي يلعب بالحمام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بأس به إذا واسى إخوانه ، وأنصف المظلوم ، وأغاث الملهوف من أهل ولايته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لا بأس به ما لم يغيّر حكماً، ولم يبطل حدّاً ، وكفّارته قضاء حوائج إخوانكم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لا بأس ، ليس بكذب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تأكل منه ؛ فإنّه حرام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تبقي عليه من الذنوب شيئاً إلاّ الموبقات التي هي جحد النبوّة ، أو الإمامة </w:t>
      </w:r>
      <w:r>
        <w:rPr>
          <w:rFonts w:eastAsia="Amiri" w:cs="Amiri" w:ascii="Amiri" w:hAnsi="Amiri"/>
          <w:color w:val="111111"/>
          <w:sz w:val="28"/>
          <w:szCs w:val="28"/>
          <w:lang w:bidi="ar-SA"/>
        </w:rPr>
        <w:t>266</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تعرّب بعد الهجرة ، ولا وصال في صيام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تعنهم على بناء مسجد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لا تلعنوها ،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لاعنها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دين لمن لا تقيّة له ، والتقيّة في كلّ شيء إلاّ في النبيذ والمسح على الخفّين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لا سبق إلاّ في خفّ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لا سوأة أسوء من الكذب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لا صلاة له حتّى يغسل يده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كذب على مصلح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لا ، ما من أحد إلاّ يكون ذلك منه ، ولكنّ المطبوع على الكذب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لأنّ اللّه عزّ وجلّ نهى عنها كما نهى عن عبادة الأوثان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لأنّ للتقيّة مواضع من أزالها عن مواضعها لم تستقم له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لا واللّه ما زعمت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لا ، ولا قطّة قلم ، إلاّ لإعزاز مؤمن ، أو فكّ أسره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لا يجد عبد طعم الإيمان حتّى يترك الكذب ، هزله وجدّه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لا يجوز شراء الوقف ، ولا تدخل الغلّة في مالك ، وادفعها إلى من وقفت عليه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لا يحلّ دم امرئ مسلم ولا ماله إلاّ بطيبة نفسه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لا يحلّ مال امرئ مسلم إلاّ بطيبة نفس منه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لا يحلّ ماله إلاّ بالطيب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لا يردّه ، فإن أمكنه أن يردّه على أصحابه فعل </w:t>
      </w:r>
      <w:r>
        <w:rPr>
          <w:rFonts w:eastAsia="Amiri" w:cs="Amiri" w:ascii="Amiri" w:hAnsi="Amiri"/>
          <w:color w:val="111111"/>
          <w:sz w:val="28"/>
          <w:szCs w:val="28"/>
          <w:lang w:bidi="ar-SA"/>
        </w:rPr>
        <w:t>444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يصلح ثمنه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يصلح شراء السرقة والخيانة إذا عرفت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لا يصلح من الكذب جدّ ولا هزل ، ولا أن يعد أحدكم صبيّه ثمّ لا يفي له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لا يمين في غضب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لا يمين في غضب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في جبر ، ولا في إكراه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لا يمين لولد مع والده ، ولا للمرأة مع زوجها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لعن رسول اللّه رحمهما اللّه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الآكل زاده وحده ، والنائم في بيت وحده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لقد سألتني عن طعام يعجبني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لمّا مات آدم علیه السلام شمت به إبليس وقابيل فاجتمعا في الأرض </w:t>
      </w:r>
      <w:r>
        <w:rPr>
          <w:rFonts w:eastAsia="IRNazanin" w:cs="IRNazanin"/>
          <w:color w:val="111111"/>
          <w:sz w:val="28"/>
          <w:szCs w:val="28"/>
          <w:rtl w:val="true"/>
          <w:lang w:bidi="fa-IR"/>
        </w:rPr>
        <w:t xml:space="preserve">. .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لم تركت عطاءك ؟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التقيّة كتارك الصلاة لكنت صادقاً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لو كلّفكم قومكم ما كلّفهم قومهم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لولا أنّ بني اُميّة وجدوا لهم من يكتب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اللهمّ اجدع عنهم سلطانهم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ليس شيء ممّا حرّم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ليس شيء ممّا حرّم اللّه إلاّ وقد أحلّه لمن اضطرّ إليه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ليس لك أن تتكلّم بما شئت ؛ لأنّ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ليس هم من الشيعة ولكنّهم من اُولئك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اُبالي حلفت لهم بالطلاق والعتاق أو أكلتها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اُحبّ أ نّي عقدت لهم عقدة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اُحبّ أ نّي عقدت لهم عقدة ، أو وكيت لهم وكاء وأنّ لي ما بين لابتيها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ما أخذوا منكم بنو اُميّة فاحتسبوا به ، ولا تعطوهم شيئاً ما استطعتم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ما أسكتك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أعرف الكبائر من كتاب اللّه </w:t>
      </w:r>
      <w:r>
        <w:rPr>
          <w:rFonts w:eastAsia="Amiri" w:cs="Amiri" w:ascii="Amiri" w:hAnsi="Amiri"/>
          <w:color w:val="111111"/>
          <w:sz w:val="28"/>
          <w:szCs w:val="28"/>
          <w:lang w:bidi="ar-SA"/>
        </w:rPr>
        <w:t>94</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أكثر ما يكذب الناس على علي علیه السلام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الإبل إلاّ مثل الحنطة والشعير وغير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ما بلغت تقيّة أحد ما بلغت تقيّة أصحاب الكهف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ما صنعتم من شيء أو حلفتم عليه من يمين في تقيّة فأنتم منه في سعة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ما علمتم فقولوا ، وما لم تعلموا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ما عندكم فيها يا صيقل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ما فعل كبيرهم ، وما كذب إبراهيم علیه السلام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ما كان المدخل فيه بالجبر والقهر ، فاللّه قابل العذر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ما كذب إبراهيم ويوسف علیهما السلام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ما من جبّار إلاّ ومعه مؤمن يدفع اللّه عزّ وجلّ به من المؤمنين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من سلطان إلاّ ومعه من يدفع اللّه به عن المؤمنين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ما منع ابن أبي السمّاك أن يبعث إليك بعطائك ؟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ما منع ميثم رحمه الله علیه من التقيّة ؟ فواللّه لقد علم أنّ هذه الآية نزلت في عمّار وأصحابه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ما يريد سالم منّي ، أيريد أن أجيء بالملائكة ؟ واللّه ما جاءت بهذا النبيّون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 يمنع ابن أبي السمّاك أن يخرج شباب الشيعة ، فيكفونه ما يكفيه الناس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ما يمنعك من التعرّض للسلطان فتدخل في بعض أعماله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المصلح ليس بكذّاب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ممّا أعان اللّه به على الكذّابين النسيان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أحبّ بقاءهم فهو منهم ، ومن كان منهم كان ورد النار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 أحللنا له شيئاً أصابه من أعمال الظالمين فهو له حلال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 أخذ عصا أخيه فليردّها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 استولى على شيء منه فهو له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من اشترى سرقة وهو يعلم فقد شرك في عارها وإثمها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أعظم الخطايا ، اللسان الكذوب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أعمال الظالمين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اقتطع مال مؤمن غصباً بغير حقّه لم يزل اللّه معرضاً عنه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 ترك الشبهات نجا من المحرّمات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من تولّى خصومة ظالم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تولّى خصومة ظالم أو أعانه عليها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من خضع </w:t>
      </w:r>
      <w:r>
        <w:rPr>
          <w:rFonts w:eastAsia="IRNazanin" w:cs="IRNazanin"/>
          <w:color w:val="111111"/>
          <w:sz w:val="28"/>
          <w:szCs w:val="28"/>
          <w:rtl w:val="true"/>
          <w:lang w:bidi="fa-IR"/>
        </w:rPr>
        <w:t xml:space="preserve">. .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من سوّد اسمه </w:t>
      </w:r>
      <w:r>
        <w:rPr>
          <w:rFonts w:eastAsia="IRNazanin" w:cs="IRNazanin"/>
          <w:color w:val="111111"/>
          <w:sz w:val="28"/>
          <w:szCs w:val="28"/>
          <w:rtl w:val="true"/>
          <w:lang w:bidi="fa-IR"/>
        </w:rPr>
        <w:t xml:space="preserve">. .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من سوّد اسمه في ديوان الجبّارين من ولد فلان حشره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سوّد اسمه في ديوان بني شيصبان حشره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سوّد اسمه في ديوان ولد سابع ، حشره اللّه يوم القيامة خنزيراً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علّق سوطاً بين يدي سلطان جائر جعلها اللّه حيّة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فعل ذلك فليس مدخله في العمل حراماً ، بل أجراً وثواباً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كثر كذبه ذهب بهاؤه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لم يفعل ذلك منهم فابرأوا منه برئ اللّه منه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من مشى إلى ظالم ليعينه وهو يعلم أ نّه ظالم فقد خرج من الإسلام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المؤمن إذا كذب بغير عذر لعنه سبعون ألف ملك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الميسر هو القمار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النرد والشطرنج والأربعة عشر بمنزلةٍ واحدة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نعم ، إذا حفر لهم نهراً أو عمل لهم شيئاً يعينهم بذلك فله ذلك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نعم قد قلته، أما علمت أنّ كلّ زعم في القرآن كذب؟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نهى رسول اللّه رحمهما اللّه عن اللعب بالشطرنج والنرد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نهى عن القمار وكانت قريش تقامر الرجل بأهله وماله </w:t>
      </w:r>
      <w:r>
        <w:rPr>
          <w:rFonts w:eastAsia="Amiri" w:cs="Amiri" w:ascii="Amiri" w:hAnsi="Amiri"/>
          <w:color w:val="111111"/>
          <w:sz w:val="28"/>
          <w:szCs w:val="28"/>
          <w:lang w:bidi="ar-SA"/>
        </w:rPr>
        <w:t>30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وأبغضَ الكذب في غير الإصلاح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واجتنبوا الكذب وإن رأيتم فيه النجاة ، فإنّ فيه الهلكة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وأعوان الظلمة وأشباه الظلمة حتّى من برئ لهم قلماً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والاُخرى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يؤجر الرجل عليه إذا حلف كاذباً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والتفل ما يخرج بين المتراهنين من الدرهم وغيره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والتقيّة في كلّ شيء حتّى يبلغ الدم ، فإذا بلغ الدم فلا تقيّة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والكذب شرّ من الشراب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واللّه إن لو أصبته كنت تدفعه إليه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واللّه لولا أ نّي أرى من اُزوّجه بها من عزّاب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واللّه ما ذلك عليه ، وماله إلاّ ما مضى عليه عمّار بن ياسر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واللّه ما سرقوا وما كذب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واللّه ما فعلوا وما كذب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واللّه ما فعلوه وما كذب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واللّه من وراء ذلك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والمعاصي حمى اللّه ، فمن يرتع حولها يوشك أن يدخلها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وأمّا التي عقوبتها دخول النار فهو أن يحلف الرجل على مال امرئ مسلم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وأمّا الميسر فالنرد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قمار ميسر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وأمّا وجه الحرام من الولاية ، فولاية الوالي الجائر ، وولاية ولاته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وإيّاكم والكذب ، فإنّه لا يصلح إلاّ لأهله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وإيّاكم والكذب ، فإنّه من الفجور ، وإنّهما في النار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وتصون من عرف بذلك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وتفسير ما يتّقى مثل أن يكون قوم سوء ظاهر حكمهم وفعلهم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وحرمة ماله كحرمة دمه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وددت أ نّي أقدر على أن اُجيز أموال المسلمين كلّها وأحلف عليها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وذلك إنّما حرّم اللّه الصناعة التي حرام هي كلّها التي يجيء منها الفساد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وشرب الخمر ؛ لأنّ اللّه عزّ وجلّ نهى عنها ، كما نهى عن عبادة الأوثان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وشرّ من الشراب الكذب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وعلّة الكذب أقبح علّة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وقد عزمت على ذلك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وقرن اللّه الخمر والميسر مع الأوثان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وقطيعة الرحم ؛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اللَّعْنَةُ وَلَهُمْ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وكذلك كلّ بيع ملهوّ به ، وكلّ منهيّ عنه ممّا يتقرّب به لغير اللّه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وكلّ ما قومر عليه فهو ميسر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ولئن تبرَأْ منّا ساعة بلسانك وأنت موالٍ لنا بجنانك ، لتبقي على نفسك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ولا أن يعد أحدكم صبيّه ثمّ لا يفي له ، إنّ الكذب يهدي إلى الفجور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ولا تكن عوناً للظالمين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ولا سوأة أسوء من الكذب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ولا يخرجنّ من فيك كذبة أبداً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ولك المهنأ وعليه الوزر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ولو لم يجز هذا لم يقم للمسلمين سوق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وما لهم ؟ وما له ؟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ومكّن له في البلاد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ومن أخذ بالشبهات ارتكب المحرّمات وهلك من حيث لا يعلم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ومن اشترى خيانة وهو يعلم فهو كالذي خانها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ومن خفّ لسلطان جائر </w:t>
      </w:r>
      <w:r>
        <w:rPr>
          <w:rFonts w:eastAsia="IRNazanin" w:cs="IRNazanin"/>
          <w:color w:val="111111"/>
          <w:sz w:val="28"/>
          <w:szCs w:val="28"/>
          <w:lang w:bidi="fa-IR"/>
        </w:rPr>
        <w:t>158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دلّ سلطاناً على الجور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سعى بأخيه إلى سلطان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 علّق سوطاً بين يدي سلطان جائر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وهل التقيّة إلاّ هَذَا؟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وهل يكبّ الناس على مناخرهم في النار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ويكون الكذب عندهم ظرافة ، فلعنة اللّه على الكاذب وإن كان مازحاً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هم الداخلون عليكم ، أم أنتم الداخلون عليهم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هو بمنزلة الأجير ، إنّه إنّما يعطي اللّه العباد على نيّاتهم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يا أبا ذرّ ، من ملك ما بين فخذيه وما بين لحييه دخل الجنّة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 أبا ذرّ ، ويل للّذي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يا أبا ذرّ ، ويل للّذي يحدّث فيكذب ليضحك به القوم ، ويل له ، ويل 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يا أبا محمّد ، لا ، ولا مدّة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لا يصيب من دنياهم شيئاً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يا زرارة ، إذا خفت فاحلف لهم ما شاؤوا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يا زياد ، إنّك لتعمل عمل السلطان ؟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أسقط من حالق فأتقطّع قطعة قطعة ، أحبّ إليّ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يا زياد ، واللّه لئن أقع من السماء إلى الأرض فأنقطع قطعاً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يا سليمان ، الدخول في أعمالهم ، والعون لهم ، والسعي في حوائجهم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صفوان ، كلّ شيء منك حسن جميل ما خلا شيئاً واحداً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علي ، إنّ اللّه أحبّ الكذب في الصلاح ، وأبغض الصدق في الفساد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يا علي ، ثلاث يحسن فيهنّ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المكيدة في الحرب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يا وليد ، أما تعجب من زرارة ؟ سألني عن أعمال هؤلاء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يا وليد ، متى كانت الشيعة تسأل عن أعمالهم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يا هذا ، إذا أنت فعلت هذا كان لإسماعيل حجّة بما أنفق من ماله </w:t>
      </w:r>
      <w:r>
        <w:rPr>
          <w:rFonts w:eastAsia="Amiri" w:cs="Amiri" w:ascii="Amiri" w:hAnsi="Amiri"/>
          <w:color w:val="111111"/>
          <w:sz w:val="28"/>
          <w:szCs w:val="28"/>
          <w:lang w:bidi="ar-SA"/>
        </w:rPr>
        <w:t>358</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هذا ، من أين معاشك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يبعثه اللّه على نيّته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يتصدّق بثمنه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يدخل على الميّت في قبره الصلاة والصوم والحجّ والصدقة والدعاء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يسأل عنها أهل المنزل لعلّهم يعرفونها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يشتري منه ما لم يعلم أ نّه ظلم فيه أحداً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يعرّفها سنة فإن جاء لها طالب ، وإلاّ فهي كسبيل ماله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يعني أقلّ المؤمنين حظّاً بصحبة الجبّار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يعني بذلك القمار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يعيد صلاته ويغسل ثوبه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يغفر اللّه في شهر رمضان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مسكر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يكون معهم فيسرُّنا بإدخال السرور على المؤمنين من شيعتنا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يلعب بالحمام </w:t>
      </w:r>
      <w:r>
        <w:rPr>
          <w:rFonts w:eastAsia="Amiri" w:cs="Amiri" w:ascii="Amiri" w:hAnsi="Amiri"/>
          <w:color w:val="111111"/>
          <w:sz w:val="28"/>
          <w:szCs w:val="28"/>
          <w:lang w:bidi="ar-SA"/>
        </w:rPr>
        <w:t>40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5162_155783"/>
      <w:bookmarkStart w:id="416" w:name="pg15162_155783"/>
      <w:bookmarkEnd w:id="416"/>
    </w:p>
    <w:p>
      <w:pPr>
        <w:pStyle w:val="Heading3"/>
        <w:numPr>
          <w:ilvl w:val="2"/>
          <w:numId w:val="1"/>
        </w:numPr>
        <w:rPr/>
      </w:pPr>
      <w:bookmarkStart w:id="417" w:name="pg15162_155783"/>
      <w:bookmarkStart w:id="418" w:name="__RefHeading___Toc1955632_2142443653"/>
      <w:bookmarkStart w:id="419" w:name="_Toc147"/>
      <w:bookmarkEnd w:id="417"/>
      <w:bookmarkEnd w:id="418"/>
      <w:r>
        <w:rPr/>
        <w:t>3</w:t>
      </w:r>
      <w:r>
        <w:rPr>
          <w:rtl w:val="true"/>
        </w:rPr>
        <w:t xml:space="preserve"> - </w:t>
      </w:r>
      <w:r>
        <w:rPr>
          <w:rtl w:val="true"/>
        </w:rPr>
        <w:t>فهرس أسماء المعصومين علیهم السلام</w:t>
      </w:r>
      <w:bookmarkEnd w:id="419"/>
    </w:p>
    <w:p>
      <w:pPr>
        <w:pStyle w:val="BookText"/>
        <w:rPr/>
      </w:pPr>
      <w:r>
        <w:rPr>
          <w:rFonts w:ascii="Amiri" w:hAnsi="Amiri" w:eastAsia="Amiri" w:cs="Amiri"/>
          <w:color w:val="111111"/>
          <w:sz w:val="28"/>
          <w:sz w:val="28"/>
          <w:szCs w:val="28"/>
          <w:rtl w:val="true"/>
          <w:lang w:bidi="ar-SA"/>
        </w:rPr>
        <w:t xml:space="preserve">النبي، محمّد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عبداللّه رحمهما اللّه ، نبي الإسلام</w:t>
      </w:r>
    </w:p>
    <w:p>
      <w:pPr>
        <w:pStyle w:val="BookText"/>
        <w:rPr/>
      </w:pPr>
      <w:r>
        <w:rPr>
          <w:rFonts w:ascii="Amiri" w:hAnsi="Amiri" w:eastAsia="Amiri" w:cs="Amiri"/>
          <w:color w:val="111111"/>
          <w:sz w:val="28"/>
          <w:sz w:val="28"/>
          <w:szCs w:val="28"/>
          <w:rtl w:val="true"/>
          <w:lang w:bidi="ar-SA"/>
        </w:rPr>
        <w:t xml:space="preserve">محمّد بن عبداللّه رحمهما اللّه ، نبي الإسلام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w:t>
      </w:r>
    </w:p>
    <w:p>
      <w:pPr>
        <w:pStyle w:val="BookText"/>
        <w:rPr/>
      </w:pPr>
      <w:r>
        <w:rPr>
          <w:rFonts w:ascii="IRNazanin" w:hAnsi="IRNazanin" w:eastAsia="IRNazanin"/>
          <w:color w:val="111111"/>
          <w:sz w:val="28"/>
          <w:sz w:val="28"/>
          <w:szCs w:val="28"/>
          <w:rtl w:val="true"/>
          <w:lang w:bidi="fa-IR"/>
        </w:rPr>
        <w:t>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علیه السلام ،</w:t>
      </w:r>
    </w:p>
    <w:p>
      <w:pPr>
        <w:pStyle w:val="BookText"/>
        <w:rPr/>
      </w:pPr>
      <w:r>
        <w:rPr>
          <w:rFonts w:ascii="Amiri" w:hAnsi="Amiri" w:eastAsia="Amiri" w:cs="Amiri"/>
          <w:color w:val="111111"/>
          <w:sz w:val="28"/>
          <w:sz w:val="28"/>
          <w:szCs w:val="28"/>
          <w:rtl w:val="true"/>
          <w:lang w:bidi="ar-SA"/>
        </w:rPr>
        <w:t>الإمام الثاني</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الثاني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علیه السلام ،</w:t>
      </w:r>
    </w:p>
    <w:p>
      <w:pPr>
        <w:pStyle w:val="BookText"/>
        <w:rPr/>
      </w:pPr>
      <w:r>
        <w:rPr>
          <w:rFonts w:ascii="IRNazanin" w:hAnsi="IRNazanin" w:eastAsia="IRNazanin"/>
          <w:color w:val="111111"/>
          <w:sz w:val="28"/>
          <w:sz w:val="28"/>
          <w:szCs w:val="28"/>
          <w:rtl w:val="true"/>
          <w:lang w:bidi="fa-IR"/>
        </w:rPr>
        <w:t>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 الإمام الثالث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 xml:space="preserve">علي بن الحسين علیه السلام ، الإمام الرابع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الصادق،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الكاظم، أبو الحسن الأوّل، أبو إبراهيم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p>
    <w:p>
      <w:pPr>
        <w:pStyle w:val="BookText"/>
        <w:rPr/>
      </w:pPr>
      <w:r>
        <w:rPr>
          <w:rFonts w:ascii="IRNazanin" w:hAnsi="IRNazanin" w:eastAsia="IRNazanin"/>
          <w:color w:val="111111"/>
          <w:sz w:val="28"/>
          <w:sz w:val="28"/>
          <w:szCs w:val="28"/>
          <w:rtl w:val="true"/>
          <w:lang w:bidi="fa-IR"/>
        </w:rPr>
        <w:t>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أبو الحسن، أبو الحسن علي بن محمّد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علیه السلام ، الإمام العاشر</w:t>
      </w:r>
    </w:p>
    <w:p>
      <w:pPr>
        <w:pStyle w:val="BookText"/>
        <w:rPr/>
      </w:pPr>
      <w:r>
        <w:rPr>
          <w:rFonts w:ascii="IRNazanin" w:hAnsi="IRNazanin" w:eastAsia="IRNazanin"/>
          <w:color w:val="111111"/>
          <w:sz w:val="28"/>
          <w:sz w:val="28"/>
          <w:szCs w:val="28"/>
          <w:rtl w:val="true"/>
          <w:lang w:bidi="fa-IR"/>
        </w:rPr>
        <w:t xml:space="preserve">علي بن محمّد علیه السلام ، الإمام العاشر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علیه السلام ،</w:t>
      </w:r>
    </w:p>
    <w:p>
      <w:pPr>
        <w:pStyle w:val="BookText"/>
        <w:rPr/>
      </w:pPr>
      <w:r>
        <w:rPr>
          <w:rFonts w:ascii="Amiri" w:hAnsi="Amiri" w:eastAsia="Amiri" w:cs="Amiri"/>
          <w:color w:val="111111"/>
          <w:sz w:val="28"/>
          <w:sz w:val="28"/>
          <w:szCs w:val="28"/>
          <w:rtl w:val="true"/>
          <w:lang w:bidi="ar-SA"/>
        </w:rPr>
        <w:t>الإمام الحادي عشر</w:t>
      </w:r>
    </w:p>
    <w:p>
      <w:pPr>
        <w:pStyle w:val="BookText"/>
        <w:rPr/>
      </w:pPr>
      <w:r>
        <w:rPr>
          <w:rFonts w:ascii="IRNazanin" w:hAnsi="IRNazanin" w:eastAsia="IRNazanin"/>
          <w:color w:val="111111"/>
          <w:sz w:val="28"/>
          <w:sz w:val="28"/>
          <w:szCs w:val="28"/>
          <w:rtl w:val="true"/>
          <w:lang w:bidi="fa-IR"/>
        </w:rPr>
        <w:t>الحسن بن علي علیه السلام ، الإمام الحادي عشر</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إبراهيم، النبي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داود بن يسا، النبي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يعقوب، النبي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5162_155787"/>
      <w:bookmarkStart w:id="421" w:name="pg15162_155787"/>
      <w:bookmarkEnd w:id="421"/>
    </w:p>
    <w:p>
      <w:pPr>
        <w:pStyle w:val="Heading3"/>
        <w:numPr>
          <w:ilvl w:val="2"/>
          <w:numId w:val="1"/>
        </w:numPr>
        <w:rPr/>
      </w:pPr>
      <w:bookmarkStart w:id="422" w:name="pg15162_155787"/>
      <w:bookmarkStart w:id="423" w:name="__RefHeading___Toc1955634_2142443653"/>
      <w:bookmarkStart w:id="424" w:name="_Toc148"/>
      <w:bookmarkEnd w:id="422"/>
      <w:bookmarkEnd w:id="423"/>
      <w:r>
        <w:rPr/>
        <w:t>4</w:t>
      </w:r>
      <w:r>
        <w:rPr>
          <w:rtl w:val="true"/>
        </w:rPr>
        <w:t xml:space="preserve"> - </w:t>
      </w:r>
      <w:r>
        <w:rPr>
          <w:rtl w:val="true"/>
        </w:rPr>
        <w:t>فهرس الأعلام</w:t>
      </w:r>
      <w:bookmarkEnd w:id="424"/>
    </w:p>
    <w:p>
      <w:pPr>
        <w:pStyle w:val="BookText"/>
        <w:rPr/>
      </w:pPr>
      <w:r>
        <w:rPr>
          <w:rFonts w:ascii="Amiri" w:hAnsi="Amiri" w:eastAsia="Amiri" w:cs="Amiri"/>
          <w:color w:val="111111"/>
          <w:sz w:val="28"/>
          <w:sz w:val="28"/>
          <w:szCs w:val="28"/>
          <w:rtl w:val="true"/>
          <w:lang w:bidi="ar-SA"/>
        </w:rPr>
        <w:t xml:space="preserve">إبراهيم بن عنبسة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ابن أبي السمّاك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ابن أبي جمهور، محمّد بن زين الدين</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أبي</w:t>
      </w:r>
    </w:p>
    <w:p>
      <w:pPr>
        <w:pStyle w:val="BookText"/>
        <w:rPr/>
      </w:pPr>
      <w:r>
        <w:rPr>
          <w:rFonts w:ascii="IRNazanin" w:hAnsi="IRNazanin" w:eastAsia="IRNazanin"/>
          <w:color w:val="111111"/>
          <w:sz w:val="28"/>
          <w:sz w:val="28"/>
          <w:szCs w:val="28"/>
          <w:rtl w:val="true"/>
          <w:lang w:bidi="fa-IR"/>
        </w:rPr>
        <w:t>نجران</w:t>
      </w:r>
    </w:p>
    <w:p>
      <w:pPr>
        <w:pStyle w:val="BookText"/>
        <w:rPr/>
      </w:pPr>
      <w:r>
        <w:rPr>
          <w:rFonts w:ascii="Amiri" w:hAnsi="Amiri" w:eastAsia="Amiri" w:cs="Amiri"/>
          <w:color w:val="111111"/>
          <w:sz w:val="28"/>
          <w:sz w:val="28"/>
          <w:szCs w:val="28"/>
          <w:rtl w:val="true"/>
          <w:lang w:bidi="ar-SA"/>
        </w:rPr>
        <w:t>ابن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 الإسكافي،</w:t>
      </w:r>
    </w:p>
    <w:p>
      <w:pPr>
        <w:pStyle w:val="BookText"/>
        <w:rPr/>
      </w:pPr>
      <w:r>
        <w:rPr>
          <w:rFonts w:ascii="IRNazanin" w:hAnsi="IRNazanin" w:eastAsia="IRNazanin"/>
          <w:color w:val="111111"/>
          <w:sz w:val="28"/>
          <w:sz w:val="28"/>
          <w:szCs w:val="28"/>
          <w:rtl w:val="true"/>
          <w:lang w:bidi="fa-IR"/>
        </w:rPr>
        <w:t>محمّد بن أحمد</w:t>
      </w:r>
    </w:p>
    <w:p>
      <w:pPr>
        <w:pStyle w:val="BookText"/>
        <w:rPr/>
      </w:pPr>
      <w:r>
        <w:rPr>
          <w:rFonts w:ascii="Amiri" w:hAnsi="Amiri" w:eastAsia="Amiri" w:cs="Amiri"/>
          <w:color w:val="111111"/>
          <w:sz w:val="28"/>
          <w:sz w:val="28"/>
          <w:szCs w:val="28"/>
          <w:rtl w:val="true"/>
          <w:lang w:bidi="ar-SA"/>
        </w:rPr>
        <w:t>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عبداللّه</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p>
    <w:p>
      <w:pPr>
        <w:pStyle w:val="BookText"/>
        <w:rPr/>
      </w:pPr>
      <w:r>
        <w:rPr>
          <w:rFonts w:ascii="Amiri" w:hAnsi="Amiri" w:eastAsia="Amiri" w:cs="Amiri"/>
          <w:color w:val="111111"/>
          <w:sz w:val="28"/>
          <w:sz w:val="28"/>
          <w:szCs w:val="28"/>
          <w:rtl w:val="true"/>
          <w:lang w:bidi="ar-SA"/>
        </w:rPr>
        <w:t xml:space="preserve">ابن بكير، عبداللّه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ابن بنت الكاهلي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الوليد بن</w:t>
      </w:r>
    </w:p>
    <w:p>
      <w:pPr>
        <w:pStyle w:val="BookText"/>
        <w:rPr/>
      </w:pPr>
      <w:r>
        <w:rPr>
          <w:rFonts w:ascii="Amiri" w:hAnsi="Amiri" w:eastAsia="Amiri" w:cs="Amiri"/>
          <w:color w:val="111111"/>
          <w:sz w:val="28"/>
          <w:sz w:val="28"/>
          <w:szCs w:val="28"/>
          <w:rtl w:val="true"/>
          <w:lang w:bidi="ar-SA"/>
        </w:rPr>
        <w:t>صبيح الكاهلي</w:t>
      </w:r>
    </w:p>
    <w:p>
      <w:pPr>
        <w:pStyle w:val="BookText"/>
        <w:rPr/>
      </w:pPr>
      <w:r>
        <w:rPr>
          <w:rFonts w:ascii="Amiri" w:hAnsi="Amiri" w:eastAsia="Amiri" w:cs="Amiri"/>
          <w:color w:val="111111"/>
          <w:sz w:val="28"/>
          <w:sz w:val="28"/>
          <w:szCs w:val="28"/>
          <w:rtl w:val="true"/>
          <w:lang w:bidi="ar-SA"/>
        </w:rPr>
        <w:t xml:space="preserve">ابن بنت الوليد بن صبيح الكاهلي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ابن جمهور، محمّد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 الأزدي</w:t>
      </w:r>
    </w:p>
    <w:p>
      <w:pPr>
        <w:pStyle w:val="BookText"/>
        <w:rPr/>
      </w:pPr>
      <w:r>
        <w:rPr>
          <w:rFonts w:ascii="Amiri" w:hAnsi="Amiri" w:eastAsia="Amiri" w:cs="Amiri"/>
          <w:color w:val="111111"/>
          <w:sz w:val="28"/>
          <w:sz w:val="28"/>
          <w:szCs w:val="28"/>
          <w:rtl w:val="true"/>
          <w:lang w:bidi="ar-SA"/>
        </w:rPr>
        <w:t xml:space="preserve">ابن دريد، محمّد بن الحسن </w:t>
      </w:r>
      <w:r>
        <w:rPr>
          <w:rFonts w:eastAsia="Amiri" w:cs="Amiri" w:ascii="Amiri" w:hAnsi="Amiri"/>
          <w:color w:val="111111"/>
          <w:sz w:val="28"/>
          <w:szCs w:val="28"/>
          <w:lang w:bidi="ar-SA"/>
        </w:rPr>
        <w:t>10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زياد، عبيداللّه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ابن 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سيابة</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ابن عبّاس، عبداللّه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عميرة</w:t>
      </w:r>
    </w:p>
    <w:p>
      <w:pPr>
        <w:pStyle w:val="BookText"/>
        <w:rPr/>
      </w:pPr>
      <w:r>
        <w:rPr>
          <w:rFonts w:ascii="IRNazanin" w:hAnsi="IRNazanin" w:eastAsia="IRNazanin"/>
          <w:color w:val="111111"/>
          <w:sz w:val="28"/>
          <w:sz w:val="28"/>
          <w:szCs w:val="28"/>
          <w:rtl w:val="true"/>
          <w:lang w:bidi="fa-IR"/>
        </w:rPr>
        <w:t xml:space="preserve">ابن مسعود، عبداللّه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 xml:space="preserve">أبو إسحاق الخراساني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أبو الربيع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أبو الربيع</w:t>
      </w:r>
    </w:p>
    <w:p>
      <w:pPr>
        <w:pStyle w:val="BookText"/>
        <w:rPr/>
      </w:pPr>
      <w:r>
        <w:rPr>
          <w:rFonts w:ascii="Amiri" w:hAnsi="Amiri" w:eastAsia="Amiri" w:cs="Amiri"/>
          <w:color w:val="111111"/>
          <w:sz w:val="28"/>
          <w:sz w:val="28"/>
          <w:szCs w:val="28"/>
          <w:rtl w:val="true"/>
          <w:lang w:bidi="ar-SA"/>
        </w:rPr>
        <w:t>أبو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الفتوح الرازي، الحسين بن علي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أبو أيّوب الأنصاري</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الدوانيقي، أبو جعفر منصور</w:t>
      </w:r>
    </w:p>
    <w:p>
      <w:pPr>
        <w:pStyle w:val="BookText"/>
        <w:rPr/>
      </w:pPr>
      <w:r>
        <w:rPr>
          <w:rFonts w:ascii="Amiri" w:hAnsi="Amiri" w:eastAsia="Amiri" w:cs="Amiri"/>
          <w:color w:val="111111"/>
          <w:sz w:val="28"/>
          <w:sz w:val="28"/>
          <w:szCs w:val="28"/>
          <w:rtl w:val="true"/>
          <w:lang w:bidi="ar-SA"/>
        </w:rPr>
        <w:t xml:space="preserve">أبو حمزة الثمالي، ثابت بن دينار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أبو خديجة، سالم بن مكرم الجمّال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سالم</w:t>
      </w:r>
    </w:p>
    <w:p>
      <w:pPr>
        <w:pStyle w:val="BookText"/>
        <w:rPr/>
      </w:pPr>
      <w:r>
        <w:rPr>
          <w:rFonts w:ascii="Amiri" w:hAnsi="Amiri" w:eastAsia="Amiri" w:cs="Amiri"/>
          <w:color w:val="111111"/>
          <w:sz w:val="28"/>
          <w:sz w:val="28"/>
          <w:szCs w:val="28"/>
          <w:rtl w:val="true"/>
          <w:lang w:bidi="ar-SA"/>
        </w:rPr>
        <w:t xml:space="preserve">أبو يعقوب إسحاق بن عبداللّه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أحمد بن زكريّا 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الصيدلاني، أحمد بن زكريّا</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عطية</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جعفر بن خضر</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إسماعيل، ابن الإمام الصادق علیه السلام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 xml:space="preserve">الأشعري، إسماعيل بن سعد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الأعجمي، أبو عمر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الأنباري، الحسن بن الحسين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أنس بن محمّد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Amiri" w:hAnsi="Amiri" w:eastAsia="Amiri" w:cs="Amiri"/>
          <w:color w:val="111111"/>
          <w:sz w:val="28"/>
          <w:sz w:val="28"/>
          <w:szCs w:val="28"/>
          <w:rtl w:val="true"/>
          <w:lang w:bidi="ar-SA"/>
        </w:rPr>
        <w:t xml:space="preserve">الأهوازي، الحسين بن سعيد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الإيرواني، علي بن عبدالحسين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البصري، الحسن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 جعفر</w:t>
      </w:r>
    </w:p>
    <w:p>
      <w:pPr>
        <w:pStyle w:val="BookText"/>
        <w:rPr/>
      </w:pPr>
      <w:r>
        <w:rPr>
          <w:rFonts w:ascii="IRNazanin" w:hAnsi="IRNazanin" w:eastAsia="IRNazanin"/>
          <w:color w:val="111111"/>
          <w:sz w:val="28"/>
          <w:sz w:val="28"/>
          <w:szCs w:val="28"/>
          <w:rtl w:val="true"/>
          <w:lang w:bidi="fa-IR"/>
        </w:rPr>
        <w:t>بن خضر</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w:t>
      </w:r>
    </w:p>
    <w:p>
      <w:pPr>
        <w:pStyle w:val="BookText"/>
        <w:rPr/>
      </w:pP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الإيرواني، علي بن</w:t>
      </w:r>
    </w:p>
    <w:p>
      <w:pPr>
        <w:pStyle w:val="BookText"/>
        <w:rPr/>
      </w:pPr>
      <w:r>
        <w:rPr>
          <w:rFonts w:ascii="Amiri" w:hAnsi="Amiri" w:eastAsia="Amiri" w:cs="Amiri"/>
          <w:color w:val="111111"/>
          <w:sz w:val="28"/>
          <w:sz w:val="28"/>
          <w:szCs w:val="28"/>
          <w:rtl w:val="true"/>
          <w:lang w:bidi="ar-SA"/>
        </w:rPr>
        <w:t>عبدالحسين</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 تقي</w:t>
      </w:r>
    </w:p>
    <w:p>
      <w:pPr>
        <w:pStyle w:val="BookText"/>
        <w:rPr/>
      </w:pPr>
      <w:r>
        <w:rPr>
          <w:rFonts w:ascii="Amiri" w:hAnsi="Amiri" w:eastAsia="Amiri" w:cs="Amiri"/>
          <w:color w:val="111111"/>
          <w:sz w:val="28"/>
          <w:sz w:val="28"/>
          <w:szCs w:val="28"/>
          <w:rtl w:val="true"/>
          <w:lang w:bidi="ar-SA"/>
        </w:rPr>
        <w:t>بن محبعلي</w:t>
      </w:r>
    </w:p>
    <w:p>
      <w:pPr>
        <w:pStyle w:val="BookText"/>
        <w:rPr/>
      </w:pPr>
      <w:r>
        <w:rPr>
          <w:rFonts w:ascii="Amiri" w:hAnsi="Amiri" w:eastAsia="Amiri" w:cs="Amiri"/>
          <w:color w:val="111111"/>
          <w:sz w:val="28"/>
          <w:sz w:val="28"/>
          <w:szCs w:val="28"/>
          <w:rtl w:val="true"/>
          <w:lang w:bidi="ar-SA"/>
        </w:rPr>
        <w:t>بعض المدقّقين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 تقي</w:t>
      </w:r>
    </w:p>
    <w:p>
      <w:pPr>
        <w:pStyle w:val="BookText"/>
        <w:rPr/>
      </w:pPr>
      <w:r>
        <w:rPr>
          <w:rFonts w:ascii="Amiri" w:hAnsi="Amiri" w:eastAsia="Amiri" w:cs="Amiri"/>
          <w:color w:val="111111"/>
          <w:sz w:val="28"/>
          <w:sz w:val="28"/>
          <w:szCs w:val="28"/>
          <w:rtl w:val="true"/>
          <w:lang w:bidi="ar-SA"/>
        </w:rPr>
        <w:t>بن محبعلي</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w:t>
      </w:r>
    </w:p>
    <w:p>
      <w:pPr>
        <w:pStyle w:val="BookText"/>
        <w:rPr/>
      </w:pPr>
      <w:r>
        <w:rPr>
          <w:rFonts w:ascii="Amiri" w:hAnsi="Amiri" w:eastAsia="Amiri" w:cs="Amiri"/>
          <w:color w:val="111111"/>
          <w:sz w:val="28"/>
          <w:sz w:val="28"/>
          <w:szCs w:val="28"/>
          <w:rtl w:val="true"/>
          <w:lang w:bidi="ar-SA"/>
        </w:rPr>
        <w:t>تقي بن محبعلي</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w:t>
      </w:r>
    </w:p>
    <w:p>
      <w:pPr>
        <w:pStyle w:val="BookText"/>
        <w:rPr/>
      </w:pP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التفتازاني، سعد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p>
    <w:p>
      <w:pPr>
        <w:pStyle w:val="BookText"/>
        <w:rPr/>
      </w:pPr>
      <w:r>
        <w:rPr>
          <w:rFonts w:ascii="IRNazanin" w:hAnsi="IRNazanin" w:eastAsia="IRNazanin"/>
          <w:color w:val="111111"/>
          <w:sz w:val="28"/>
          <w:sz w:val="28"/>
          <w:szCs w:val="28"/>
          <w:rtl w:val="true"/>
          <w:lang w:bidi="fa-IR"/>
        </w:rPr>
        <w:t>مسعود بن عمر</w:t>
      </w:r>
    </w:p>
    <w:p>
      <w:pPr>
        <w:pStyle w:val="BookText"/>
        <w:rPr/>
      </w:pPr>
      <w:r>
        <w:rPr>
          <w:rFonts w:ascii="Amiri" w:hAnsi="Amiri" w:eastAsia="Amiri" w:cs="Amiri"/>
          <w:color w:val="111111"/>
          <w:sz w:val="28"/>
          <w:sz w:val="28"/>
          <w:szCs w:val="28"/>
          <w:rtl w:val="true"/>
          <w:lang w:bidi="ar-SA"/>
        </w:rPr>
        <w:t xml:space="preserve">التفتازاني، مسعود بن عمر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 تقي بن</w:t>
      </w:r>
    </w:p>
    <w:p>
      <w:pPr>
        <w:pStyle w:val="BookText"/>
        <w:rPr/>
      </w:pPr>
      <w:r>
        <w:rPr>
          <w:rFonts w:ascii="Amiri" w:hAnsi="Amiri" w:eastAsia="Amiri" w:cs="Amiri"/>
          <w:color w:val="111111"/>
          <w:sz w:val="28"/>
          <w:sz w:val="28"/>
          <w:szCs w:val="28"/>
          <w:rtl w:val="true"/>
          <w:lang w:bidi="ar-SA"/>
        </w:rPr>
        <w:t>محبعلي</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جابر بن يزيد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الجرّاح المدائني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الشاذاني، جعفر بن نعيم</w:t>
      </w:r>
    </w:p>
    <w:p>
      <w:pPr>
        <w:pStyle w:val="BookText"/>
        <w:rPr/>
      </w:pPr>
      <w:r>
        <w:rPr>
          <w:rFonts w:ascii="Amiri" w:hAnsi="Amiri" w:eastAsia="Amiri" w:cs="Amiri"/>
          <w:color w:val="111111"/>
          <w:sz w:val="28"/>
          <w:sz w:val="28"/>
          <w:szCs w:val="28"/>
          <w:rtl w:val="true"/>
          <w:lang w:bidi="ar-SA"/>
        </w:rPr>
        <w:t xml:space="preserve">الجعفري، سليمان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 xml:space="preserve">الجعفي، إسماعيل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الجعفي، جابر بن يزيد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جهم بن حميد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حديد بن حكيم الأزدي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حديد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بن حكيم</w:t>
      </w:r>
    </w:p>
    <w:p>
      <w:pPr>
        <w:pStyle w:val="BookText"/>
        <w:rPr/>
      </w:pP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حريز بن عبداللّه</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 الحسن بن</w:t>
      </w:r>
    </w:p>
    <w:p>
      <w:pPr>
        <w:pStyle w:val="BookText"/>
        <w:rPr/>
      </w:pPr>
      <w:r>
        <w:rPr>
          <w:rFonts w:ascii="IRNazanin" w:hAnsi="IRNazanin" w:eastAsia="IRNazanin"/>
          <w:color w:val="111111"/>
          <w:sz w:val="28"/>
          <w:sz w:val="28"/>
          <w:szCs w:val="28"/>
          <w:rtl w:val="true"/>
          <w:lang w:bidi="fa-IR"/>
        </w:rPr>
        <w:t>محبوب</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الحسن</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الحسين بن عمر بن يزيد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الحضرمي، أبو بكر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حفص بن سالم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محمّد بن أحمد</w:t>
      </w:r>
    </w:p>
    <w:p>
      <w:pPr>
        <w:pStyle w:val="BookText"/>
        <w:rPr/>
      </w:pPr>
      <w:r>
        <w:rPr>
          <w:rFonts w:ascii="IRNazanin" w:hAnsi="IRNazanin" w:eastAsia="IRNazanin"/>
          <w:color w:val="111111"/>
          <w:sz w:val="28"/>
          <w:sz w:val="28"/>
          <w:szCs w:val="28"/>
          <w:rtl w:val="true"/>
          <w:lang w:bidi="fa-IR"/>
        </w:rPr>
        <w:t xml:space="preserve">حمّاد بن عمرو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الحميري، محمّد بن عبداللّه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الخطيب القزويني، محمّد بن عبدالرحمان</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درست بن منصور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الدوانيقي، أبو جعفر منصور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 سعيد بن</w:t>
      </w:r>
    </w:p>
    <w:p>
      <w:pPr>
        <w:pStyle w:val="BookText"/>
        <w:rPr/>
      </w:pPr>
      <w:r>
        <w:rPr>
          <w:rFonts w:ascii="Amiri" w:hAnsi="Amiri" w:eastAsia="Amiri" w:cs="Amiri"/>
          <w:color w:val="111111"/>
          <w:sz w:val="28"/>
          <w:sz w:val="28"/>
          <w:szCs w:val="28"/>
          <w:rtl w:val="true"/>
          <w:lang w:bidi="ar-SA"/>
        </w:rPr>
        <w:t>هبة اللّه</w:t>
      </w:r>
    </w:p>
    <w:p>
      <w:pPr>
        <w:pStyle w:val="BookText"/>
        <w:rPr/>
      </w:pPr>
      <w:r>
        <w:rPr>
          <w:rFonts w:ascii="Amiri" w:hAnsi="Amiri" w:eastAsia="Amiri" w:cs="Amiri"/>
          <w:color w:val="111111"/>
          <w:sz w:val="28"/>
          <w:sz w:val="28"/>
          <w:szCs w:val="28"/>
          <w:rtl w:val="true"/>
          <w:lang w:bidi="ar-SA"/>
        </w:rPr>
        <w:t>الراوندي الكاشاني، فضل اللّه بن علي</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العبدي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زياد بن أبي سلمة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زياد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علي بن أبي</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سدير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السكّاكي، يوسف بن أبي بكر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سويد بن حنظلة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السيّاري، أحمد بن محمّد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w:t>
      </w:r>
    </w:p>
    <w:p>
      <w:pPr>
        <w:pStyle w:val="BookText"/>
        <w:rPr/>
      </w:pPr>
      <w:r>
        <w:rPr>
          <w:rFonts w:ascii="Amiri" w:hAnsi="Amiri" w:eastAsia="Amiri" w:cs="Amiri"/>
          <w:color w:val="111111"/>
          <w:sz w:val="28"/>
          <w:sz w:val="28"/>
          <w:szCs w:val="28"/>
          <w:rtl w:val="true"/>
          <w:lang w:bidi="ar-SA"/>
        </w:rPr>
        <w:t>عبدالعظيم</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علي بن محمّد</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شاذان بن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القمّي</w:t>
      </w:r>
    </w:p>
    <w:p>
      <w:pPr>
        <w:pStyle w:val="BookText"/>
        <w:rPr/>
      </w:pPr>
      <w:r>
        <w:rPr>
          <w:rFonts w:ascii="Amiri" w:hAnsi="Amiri" w:eastAsia="Amiri" w:cs="Amiri"/>
          <w:color w:val="111111"/>
          <w:sz w:val="28"/>
          <w:sz w:val="28"/>
          <w:szCs w:val="28"/>
          <w:rtl w:val="true"/>
          <w:lang w:bidi="ar-SA"/>
        </w:rPr>
        <w:t xml:space="preserve">شاذان القمّي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الشاذاني، جعفر بن نعيم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شارح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p>
    <w:p>
      <w:pPr>
        <w:pStyle w:val="BookText"/>
        <w:rPr/>
      </w:pPr>
      <w:r>
        <w:rPr>
          <w:rFonts w:ascii="Amiri" w:hAnsi="Amiri" w:eastAsia="Amiri" w:cs="Amiri"/>
          <w:color w:val="111111"/>
          <w:sz w:val="28"/>
          <w:sz w:val="28"/>
          <w:szCs w:val="28"/>
          <w:rtl w:val="true"/>
          <w:lang w:bidi="ar-SA"/>
        </w:rPr>
        <w:t>الشيرازي، محمّد بن مسعود</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الشامي، أبو الربيع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w:t>
      </w:r>
    </w:p>
    <w:p>
      <w:pPr>
        <w:pStyle w:val="BookText"/>
        <w:rPr/>
      </w:pPr>
      <w:r>
        <w:rPr>
          <w:rFonts w:ascii="Amiri" w:hAnsi="Amiri" w:eastAsia="Amiri" w:cs="Amiri"/>
          <w:color w:val="111111"/>
          <w:sz w:val="28"/>
          <w:sz w:val="28"/>
          <w:szCs w:val="28"/>
          <w:rtl w:val="true"/>
          <w:lang w:bidi="ar-SA"/>
        </w:rPr>
        <w:t xml:space="preserve">الشرتوني، سعيد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w:t>
      </w:r>
    </w:p>
    <w:p>
      <w:pPr>
        <w:pStyle w:val="BookText"/>
        <w:rPr/>
      </w:pPr>
      <w:r>
        <w:rPr>
          <w:rFonts w:ascii="Amiri" w:hAnsi="Amiri" w:eastAsia="Amiri" w:cs="Amiri"/>
          <w:color w:val="111111"/>
          <w:sz w:val="28"/>
          <w:sz w:val="28"/>
          <w:szCs w:val="28"/>
          <w:rtl w:val="true"/>
          <w:lang w:bidi="ar-SA"/>
        </w:rPr>
        <w:t>أمين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w:t>
      </w:r>
    </w:p>
    <w:p>
      <w:pPr>
        <w:pStyle w:val="BookText"/>
        <w:rPr/>
      </w:pPr>
      <w:r>
        <w:rPr>
          <w:rFonts w:ascii="Amiri" w:hAnsi="Amiri" w:eastAsia="Amiri" w:cs="Amiri"/>
          <w:color w:val="111111"/>
          <w:sz w:val="28"/>
          <w:sz w:val="28"/>
          <w:szCs w:val="28"/>
          <w:rtl w:val="true"/>
          <w:lang w:bidi="ar-SA"/>
        </w:rPr>
        <w:t>محمّد أمين</w:t>
      </w:r>
    </w:p>
    <w:p>
      <w:pPr>
        <w:pStyle w:val="BookText"/>
        <w:rPr/>
      </w:pP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w:t>
      </w:r>
    </w:p>
    <w:p>
      <w:pPr>
        <w:pStyle w:val="BookText"/>
        <w:rPr/>
      </w:pPr>
      <w:r>
        <w:rPr>
          <w:rFonts w:ascii="Amiri" w:hAnsi="Amiri" w:eastAsia="Amiri" w:cs="Amiri"/>
          <w:color w:val="111111"/>
          <w:sz w:val="28"/>
          <w:sz w:val="28"/>
          <w:szCs w:val="28"/>
          <w:rtl w:val="true"/>
          <w:lang w:bidi="ar-SA"/>
        </w:rPr>
        <w:t>بن محمّد أمين</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 تقي بن</w:t>
      </w:r>
    </w:p>
    <w:p>
      <w:pPr>
        <w:pStyle w:val="BookText"/>
        <w:rPr/>
      </w:pPr>
      <w:r>
        <w:rPr>
          <w:rFonts w:ascii="Amiri" w:hAnsi="Amiri" w:eastAsia="Amiri" w:cs="Amiri"/>
          <w:color w:val="111111"/>
          <w:sz w:val="28"/>
          <w:sz w:val="28"/>
          <w:szCs w:val="28"/>
          <w:rtl w:val="true"/>
          <w:lang w:bidi="ar-SA"/>
        </w:rPr>
        <w:t>محبعلي</w:t>
      </w:r>
    </w:p>
    <w:p>
      <w:pPr>
        <w:pStyle w:val="BookText"/>
        <w:rPr/>
      </w:pPr>
      <w:r>
        <w:rPr>
          <w:rFonts w:ascii="Amiri" w:hAnsi="Amiri" w:eastAsia="Amiri" w:cs="Amiri"/>
          <w:color w:val="111111"/>
          <w:sz w:val="28"/>
          <w:sz w:val="28"/>
          <w:szCs w:val="28"/>
          <w:rtl w:val="true"/>
          <w:lang w:bidi="ar-SA"/>
        </w:rPr>
        <w:t xml:space="preserve">الشيرازي، محمّد تقي بن محبعلي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الصائغ، علي بن ميمون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صاحب أقرب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الشرتوني،</w:t>
      </w:r>
    </w:p>
    <w:p>
      <w:pPr>
        <w:pStyle w:val="BookText"/>
        <w:rPr/>
      </w:pPr>
      <w:r>
        <w:rPr>
          <w:rFonts w:ascii="Amiri" w:hAnsi="Amiri" w:eastAsia="Amiri" w:cs="Amiri"/>
          <w:color w:val="111111"/>
          <w:sz w:val="28"/>
          <w:sz w:val="28"/>
          <w:szCs w:val="28"/>
          <w:rtl w:val="true"/>
          <w:lang w:bidi="ar-SA"/>
        </w:rPr>
        <w:t>سعيد</w:t>
      </w:r>
    </w:p>
    <w:p>
      <w:pPr>
        <w:pStyle w:val="BookText"/>
        <w:rPr/>
      </w:pPr>
      <w:r>
        <w:rPr>
          <w:rFonts w:ascii="Amiri" w:hAnsi="Amiri" w:eastAsia="Amiri" w:cs="Amiri"/>
          <w:color w:val="111111"/>
          <w:sz w:val="28"/>
          <w:sz w:val="28"/>
          <w:szCs w:val="28"/>
          <w:rtl w:val="true"/>
          <w:lang w:bidi="ar-SA"/>
        </w:rPr>
        <w:t>صاحب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القزويني،</w:t>
      </w:r>
    </w:p>
    <w:p>
      <w:pPr>
        <w:pStyle w:val="BookText"/>
        <w:rPr/>
      </w:pPr>
      <w:r>
        <w:rPr>
          <w:rFonts w:ascii="IRNazanin" w:hAnsi="IRNazanin" w:eastAsia="IRNazanin"/>
          <w:color w:val="111111"/>
          <w:sz w:val="28"/>
          <w:sz w:val="28"/>
          <w:szCs w:val="28"/>
          <w:rtl w:val="true"/>
          <w:lang w:bidi="fa-IR"/>
        </w:rPr>
        <w:t>محمّد بن عبدالرحمان</w:t>
      </w:r>
    </w:p>
    <w:p>
      <w:pPr>
        <w:pStyle w:val="BookText"/>
        <w:rPr/>
      </w:pPr>
      <w:r>
        <w:rPr>
          <w:rFonts w:ascii="IRNazanin" w:hAnsi="IRNazanin" w:eastAsia="IRNazanin"/>
          <w:color w:val="111111"/>
          <w:sz w:val="28"/>
          <w:sz w:val="28"/>
          <w:szCs w:val="28"/>
          <w:rtl w:val="true"/>
          <w:lang w:bidi="fa-IR"/>
        </w:rPr>
        <w:t>صاحب الجواهر، محمّد حسن بن باقر</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علي بن</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إسماعيل</w:t>
      </w:r>
    </w:p>
    <w:p>
      <w:pPr>
        <w:pStyle w:val="BookText"/>
        <w:rPr/>
      </w:pPr>
      <w:r>
        <w:rPr>
          <w:rFonts w:ascii="Amiri" w:hAnsi="Amiri" w:eastAsia="Amiri" w:cs="Amiri"/>
          <w:color w:val="111111"/>
          <w:sz w:val="28"/>
          <w:sz w:val="28"/>
          <w:szCs w:val="28"/>
          <w:rtl w:val="true"/>
          <w:lang w:bidi="ar-SA"/>
        </w:rPr>
        <w:t>بن حمّاد</w:t>
      </w:r>
    </w:p>
    <w:p>
      <w:pPr>
        <w:pStyle w:val="BookText"/>
        <w:rPr/>
      </w:pPr>
      <w:r>
        <w:rPr>
          <w:rFonts w:ascii="Amiri" w:hAnsi="Amiri" w:eastAsia="Amiri" w:cs="Amiri"/>
          <w:color w:val="111111"/>
          <w:sz w:val="28"/>
          <w:sz w:val="28"/>
          <w:szCs w:val="28"/>
          <w:rtl w:val="true"/>
          <w:lang w:bidi="ar-SA"/>
        </w:rPr>
        <w:t>صاحب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 آبادي</w:t>
      </w:r>
    </w:p>
    <w:p>
      <w:pPr>
        <w:pStyle w:val="BookText"/>
        <w:rPr/>
      </w:pPr>
      <w:r>
        <w:rPr>
          <w:rFonts w:ascii="Amiri" w:hAnsi="Amiri" w:eastAsia="Amiri" w:cs="Amiri"/>
          <w:color w:val="111111"/>
          <w:sz w:val="28"/>
          <w:sz w:val="28"/>
          <w:szCs w:val="28"/>
          <w:rtl w:val="true"/>
          <w:lang w:bidi="ar-SA"/>
        </w:rPr>
        <w:t>الشيرازي، محمّد بن يعقوب</w:t>
      </w:r>
    </w:p>
    <w:p>
      <w:pPr>
        <w:pStyle w:val="BookText"/>
        <w:rPr/>
      </w:pPr>
      <w:r>
        <w:rPr>
          <w:rFonts w:ascii="Amiri" w:hAnsi="Amiri" w:eastAsia="Amiri" w:cs="Amiri"/>
          <w:color w:val="111111"/>
          <w:sz w:val="28"/>
          <w:sz w:val="28"/>
          <w:szCs w:val="28"/>
          <w:rtl w:val="true"/>
          <w:lang w:bidi="ar-SA"/>
        </w:rPr>
        <w:t xml:space="preserve">صاحب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الطريحي، فخر الدين بن محمّد</w:t>
      </w:r>
    </w:p>
    <w:p>
      <w:pPr>
        <w:pStyle w:val="BookText"/>
        <w:rPr/>
      </w:pP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الغروي، جواد بن محمّد</w:t>
      </w:r>
    </w:p>
    <w:p>
      <w:pPr>
        <w:pStyle w:val="BookText"/>
        <w:rPr/>
      </w:pPr>
      <w:r>
        <w:rPr>
          <w:rFonts w:ascii="Amiri" w:hAnsi="Amiri" w:eastAsia="Amiri" w:cs="Amiri"/>
          <w:color w:val="111111"/>
          <w:sz w:val="28"/>
          <w:sz w:val="28"/>
          <w:szCs w:val="28"/>
          <w:rtl w:val="true"/>
          <w:lang w:bidi="ar-SA"/>
        </w:rPr>
        <w:t>صاحب 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المعلوف، لويس</w:t>
      </w:r>
    </w:p>
    <w:p>
      <w:pPr>
        <w:pStyle w:val="BookText"/>
        <w:rPr/>
      </w:pP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 محمّد</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IRNazanin" w:hAnsi="IRNazanin" w:eastAsia="IRNazanin"/>
          <w:color w:val="111111"/>
          <w:sz w:val="28"/>
          <w:sz w:val="28"/>
          <w:szCs w:val="28"/>
          <w:rtl w:val="true"/>
          <w:lang w:bidi="fa-IR"/>
        </w:rPr>
        <w:t>صاحب منتهى 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 پوري،</w:t>
      </w:r>
    </w:p>
    <w:p>
      <w:pPr>
        <w:pStyle w:val="BookText"/>
        <w:rPr/>
      </w:pPr>
      <w:r>
        <w:rPr>
          <w:rFonts w:ascii="Amiri" w:hAnsi="Amiri" w:eastAsia="Amiri" w:cs="Amiri"/>
          <w:color w:val="111111"/>
          <w:sz w:val="28"/>
          <w:sz w:val="28"/>
          <w:szCs w:val="28"/>
          <w:rtl w:val="true"/>
          <w:lang w:bidi="ar-SA"/>
        </w:rPr>
        <w:t>عبدالرحيم بن عبدالكريم</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على</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الجمّال</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الصفي پوري، عبدالرحيم بن عبدالكريم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الصيدلاني، أحمد بن زكريّا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الصيقل، الحسن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 xml:space="preserve">الصيقل، عمر بن يزيد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علي بن</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Amiri" w:hAnsi="Amiri" w:eastAsia="Amiri" w:cs="Amiri"/>
          <w:color w:val="111111"/>
          <w:sz w:val="28"/>
          <w:sz w:val="28"/>
          <w:szCs w:val="28"/>
          <w:rtl w:val="true"/>
          <w:lang w:bidi="ar-SA"/>
        </w:rPr>
        <w:t xml:space="preserve">الطباطبائي، علي بن محمّد علي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w:t>
      </w:r>
    </w:p>
    <w:p>
      <w:pPr>
        <w:pStyle w:val="BookText"/>
        <w:rPr/>
      </w:pPr>
      <w:r>
        <w:rPr>
          <w:rFonts w:ascii="Amiri" w:hAnsi="Amiri" w:eastAsia="Amiri" w:cs="Amiri"/>
          <w:color w:val="111111"/>
          <w:sz w:val="28"/>
          <w:sz w:val="28"/>
          <w:szCs w:val="28"/>
          <w:rtl w:val="true"/>
          <w:lang w:bidi="ar-SA"/>
        </w:rPr>
        <w:t>عبدالعظيم</w:t>
      </w:r>
    </w:p>
    <w:p>
      <w:pPr>
        <w:pStyle w:val="BookText"/>
        <w:rPr/>
      </w:pPr>
      <w:r>
        <w:rPr>
          <w:rFonts w:ascii="Amiri" w:hAnsi="Amiri" w:eastAsia="Amiri" w:cs="Amiri"/>
          <w:color w:val="111111"/>
          <w:sz w:val="28"/>
          <w:sz w:val="28"/>
          <w:szCs w:val="28"/>
          <w:rtl w:val="true"/>
          <w:lang w:bidi="ar-SA"/>
        </w:rPr>
        <w:t xml:space="preserve">الطبرسي، علي بن الحسن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الطريحي، فخر الدين بن محمّد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الطيالسي، محمّد بن خالد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العاملي الغروي، جواد بن محمّد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عبدالأعلى بن أعين مولى آل سام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عبدالأعلى مولى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عبدالأعلى</w:t>
      </w:r>
    </w:p>
    <w:p>
      <w:pPr>
        <w:pStyle w:val="BookText"/>
        <w:rPr/>
      </w:pPr>
      <w:r>
        <w:rPr>
          <w:rFonts w:ascii="Amiri" w:hAnsi="Amiri" w:eastAsia="Amiri" w:cs="Amiri"/>
          <w:color w:val="111111"/>
          <w:sz w:val="28"/>
          <w:sz w:val="28"/>
          <w:szCs w:val="28"/>
          <w:rtl w:val="true"/>
          <w:lang w:bidi="ar-SA"/>
        </w:rPr>
        <w:t>بن أعين مولى آل سام</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عبدالرحمان بن أبي نجران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عبدالعظيم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بن</w:t>
      </w:r>
    </w:p>
    <w:p>
      <w:pPr>
        <w:pStyle w:val="BookText"/>
        <w:rPr/>
      </w:pPr>
      <w:r>
        <w:rPr>
          <w:rFonts w:ascii="IRNazanin" w:hAnsi="IRNazanin" w:eastAsia="IRNazanin"/>
          <w:color w:val="111111"/>
          <w:sz w:val="28"/>
          <w:sz w:val="28"/>
          <w:szCs w:val="28"/>
          <w:rtl w:val="true"/>
          <w:lang w:bidi="fa-IR"/>
        </w:rPr>
        <w:t>عبداللّه علیه السلام</w:t>
      </w:r>
    </w:p>
    <w:p>
      <w:pPr>
        <w:pStyle w:val="BookText"/>
        <w:rPr/>
      </w:pPr>
      <w:r>
        <w:rPr>
          <w:rFonts w:ascii="IRNazanin" w:hAnsi="IRNazanin" w:eastAsia="IRNazanin"/>
          <w:color w:val="111111"/>
          <w:sz w:val="28"/>
          <w:sz w:val="28"/>
          <w:szCs w:val="28"/>
          <w:rtl w:val="true"/>
          <w:lang w:bidi="fa-IR"/>
        </w:rPr>
        <w:t xml:space="preserve">عبدالعظيم بن عبداللّه علیه السلام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 xml:space="preserve">عبداللّه بن العبّاس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عبداللّه بن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عبداللّه بن عجلان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عبداللّه بن يحيى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عبدالواحد بن محمّد بن عبدوس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العطّار النيسابوري، عبدالواحد بن</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عبدالواحد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النيسابوري،</w:t>
      </w:r>
    </w:p>
    <w:p>
      <w:pPr>
        <w:pStyle w:val="BookText"/>
        <w:rPr/>
      </w:pPr>
      <w:r>
        <w:rPr>
          <w:rFonts w:ascii="IRNazanin" w:hAnsi="IRNazanin" w:eastAsia="IRNazanin"/>
          <w:color w:val="111111"/>
          <w:sz w:val="28"/>
          <w:sz w:val="28"/>
          <w:szCs w:val="28"/>
          <w:rtl w:val="true"/>
          <w:lang w:bidi="fa-IR"/>
        </w:rPr>
        <w:t>عبدالواحد بن محمّد</w:t>
      </w:r>
    </w:p>
    <w:p>
      <w:pPr>
        <w:pStyle w:val="BookText"/>
        <w:rPr/>
      </w:pPr>
      <w:r>
        <w:rPr>
          <w:rFonts w:ascii="Amiri" w:hAnsi="Amiri" w:eastAsia="Amiri" w:cs="Amiri"/>
          <w:color w:val="111111"/>
          <w:sz w:val="28"/>
          <w:sz w:val="28"/>
          <w:szCs w:val="28"/>
          <w:rtl w:val="true"/>
          <w:lang w:bidi="ar-SA"/>
        </w:rPr>
        <w:t xml:space="preserve">العبدي، زياد بن مروان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عذافر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العطّار النيسابوري، عبدالواحد بن محمّد</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العلاء بن سيابة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علي بن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 علي بن</w:t>
      </w:r>
    </w:p>
    <w:p>
      <w:pPr>
        <w:pStyle w:val="BookText"/>
        <w:rPr/>
      </w:pPr>
      <w:r>
        <w:rPr>
          <w:rFonts w:ascii="Amiri" w:hAnsi="Amiri" w:eastAsia="Amiri" w:cs="Amiri"/>
          <w:color w:val="111111"/>
          <w:sz w:val="28"/>
          <w:sz w:val="28"/>
          <w:szCs w:val="28"/>
          <w:rtl w:val="true"/>
          <w:lang w:bidi="ar-SA"/>
        </w:rPr>
        <w:t>أبي حمزة</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علي بن ميمون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الصائغ، علي</w:t>
      </w:r>
    </w:p>
    <w:p>
      <w:pPr>
        <w:pStyle w:val="BookText"/>
        <w:rPr/>
      </w:pPr>
      <w:r>
        <w:rPr>
          <w:rFonts w:ascii="Amiri" w:hAnsi="Amiri" w:eastAsia="Amiri" w:cs="Amiri"/>
          <w:color w:val="111111"/>
          <w:sz w:val="28"/>
          <w:sz w:val="28"/>
          <w:szCs w:val="28"/>
          <w:rtl w:val="true"/>
          <w:lang w:bidi="ar-SA"/>
        </w:rPr>
        <w:t>بن ميمون</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عذافر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عمرو بن مروان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عيسى بن حسّان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الفضل</w:t>
      </w:r>
    </w:p>
    <w:p>
      <w:pPr>
        <w:pStyle w:val="BookText"/>
        <w:rPr/>
      </w:pPr>
      <w:r>
        <w:rPr>
          <w:rFonts w:ascii="IRNazanin" w:hAnsi="IRNazanin" w:eastAsia="IRNazanin"/>
          <w:color w:val="111111"/>
          <w:sz w:val="28"/>
          <w:sz w:val="28"/>
          <w:szCs w:val="28"/>
          <w:rtl w:val="true"/>
          <w:lang w:bidi="fa-IR"/>
        </w:rPr>
        <w:t>بن شاذان</w:t>
      </w:r>
    </w:p>
    <w:p>
      <w:pPr>
        <w:pStyle w:val="BookText"/>
        <w:rPr/>
      </w:pPr>
      <w:r>
        <w:rPr>
          <w:rFonts w:ascii="IRNazanin" w:hAnsi="IRNazanin" w:eastAsia="IRNazanin"/>
          <w:color w:val="111111"/>
          <w:sz w:val="28"/>
          <w:sz w:val="28"/>
          <w:szCs w:val="28"/>
          <w:rtl w:val="true"/>
          <w:lang w:bidi="fa-IR"/>
        </w:rPr>
        <w:t xml:space="preserve">الفضل بن عبدالرحمان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الفيروز آبادي، محمّد بن يعقوب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الفيض الكاشاني، محمّد بن شاه مرتضى</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قطب الدين الشيرازي، محمّد بن مسعود</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القمّي، أبو القاسم بن</w:t>
      </w:r>
    </w:p>
    <w:p>
      <w:pPr>
        <w:pStyle w:val="BookText"/>
        <w:rPr/>
      </w:pPr>
      <w:r>
        <w:rPr>
          <w:rFonts w:ascii="Amiri" w:hAnsi="Amiri" w:eastAsia="Amiri" w:cs="Amiri"/>
          <w:color w:val="111111"/>
          <w:sz w:val="28"/>
          <w:sz w:val="28"/>
          <w:szCs w:val="28"/>
          <w:rtl w:val="true"/>
          <w:lang w:bidi="ar-SA"/>
        </w:rPr>
        <w:t>محمّد حسن</w:t>
      </w:r>
    </w:p>
    <w:p>
      <w:pPr>
        <w:pStyle w:val="BookText"/>
        <w:rPr/>
      </w:pPr>
      <w:r>
        <w:rPr>
          <w:rFonts w:ascii="Amiri" w:hAnsi="Amiri" w:eastAsia="Amiri" w:cs="Amiri"/>
          <w:color w:val="111111"/>
          <w:sz w:val="28"/>
          <w:sz w:val="28"/>
          <w:szCs w:val="28"/>
          <w:rtl w:val="true"/>
          <w:lang w:bidi="ar-SA"/>
        </w:rPr>
        <w:t xml:space="preserve">القمّي، جعفر بن أحمد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قنبر بن علي بن شاذان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القندي، زياد بن مروان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الكابلي، الوليد بن صبيح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محمّد بن</w:t>
      </w:r>
    </w:p>
    <w:p>
      <w:pPr>
        <w:pStyle w:val="BookText"/>
        <w:rPr/>
      </w:pPr>
      <w:r>
        <w:rPr>
          <w:rFonts w:ascii="IRNazanin" w:hAnsi="IRNazanin" w:eastAsia="IRNazanin"/>
          <w:color w:val="111111"/>
          <w:sz w:val="28"/>
          <w:sz w:val="28"/>
          <w:szCs w:val="28"/>
          <w:rtl w:val="true"/>
          <w:lang w:bidi="fa-IR"/>
        </w:rPr>
        <w:t>شاه مرتضى</w:t>
      </w:r>
    </w:p>
    <w:p>
      <w:pPr>
        <w:pStyle w:val="BookText"/>
        <w:rPr/>
      </w:pPr>
      <w:r>
        <w:rPr>
          <w:rFonts w:ascii="Amiri" w:hAnsi="Amiri" w:eastAsia="Amiri" w:cs="Amiri"/>
          <w:color w:val="111111"/>
          <w:sz w:val="28"/>
          <w:sz w:val="28"/>
          <w:szCs w:val="28"/>
          <w:rtl w:val="true"/>
          <w:lang w:bidi="ar-SA"/>
        </w:rPr>
        <w:t xml:space="preserve">كاشف الغطاء، جعفر بن خضر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الكاهلي، عبداللّه بن يحيى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الكراجكي، محمّد بن علي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مالك بن عطيّة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المأمون، خليفة العبّاسي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المحاربي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المحقّق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 محمّد تقي</w:t>
      </w:r>
    </w:p>
    <w:p>
      <w:pPr>
        <w:pStyle w:val="BookText"/>
        <w:rPr/>
      </w:pPr>
      <w:r>
        <w:rPr>
          <w:rFonts w:ascii="Amiri" w:hAnsi="Amiri" w:eastAsia="Amiri" w:cs="Amiri"/>
          <w:color w:val="111111"/>
          <w:sz w:val="28"/>
          <w:sz w:val="28"/>
          <w:szCs w:val="28"/>
          <w:rtl w:val="true"/>
          <w:lang w:bidi="ar-SA"/>
        </w:rPr>
        <w:t>بن محبعلي</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الطوسي،</w:t>
      </w:r>
    </w:p>
    <w:p>
      <w:pPr>
        <w:pStyle w:val="BookText"/>
        <w:rPr/>
      </w:pPr>
      <w:r>
        <w:rPr>
          <w:rFonts w:ascii="Amiri" w:hAnsi="Amiri" w:eastAsia="Amiri" w:cs="Amiri"/>
          <w:color w:val="111111"/>
          <w:sz w:val="28"/>
          <w:sz w:val="28"/>
          <w:szCs w:val="28"/>
          <w:rtl w:val="true"/>
          <w:lang w:bidi="ar-SA"/>
        </w:rPr>
        <w:t>محمّد بن محمّد</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محمّد بن علي بن عيسى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عيسى بن يقطين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معاذ بيّاع الأكسية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كثير بيّاع</w:t>
      </w:r>
    </w:p>
    <w:p>
      <w:pPr>
        <w:pStyle w:val="BookText"/>
        <w:rPr/>
      </w:pPr>
      <w:r>
        <w:rPr>
          <w:rFonts w:ascii="Amiri" w:hAnsi="Amiri" w:eastAsia="Amiri" w:cs="Amiri"/>
          <w:color w:val="111111"/>
          <w:sz w:val="28"/>
          <w:sz w:val="28"/>
          <w:szCs w:val="28"/>
          <w:rtl w:val="true"/>
          <w:lang w:bidi="ar-SA"/>
        </w:rPr>
        <w:t>الأكسية</w:t>
      </w:r>
    </w:p>
    <w:p>
      <w:pPr>
        <w:pStyle w:val="BookText"/>
        <w:rPr/>
      </w:pPr>
      <w:r>
        <w:rPr>
          <w:rFonts w:ascii="Amiri" w:hAnsi="Amiri" w:eastAsia="Amiri" w:cs="Amiri"/>
          <w:color w:val="111111"/>
          <w:sz w:val="28"/>
          <w:sz w:val="28"/>
          <w:szCs w:val="28"/>
          <w:rtl w:val="true"/>
          <w:lang w:bidi="ar-SA"/>
        </w:rPr>
        <w:t xml:space="preserve">معاذ بن كثير بيّاع الأكسية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معاوية بن أبي سفيان، خليفة الاُموي</w:t>
      </w:r>
    </w:p>
    <w:p>
      <w:pPr>
        <w:pStyle w:val="BookText"/>
        <w:rPr/>
      </w:pP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المعلوف، لويس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معمّر بن يحيى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مهران بن محمّد بن أبي نصر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الميرزا القمّي، أبو القاسم بن محمّد حسن</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Amiri" w:hAnsi="Amiri" w:eastAsia="Amiri" w:cs="Amiri"/>
          <w:color w:val="111111"/>
          <w:sz w:val="28"/>
          <w:sz w:val="28"/>
          <w:szCs w:val="28"/>
          <w:rtl w:val="true"/>
          <w:lang w:bidi="ar-SA"/>
        </w:rPr>
        <w:t xml:space="preserve">النراقي، أحمد بن محمّد مهدي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نصر بن حبيب صاحب الخان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نصر صاحب الخان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حبيب</w:t>
      </w:r>
    </w:p>
    <w:p>
      <w:pPr>
        <w:pStyle w:val="BookText"/>
        <w:rPr/>
      </w:pPr>
      <w:r>
        <w:rPr>
          <w:rFonts w:ascii="IRNazanin" w:hAnsi="IRNazanin" w:eastAsia="IRNazanin"/>
          <w:color w:val="111111"/>
          <w:sz w:val="28"/>
          <w:sz w:val="28"/>
          <w:szCs w:val="28"/>
          <w:rtl w:val="true"/>
          <w:lang w:bidi="fa-IR"/>
        </w:rPr>
        <w:t>صاحب الخان</w:t>
      </w:r>
    </w:p>
    <w:p>
      <w:pPr>
        <w:pStyle w:val="BookText"/>
        <w:rPr/>
      </w:pPr>
      <w:r>
        <w:rPr>
          <w:rFonts w:ascii="Amiri" w:hAnsi="Amiri" w:eastAsia="Amiri" w:cs="Amiri"/>
          <w:color w:val="111111"/>
          <w:sz w:val="28"/>
          <w:sz w:val="28"/>
          <w:szCs w:val="28"/>
          <w:rtl w:val="true"/>
          <w:lang w:bidi="ar-SA"/>
        </w:rPr>
        <w:t xml:space="preserve">نصير الدين طوسى، محمّد بن محمّد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p>
    <w:p>
      <w:pPr>
        <w:pStyle w:val="BookText"/>
        <w:rPr/>
      </w:pPr>
      <w:r>
        <w:rPr>
          <w:rFonts w:ascii="Amiri" w:hAnsi="Amiri" w:eastAsia="Amiri" w:cs="Amiri"/>
          <w:color w:val="111111"/>
          <w:sz w:val="28"/>
          <w:sz w:val="28"/>
          <w:szCs w:val="28"/>
          <w:rtl w:val="true"/>
          <w:lang w:bidi="ar-SA"/>
        </w:rPr>
        <w:t>الحسين بن محمّد تقي</w:t>
      </w:r>
    </w:p>
    <w:p>
      <w:pPr>
        <w:pStyle w:val="BookText"/>
        <w:rPr/>
      </w:pPr>
      <w:r>
        <w:rPr>
          <w:rFonts w:ascii="Amiri" w:hAnsi="Amiri" w:eastAsia="Amiri" w:cs="Amiri"/>
          <w:color w:val="111111"/>
          <w:sz w:val="28"/>
          <w:sz w:val="28"/>
          <w:szCs w:val="28"/>
          <w:rtl w:val="true"/>
          <w:lang w:bidi="ar-SA"/>
        </w:rPr>
        <w:t xml:space="preserve">النوري، الحسين بن محمّد تقي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النيسابوري، علي بن محمّد بن قتيبة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الواسطي، أبو يحيى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ورّام بن أبي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مسعود بن</w:t>
      </w:r>
    </w:p>
    <w:p>
      <w:pPr>
        <w:pStyle w:val="BookText"/>
        <w:rPr/>
      </w:pPr>
      <w:r>
        <w:rPr>
          <w:rFonts w:ascii="Amiri" w:hAnsi="Amiri" w:eastAsia="Amiri" w:cs="Amiri"/>
          <w:color w:val="111111"/>
          <w:sz w:val="28"/>
          <w:sz w:val="28"/>
          <w:szCs w:val="28"/>
          <w:rtl w:val="true"/>
          <w:lang w:bidi="ar-SA"/>
        </w:rPr>
        <w:t>عيسى</w:t>
      </w:r>
    </w:p>
    <w:p>
      <w:pPr>
        <w:pStyle w:val="BookText"/>
        <w:rPr/>
      </w:pPr>
      <w:r>
        <w:rPr>
          <w:rFonts w:ascii="Amiri" w:hAnsi="Amiri" w:eastAsia="Amiri" w:cs="Amiri"/>
          <w:color w:val="111111"/>
          <w:sz w:val="28"/>
          <w:sz w:val="28"/>
          <w:szCs w:val="28"/>
          <w:rtl w:val="true"/>
          <w:lang w:bidi="ar-SA"/>
        </w:rPr>
        <w:t xml:space="preserve">ورّام، مسعود بن عيسى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الوشّاء، الحسن بن علي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الوليد 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 الوليد بن</w:t>
      </w:r>
    </w:p>
    <w:p>
      <w:pPr>
        <w:pStyle w:val="BookText"/>
        <w:rPr/>
      </w:pPr>
      <w:r>
        <w:rPr>
          <w:rFonts w:ascii="Amiri" w:hAnsi="Amiri" w:eastAsia="Amiri" w:cs="Amiri"/>
          <w:color w:val="111111"/>
          <w:sz w:val="28"/>
          <w:sz w:val="28"/>
          <w:szCs w:val="28"/>
          <w:rtl w:val="true"/>
          <w:lang w:bidi="ar-SA"/>
        </w:rPr>
        <w:t>صبيح</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الهاشمي، إسماعيل بن الفضل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الهمداني، صالح بن سهل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هود أبو أيّوب الأنصاري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 xml:space="preserve">الهيثم بن أبي روح صاحب الخان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أبي روح</w:t>
      </w:r>
    </w:p>
    <w:p>
      <w:pPr>
        <w:pStyle w:val="BookText"/>
        <w:rPr/>
      </w:pPr>
      <w:r>
        <w:rPr>
          <w:rFonts w:ascii="IRNazanin" w:hAnsi="IRNazanin" w:eastAsia="IRNazanin"/>
          <w:color w:val="111111"/>
          <w:sz w:val="28"/>
          <w:sz w:val="28"/>
          <w:szCs w:val="28"/>
          <w:rtl w:val="true"/>
          <w:lang w:bidi="fa-IR"/>
        </w:rPr>
        <w:t>صاحب الخان</w:t>
      </w:r>
    </w:p>
    <w:p>
      <w:pPr>
        <w:pStyle w:val="BookText"/>
        <w:rPr/>
      </w:pP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يحيى بن إبراهيم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يونس بن حمّاد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عبدالرحمان</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يونس بن عمّار </w:t>
      </w:r>
      <w:r>
        <w:rPr>
          <w:rFonts w:eastAsia="Amiri" w:cs="Amiri" w:ascii="Amiri" w:hAnsi="Amiri"/>
          <w:color w:val="111111"/>
          <w:sz w:val="28"/>
          <w:szCs w:val="28"/>
          <w:lang w:bidi="ar-SA"/>
        </w:rPr>
        <w:t>193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425" w:name="pg15162_155797"/>
    </w:p>
    <w:p>
      <w:pPr>
        <w:pStyle w:val="Heading3"/>
        <w:numPr>
          <w:ilvl w:val="2"/>
          <w:numId w:val="1"/>
        </w:numPr>
        <w:rPr/>
      </w:pPr>
      <w:bookmarkStart w:id="426" w:name="__RefHeading___Toc1955636_2142443653"/>
      <w:bookmarkStart w:id="427" w:name="_Toc149"/>
      <w:bookmarkEnd w:id="425"/>
      <w:bookmarkEnd w:id="426"/>
      <w:r>
        <w:rPr/>
        <w:t>5</w:t>
      </w:r>
      <w:r>
        <w:rPr>
          <w:rtl w:val="true"/>
        </w:rPr>
        <w:t xml:space="preserve"> - </w:t>
      </w:r>
      <w:r>
        <w:rPr>
          <w:rtl w:val="true"/>
        </w:rPr>
        <w:t>فهرس الكتب الواردة في المتن</w:t>
      </w:r>
      <w:bookmarkEnd w:id="427"/>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الإخوان</w:t>
      </w:r>
    </w:p>
    <w:p>
      <w:pPr>
        <w:pStyle w:val="BookText"/>
        <w:rPr/>
      </w:pPr>
      <w:r>
        <w:rPr>
          <w:rFonts w:ascii="IRNazanin" w:hAnsi="IRNazanin" w:eastAsia="IRNazanin"/>
          <w:color w:val="111111"/>
          <w:sz w:val="28"/>
          <w:sz w:val="28"/>
          <w:szCs w:val="28"/>
          <w:rtl w:val="true"/>
          <w:lang w:bidi="fa-IR"/>
        </w:rPr>
        <w:t xml:space="preserve">أقرب الموارد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بدائع الدرر في قاعدة نفي الضرر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البيع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تعليقة السيّد الطباطبائي على</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p>
    <w:p>
      <w:pPr>
        <w:pStyle w:val="BookText"/>
        <w:rPr/>
      </w:pPr>
      <w:r>
        <w:rPr>
          <w:rFonts w:ascii="Amiri" w:hAnsi="Amiri" w:eastAsia="Amiri" w:cs="Amiri"/>
          <w:color w:val="111111"/>
          <w:sz w:val="28"/>
          <w:sz w:val="28"/>
          <w:szCs w:val="28"/>
          <w:rtl w:val="true"/>
          <w:lang w:bidi="ar-SA"/>
        </w:rPr>
        <w:t>للمحقّق اليزدي</w:t>
      </w:r>
    </w:p>
    <w:p>
      <w:pPr>
        <w:pStyle w:val="BookText"/>
        <w:rPr/>
      </w:pPr>
      <w:r>
        <w:rPr>
          <w:rFonts w:ascii="Amiri" w:hAnsi="Amiri" w:eastAsia="Amiri" w:cs="Amiri"/>
          <w:color w:val="111111"/>
          <w:sz w:val="28"/>
          <w:sz w:val="28"/>
          <w:szCs w:val="28"/>
          <w:rtl w:val="true"/>
          <w:lang w:bidi="ar-SA"/>
        </w:rPr>
        <w:t>تعليقة العلاّمة الشيرازي على</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p>
    <w:p>
      <w:pPr>
        <w:pStyle w:val="BookText"/>
        <w:rPr/>
      </w:pPr>
      <w:r>
        <w:rPr>
          <w:rFonts w:ascii="Amiri" w:hAnsi="Amiri" w:eastAsia="Amiri" w:cs="Amiri"/>
          <w:color w:val="111111"/>
          <w:sz w:val="28"/>
          <w:sz w:val="28"/>
          <w:szCs w:val="28"/>
          <w:rtl w:val="true"/>
          <w:lang w:bidi="ar-SA"/>
        </w:rPr>
        <w:t>للمحقّق الشيرازي</w:t>
      </w:r>
    </w:p>
    <w:p>
      <w:pPr>
        <w:pStyle w:val="BookText"/>
        <w:rPr/>
      </w:pPr>
      <w:r>
        <w:rPr>
          <w:rFonts w:ascii="Amiri" w:hAnsi="Amiri" w:eastAsia="Amiri" w:cs="Amiri"/>
          <w:color w:val="111111"/>
          <w:sz w:val="28"/>
          <w:sz w:val="28"/>
          <w:szCs w:val="28"/>
          <w:rtl w:val="true"/>
          <w:lang w:bidi="ar-SA"/>
        </w:rPr>
        <w:t>تعليقة المحقّق الإيرواني على</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p>
    <w:p>
      <w:pPr>
        <w:pStyle w:val="BookText"/>
        <w:rPr/>
      </w:pPr>
      <w:r>
        <w:rPr>
          <w:rFonts w:ascii="Amiri" w:hAnsi="Amiri" w:eastAsia="Amiri" w:cs="Amiri"/>
          <w:color w:val="111111"/>
          <w:sz w:val="28"/>
          <w:sz w:val="28"/>
          <w:szCs w:val="28"/>
          <w:rtl w:val="true"/>
          <w:lang w:bidi="ar-SA"/>
        </w:rPr>
        <w:t>للمحقّق الإيرواني</w:t>
      </w:r>
    </w:p>
    <w:p>
      <w:pPr>
        <w:pStyle w:val="BookText"/>
        <w:rPr/>
      </w:pPr>
      <w:r>
        <w:rPr>
          <w:rFonts w:ascii="Amiri" w:hAnsi="Amiri" w:eastAsia="Amiri" w:cs="Amiri"/>
          <w:color w:val="111111"/>
          <w:sz w:val="28"/>
          <w:sz w:val="28"/>
          <w:szCs w:val="28"/>
          <w:rtl w:val="true"/>
          <w:lang w:bidi="ar-SA"/>
        </w:rPr>
        <w:t>تفسير أبي 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p>
    <w:p>
      <w:pPr>
        <w:pStyle w:val="BookText"/>
        <w:rPr/>
      </w:pPr>
      <w:r>
        <w:rPr>
          <w:rFonts w:ascii="Amiri" w:hAnsi="Amiri" w:eastAsia="Amiri" w:cs="Amiri"/>
          <w:color w:val="111111"/>
          <w:sz w:val="28"/>
          <w:sz w:val="28"/>
          <w:szCs w:val="28"/>
          <w:rtl w:val="true"/>
          <w:lang w:bidi="ar-SA"/>
        </w:rPr>
        <w:t>وَروح الجَنان</w:t>
      </w:r>
    </w:p>
    <w:p>
      <w:pPr>
        <w:pStyle w:val="BookText"/>
        <w:rPr/>
      </w:pPr>
      <w:r>
        <w:rPr>
          <w:rFonts w:ascii="IRNazanin" w:hAnsi="IRNazanin" w:eastAsia="IRNazanin"/>
          <w:color w:val="111111"/>
          <w:sz w:val="28"/>
          <w:sz w:val="28"/>
          <w:szCs w:val="28"/>
          <w:rtl w:val="true"/>
          <w:lang w:bidi="fa-IR"/>
        </w:rPr>
        <w:t xml:space="preserve">تفسير الإمام العسكري علیه السلام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p>
    <w:p>
      <w:pPr>
        <w:pStyle w:val="BookText"/>
        <w:rPr/>
      </w:pPr>
      <w:r>
        <w:rPr>
          <w:rFonts w:ascii="Amiri" w:hAnsi="Amiri" w:eastAsia="Amiri" w:cs="Amiri"/>
          <w:color w:val="111111"/>
          <w:sz w:val="28"/>
          <w:sz w:val="28"/>
          <w:szCs w:val="28"/>
          <w:rtl w:val="true"/>
          <w:lang w:bidi="ar-SA"/>
        </w:rPr>
        <w:t xml:space="preserve">تلخيص المفتاح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جامع البزنطي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حاشية المكاسب للمحقّق الإيرواني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حاشية المكاسب للمحقّق الشيرازي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 xml:space="preserve">روض الجِنان وَروح الجَنان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الخمس للشيخ الأنصاري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رسالة التقيّة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رسالة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للإمام الخميني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التيمّم</w:t>
      </w:r>
    </w:p>
    <w:p>
      <w:pPr>
        <w:pStyle w:val="BookText"/>
        <w:rPr/>
      </w:pPr>
      <w:r>
        <w:rPr>
          <w:rFonts w:ascii="Amiri" w:hAnsi="Amiri" w:eastAsia="Amiri" w:cs="Amiri"/>
          <w:color w:val="111111"/>
          <w:sz w:val="28"/>
          <w:sz w:val="28"/>
          <w:szCs w:val="28"/>
          <w:rtl w:val="true"/>
          <w:lang w:bidi="ar-SA"/>
        </w:rPr>
        <w:t xml:space="preserve">رسالة القضاء للشيخ الأنصاري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رسالة لا ضرر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الدرر في قاعدة نفي</w:t>
      </w:r>
    </w:p>
    <w:p>
      <w:pPr>
        <w:pStyle w:val="BookText"/>
        <w:rPr/>
      </w:pPr>
      <w:r>
        <w:rPr>
          <w:rFonts w:ascii="IRNazanin" w:hAnsi="IRNazanin" w:eastAsia="IRNazanin"/>
          <w:color w:val="111111"/>
          <w:sz w:val="28"/>
          <w:sz w:val="28"/>
          <w:szCs w:val="28"/>
          <w:rtl w:val="true"/>
          <w:lang w:bidi="fa-IR"/>
        </w:rPr>
        <w:t>الضرر</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شرح حكمة الإشراق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شرح القواعد لكاشف الغطاء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الصلاة للحائري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الطهارة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الاُصول</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كتاب البزنطي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كتاب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للسيّد فضل</w:t>
      </w:r>
    </w:p>
    <w:p>
      <w:pPr>
        <w:pStyle w:val="BookText"/>
        <w:rPr/>
      </w:pPr>
      <w:r>
        <w:rPr>
          <w:rFonts w:ascii="Amiri" w:hAnsi="Amiri" w:eastAsia="Amiri" w:cs="Amiri"/>
          <w:color w:val="111111"/>
          <w:sz w:val="28"/>
          <w:sz w:val="28"/>
          <w:szCs w:val="28"/>
          <w:rtl w:val="true"/>
          <w:lang w:bidi="ar-SA"/>
        </w:rPr>
        <w:t>اللّه الراوندي</w:t>
      </w:r>
    </w:p>
    <w:p>
      <w:pPr>
        <w:pStyle w:val="BookText"/>
        <w:rPr/>
      </w:pPr>
      <w:r>
        <w:rPr>
          <w:rFonts w:ascii="Amiri" w:hAnsi="Amiri" w:eastAsia="Amiri" w:cs="Amiri"/>
          <w:color w:val="111111"/>
          <w:sz w:val="28"/>
          <w:sz w:val="28"/>
          <w:szCs w:val="28"/>
          <w:rtl w:val="true"/>
          <w:lang w:bidi="ar-SA"/>
        </w:rPr>
        <w:t xml:space="preserve">كتاب طلحة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كتاب عبداللّه بن بكير بن أعين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كتاب الغيبة لفضل بن شاذان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كتاب مسائل الرجال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غرر</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منتهى الإرب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النوادر لأحمد بن محمّد بن عيسى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 xml:space="preserve">النوادر للسيّد فضل اللّه الراوندي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w:t>
      </w:r>
    </w:p>
    <w:p>
      <w:pPr>
        <w:pStyle w:val="BookText"/>
        <w:rPr/>
      </w:pPr>
      <w:r>
        <w:rPr>
          <w:rFonts w:ascii="IRNazanin" w:hAnsi="IRNazanin" w:eastAsia="IRNazanin"/>
          <w:color w:val="111111"/>
          <w:sz w:val="28"/>
          <w:sz w:val="28"/>
          <w:szCs w:val="28"/>
          <w:rtl w:val="true"/>
          <w:lang w:bidi="fa-IR"/>
        </w:rPr>
        <w:t>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428" w:name="pg15162_155801"/>
    </w:p>
    <w:p>
      <w:pPr>
        <w:pStyle w:val="Heading3"/>
        <w:numPr>
          <w:ilvl w:val="2"/>
          <w:numId w:val="1"/>
        </w:numPr>
        <w:rPr/>
      </w:pPr>
      <w:bookmarkStart w:id="429" w:name="__RefHeading___Toc1955638_2142443653"/>
      <w:bookmarkStart w:id="430" w:name="_Toc150"/>
      <w:bookmarkEnd w:id="428"/>
      <w:bookmarkEnd w:id="429"/>
      <w:r>
        <w:rPr/>
        <w:t>6</w:t>
      </w:r>
      <w:r>
        <w:rPr>
          <w:rtl w:val="true"/>
        </w:rPr>
        <w:t xml:space="preserve"> - </w:t>
      </w:r>
      <w:r>
        <w:rPr>
          <w:rtl w:val="true"/>
        </w:rPr>
        <w:t>فهرس مصادر التحقيق</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ستارة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إبراهيم البهادري ومحمّد هادي به ، الطبعة الاُولى ، مجلّدان ، قم ، منشورات اُسوة ،</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الارءشاد في معرفة حجج اللّه على العباد ،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تحقيق مؤسّسة آل البيت علیهم السلام لإحياء التراث ، الطبعة الاُولى ، جزءان في</w:t>
      </w:r>
    </w:p>
    <w:p>
      <w:pPr>
        <w:pStyle w:val="BookText"/>
        <w:rPr/>
      </w:pPr>
      <w:r>
        <w:rPr>
          <w:rFonts w:ascii="Amiri" w:hAnsi="Amiri" w:eastAsia="Amiri" w:cs="Amiri"/>
          <w:color w:val="111111"/>
          <w:sz w:val="28"/>
          <w:sz w:val="28"/>
          <w:szCs w:val="28"/>
          <w:rtl w:val="true"/>
          <w:lang w:bidi="ar-SA"/>
        </w:rPr>
        <w:t xml:space="preserve">مجلّد واحد ، 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الفقه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على صلاة الجمعة، صلاة المسافر،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w:t>
      </w:r>
    </w:p>
    <w:p>
      <w:pPr>
        <w:pStyle w:val="BookText"/>
        <w:rPr/>
      </w:pPr>
      <w:r>
        <w:rPr>
          <w:rFonts w:ascii="Amiri" w:hAnsi="Amiri" w:eastAsia="Amiri" w:cs="Amiri"/>
          <w:color w:val="111111"/>
          <w:sz w:val="28"/>
          <w:sz w:val="28"/>
          <w:szCs w:val="28"/>
          <w:rtl w:val="true"/>
          <w:lang w:bidi="ar-SA"/>
        </w:rPr>
        <w:t xml:space="preserve">حسين الأصفهانى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مؤسّسة النشر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الدرر في قاعدة نفي الضرر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الحسن ابن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آل البيت علیهم السلام لإحياء التراث ، الطبعة الاُولى ، صدر منه حتّى</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الطبعة الاُولى، قم، مدرسة الإمام المهديّ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طهران، دار الكتب الإسلامية،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 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النضيد في شرح منطق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 تحقيق باقر الفخّار الأصفهاني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ذوي القربى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ذوي القربى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دار المصطفى</w:t>
      </w:r>
    </w:p>
    <w:p>
      <w:pPr>
        <w:pStyle w:val="BookText"/>
        <w:rPr/>
      </w:pPr>
      <w:r>
        <w:rPr>
          <w:rFonts w:ascii="Amiri" w:hAnsi="Amiri" w:eastAsia="Amiri" w:cs="Amiri"/>
          <w:color w:val="111111"/>
          <w:sz w:val="28"/>
          <w:sz w:val="28"/>
          <w:szCs w:val="28"/>
          <w:rtl w:val="true"/>
          <w:lang w:bidi="ar-SA"/>
        </w:rPr>
        <w:t xml:space="preserve">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جزءان في مجلّد واحد ، قم ، انتشارات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حامد الحسيني النقوي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علي الحسيني الميلاني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البعثة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الأحسائي ، مخطوط في المكتبة المرعشيّة ، تحت 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الباهرة من الأصداف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المشهد الرضوي ، مؤسّسة الآستانة الرضوية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أبو الحسين سعيد بن هبة اللّه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مدرسة الإمام المهديّ علیه السلام ، الطبعة الاُولى ، قم ، انتشارات مدرسة الإمام المهديّ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الأصفهاني ، الطبعة الاُولى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الرسالات الفقهية والاُصولية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فقهية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لجنة تحقيق تراث الشيخ الأعظم ، الطبعة الاُولى ، قم ، مكتبة الفقهية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أبي الفتوح 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علي بن محمّد بن أحمد الخزاعي النيسابوري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الفتوح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دكتر محمّد جعفر ياحقي ودكتر محمّد مهديّ ناصح ، چاپ دوم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مشهد ، انتشارات آستان قدس رضوى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في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أحمد بن محمّد المعروف بالمقدّس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البهبودي ، طهران ، المكتبة المرتضوية لإحياء الآثار الجعفرية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 الوهّاج لدفع عجاج قاطعة اللجاج ، المطبوع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ابن سليمان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عبدالرحمن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w:t>
      </w:r>
    </w:p>
    <w:p>
      <w:pPr>
        <w:pStyle w:val="BookText"/>
        <w:rPr/>
      </w:pPr>
      <w:r>
        <w:rPr>
          <w:rFonts w:ascii="Amiri" w:hAnsi="Amiri" w:eastAsia="Amiri" w:cs="Amiri"/>
          <w:color w:val="111111"/>
          <w:sz w:val="28"/>
          <w:sz w:val="28"/>
          <w:szCs w:val="28"/>
          <w:rtl w:val="true"/>
          <w:lang w:bidi="ar-SA"/>
        </w:rPr>
        <w:t xml:space="preserve">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حكمة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بن مصلح المشهور بقطب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الشيخ خضر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محمّد حسين الرضوي الكشميري ، الطبعة الاُولى ، مجلّدان ، قم ، سعيد بن جبير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بن رشيد بن صلاح الصيمري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جعفر الكوثراني العاملي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الهادي للطباعة والنشر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في الاُصول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عبدالرحيم الطهراني الأصفهاني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دار إحياء العلوم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بالاُفست عن الطبعة الحجرية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 الطبعة الثانية ، مجلّدان ،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w:t>
      </w:r>
    </w:p>
    <w:p>
      <w:pPr>
        <w:pStyle w:val="BookText"/>
        <w:rPr/>
      </w:pPr>
      <w:r>
        <w:rPr>
          <w:rFonts w:ascii="IRNazanin" w:hAnsi="IRNazanin" w:eastAsia="IRNazanin"/>
          <w:color w:val="111111"/>
          <w:sz w:val="28"/>
          <w:sz w:val="28"/>
          <w:szCs w:val="28"/>
          <w:rtl w:val="true"/>
          <w:lang w:bidi="fa-IR"/>
        </w:rPr>
        <w:t xml:space="preserve">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مجلّدان ، الطبعة الحجرية ، المجلّد الأوّل ، 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والمجلّد الثاني ، طهران ، المستنسخة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بكاشف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مركز النشر التابع لمكتب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عبداللّه نعمة ، الطبعة الاُولى ، جزءان ، قم ، منشورات دار الذخائر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المعرفة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الطبعة الثانية،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w:t>
      </w:r>
    </w:p>
    <w:p>
      <w:pPr>
        <w:pStyle w:val="BookText"/>
        <w:rPr/>
      </w:pPr>
      <w:r>
        <w:rPr>
          <w:rFonts w:ascii="Amiri" w:hAnsi="Amiri" w:eastAsia="Amiri" w:cs="Amiri"/>
          <w:color w:val="111111"/>
          <w:sz w:val="28"/>
          <w:sz w:val="28"/>
          <w:szCs w:val="28"/>
          <w:rtl w:val="true"/>
          <w:lang w:bidi="ar-SA"/>
        </w:rPr>
        <w:t xml:space="preserve">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يحيى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هوشمند ، الطبعة الاُولى ، قم ، دار الحديث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المصابيح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مهدي الطباطبائي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 التجارة من مخطوطة مكتبة آية اللّه الگلپايگاني تحت 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 قم ، ليتوغراف الكرماني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بالاُوفست عن طبع منشورات مكتبة الإمام صاحب الزمان العامّة ،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آية اللّه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التوحيديّ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انتشارات وجداني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المطوّل في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الهروي مسعود بن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وبهامشه حاشية المير سيّد شريف ، قم ، مكتبة آية اللّه المرعشي</w:t>
      </w:r>
    </w:p>
    <w:p>
      <w:pPr>
        <w:pStyle w:val="BookText"/>
        <w:rPr/>
      </w:pPr>
      <w:r>
        <w:rPr>
          <w:rFonts w:ascii="IRNazanin" w:hAnsi="IRNazanin" w:eastAsia="IRNazanin"/>
          <w:color w:val="111111"/>
          <w:sz w:val="28"/>
          <w:sz w:val="28"/>
          <w:szCs w:val="28"/>
          <w:rtl w:val="true"/>
          <w:lang w:bidi="fa-IR"/>
        </w:rPr>
        <w:t xml:space="preserve">النجفى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قم ، مؤسّسة النشر الإسلامي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 لألفاظ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 چاپ دوم ، طهران، انتشارات حرّ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معيار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علي بن محمّد صادق الشيرازي ، الطبعة الحجرية ، ايران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يوسف بن أبي بكر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 دار الكتب العلمية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رضيّ الدين علي بن موسى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طهران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الإرب في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عبدالكريم الصفيپور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مجلّدين ، طهران ، كتابخانه سنائي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مالك بن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 الباقي ، مجلّدان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بن نحرير بن عبد 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 بن عيسى الأشعري القمّي ، تحقيق 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فضل اللّه بن علي الحسيني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سعيد رضا علي عسكري ، الطبعة الاُولى ، قم ، مؤسّسة دار الحديث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دارالطباعة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الإمام الهادي علیه السلام ، الطبعة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 قم ، مؤسّسة الإمام الهادي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5162_155819"/>
      <w:bookmarkStart w:id="432" w:name="pg15162_155819"/>
      <w:bookmarkEnd w:id="432"/>
    </w:p>
    <w:p>
      <w:pPr>
        <w:pStyle w:val="Heading3"/>
        <w:numPr>
          <w:ilvl w:val="2"/>
          <w:numId w:val="1"/>
        </w:numPr>
        <w:rPr/>
      </w:pPr>
      <w:bookmarkStart w:id="433" w:name="pg15162_155819"/>
      <w:bookmarkStart w:id="434" w:name="__RefHeading___Toc1955640_2142443653"/>
      <w:bookmarkStart w:id="435" w:name="_Toc151"/>
      <w:bookmarkEnd w:id="433"/>
      <w:bookmarkEnd w:id="434"/>
      <w:r>
        <w:rPr/>
        <w:t>7</w:t>
      </w:r>
      <w:r>
        <w:rPr>
          <w:rtl w:val="true"/>
        </w:rPr>
        <w:t xml:space="preserve"> - </w:t>
      </w:r>
      <w:r>
        <w:rPr>
          <w:rtl w:val="true"/>
        </w:rPr>
        <w:t>فهرس الموضوعات</w:t>
      </w:r>
      <w:bookmarkEnd w:id="435"/>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القمار</w:t>
      </w:r>
    </w:p>
    <w:p>
      <w:pPr>
        <w:pStyle w:val="BookText"/>
        <w:rPr/>
      </w:pPr>
      <w:r>
        <w:rPr>
          <w:rFonts w:ascii="Amiri" w:hAnsi="Amiri" w:eastAsia="Amiri" w:cs="Amiri"/>
          <w:color w:val="111111"/>
          <w:sz w:val="28"/>
          <w:sz w:val="28"/>
          <w:szCs w:val="28"/>
          <w:rtl w:val="true"/>
          <w:lang w:bidi="ar-SA"/>
        </w:rPr>
        <w:t xml:space="preserve">حرمة اللعب بالآلات المعدّة للقمار مع رهان لصدق عنواني القمار والميسر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عدم صدق عنواني القمار والميسر على اللعب بغير الآلات بلا 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عدم صدق عنواني القمار والميسر على اللعب بغير الآلات مع 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عدم صدق عنواني القمار والميسر على اللعب بالآلات بلا 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استفادة حرمة اللعب بالآلات بلا رهان من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الاستدلال على حرمة اللعب بالآلات بلا رهان بالروايات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حكم اللعب بغير آلات القمار مع 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الاستدلال على الحكم بدعوى صدق القمار عرفاً على مطلق اللعب برهن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الاستدلال على الحكم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الخمر والميسر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 الاستدلال على الحكم بآية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الاستدلال على الحكم بالروايات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حكم المغالبة بغير عوض في غير ما استثني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فرعان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المال المأخوذ بالقمار بعنوانه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الكتاب والسنّة على أنّ القمار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الكذب</w:t>
      </w:r>
    </w:p>
    <w:p>
      <w:pPr>
        <w:pStyle w:val="BookText"/>
        <w:rPr/>
      </w:pPr>
      <w:r>
        <w:rPr>
          <w:rFonts w:ascii="Amiri" w:hAnsi="Amiri" w:eastAsia="Amiri" w:cs="Amiri"/>
          <w:color w:val="111111"/>
          <w:sz w:val="28"/>
          <w:sz w:val="28"/>
          <w:szCs w:val="28"/>
          <w:rtl w:val="true"/>
          <w:lang w:bidi="ar-SA"/>
        </w:rPr>
        <w:t xml:space="preserve">ماهية الصدق والكذب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عدم تقوّم الكذب بالقول واللفظ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عدم تقوّم الكذب على إفهام المخاطب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الميزان في صدق المتكلّم وكذبه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عدم كون التورية وخلف الوعد كذباً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حرمة الكذب وما يلحق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انصراف أدلّة الحرمة عن الكذب عند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ما يفيد فائدة الكذب كالتورية والإنشاء والأفعال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انصراف المطلقات عن الكذب في مقام الهزل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حكم الإخبار عن قضيّة مشكوك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الكذب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الاستدلال بالروايات على كون الكذب مطلقاً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الاستدلال بروايتي العيون والخصال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إشكال العلاّمة الشيرازي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الاستدلال بموثّقة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الاستدلال بالمرسلة التي ذكرها الشيخ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الاستدلال برواية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الاستدلال برواية أبي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الاستدلال بالروايات الدالّة على عدم اجتماع الكذب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الاستدلال بالروايات الدالّة على أنّ قول الزور عدل 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بمرسلة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بروايات ضعيفة سنداً أو 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أنّ الكذب كبيرة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دفع كون تحريم الكذب باعتبار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حكم العقل بقبح الكذب ذاتاً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مناط حكم الشرع في الكذب غير مناط 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مقتضى الروايات حرمة الكذب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 الضرورة من مسوّغات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أنّ إرادة الإصلاح من مسوّغات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هل يجوز الكذب في الوعد مع الأهل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معونة الظالم</w:t>
      </w:r>
    </w:p>
    <w:p>
      <w:pPr>
        <w:pStyle w:val="BookText"/>
        <w:rPr/>
      </w:pPr>
      <w:r>
        <w:rPr>
          <w:rFonts w:ascii="Amiri" w:hAnsi="Amiri" w:eastAsia="Amiri" w:cs="Amiri"/>
          <w:color w:val="111111"/>
          <w:sz w:val="28"/>
          <w:sz w:val="28"/>
          <w:szCs w:val="28"/>
          <w:rtl w:val="true"/>
          <w:lang w:bidi="ar-SA"/>
        </w:rPr>
        <w:t xml:space="preserve">هل تكون معونة الظالم من الكبائر مطلقاً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أقسام الظالم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معونة الظلمة الذين يتلبّسون بظلمٍ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معونة الظلمة الذين يكون الظلم شغلاً لهم وغيرهم من الاُمراء والسلاطين والخلفاء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من قبل الجائر</w:t>
      </w:r>
    </w:p>
    <w:p>
      <w:pPr>
        <w:pStyle w:val="BookText"/>
        <w:rPr/>
      </w:pPr>
      <w:r>
        <w:rPr>
          <w:rFonts w:ascii="Amiri" w:hAnsi="Amiri" w:eastAsia="Amiri" w:cs="Amiri"/>
          <w:color w:val="111111"/>
          <w:sz w:val="28"/>
          <w:sz w:val="28"/>
          <w:szCs w:val="28"/>
          <w:rtl w:val="true"/>
          <w:lang w:bidi="ar-SA"/>
        </w:rPr>
        <w:t xml:space="preserve">حرمة الولاية من قبل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الروايات الدالّة على أنّ حرمة الولاية لأجل حرمة التصرّف في سلطان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الروايات الدالّة على حرمة الولاية ذاتاً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الروايات الدالّة على أنّ الحرمة لأمر 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الروايات الظاهرة في الحرمة بلا 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المنافاة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مسوّغات الولاية من قبل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ثمّ إنّه يسوّغ الدخول في أعمالهم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بمصالح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الروايات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عدم المعارضة بين الروايات لدى العرف والعقلاء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كلام الشيخ الأعظم في الولاية المكروهة والمستحبّة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في وجوب تصدّي الولاية فيما توقّف الأمر بالمعروف والنهي عن المنكر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مقتضى القواعد مع قطع النظر عن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مقتضى الأخبار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يمكن إلغاء الخصوصية من مورد الجواز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المتيقّن من الأدلّة جواز الدخول لإصلاح حال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ذكر كلمات الأصحاب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الأمر الثاني ممّا يسوّغ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كالاضطرار أو التقيّة أو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الإكراه لمطلق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ما استدلّ به على اختصاص أدلّة الإكراه بحقّ اللّه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مستثنيات إطلاق أدلّة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استثناء ما يؤدّي إلى الفساد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استثناء ما يؤدّي إلى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مفاد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الدم فلا تقيّة</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في دوران الأمر بين مباشرة القتل وبين إيقاع النفس في الهلكة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سائر أقسام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التقيّة إذا خاف على عرض مؤمن أو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ما ذكره الشيخ في معنى الإكراه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بطلان تفسير الإرادة بالشوق المتأكّد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الشيخ من أنّ قبول الولاية مع الضرر المالي اليسير رخصة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التفصيل بين ما إذا كان المورد من موارد التقيّة الواجبة وبين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القسم الخامس</w:t>
      </w:r>
    </w:p>
    <w:p>
      <w:pPr>
        <w:pStyle w:val="BookText"/>
        <w:rPr/>
      </w:pPr>
      <w:r>
        <w:rPr>
          <w:rFonts w:ascii="Amiri" w:hAnsi="Amiri" w:eastAsia="Amiri" w:cs="Amiri"/>
          <w:color w:val="111111"/>
          <w:sz w:val="28"/>
          <w:sz w:val="28"/>
          <w:szCs w:val="28"/>
          <w:rtl w:val="true"/>
          <w:lang w:bidi="ar-SA"/>
        </w:rPr>
        <w:t>الاكتساب بما يجب على الإنسان فعله</w:t>
      </w:r>
    </w:p>
    <w:p>
      <w:pPr>
        <w:pStyle w:val="BookText"/>
        <w:rPr/>
      </w:pPr>
      <w:r>
        <w:rPr>
          <w:rFonts w:ascii="Amiri" w:hAnsi="Amiri" w:eastAsia="Amiri" w:cs="Amiri"/>
          <w:color w:val="111111"/>
          <w:sz w:val="28"/>
          <w:sz w:val="28"/>
          <w:szCs w:val="28"/>
          <w:rtl w:val="true"/>
          <w:lang w:bidi="ar-SA"/>
        </w:rPr>
        <w:t xml:space="preserve">حرمة التكسّب بالواجبات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محطّ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حول إشكال منافاة وصف التعبّدية لأخذ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الجواب عن إشكال المنافاة بطولية داعي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اعتبار الهية جميع الدواعي الطولية والعرضية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الإخلاص التامّ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إشكال العلاّمة الشيرازي في المقام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إبطال المحقّق الإيرواني الداعي على الداعي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حول إشكال منافاة وصف الوجوب لأخذ الاُجرة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الكلام في الواجب العيني التعييني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استدلال الشيخ الأعظم على المنافاة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ما أجاب به المحقّق الأصفهاني عن مقالة الشيخ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استدلال المحقّق النائيني على المنافاة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استدلال كاشف الغطاء على المنافاة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السيّد الطباطبائي في عدم المنافاة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استدلال المحقّق النراقي في المقام وما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تقرير آخر للاستدلال على المنافاة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أخذ الاُجرة في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تصوير تعلّق الملكية بالواجب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أخذ الاُجرة في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الاُجرة في الواجبات النظامية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جواب المحقّق النائيني عن الإشكال في الواجبات النظامية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جواب الشيخ الأعظم عن الإشكال في الواجبات النظامية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تصحيح العبادات الاستئجارية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ماهية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احتمال كون النيابة تنزيل النائب نفسه منزلة المنوب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احتمال كون النيابة تنزيل العمل لا تنزيل الشخص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التحقيق في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 يرد على كلام العلاّمة الحائري والشيخ الأعظم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فيها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جوائز السلطان الجائر وعمّاله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وفيها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بوجود الحرام في جملة أموال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بوجود الحرام في أموال السلطان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وفيها صورتان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العلم الإجمالي غير منجّز كالشبهة 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القول بكراهة أخذ الجوائز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العلم الإجمالي منجّزاً كالشبهة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حول جريان أصالة الحلّ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حول جريان قاعدة اليد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حول جريان أصالة الصحّة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صورة تنجيز العلم الإجمالي في جميع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تمسّك السيّد الطباطبائي بالروايات الواردة في شراء السرقة والربا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 التمسّك بالروايات الواردة في جوائز السلطان وعمّاله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التفصيلي بحرمة المأخوذ من السلطان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الإشارة إلى مفاد الأدلّة الاجتهادية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حال الصور المتصوّرة في المقام من حيث الحكم التكليفي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بيان حال الاستصحاب ومورد جريانه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حال صور المتصوّرة في المقام من حيث الحكم الوضعي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 أنّ الأخذ بنيّة التملّك مع الجهل بكونه للغير موجب للضمان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في بقاء الضمان مع نيّة الحفظ بعد العلم بالحال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في وجوب ردّ المأخوذ إلى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وجوب الفحص عن المالك لو كان مجهولاً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تعيين مقدار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مقتضى القواعد في مصرف مجهول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مقتضى الأخبار في مصرف مجهول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 ضمان المتصدّق إذا لم يرض به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الخراج والمقاسمة إذا أخذهما السلطان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بالروايات على جواز الشراء من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بالأخبار الواردة في تقبّل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ينبغي التنبيه على بعض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الشراء من السلطان قبل الأخذ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أداء الزكاة ونحوها إلى الجائر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هذه الأخبار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آنفاً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العشرة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مكتبة الإسلامية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الإرب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16589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آداب السفر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الدوابّ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لعن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الجعالة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السبق والرماية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الروايات المفسّرة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الصفحة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الهامش ؛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التبختر في المشي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الواقع في الصلاة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ما يمسك عنه الصائم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تقدّمت بعضها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بعضها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استطرفناه من كتاب عبداللّه بن بكير بن أعين الحسين عنه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استطرفناه من كتاب عبداللّه بن بكير ابن أعين عنه </w:t>
      </w:r>
      <w:r>
        <w:rPr>
          <w:rFonts w:eastAsia="IRNazanin" w:cs="IRNazanin"/>
          <w:b w:val="false"/>
          <w:bCs w:val="false"/>
          <w:i w:val="false"/>
          <w:iCs w:val="false"/>
          <w:color w:val="333333"/>
          <w:sz w:val="20"/>
          <w:szCs w:val="20"/>
          <w:rtl w:val="true"/>
        </w:rPr>
        <w:t>. . .»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العلاّمة الميرزا محمّد تقيّ الشيرازي على المكاسب، قسم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الجيم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القاف</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كتاب الشهادات،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المانعة من الجنّة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الجزء الثاني ، ضمن مصنّفات الشيخ المفيد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في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 أبواب أحكام العشرة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 معطوف على جامع الأخبار في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كنز الكراجكي ،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رجال مجاهيل في سلسلة السند ، فراجع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رجال الكشي وإن نقل عنه في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بصيغة المجهول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 الباب</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المستطرفات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ويأتي آنفاً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 أبواب الأمر والنهي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والنهي ، أبواب</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الإيرواني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الإيرواني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الإيرواني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الإيرواني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الإيرواني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الرسالات الفقهية والاُصولية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بالرضاع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ما يحرم بالرضاع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الرسالات الفقهية والاُصولية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والمتن مطابق مع الوسائل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 أبواب الأمر والنهي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 أبواب الأمر والنهي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الأمر والنهي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الإمام الخميني قدس‌سره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 ، الإمام الخميني قدس‌سره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أفعال الصلاة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 الحجّ وشرائطه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وجوبه وشرائطه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وجوبه وشرائطه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الحجّ، أبواب وجوبه وشرائطه،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النيابة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النيابة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 الحجّ وشرائطه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الدين والقرض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الفقه ، الإجارة، المحقّق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القضاء عن الميّت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صفات القاضي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المتاجر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تقىّ الشيرازى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الأزواج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الأزواج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السابقة ،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الأزواج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بجوائز السلطان</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ما يجب فيه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القصاص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العلاّمة الميرزا محمّد تقيّ الشيرازي على المكاسب، قسم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 أبواب فعل المعروف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المصابيح في الفقه ، قسم التجارة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الصرف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الصرف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العلاّمة الميرزا محمّد تقيّ الشيرازي على المكاسب ، قسم المحرّمة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الدين والقرض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تخريجها في الصفحة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البيع ، الإمام الخميني قدس‌سره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الخمس ،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 المحقّق اليزدي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 أحمد بن محمّد بن عيسى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وشروطه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المزارعة والمساقاة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زكاة الغلاّت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ما يكتسب به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49.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568</Pages>
  <Words>97202</Words>
  <Characters>384698</Characters>
  <CharactersWithSpaces>478087</CharactersWithSpaces>
  <Paragraphs>4291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2026-08-24T21:17:45Z</dcterms:created>
  <dc:creator>ghaemiyeh.com</dc:creator>
  <dc:description/>
  <dc:language>en-US</dc:language>
  <cp:lastModifiedBy/>
  <dcterms:modified xsi:type="dcterms:W3CDTF">2026-08-25T00:48:01Z</dcterms:modified>
  <cp:revision>1</cp:revision>
  <dc:subject/>
  <dc:title>موسوعة الامام الخمینی قدس سرة الشریف المجلد 13 و 14 المکاسب المحرمة جلد 2</dc:title>
</cp:coreProperties>
</file>

<file path=docProps/custom.xml><?xml version="1.0" encoding="utf-8"?>
<Properties xmlns="http://schemas.openxmlformats.org/officeDocument/2006/custom-properties" xmlns:vt="http://schemas.openxmlformats.org/officeDocument/2006/docPropsVTypes"/>
</file>